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4B188" w14:textId="7DA9C519" w:rsidR="001F0676" w:rsidRPr="00864866" w:rsidRDefault="001F0676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</w:p>
    <w:p w14:paraId="6E4B8B64" w14:textId="77777777" w:rsidR="00BB7DB0" w:rsidRPr="00864866" w:rsidRDefault="00BB7DB0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</w:p>
    <w:p w14:paraId="764E2AE3" w14:textId="77777777" w:rsidR="00D0488C" w:rsidRDefault="00D0488C" w:rsidP="00D0488C">
      <w:pPr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sz w:val="24"/>
        </w:rPr>
        <w:t>MT</w:t>
      </w:r>
    </w:p>
    <w:p w14:paraId="2FD0301D" w14:textId="77777777" w:rsidR="00D0488C" w:rsidRDefault="00D0488C" w:rsidP="00D0488C">
      <w:pPr>
        <w:rPr>
          <w:rFonts w:asciiTheme="minorHAnsi" w:hAnsiTheme="minorHAnsi"/>
          <w:sz w:val="22"/>
        </w:rPr>
      </w:pPr>
    </w:p>
    <w:p w14:paraId="632F6520" w14:textId="77777777" w:rsidR="001807E9" w:rsidRPr="00864866" w:rsidRDefault="001807E9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</w:p>
    <w:p w14:paraId="2C4768C0" w14:textId="77777777" w:rsidR="00A15D28" w:rsidRPr="000B66BC" w:rsidRDefault="00A15D28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ANNESS XI</w:t>
      </w:r>
    </w:p>
    <w:p w14:paraId="4A8A4559" w14:textId="0A064FD8" w:rsidR="00A15D28" w:rsidRPr="000B66BC" w:rsidRDefault="00A84D67" w:rsidP="000B66BC">
      <w:pPr>
        <w:spacing w:after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STRUZZJONIJIET GĦAR-RAPPORTAR DWAR L-INGRANAĠĠ</w:t>
      </w:r>
    </w:p>
    <w:p w14:paraId="359338A1" w14:textId="77777777" w:rsidR="00F4754B" w:rsidRPr="000B66BC" w:rsidRDefault="00F4754B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6BF05566" w14:textId="77777777" w:rsidR="00A15D28" w:rsidRPr="000B66BC" w:rsidRDefault="00A15D28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7E090CE2" w14:textId="77777777" w:rsidR="00F4754B" w:rsidRPr="000B66BC" w:rsidRDefault="00F4754B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3C402A6B" w14:textId="77777777" w:rsidR="009112BB" w:rsidRPr="000B66BC" w:rsidRDefault="009112BB" w:rsidP="000B66BC">
      <w:pPr>
        <w:pStyle w:val="BodyText1"/>
        <w:spacing w:after="240"/>
        <w:ind w:left="720"/>
        <w:rPr>
          <w:rFonts w:ascii="Times New Roman" w:hAnsi="Times New Roman"/>
          <w:sz w:val="24"/>
          <w:szCs w:val="24"/>
        </w:rPr>
      </w:pPr>
    </w:p>
    <w:p w14:paraId="7C30D472" w14:textId="6E5D60F4" w:rsidR="0027138F" w:rsidRDefault="00391EF9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val="en-IE" w:eastAsia="en-IE"/>
          <w14:ligatures w14:val="standardContextual"/>
        </w:rPr>
      </w:pPr>
      <w:r>
        <w:rPr>
          <w:rFonts w:ascii="Times New Roman" w:hAnsi="Times New Roman"/>
          <w:b/>
          <w:sz w:val="24"/>
        </w:rPr>
        <w:fldChar w:fldCharType="begin"/>
      </w:r>
      <w:r>
        <w:rPr>
          <w:rFonts w:ascii="Times New Roman" w:hAnsi="Times New Roman"/>
          <w:b/>
          <w:sz w:val="24"/>
        </w:rPr>
        <w:instrText xml:space="preserve"> TOC \o "1-3" \h \z \u </w:instrText>
      </w:r>
      <w:r>
        <w:rPr>
          <w:rFonts w:ascii="Times New Roman" w:hAnsi="Times New Roman"/>
          <w:b/>
          <w:sz w:val="24"/>
        </w:rPr>
        <w:fldChar w:fldCharType="separate"/>
      </w:r>
      <w:hyperlink w:anchor="_Toc182305149" w:history="1">
        <w:r w:rsidR="0027138F" w:rsidRPr="00E32981">
          <w:rPr>
            <w:rStyle w:val="Hyperlink"/>
            <w:rFonts w:ascii="Times New Roman" w:hAnsi="Times New Roman"/>
            <w:b/>
          </w:rPr>
          <w:t>PARTI I: STRUZZJONIJIET ĠENERALI</w:t>
        </w:r>
        <w:r w:rsidR="0027138F">
          <w:rPr>
            <w:webHidden/>
          </w:rPr>
          <w:tab/>
        </w:r>
        <w:r w:rsidR="0027138F">
          <w:rPr>
            <w:webHidden/>
          </w:rPr>
          <w:fldChar w:fldCharType="begin"/>
        </w:r>
        <w:r w:rsidR="0027138F">
          <w:rPr>
            <w:webHidden/>
          </w:rPr>
          <w:instrText xml:space="preserve"> PAGEREF _Toc182305149 \h </w:instrText>
        </w:r>
        <w:r w:rsidR="0027138F">
          <w:rPr>
            <w:webHidden/>
          </w:rPr>
        </w:r>
        <w:r w:rsidR="0027138F">
          <w:rPr>
            <w:webHidden/>
          </w:rPr>
          <w:fldChar w:fldCharType="separate"/>
        </w:r>
        <w:r w:rsidR="0027138F">
          <w:rPr>
            <w:webHidden/>
          </w:rPr>
          <w:t>2</w:t>
        </w:r>
        <w:r w:rsidR="0027138F">
          <w:rPr>
            <w:webHidden/>
          </w:rPr>
          <w:fldChar w:fldCharType="end"/>
        </w:r>
      </w:hyperlink>
    </w:p>
    <w:p w14:paraId="78530B3A" w14:textId="5034F51B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50" w:history="1">
        <w:r w:rsidRPr="00E32981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Struttura u konvenzjonijiet oħra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4E2ACFA" w14:textId="5825C818" w:rsidR="0027138F" w:rsidRDefault="0027138F">
      <w:pPr>
        <w:pStyle w:val="TOC3"/>
        <w:rPr>
          <w:rFonts w:asciiTheme="minorHAnsi" w:eastAsiaTheme="minorEastAsia" w:hAnsiTheme="minorHAnsi" w:cstheme="minorBidi"/>
          <w:smallCaps w:val="0"/>
          <w:kern w:val="2"/>
          <w:sz w:val="24"/>
          <w:lang w:val="en-IE" w:eastAsia="en-IE"/>
          <w14:ligatures w14:val="standardContextual"/>
        </w:rPr>
      </w:pPr>
      <w:hyperlink w:anchor="_Toc182305151" w:history="1">
        <w:r w:rsidRPr="00E32981">
          <w:rPr>
            <w:rStyle w:val="Hyperlink"/>
            <w:rFonts w:ascii="Times New Roman" w:hAnsi="Times New Roman"/>
            <w:b/>
          </w:rPr>
          <w:t>1.1.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  <w:b/>
          </w:rPr>
          <w:t>Struttura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712C4DE" w14:textId="59C7357B" w:rsidR="0027138F" w:rsidRDefault="0027138F">
      <w:pPr>
        <w:pStyle w:val="TOC3"/>
        <w:rPr>
          <w:rFonts w:asciiTheme="minorHAnsi" w:eastAsiaTheme="minorEastAsia" w:hAnsiTheme="minorHAnsi" w:cstheme="minorBidi"/>
          <w:smallCaps w:val="0"/>
          <w:kern w:val="2"/>
          <w:sz w:val="24"/>
          <w:lang w:val="en-IE" w:eastAsia="en-IE"/>
          <w14:ligatures w14:val="standardContextual"/>
        </w:rPr>
      </w:pPr>
      <w:hyperlink w:anchor="_Toc182305152" w:history="1">
        <w:r w:rsidRPr="00E32981">
          <w:rPr>
            <w:rStyle w:val="Hyperlink"/>
            <w:rFonts w:ascii="Times New Roman" w:hAnsi="Times New Roman"/>
            <w:b/>
          </w:rPr>
          <w:t>1.2.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  <w:b/>
          </w:rPr>
          <w:t>Konvenzjoni tan-numerazzjoni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6174E85" w14:textId="227780B0" w:rsidR="0027138F" w:rsidRDefault="0027138F">
      <w:pPr>
        <w:pStyle w:val="TOC3"/>
        <w:rPr>
          <w:rFonts w:asciiTheme="minorHAnsi" w:eastAsiaTheme="minorEastAsia" w:hAnsiTheme="minorHAnsi" w:cstheme="minorBidi"/>
          <w:smallCaps w:val="0"/>
          <w:kern w:val="2"/>
          <w:sz w:val="24"/>
          <w:lang w:val="en-IE" w:eastAsia="en-IE"/>
          <w14:ligatures w14:val="standardContextual"/>
        </w:rPr>
      </w:pPr>
      <w:hyperlink w:anchor="_Toc182305153" w:history="1">
        <w:r w:rsidRPr="00E32981">
          <w:rPr>
            <w:rStyle w:val="Hyperlink"/>
            <w:rFonts w:ascii="Times New Roman" w:hAnsi="Times New Roman"/>
            <w:b/>
          </w:rPr>
          <w:t>1.3.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  <w:b/>
          </w:rPr>
          <w:t>Abbrevjazzjonijiet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72BFDF0" w14:textId="5817E206" w:rsidR="0027138F" w:rsidRDefault="0027138F">
      <w:pPr>
        <w:pStyle w:val="TOC3"/>
        <w:rPr>
          <w:rFonts w:asciiTheme="minorHAnsi" w:eastAsiaTheme="minorEastAsia" w:hAnsiTheme="minorHAnsi" w:cstheme="minorBidi"/>
          <w:smallCaps w:val="0"/>
          <w:kern w:val="2"/>
          <w:sz w:val="24"/>
          <w:lang w:val="en-IE" w:eastAsia="en-IE"/>
          <w14:ligatures w14:val="standardContextual"/>
        </w:rPr>
      </w:pPr>
      <w:hyperlink w:anchor="_Toc182305154" w:history="1">
        <w:r w:rsidRPr="00E32981">
          <w:rPr>
            <w:rStyle w:val="Hyperlink"/>
            <w:rFonts w:ascii="Times New Roman" w:hAnsi="Times New Roman"/>
            <w:b/>
          </w:rPr>
          <w:t>1.4.</w:t>
        </w:r>
        <w:r>
          <w:rPr>
            <w:rFonts w:asciiTheme="minorHAnsi" w:eastAsiaTheme="minorEastAsia" w:hAnsiTheme="minorHAnsi" w:cstheme="minorBidi"/>
            <w:smallCaps w:val="0"/>
            <w:kern w:val="2"/>
            <w:sz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  <w:b/>
          </w:rPr>
          <w:t>Konvenzjoni tas-simboli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DB9ADD1" w14:textId="3DA9F75F" w:rsidR="0027138F" w:rsidRDefault="0027138F">
      <w:pPr>
        <w:pStyle w:val="TOC1"/>
        <w:rPr>
          <w:rFonts w:asciiTheme="minorHAnsi" w:eastAsiaTheme="minorEastAsia" w:hAnsiTheme="minorHAnsi" w:cstheme="minorBidi"/>
          <w:color w:val="auto"/>
          <w:kern w:val="2"/>
          <w:sz w:val="24"/>
          <w:szCs w:val="24"/>
          <w:lang w:val="en-IE" w:eastAsia="en-IE"/>
          <w14:ligatures w14:val="standardContextual"/>
        </w:rPr>
      </w:pPr>
      <w:hyperlink w:anchor="_Toc182305155" w:history="1">
        <w:r w:rsidRPr="00E32981">
          <w:rPr>
            <w:rStyle w:val="Hyperlink"/>
            <w:rFonts w:ascii="Times New Roman" w:hAnsi="Times New Roman"/>
            <w:b/>
          </w:rPr>
          <w:t>PARTI II: STRUZZJONIJIET RELATATI MAL-FORMOLI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74DE54C" w14:textId="3E516B4F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56" w:history="1">
        <w:r w:rsidRPr="00E32981">
          <w:rPr>
            <w:rStyle w:val="Hyperlink"/>
            <w:rFonts w:ascii="Times New Roman" w:hAnsi="Times New Roman"/>
          </w:rPr>
          <w:t>1.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Formuli għall-kalkolu tal-proporzjon tal-ingranaġġ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625B30" w14:textId="0EA47D02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57" w:history="1">
        <w:r w:rsidRPr="00E32981">
          <w:rPr>
            <w:rStyle w:val="Hyperlink"/>
            <w:rFonts w:ascii="Times New Roman" w:hAnsi="Times New Roman"/>
          </w:rPr>
          <w:t>2.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Limiti tal-materjalità għad-derivattivi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5144B0" w14:textId="560E6574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58" w:history="1">
        <w:r w:rsidRPr="00E32981">
          <w:rPr>
            <w:rStyle w:val="Hyperlink"/>
            <w:rFonts w:ascii="Times New Roman" w:hAnsi="Times New Roman"/>
          </w:rPr>
          <w:t>3.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C 47.00 – Kalkolu tal-proporzjon tal-ingranaġġ (LRCalc)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2C4DE57" w14:textId="63B015A7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59" w:history="1">
        <w:r w:rsidRPr="00E32981">
          <w:rPr>
            <w:rStyle w:val="Hyperlink"/>
            <w:rFonts w:ascii="Times New Roman" w:hAnsi="Times New Roman"/>
          </w:rPr>
          <w:t>4.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C 40.00 – Trattament alternattiv tal-Kejl tal-Iskopertura (LR1)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1592979C" w14:textId="1EC797BD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60" w:history="1">
        <w:r w:rsidRPr="00E32981">
          <w:rPr>
            <w:rStyle w:val="Hyperlink"/>
            <w:rFonts w:ascii="Times New Roman" w:hAnsi="Times New Roman"/>
          </w:rPr>
          <w:t>5.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C 43.00 – Diżaggregazzjoni alternattiva ta’ komponenti tal-kejl tal-iskopertura tal-proporzjon tal-ingranaġġ (LR4)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33CEF3A5" w14:textId="10E1C319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61" w:history="1">
        <w:r w:rsidRPr="00E32981">
          <w:rPr>
            <w:rStyle w:val="Hyperlink"/>
            <w:rFonts w:ascii="Times New Roman" w:hAnsi="Times New Roman"/>
          </w:rPr>
          <w:t>6.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C 44.00 – Informazzjoni ġenerali (LR5)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71</w:t>
        </w:r>
        <w:r>
          <w:rPr>
            <w:webHidden/>
          </w:rPr>
          <w:fldChar w:fldCharType="end"/>
        </w:r>
      </w:hyperlink>
    </w:p>
    <w:p w14:paraId="2565CEB8" w14:textId="71F501C5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62" w:history="1">
        <w:r w:rsidRPr="00E32981">
          <w:rPr>
            <w:rStyle w:val="Hyperlink"/>
            <w:rFonts w:ascii="Times New Roman" w:hAnsi="Times New Roman"/>
          </w:rPr>
          <w:t>7.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C 48.00 Volatilità tal-proporzjon tal-ingranaġġ (LR6)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73</w:t>
        </w:r>
        <w:r>
          <w:rPr>
            <w:webHidden/>
          </w:rPr>
          <w:fldChar w:fldCharType="end"/>
        </w:r>
      </w:hyperlink>
    </w:p>
    <w:p w14:paraId="4DB83126" w14:textId="12AD589E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63" w:history="1">
        <w:r w:rsidRPr="00E32981">
          <w:rPr>
            <w:rStyle w:val="Hyperlink"/>
            <w:rFonts w:ascii="Times New Roman" w:hAnsi="Times New Roman"/>
          </w:rPr>
          <w:t>8.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C 48.01 Volatilità tal-proporzjon tal-ingranaġġ: Valur medju għall-perjodu ta’ 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73</w:t>
        </w:r>
        <w:r>
          <w:rPr>
            <w:webHidden/>
          </w:rPr>
          <w:fldChar w:fldCharType="end"/>
        </w:r>
      </w:hyperlink>
    </w:p>
    <w:p w14:paraId="2E426382" w14:textId="6C9E3E16" w:rsidR="0027138F" w:rsidRDefault="0027138F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val="en-IE" w:eastAsia="en-IE"/>
          <w14:ligatures w14:val="standardContextual"/>
        </w:rPr>
      </w:pPr>
      <w:hyperlink w:anchor="_Toc182305164" w:history="1">
        <w:r w:rsidRPr="00E32981">
          <w:rPr>
            <w:rStyle w:val="Hyperlink"/>
            <w:rFonts w:ascii="Times New Roman" w:hAnsi="Times New Roman"/>
          </w:rPr>
          <w:t>9.</w:t>
        </w:r>
        <w:r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val="en-IE" w:eastAsia="en-IE"/>
            <w14:ligatures w14:val="standardContextual"/>
          </w:rPr>
          <w:tab/>
        </w:r>
        <w:r w:rsidRPr="00E32981">
          <w:rPr>
            <w:rStyle w:val="Hyperlink"/>
            <w:rFonts w:ascii="Times New Roman" w:hAnsi="Times New Roman"/>
          </w:rPr>
          <w:t>C 48.02 Volatilità tal-proporzjon tal-ingranaġġ: Valuri ta’ kuljum għall-perjodu ta’ rapportar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_Toc182305164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74</w:t>
        </w:r>
        <w:r>
          <w:rPr>
            <w:webHidden/>
          </w:rPr>
          <w:fldChar w:fldCharType="end"/>
        </w:r>
      </w:hyperlink>
    </w:p>
    <w:p w14:paraId="43D747E1" w14:textId="43F050DC" w:rsidR="00AC3257" w:rsidRPr="000B66BC" w:rsidRDefault="00391EF9" w:rsidP="000B66BC">
      <w:pPr>
        <w:pStyle w:val="BodyText1"/>
        <w:rPr>
          <w:rFonts w:ascii="Times New Roman" w:hAnsi="Times New Roman"/>
          <w:sz w:val="24"/>
        </w:rPr>
        <w:sectPr w:rsidR="00AC3257" w:rsidRPr="000B66BC" w:rsidSect="00DC2C28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pgSz w:w="11906" w:h="16838" w:code="9"/>
          <w:pgMar w:top="1417" w:right="1417" w:bottom="1134" w:left="1417" w:header="720" w:footer="720" w:gutter="0"/>
          <w:cols w:space="720"/>
          <w:titlePg/>
          <w:docGrid w:linePitch="360"/>
        </w:sectPr>
      </w:pPr>
      <w:r>
        <w:rPr>
          <w:rFonts w:ascii="Times New Roman" w:hAnsi="Times New Roman"/>
          <w:sz w:val="24"/>
        </w:rPr>
        <w:fldChar w:fldCharType="end"/>
      </w:r>
    </w:p>
    <w:p w14:paraId="34ED68DE" w14:textId="77777777" w:rsidR="00F4754B" w:rsidRPr="000B66BC" w:rsidRDefault="00F4754B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12DCD63B" w14:textId="77777777" w:rsidR="00217D1F" w:rsidRPr="00864866" w:rsidRDefault="00F4754B" w:rsidP="000B66BC">
      <w:pPr>
        <w:pStyle w:val="BodyText1"/>
        <w:spacing w:after="240"/>
        <w:outlineLvl w:val="0"/>
        <w:rPr>
          <w:rFonts w:ascii="Times New Roman" w:hAnsi="Times New Roman"/>
          <w:b/>
          <w:sz w:val="24"/>
          <w:szCs w:val="24"/>
        </w:rPr>
      </w:pPr>
      <w:bookmarkStart w:id="0" w:name="_Toc264038394"/>
      <w:bookmarkStart w:id="1" w:name="_Toc322687864"/>
      <w:bookmarkStart w:id="2" w:name="_Toc351048499"/>
      <w:bookmarkStart w:id="3" w:name="_Toc359414273"/>
      <w:bookmarkStart w:id="4" w:name="_Toc423089060"/>
      <w:bookmarkStart w:id="5" w:name="_Toc182305149"/>
      <w:r>
        <w:rPr>
          <w:rFonts w:ascii="Times New Roman" w:hAnsi="Times New Roman"/>
          <w:b/>
          <w:sz w:val="24"/>
        </w:rPr>
        <w:t>PARTI I:</w:t>
      </w:r>
      <w:bookmarkEnd w:id="0"/>
      <w:r>
        <w:rPr>
          <w:rFonts w:ascii="Times New Roman" w:hAnsi="Times New Roman"/>
          <w:b/>
          <w:sz w:val="24"/>
        </w:rPr>
        <w:t xml:space="preserve"> STRUZZJONIJIET ĠENERALI</w:t>
      </w:r>
      <w:bookmarkEnd w:id="1"/>
      <w:bookmarkEnd w:id="2"/>
      <w:bookmarkEnd w:id="3"/>
      <w:bookmarkEnd w:id="4"/>
      <w:bookmarkEnd w:id="5"/>
    </w:p>
    <w:p w14:paraId="2A030BBF" w14:textId="593C59C8" w:rsidR="00217D1F" w:rsidRPr="000B66BC" w:rsidRDefault="00500508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6" w:name="_Toc351048500"/>
      <w:bookmarkStart w:id="7" w:name="_Toc322687865"/>
      <w:bookmarkStart w:id="8" w:name="_Toc359414274"/>
      <w:bookmarkStart w:id="9" w:name="_Toc423089061"/>
      <w:bookmarkStart w:id="10" w:name="_Toc182305150"/>
      <w:r>
        <w:rPr>
          <w:rFonts w:ascii="Times New Roman" w:hAnsi="Times New Roman"/>
          <w:b/>
          <w:sz w:val="24"/>
        </w:rPr>
        <w:t>1.</w:t>
      </w:r>
      <w:r>
        <w:tab/>
      </w:r>
      <w:r>
        <w:rPr>
          <w:rFonts w:ascii="Times New Roman" w:hAnsi="Times New Roman"/>
          <w:b/>
          <w:sz w:val="24"/>
        </w:rPr>
        <w:t>Struttura u konvenzjonijiet oħra</w:t>
      </w:r>
      <w:bookmarkEnd w:id="6"/>
      <w:bookmarkEnd w:id="7"/>
      <w:bookmarkEnd w:id="8"/>
      <w:bookmarkEnd w:id="9"/>
      <w:bookmarkEnd w:id="10"/>
    </w:p>
    <w:p w14:paraId="0F3236AE" w14:textId="6FB096EE" w:rsidR="00217D1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11" w:name="_Toc322687866"/>
      <w:bookmarkStart w:id="12" w:name="_Toc359414275"/>
      <w:bookmarkStart w:id="13" w:name="_Toc423089062"/>
      <w:bookmarkStart w:id="14" w:name="_Toc182305151"/>
      <w:bookmarkStart w:id="15" w:name="_Toc264038399"/>
      <w:bookmarkStart w:id="16" w:name="_Toc294018834"/>
      <w:r>
        <w:rPr>
          <w:rFonts w:ascii="Times New Roman" w:hAnsi="Times New Roman"/>
          <w:b/>
          <w:sz w:val="24"/>
        </w:rPr>
        <w:t>1.1.</w:t>
      </w:r>
      <w:r>
        <w:tab/>
      </w:r>
      <w:bookmarkEnd w:id="11"/>
      <w:bookmarkEnd w:id="12"/>
      <w:bookmarkEnd w:id="13"/>
      <w:r>
        <w:rPr>
          <w:rFonts w:ascii="Times New Roman" w:hAnsi="Times New Roman"/>
          <w:b/>
          <w:sz w:val="24"/>
        </w:rPr>
        <w:t>Struttura</w:t>
      </w:r>
      <w:bookmarkEnd w:id="14"/>
    </w:p>
    <w:p w14:paraId="050538F0" w14:textId="50037B39" w:rsidR="00E22856" w:rsidRPr="000B66BC" w:rsidRDefault="00500508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1.</w:t>
      </w:r>
      <w:r>
        <w:tab/>
      </w:r>
      <w:r>
        <w:rPr>
          <w:rFonts w:ascii="Times New Roman" w:hAnsi="Times New Roman"/>
          <w:sz w:val="24"/>
        </w:rPr>
        <w:t xml:space="preserve">Dan l-Anness fih struzzjonijiet addizzjonali għall-formoli (minn hawn ’il quddiem imsejħin “LR”) li jinsabu fl-Anness X ta’ dan ir-Regolament. </w:t>
      </w:r>
    </w:p>
    <w:p w14:paraId="4B2766E9" w14:textId="78B19E69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sz w:val="24"/>
        </w:rPr>
        <w:t>2.</w:t>
      </w:r>
      <w:r>
        <w:tab/>
      </w:r>
      <w:r>
        <w:rPr>
          <w:sz w:val="24"/>
        </w:rPr>
        <w:t>B’mod ġenerali, il-qafas jikkonsisti f’ħames formoli:</w:t>
      </w:r>
    </w:p>
    <w:p w14:paraId="41A3C48C" w14:textId="77777777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sz w:val="24"/>
        </w:rPr>
        <w:t></w:t>
      </w:r>
      <w:r>
        <w:tab/>
      </w:r>
      <w:r>
        <w:rPr>
          <w:sz w:val="24"/>
        </w:rPr>
        <w:t>C47.00: Kalkolu tal-Proporzjon tal-Ingranaġġ (</w:t>
      </w:r>
      <w:proofErr w:type="spellStart"/>
      <w:r>
        <w:rPr>
          <w:sz w:val="24"/>
        </w:rPr>
        <w:t>LRCalc</w:t>
      </w:r>
      <w:proofErr w:type="spellEnd"/>
      <w:r>
        <w:rPr>
          <w:sz w:val="24"/>
        </w:rPr>
        <w:t>): Kalkolu tal-Proporzjon tal-Ingranaġġ;</w:t>
      </w:r>
    </w:p>
    <w:p w14:paraId="42B808C6" w14:textId="77777777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sz w:val="24"/>
        </w:rPr>
        <w:t></w:t>
      </w:r>
      <w:r>
        <w:tab/>
      </w:r>
      <w:r>
        <w:rPr>
          <w:sz w:val="24"/>
        </w:rPr>
        <w:t>C40.00: proporzjon ta' ingranaġġ Formola 1 (LR1): Trattament alternattiv tal-kejl tal-iskopertura;</w:t>
      </w:r>
    </w:p>
    <w:p w14:paraId="29356C92" w14:textId="650F5016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sz w:val="24"/>
        </w:rPr>
        <w:t></w:t>
      </w:r>
      <w:r>
        <w:tab/>
      </w:r>
      <w:r>
        <w:rPr>
          <w:sz w:val="24"/>
        </w:rPr>
        <w:t>C43.00: proporzjon ta' ingranaġġ Formola 4 (LR4): Diżaggregazzjoni alternattiva ta’ komponenti tal-kejl tal-iskopertura tal-proporzjon tal-ingranaġġ;</w:t>
      </w:r>
    </w:p>
    <w:p w14:paraId="0192F250" w14:textId="1780456B" w:rsidR="00675587" w:rsidRPr="000B66BC" w:rsidRDefault="00500508" w:rsidP="009339D1">
      <w:pPr>
        <w:pStyle w:val="InstructionsText2"/>
        <w:numPr>
          <w:ilvl w:val="0"/>
          <w:numId w:val="0"/>
        </w:numPr>
        <w:ind w:left="1080" w:hanging="360"/>
        <w:rPr>
          <w:rFonts w:eastAsia="Times New Roman"/>
          <w:bCs/>
          <w:sz w:val="24"/>
        </w:rPr>
      </w:pPr>
      <w:r>
        <w:rPr>
          <w:rFonts w:ascii="Symbol" w:hAnsi="Symbol"/>
          <w:sz w:val="24"/>
        </w:rPr>
        <w:t></w:t>
      </w:r>
      <w:r>
        <w:tab/>
      </w:r>
      <w:r>
        <w:rPr>
          <w:sz w:val="24"/>
        </w:rPr>
        <w:t>C44.00: proporzjon ta' ingranaġġ Formola 5 (LR5): Informazzjoni ġenerali;</w:t>
      </w:r>
    </w:p>
    <w:p w14:paraId="7D668F4C" w14:textId="2EF3E327" w:rsidR="00BE473C" w:rsidRPr="000B66BC" w:rsidRDefault="00BE473C" w:rsidP="009339D1">
      <w:pPr>
        <w:pStyle w:val="InstructionsText2"/>
        <w:numPr>
          <w:ilvl w:val="0"/>
          <w:numId w:val="35"/>
        </w:numPr>
        <w:rPr>
          <w:rFonts w:eastAsia="Times New Roman"/>
          <w:bCs/>
          <w:sz w:val="24"/>
        </w:rPr>
      </w:pPr>
      <w:r>
        <w:rPr>
          <w:sz w:val="24"/>
        </w:rPr>
        <w:t>C48.00: Volatilità tal-proporzjon tal-ingranaġġ (LR6).</w:t>
      </w:r>
    </w:p>
    <w:p w14:paraId="6D2FC52A" w14:textId="5D5E1B5E" w:rsidR="00FC2664" w:rsidRPr="000B66BC" w:rsidRDefault="00500508" w:rsidP="000B66BC">
      <w:pPr>
        <w:pStyle w:val="InstructionsText2"/>
        <w:numPr>
          <w:ilvl w:val="0"/>
          <w:numId w:val="0"/>
        </w:numPr>
        <w:ind w:left="720" w:hanging="360"/>
        <w:rPr>
          <w:sz w:val="24"/>
        </w:rPr>
      </w:pPr>
      <w:r>
        <w:rPr>
          <w:sz w:val="24"/>
        </w:rPr>
        <w:t>3.</w:t>
      </w:r>
      <w:r>
        <w:tab/>
      </w:r>
      <w:r>
        <w:rPr>
          <w:sz w:val="24"/>
        </w:rPr>
        <w:t>Għal kull formola huma pprovduti referenzi legali kif ukoll iktar informazzjoni dettaljata dwar aspetti iktar ġenerali tar-rapportar.</w:t>
      </w:r>
    </w:p>
    <w:p w14:paraId="5CABBDF6" w14:textId="77777777" w:rsidR="00217D1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17" w:name="_Toc359414277"/>
      <w:bookmarkStart w:id="18" w:name="_Toc322687867"/>
      <w:bookmarkStart w:id="19" w:name="_Toc351048502"/>
      <w:bookmarkStart w:id="20" w:name="_Toc359414278"/>
      <w:bookmarkStart w:id="21" w:name="_Toc423089063"/>
      <w:bookmarkStart w:id="22" w:name="_Toc182305152"/>
      <w:bookmarkEnd w:id="17"/>
      <w:r>
        <w:rPr>
          <w:rFonts w:ascii="Times New Roman" w:hAnsi="Times New Roman"/>
          <w:b/>
          <w:sz w:val="24"/>
        </w:rPr>
        <w:t>1.2.</w:t>
      </w:r>
      <w:r>
        <w:tab/>
      </w:r>
      <w:r>
        <w:rPr>
          <w:rFonts w:ascii="Times New Roman" w:hAnsi="Times New Roman"/>
          <w:b/>
          <w:sz w:val="24"/>
        </w:rPr>
        <w:t>Konvenzjoni tan-numerazzjoni</w:t>
      </w:r>
      <w:bookmarkEnd w:id="18"/>
      <w:bookmarkEnd w:id="19"/>
      <w:bookmarkEnd w:id="20"/>
      <w:bookmarkEnd w:id="21"/>
      <w:bookmarkEnd w:id="22"/>
    </w:p>
    <w:p w14:paraId="729F6A05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sz w:val="24"/>
        </w:rPr>
        <w:t>4.</w:t>
      </w:r>
      <w:r>
        <w:tab/>
      </w:r>
      <w:r>
        <w:rPr>
          <w:sz w:val="24"/>
        </w:rPr>
        <w:t>Dan id-dokument se jsegwi l-konvenzjoni dwar it-tikkettar stabbilita fil-paragrafi li ġejjin, meta jirreferi għall-kolonni, ir-ringieli u ċ-ċelloli tal-formoli. Dawn il-kodiċijiet numeriċi jintużaw b’mod estensiv fir-regoli dwar il-validazzjoni.</w:t>
      </w:r>
    </w:p>
    <w:p w14:paraId="68B33760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sz w:val="24"/>
        </w:rPr>
        <w:t>5.</w:t>
      </w:r>
      <w:r>
        <w:tab/>
      </w:r>
      <w:r>
        <w:rPr>
          <w:sz w:val="24"/>
        </w:rPr>
        <w:t>In-notazzjoni ġenerali li ġejja qed tiġi segwita fl-istruzzjonijiet: {</w:t>
      </w:r>
      <w:proofErr w:type="spellStart"/>
      <w:r>
        <w:rPr>
          <w:sz w:val="24"/>
        </w:rPr>
        <w:t>Formola;Ringiela;Kolonna</w:t>
      </w:r>
      <w:proofErr w:type="spellEnd"/>
      <w:r>
        <w:rPr>
          <w:sz w:val="24"/>
        </w:rPr>
        <w:t>}. Se jintuża sinjal ta’ asterisk għall-kolonna jew ir-ringiela sħiħa.</w:t>
      </w:r>
    </w:p>
    <w:p w14:paraId="3E605DEE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sz w:val="24"/>
        </w:rPr>
        <w:t>6.</w:t>
      </w:r>
      <w:r>
        <w:tab/>
      </w:r>
      <w:r>
        <w:rPr>
          <w:sz w:val="24"/>
        </w:rPr>
        <w:t xml:space="preserve">Fil-każ ta’ validazzjonijiet f’formola, fejn jintużaw biss punti ta’ </w:t>
      </w:r>
      <w:r>
        <w:rPr>
          <w:i/>
          <w:sz w:val="24"/>
        </w:rPr>
        <w:t>data</w:t>
      </w:r>
      <w:r>
        <w:rPr>
          <w:sz w:val="24"/>
        </w:rPr>
        <w:t xml:space="preserve"> minn dik il-formola, in-</w:t>
      </w:r>
      <w:proofErr w:type="spellStart"/>
      <w:r>
        <w:rPr>
          <w:sz w:val="24"/>
        </w:rPr>
        <w:t>notazzjonijiet</w:t>
      </w:r>
      <w:proofErr w:type="spellEnd"/>
      <w:r>
        <w:rPr>
          <w:sz w:val="24"/>
        </w:rPr>
        <w:t xml:space="preserve"> mhux se jirreferu għall-formola: {</w:t>
      </w:r>
      <w:proofErr w:type="spellStart"/>
      <w:r>
        <w:rPr>
          <w:sz w:val="24"/>
        </w:rPr>
        <w:t>Ringiela;Kolonna</w:t>
      </w:r>
      <w:proofErr w:type="spellEnd"/>
      <w:r>
        <w:rPr>
          <w:sz w:val="24"/>
        </w:rPr>
        <w:t>}.</w:t>
      </w:r>
    </w:p>
    <w:p w14:paraId="12003733" w14:textId="77777777" w:rsidR="00F4754B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r>
        <w:rPr>
          <w:sz w:val="24"/>
        </w:rPr>
        <w:t>7.</w:t>
      </w:r>
      <w:r>
        <w:tab/>
      </w:r>
      <w:r>
        <w:rPr>
          <w:sz w:val="24"/>
        </w:rPr>
        <w:t xml:space="preserve">Għall-finijiet tar-rapportar dwar l-ingranaġġ, il-kliem “li minnhom/li minnu/li minnha” jirreferu għal entrata li hija subsett ta’ kategorija ta’ skoperturi ta’ livell ogħla filwaqt li l-kliem “entrata ta’ memorandum” jirreferu għal entrata separata li mhijiex subsett ta’ klassi ta’ skopertura. Ir-rapportar taż-żewġ tipi ta’ ċelloli huwa obbligatorju sakemm ma jkunx speċifikat mod ieħor. </w:t>
      </w:r>
    </w:p>
    <w:p w14:paraId="2D525ACC" w14:textId="77777777" w:rsidR="001D6F2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23" w:name="_Toc423089064"/>
      <w:bookmarkStart w:id="24" w:name="_Toc182305153"/>
      <w:r>
        <w:rPr>
          <w:rFonts w:ascii="Times New Roman" w:hAnsi="Times New Roman"/>
          <w:b/>
          <w:sz w:val="24"/>
        </w:rPr>
        <w:t>1.3.</w:t>
      </w:r>
      <w:r>
        <w:tab/>
      </w:r>
      <w:r>
        <w:rPr>
          <w:rFonts w:ascii="Times New Roman" w:hAnsi="Times New Roman"/>
          <w:b/>
          <w:sz w:val="24"/>
        </w:rPr>
        <w:t>Abbrevjazzjonijiet</w:t>
      </w:r>
      <w:bookmarkEnd w:id="23"/>
      <w:bookmarkEnd w:id="24"/>
    </w:p>
    <w:p w14:paraId="69E6F7E3" w14:textId="6B0F11D1" w:rsidR="007E2989" w:rsidRPr="000B66BC" w:rsidRDefault="00500508" w:rsidP="00D965D3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bookmarkStart w:id="25" w:name="_Toc359414279"/>
      <w:bookmarkStart w:id="26" w:name="_Toc322687868"/>
      <w:bookmarkStart w:id="27" w:name="_Toc351048503"/>
      <w:bookmarkStart w:id="28" w:name="_Toc359414280"/>
      <w:bookmarkEnd w:id="25"/>
      <w:r>
        <w:rPr>
          <w:sz w:val="24"/>
        </w:rPr>
        <w:lastRenderedPageBreak/>
        <w:t>8.</w:t>
      </w:r>
      <w:r>
        <w:tab/>
      </w:r>
      <w:r>
        <w:rPr>
          <w:sz w:val="24"/>
        </w:rPr>
        <w:t>Għall-finijiet ta’ dan l-Anness u tal-formoli relatati, jintużaw l-abbrevjazzjonijiet li ġejjin:</w:t>
      </w:r>
    </w:p>
    <w:p w14:paraId="5CC0B733" w14:textId="5D25F616" w:rsidR="00627E07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sz w:val="24"/>
        </w:rPr>
        <w:t>c.</w:t>
      </w:r>
      <w:r>
        <w:tab/>
      </w:r>
      <w:r>
        <w:rPr>
          <w:sz w:val="24"/>
        </w:rPr>
        <w:t>SFT, li hija l-abbrevjazzjoni ta’ Tranżazzjoni ta’ Finanzjament tat-Titoli u għandha tfisser “tranżazzjonijiet ta’ riakkwist, tranżazzjonijiet ta’ għoti jew teħid b’self ta’ titoli jew ta’ komoditajiet, jew tranżazzjonijiet ta’ self b’marġni” kif imsemmi fil-punt (139) tal-Artikolu 4(1) fir-Regolament (UE) Nru 575/2013;</w:t>
      </w:r>
    </w:p>
    <w:p w14:paraId="68410368" w14:textId="7E4CDAEF" w:rsidR="008E7068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sz w:val="24"/>
        </w:rPr>
        <w:t>d.</w:t>
      </w:r>
      <w:r>
        <w:tab/>
      </w:r>
      <w:r>
        <w:rPr>
          <w:sz w:val="24"/>
        </w:rPr>
        <w:t>CRM, li hija l-abbrevjazzjoni ta’ Mitigazzjoni tar-Riskju ta’ Kreditu;</w:t>
      </w:r>
    </w:p>
    <w:p w14:paraId="212C8B7E" w14:textId="6577F157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sz w:val="24"/>
        </w:rPr>
        <w:t>e.</w:t>
      </w:r>
      <w:r>
        <w:tab/>
      </w:r>
      <w:r>
        <w:rPr>
          <w:sz w:val="24"/>
        </w:rPr>
        <w:t>CSD, li hija l-abbrevjazzjoni ta’ Depożitorju Ċentrali tat-Titoli;</w:t>
      </w:r>
    </w:p>
    <w:p w14:paraId="44F02B07" w14:textId="457293D0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sz w:val="24"/>
        </w:rPr>
        <w:t xml:space="preserve">f. </w:t>
      </w:r>
      <w:r>
        <w:tab/>
      </w:r>
      <w:r>
        <w:rPr>
          <w:sz w:val="24"/>
        </w:rPr>
        <w:t>QCCP, li hija l-abbrevjazzjoni ta’ Kontroparti Ċentrali Kwalifikanti;</w:t>
      </w:r>
    </w:p>
    <w:p w14:paraId="4CAF859B" w14:textId="77777777" w:rsidR="007E2989" w:rsidRPr="000B66BC" w:rsidRDefault="007E2989" w:rsidP="009339D1">
      <w:pPr>
        <w:pStyle w:val="InstructionsText2"/>
        <w:numPr>
          <w:ilvl w:val="0"/>
          <w:numId w:val="0"/>
        </w:numPr>
        <w:ind w:left="1440" w:hanging="360"/>
        <w:rPr>
          <w:rFonts w:eastAsia="Times New Roman"/>
          <w:bCs/>
          <w:sz w:val="24"/>
        </w:rPr>
      </w:pPr>
      <w:r>
        <w:rPr>
          <w:sz w:val="24"/>
        </w:rPr>
        <w:t xml:space="preserve">g. </w:t>
      </w:r>
      <w:r>
        <w:tab/>
      </w:r>
      <w:r>
        <w:rPr>
          <w:sz w:val="24"/>
        </w:rPr>
        <w:t>PFE, li hija l-abbrevjazzjoni ta’ Skopertura Futura Potenzjali.</w:t>
      </w:r>
    </w:p>
    <w:p w14:paraId="04A571E4" w14:textId="77777777" w:rsidR="00217D1F" w:rsidRPr="000B66BC" w:rsidRDefault="00500508" w:rsidP="000B66BC">
      <w:pPr>
        <w:pStyle w:val="BodyText1"/>
        <w:spacing w:after="240"/>
        <w:ind w:left="357" w:hanging="357"/>
        <w:outlineLvl w:val="2"/>
        <w:rPr>
          <w:rFonts w:ascii="Times New Roman" w:hAnsi="Times New Roman"/>
          <w:b/>
          <w:sz w:val="24"/>
          <w:szCs w:val="24"/>
        </w:rPr>
      </w:pPr>
      <w:bookmarkStart w:id="29" w:name="_Toc423089065"/>
      <w:bookmarkStart w:id="30" w:name="_Toc182305154"/>
      <w:r>
        <w:rPr>
          <w:rFonts w:ascii="Times New Roman" w:hAnsi="Times New Roman"/>
          <w:b/>
          <w:sz w:val="24"/>
        </w:rPr>
        <w:t>1.4.</w:t>
      </w:r>
      <w:r>
        <w:tab/>
      </w:r>
      <w:r>
        <w:rPr>
          <w:rFonts w:ascii="Times New Roman" w:hAnsi="Times New Roman"/>
          <w:b/>
          <w:sz w:val="24"/>
        </w:rPr>
        <w:t>Konvenzjoni tas-simboli</w:t>
      </w:r>
      <w:bookmarkEnd w:id="15"/>
      <w:bookmarkEnd w:id="16"/>
      <w:bookmarkEnd w:id="26"/>
      <w:bookmarkEnd w:id="27"/>
      <w:bookmarkEnd w:id="28"/>
      <w:bookmarkEnd w:id="29"/>
      <w:bookmarkEnd w:id="30"/>
    </w:p>
    <w:p w14:paraId="077A5720" w14:textId="08AE4F7D" w:rsidR="0058289F" w:rsidRPr="000B66BC" w:rsidRDefault="00500508" w:rsidP="009339D1">
      <w:pPr>
        <w:pStyle w:val="InstructionsText2"/>
        <w:numPr>
          <w:ilvl w:val="0"/>
          <w:numId w:val="0"/>
        </w:numPr>
        <w:ind w:left="720" w:hanging="360"/>
        <w:rPr>
          <w:rFonts w:eastAsia="Times New Roman"/>
          <w:bCs/>
          <w:sz w:val="24"/>
        </w:rPr>
      </w:pPr>
      <w:bookmarkStart w:id="31" w:name="_Toc322687869"/>
      <w:r>
        <w:rPr>
          <w:sz w:val="24"/>
        </w:rPr>
        <w:t>9.</w:t>
      </w:r>
      <w:r>
        <w:tab/>
      </w:r>
      <w:r>
        <w:rPr>
          <w:sz w:val="24"/>
        </w:rPr>
        <w:t>L-ammonti kollha għandhom jiġu rrapportati bħala ċifri pożittivi.</w:t>
      </w:r>
      <w:bookmarkStart w:id="32" w:name="_Toc264033192"/>
      <w:bookmarkEnd w:id="32"/>
      <w:r>
        <w:rPr>
          <w:sz w:val="24"/>
        </w:rPr>
        <w:t xml:space="preserve"> Bl-eċċezzjoni ta’:</w:t>
      </w:r>
    </w:p>
    <w:p w14:paraId="7B6D27CF" w14:textId="222C2E2D" w:rsidR="0058289F" w:rsidRPr="000B66BC" w:rsidRDefault="00A5392D" w:rsidP="009339D1">
      <w:pPr>
        <w:pStyle w:val="InstructionsText2"/>
        <w:numPr>
          <w:ilvl w:val="0"/>
          <w:numId w:val="25"/>
        </w:numPr>
        <w:rPr>
          <w:rFonts w:eastAsia="Times New Roman"/>
          <w:bCs/>
          <w:sz w:val="24"/>
        </w:rPr>
      </w:pPr>
      <w:r>
        <w:rPr>
          <w:sz w:val="24"/>
        </w:rPr>
        <w:t xml:space="preserve">L-oġġetti li t-tikketta tagħhom tkun </w:t>
      </w:r>
      <w:proofErr w:type="spellStart"/>
      <w:r>
        <w:rPr>
          <w:sz w:val="24"/>
        </w:rPr>
        <w:t>preċeduta</w:t>
      </w:r>
      <w:proofErr w:type="spellEnd"/>
      <w:r>
        <w:rPr>
          <w:sz w:val="24"/>
        </w:rPr>
        <w:t xml:space="preserve"> minn sinjal negattiv (-), fejn l-ebda ċifra pożittiva ma tkun mistennija li tiġi rrapportata għal dik l-entrata.</w:t>
      </w:r>
    </w:p>
    <w:p w14:paraId="259D3174" w14:textId="186210E9" w:rsidR="00E40D66" w:rsidRPr="000B66BC" w:rsidRDefault="00E40D66" w:rsidP="009339D1">
      <w:pPr>
        <w:pStyle w:val="InstructionsText2"/>
        <w:numPr>
          <w:ilvl w:val="0"/>
          <w:numId w:val="25"/>
        </w:numPr>
        <w:rPr>
          <w:rFonts w:eastAsia="Times New Roman"/>
          <w:bCs/>
          <w:sz w:val="24"/>
        </w:rPr>
      </w:pPr>
      <w:r>
        <w:rPr>
          <w:sz w:val="24"/>
        </w:rPr>
        <w:t>{LRCalc;0310;0010}, {LRCalc;0320;0010}, {LRCalc;0330;0010}, {LRCalc;0340;0010}, li jistgħu jieħdu valuri negattivi f’każijiet estremi, inkella jieħdu valuri pożittivi.</w:t>
      </w:r>
    </w:p>
    <w:p w14:paraId="1A7EEF5B" w14:textId="10CFE72E" w:rsidR="0060741B" w:rsidRPr="000B66BC" w:rsidRDefault="00C62C1B" w:rsidP="00AB2B09">
      <w:pPr>
        <w:pStyle w:val="InstructionsText2"/>
        <w:numPr>
          <w:ilvl w:val="0"/>
          <w:numId w:val="0"/>
        </w:numPr>
        <w:ind w:left="1080"/>
        <w:rPr>
          <w:rFonts w:eastAsia="Times New Roman"/>
          <w:bCs/>
          <w:sz w:val="24"/>
        </w:rPr>
      </w:pPr>
      <w:r>
        <w:rPr>
          <w:sz w:val="24"/>
        </w:rPr>
        <w:t xml:space="preserve"> </w:t>
      </w:r>
    </w:p>
    <w:p w14:paraId="12B14317" w14:textId="77777777" w:rsidR="001F28C3" w:rsidRPr="000B66BC" w:rsidRDefault="00360A3D" w:rsidP="009339D1">
      <w:pPr>
        <w:pStyle w:val="InstructionsText2"/>
        <w:numPr>
          <w:ilvl w:val="0"/>
          <w:numId w:val="0"/>
        </w:numPr>
        <w:ind w:left="720"/>
        <w:rPr>
          <w:rFonts w:eastAsia="Times New Roman"/>
          <w:bCs/>
          <w:sz w:val="24"/>
        </w:rPr>
      </w:pPr>
      <w:r>
        <w:rPr>
          <w:sz w:val="24"/>
        </w:rPr>
        <w:t xml:space="preserve"> </w:t>
      </w:r>
    </w:p>
    <w:p w14:paraId="35677258" w14:textId="77777777" w:rsidR="00217D1F" w:rsidRPr="00864866" w:rsidRDefault="00F4754B" w:rsidP="000B66BC">
      <w:pPr>
        <w:pStyle w:val="BodyText1"/>
        <w:spacing w:after="240"/>
        <w:outlineLvl w:val="0"/>
        <w:rPr>
          <w:rFonts w:ascii="Times New Roman" w:hAnsi="Times New Roman"/>
          <w:b/>
          <w:sz w:val="24"/>
          <w:szCs w:val="24"/>
        </w:rPr>
      </w:pPr>
      <w:r>
        <w:br w:type="page"/>
      </w:r>
      <w:bookmarkStart w:id="33" w:name="_Toc351048504"/>
      <w:bookmarkStart w:id="34" w:name="_Toc359414281"/>
      <w:bookmarkStart w:id="35" w:name="_Toc423089066"/>
      <w:bookmarkStart w:id="36" w:name="_Toc182305155"/>
      <w:r>
        <w:rPr>
          <w:rFonts w:ascii="Times New Roman" w:hAnsi="Times New Roman"/>
          <w:b/>
          <w:sz w:val="24"/>
        </w:rPr>
        <w:lastRenderedPageBreak/>
        <w:t>PARTI II: STRUZZJONIJIET RELATATI MAL-FORMOLI</w:t>
      </w:r>
      <w:bookmarkEnd w:id="31"/>
      <w:bookmarkEnd w:id="33"/>
      <w:bookmarkEnd w:id="34"/>
      <w:bookmarkEnd w:id="35"/>
      <w:bookmarkEnd w:id="36"/>
    </w:p>
    <w:p w14:paraId="4C8C375F" w14:textId="77777777" w:rsidR="00505096" w:rsidRPr="000B66BC" w:rsidRDefault="006F588E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37" w:name="_Toc423089068"/>
      <w:bookmarkStart w:id="38" w:name="_Toc359414283"/>
      <w:bookmarkStart w:id="39" w:name="_Toc182305156"/>
      <w:bookmarkStart w:id="40" w:name="_Toc322533849"/>
      <w:r>
        <w:rPr>
          <w:rFonts w:ascii="Times New Roman" w:hAnsi="Times New Roman"/>
          <w:b/>
          <w:sz w:val="24"/>
        </w:rPr>
        <w:t>1.</w:t>
      </w:r>
      <w:r>
        <w:tab/>
      </w:r>
      <w:r>
        <w:rPr>
          <w:rFonts w:ascii="Times New Roman" w:hAnsi="Times New Roman"/>
          <w:b/>
          <w:sz w:val="24"/>
        </w:rPr>
        <w:t>Formuli għall-kalkolu tal-proporzjon tal-ingranaġġ</w:t>
      </w:r>
      <w:bookmarkEnd w:id="37"/>
      <w:bookmarkEnd w:id="38"/>
      <w:bookmarkEnd w:id="39"/>
    </w:p>
    <w:p w14:paraId="23B05B4C" w14:textId="08E66F21" w:rsidR="00505096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1.</w:t>
      </w:r>
      <w:r>
        <w:tab/>
      </w:r>
      <w:r>
        <w:rPr>
          <w:rFonts w:ascii="Times New Roman" w:hAnsi="Times New Roman"/>
          <w:sz w:val="24"/>
        </w:rPr>
        <w:t xml:space="preserve">Il-proporzjon tal-ingranaġġ huwa bbażat fuq kejl kapitali u kejl tal-iskopertura totali, li jistgħu jiġu kkalkolati minn ċelloli minn </w:t>
      </w:r>
      <w:proofErr w:type="spellStart"/>
      <w:r>
        <w:rPr>
          <w:rFonts w:ascii="Times New Roman" w:hAnsi="Times New Roman"/>
          <w:sz w:val="24"/>
        </w:rPr>
        <w:t>LRCalc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14:paraId="25E094A5" w14:textId="09CDBDB2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2.</w:t>
      </w:r>
      <w:r>
        <w:tab/>
      </w:r>
      <w:r>
        <w:rPr>
          <w:rFonts w:ascii="Times New Roman" w:hAnsi="Times New Roman"/>
          <w:sz w:val="24"/>
        </w:rPr>
        <w:t>Proporzjon tal-Ingranaġġ – definizzjoni stabbilita = {LRCalc;0310;0010} / {LRCalc;0290;0010}.</w:t>
      </w:r>
    </w:p>
    <w:p w14:paraId="0177EE20" w14:textId="51F58570" w:rsidR="00B8400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3.</w:t>
      </w:r>
      <w:r>
        <w:tab/>
      </w:r>
      <w:r>
        <w:rPr>
          <w:rFonts w:ascii="Times New Roman" w:hAnsi="Times New Roman"/>
          <w:sz w:val="24"/>
        </w:rPr>
        <w:t>Proporzjon tal-Ingranaġġ – definizzjoni tranżitorja = {LRCalc;0320;0010} / {LRCalc;0300;0010}.</w:t>
      </w:r>
    </w:p>
    <w:p w14:paraId="5857476D" w14:textId="11118B79" w:rsidR="00505096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41" w:name="_Toc359414284"/>
      <w:bookmarkStart w:id="42" w:name="_Toc423089069"/>
      <w:bookmarkStart w:id="43" w:name="_Toc182305157"/>
      <w:bookmarkStart w:id="44" w:name="_Toc322533852"/>
      <w:bookmarkEnd w:id="40"/>
      <w:r>
        <w:rPr>
          <w:rFonts w:ascii="Times New Roman" w:hAnsi="Times New Roman"/>
          <w:b/>
          <w:sz w:val="24"/>
        </w:rPr>
        <w:t>2.</w:t>
      </w:r>
      <w:r>
        <w:tab/>
      </w:r>
      <w:r>
        <w:rPr>
          <w:rFonts w:ascii="Times New Roman" w:hAnsi="Times New Roman"/>
          <w:b/>
          <w:sz w:val="24"/>
        </w:rPr>
        <w:t>Limiti tal-materjalità għad-derivattivi</w:t>
      </w:r>
      <w:bookmarkEnd w:id="41"/>
      <w:bookmarkEnd w:id="42"/>
      <w:bookmarkEnd w:id="43"/>
    </w:p>
    <w:p w14:paraId="677B6944" w14:textId="3E22E31F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4.</w:t>
      </w:r>
      <w:r>
        <w:tab/>
      </w:r>
      <w:r>
        <w:rPr>
          <w:rFonts w:ascii="Times New Roman" w:hAnsi="Times New Roman"/>
          <w:sz w:val="24"/>
        </w:rPr>
        <w:t>Biex jonqos il-piż tar-rapportar għall-istituzzjonijiet bi skoperturi limitati f’derivattivi, il-kejl li ġej jintuża biex tiġi kkalkolata l-importanza relattiva tal-iskoperturi tad-derivattivi għall-iskopertura totali tal-proporzjon tal-ingranaġġ. L-istituzzjonijiet għandhom jikkalkulaw dan il-kejl kif ġej:</w:t>
      </w:r>
      <w:bookmarkStart w:id="45" w:name="_Toc322533853"/>
      <w:bookmarkEnd w:id="44"/>
      <w:r>
        <w:rPr>
          <w:rFonts w:ascii="Times New Roman" w:hAnsi="Times New Roman"/>
          <w:sz w:val="24"/>
        </w:rPr>
        <w:t>:</w:t>
      </w:r>
    </w:p>
    <w:p w14:paraId="1388E099" w14:textId="27C360F9" w:rsidR="00354188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bookmarkStart w:id="46" w:name="_Toc322533854"/>
      <w:bookmarkEnd w:id="45"/>
      <w:r>
        <w:rPr>
          <w:rFonts w:ascii="Times New Roman" w:hAnsi="Times New Roman"/>
          <w:sz w:val="24"/>
        </w:rPr>
        <w:t>5.</w:t>
      </w:r>
      <w:r>
        <w:tab/>
      </w:r>
      <w:r>
        <w:rPr>
          <w:rFonts w:ascii="Times New Roman" w:hAnsi="Times New Roman"/>
          <w:sz w:val="24"/>
        </w:rPr>
        <w:t xml:space="preserve">Sehem tad-derivattivi = </w:t>
      </w:r>
      <m:oMath>
        <m:f>
          <m:fPr>
            <m:ctrlPr>
              <w:rPr>
                <w:rFonts w:ascii="Cambria Math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ejl tal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iskopertura tad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derivattivi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K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ejl tal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iskopertura totali</m:t>
            </m:r>
          </m:den>
        </m:f>
      </m:oMath>
      <w:r>
        <w:rPr>
          <w:rFonts w:ascii="Times New Roman" w:hAnsi="Times New Roman"/>
          <w:sz w:val="24"/>
        </w:rPr>
        <w:t>.</w:t>
      </w:r>
    </w:p>
    <w:p w14:paraId="59FDE449" w14:textId="7D30F780" w:rsidR="00FC2664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6.</w:t>
      </w:r>
      <w:r>
        <w:tab/>
      </w:r>
      <w:r>
        <w:rPr>
          <w:rFonts w:ascii="Times New Roman" w:hAnsi="Times New Roman"/>
          <w:sz w:val="24"/>
        </w:rPr>
        <w:t xml:space="preserve">Fejn </w:t>
      </w:r>
      <w:bookmarkStart w:id="47" w:name="_Hlk182311602"/>
      <w:r>
        <w:rPr>
          <w:rFonts w:ascii="Times New Roman" w:hAnsi="Times New Roman"/>
          <w:sz w:val="24"/>
        </w:rPr>
        <w:t>il-kejl tal-iskopertura tad-derivattivi</w:t>
      </w:r>
      <w:bookmarkEnd w:id="47"/>
      <w:r>
        <w:rPr>
          <w:rFonts w:ascii="Times New Roman" w:hAnsi="Times New Roman"/>
          <w:sz w:val="24"/>
        </w:rPr>
        <w:t xml:space="preserve"> huwa ugwali għal: {LRCalc;0061;0010}+{LRCalc;0065;0010}+{LRCalc;0071;0010}+{LRCalc;0081;0010}+{LRCalc;0091;0010}+{LRCalc;0092;0010}+{LRCalc;0093;0010}+{LRCalc;0101;0010}+{LRCalc;0102;0010}+{LRCalc;0103;0010}+{LRCalc;0104;0010}+{LRCalc;0110;0010}+{LRCalc;0120;0010}+{LRCalc;0130;0010}+{LRCalc;0140;0010}</w:t>
      </w:r>
    </w:p>
    <w:p w14:paraId="7C2BB4E9" w14:textId="1E407FFF" w:rsidR="00EB7F64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7.</w:t>
      </w:r>
      <w:r>
        <w:tab/>
      </w:r>
      <w:r>
        <w:rPr>
          <w:rFonts w:ascii="Times New Roman" w:hAnsi="Times New Roman"/>
          <w:sz w:val="24"/>
        </w:rPr>
        <w:t xml:space="preserve">Fejn </w:t>
      </w:r>
      <w:bookmarkStart w:id="48" w:name="_Hlk182311695"/>
      <w:r>
        <w:rPr>
          <w:rFonts w:ascii="Times New Roman" w:hAnsi="Times New Roman"/>
          <w:sz w:val="24"/>
        </w:rPr>
        <w:t>il-kejl tal-iskopertura totali</w:t>
      </w:r>
      <w:bookmarkEnd w:id="48"/>
      <w:r>
        <w:rPr>
          <w:rFonts w:ascii="Times New Roman" w:hAnsi="Times New Roman"/>
          <w:sz w:val="24"/>
        </w:rPr>
        <w:t xml:space="preserve"> jkun daqs: {LRCalc;0290;0010}.</w:t>
      </w:r>
    </w:p>
    <w:p w14:paraId="236C5046" w14:textId="3D6A3933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8.</w:t>
      </w:r>
      <w:r>
        <w:tab/>
      </w:r>
      <w:r>
        <w:rPr>
          <w:rFonts w:ascii="Times New Roman" w:hAnsi="Times New Roman"/>
          <w:sz w:val="24"/>
        </w:rPr>
        <w:t xml:space="preserve">Ammont nozzjonali totali </w:t>
      </w:r>
      <w:proofErr w:type="spellStart"/>
      <w:r>
        <w:rPr>
          <w:rFonts w:ascii="Times New Roman" w:hAnsi="Times New Roman"/>
          <w:sz w:val="24"/>
        </w:rPr>
        <w:t>riferenzjat</w:t>
      </w:r>
      <w:proofErr w:type="spellEnd"/>
      <w:r>
        <w:rPr>
          <w:rFonts w:ascii="Times New Roman" w:hAnsi="Times New Roman"/>
          <w:sz w:val="24"/>
        </w:rPr>
        <w:t xml:space="preserve"> mid-derivattivi = {LR1; 0010;0070}. L-istituzzjonijiet għandhom jirrapportaw din hija ċellola dejjem.</w:t>
      </w:r>
    </w:p>
    <w:p w14:paraId="5F8B3FC4" w14:textId="32C9016A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9.</w:t>
      </w:r>
      <w:r>
        <w:tab/>
      </w:r>
      <w:r>
        <w:rPr>
          <w:rFonts w:ascii="Times New Roman" w:hAnsi="Times New Roman"/>
          <w:sz w:val="24"/>
        </w:rPr>
        <w:t>Volum ta’ derivattivi ta’ kreditu = {LR1;0020;0070} + {LR1;0050;0070}. Dawn huma ċelloli li l-istituzzjonijiet dejjem għandhom jirrapportaw.</w:t>
      </w:r>
    </w:p>
    <w:p w14:paraId="10930518" w14:textId="07ED25AD" w:rsidR="00F4754B" w:rsidRPr="000B66BC" w:rsidRDefault="006F588E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10.</w:t>
      </w:r>
      <w:r>
        <w:tab/>
      </w:r>
      <w:r>
        <w:rPr>
          <w:rFonts w:ascii="Times New Roman" w:hAnsi="Times New Roman"/>
          <w:sz w:val="24"/>
        </w:rPr>
        <w:t>L-istituzzjonijiet huma meħtieġa jirrapportaw iċ-ċelloli msemmijin fil-paragrafu 13 jekk tintlaħaq xi waħda minn dawn il-kundizzjonijiet:</w:t>
      </w:r>
    </w:p>
    <w:p w14:paraId="2564CD75" w14:textId="1B9B37E1" w:rsidR="00F4754B" w:rsidRPr="000B66BC" w:rsidRDefault="007A001B" w:rsidP="009339D1">
      <w:pPr>
        <w:pStyle w:val="InstructionsText2"/>
        <w:numPr>
          <w:ilvl w:val="0"/>
          <w:numId w:val="39"/>
        </w:numPr>
        <w:rPr>
          <w:rFonts w:eastAsia="Times New Roman"/>
          <w:bCs/>
          <w:sz w:val="24"/>
        </w:rPr>
      </w:pPr>
      <w:r>
        <w:rPr>
          <w:sz w:val="24"/>
        </w:rPr>
        <w:t>is-sehem tad-derivattivi msemmi fil-paragrafu 5 huwa ta’ iktar minn 1.5 %;</w:t>
      </w:r>
    </w:p>
    <w:p w14:paraId="272AC9A9" w14:textId="6954E060" w:rsidR="00675587" w:rsidRPr="000B66BC" w:rsidRDefault="007A001B" w:rsidP="009339D1">
      <w:pPr>
        <w:pStyle w:val="InstructionsText2"/>
        <w:numPr>
          <w:ilvl w:val="0"/>
          <w:numId w:val="39"/>
        </w:numPr>
        <w:rPr>
          <w:rFonts w:eastAsia="Times New Roman"/>
          <w:bCs/>
          <w:sz w:val="24"/>
        </w:rPr>
      </w:pPr>
      <w:r>
        <w:rPr>
          <w:sz w:val="24"/>
        </w:rPr>
        <w:t>is-sehem tad-derivattivi msemmi fil-paragrafu 5 jaqbeż it-2.0 %.</w:t>
      </w:r>
    </w:p>
    <w:p w14:paraId="2F872F2A" w14:textId="7830BBF5" w:rsidR="00242493" w:rsidRPr="000B66BC" w:rsidRDefault="00242493" w:rsidP="009339D1">
      <w:pPr>
        <w:pStyle w:val="InstructionsText2"/>
        <w:numPr>
          <w:ilvl w:val="0"/>
          <w:numId w:val="0"/>
        </w:numPr>
        <w:ind w:left="709" w:firstLine="11"/>
        <w:rPr>
          <w:rFonts w:eastAsia="Times New Roman"/>
          <w:bCs/>
          <w:sz w:val="24"/>
        </w:rPr>
      </w:pPr>
      <w:r>
        <w:rPr>
          <w:sz w:val="24"/>
        </w:rPr>
        <w:t>Il-kriterji għad-dħul u l-ħruġ tal-Artikolu 4 ta’ dan ir-Regolament għandhom japplikaw, ħlief għall-punt (b) fejn l-istituzzjonijiet għandhom jibdew jirrapportaw informazzjoni mid-data ta’ referenza ta’ rapportar li jmiss, meta jkunu qabżu l-limitu f’data ta’ referenza waħda ta’ rapportar.</w:t>
      </w:r>
    </w:p>
    <w:p w14:paraId="70291EC5" w14:textId="77777777" w:rsidR="00F4754B" w:rsidRPr="000B66BC" w:rsidRDefault="00F4754B" w:rsidP="000B66BC">
      <w:pPr>
        <w:pStyle w:val="BodyText1"/>
        <w:spacing w:after="240" w:line="240" w:lineRule="auto"/>
        <w:rPr>
          <w:rFonts w:ascii="Times New Roman" w:hAnsi="Times New Roman"/>
          <w:sz w:val="24"/>
          <w:szCs w:val="24"/>
        </w:rPr>
      </w:pPr>
    </w:p>
    <w:p w14:paraId="748E5477" w14:textId="35CC7961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11.</w:t>
      </w:r>
      <w:r>
        <w:tab/>
      </w:r>
      <w:r>
        <w:rPr>
          <w:rFonts w:ascii="Times New Roman" w:hAnsi="Times New Roman"/>
          <w:sz w:val="24"/>
        </w:rPr>
        <w:t xml:space="preserve">L-istituzzjonijiet li għalihom il-valur nozzjonali totali </w:t>
      </w:r>
      <w:proofErr w:type="spellStart"/>
      <w:r>
        <w:rPr>
          <w:rFonts w:ascii="Times New Roman" w:hAnsi="Times New Roman"/>
          <w:sz w:val="24"/>
        </w:rPr>
        <w:t>referenzjat</w:t>
      </w:r>
      <w:proofErr w:type="spellEnd"/>
      <w:r>
        <w:rPr>
          <w:rFonts w:ascii="Times New Roman" w:hAnsi="Times New Roman"/>
          <w:sz w:val="24"/>
        </w:rPr>
        <w:t xml:space="preserve"> mid-derivattivi kif definit fil-paragrafu 8 jaqbeż l-EUR 10 biljun għandhom jirrapportaw iċ-ċelloli msemmijin fil-paragrafu 13, anke jekk is-sehem tad-derivattivi tagħhom ma jissodisfax il-kundizzjonijiet deskritti fil-paragrafu 10.</w:t>
      </w:r>
    </w:p>
    <w:p w14:paraId="48A7F7A1" w14:textId="709E0327" w:rsidR="00242493" w:rsidRPr="000B66BC" w:rsidRDefault="00242493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</w:rPr>
        <w:t>Il-kriterji tad-dħul tal-Artikolu 4 ta’ dan ir-Regolament ma għandhomx japplikaw. L-istituzzjonijiet għandhom jibdew jirrapportaw informazzjoni mid-data ta’ referenza ta’ rapportar li jmiss meta jkunu qabżu l-limitu f’data ta’ referenza waħda ta’ rapportar.</w:t>
      </w:r>
    </w:p>
    <w:p w14:paraId="49F753AA" w14:textId="0D7F1C4D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12.</w:t>
      </w:r>
      <w:r>
        <w:tab/>
      </w:r>
      <w:r>
        <w:rPr>
          <w:rFonts w:ascii="Times New Roman" w:hAnsi="Times New Roman"/>
          <w:sz w:val="24"/>
        </w:rPr>
        <w:t>L-istituzzjonijiet huma meħtieġa jirrapportaw iċ-ċelloli msemmijin fil-paragrafu 14 jekk tintlaħaq xi waħda minn dawn il-kundizzjonijiet:</w:t>
      </w:r>
    </w:p>
    <w:p w14:paraId="3F12E5B0" w14:textId="61844629" w:rsidR="00F4754B" w:rsidRPr="000B66BC" w:rsidRDefault="007A001B" w:rsidP="009339D1">
      <w:pPr>
        <w:pStyle w:val="InstructionsText2"/>
        <w:numPr>
          <w:ilvl w:val="0"/>
          <w:numId w:val="40"/>
        </w:numPr>
        <w:rPr>
          <w:rFonts w:eastAsia="Times New Roman"/>
          <w:bCs/>
          <w:sz w:val="24"/>
        </w:rPr>
      </w:pPr>
      <w:r>
        <w:rPr>
          <w:sz w:val="24"/>
        </w:rPr>
        <w:t>il-volum tad-derivattivi ta’ kreditu msemmi fil-paragrafu 9 ikun iktar minn EUR 300 miljun;</w:t>
      </w:r>
    </w:p>
    <w:p w14:paraId="53026947" w14:textId="5B38C368" w:rsidR="00675587" w:rsidRPr="000B66BC" w:rsidRDefault="007A001B" w:rsidP="009339D1">
      <w:pPr>
        <w:pStyle w:val="InstructionsText2"/>
        <w:numPr>
          <w:ilvl w:val="0"/>
          <w:numId w:val="40"/>
        </w:numPr>
        <w:rPr>
          <w:rFonts w:eastAsia="Times New Roman"/>
          <w:bCs/>
          <w:sz w:val="24"/>
        </w:rPr>
      </w:pPr>
      <w:r>
        <w:rPr>
          <w:sz w:val="24"/>
        </w:rPr>
        <w:t>il-volum tad-derivattivi ta’ kreditu msemmi fil-paragrafu 9 jaqbeż il-EUR 500 miljun.</w:t>
      </w:r>
    </w:p>
    <w:p w14:paraId="3B88084F" w14:textId="34241752" w:rsidR="00F4754B" w:rsidRPr="000B66BC" w:rsidRDefault="00242493" w:rsidP="000B66BC">
      <w:pPr>
        <w:pStyle w:val="InstructionsText2"/>
        <w:numPr>
          <w:ilvl w:val="0"/>
          <w:numId w:val="0"/>
        </w:numPr>
        <w:ind w:left="709" w:firstLine="11"/>
        <w:rPr>
          <w:sz w:val="24"/>
        </w:rPr>
      </w:pPr>
      <w:r>
        <w:rPr>
          <w:sz w:val="24"/>
        </w:rPr>
        <w:t>Il-kriterji għad-dħul u l-ħruġ tal-Artikolu 4 ta’ dan ir-Regolament għandhom japplikaw, ħlief għall-punt (b) fejn l-istituzzjonijiet għandhom jibdew jirrapportaw mid-data ta’ referenza ta’ rapportar li jmiss meta jkunu qabżu l-limitu f’data ta’ referenza waħda ta’ rapportar.</w:t>
      </w:r>
    </w:p>
    <w:p w14:paraId="6CB3856E" w14:textId="36C7913E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13.</w:t>
      </w:r>
      <w:r>
        <w:tab/>
      </w:r>
      <w:r>
        <w:rPr>
          <w:rFonts w:ascii="Times New Roman" w:hAnsi="Times New Roman"/>
          <w:sz w:val="24"/>
        </w:rPr>
        <w:t>Iċ-ċelloli li huma meħtieġa li jiġu rrapportati mill-istituzzjonijiet skont il-paragrafi 10 u 11 huma dawn li ġejjin: {LR1;0010;0010}, {LR1;0010;0020}, {LR1;0020;0010}, {LR1;0020;0020}, {LR1;0030;0070}, {LR1;0040;0070}, {LR1;0050;0010}, {LR1;0050;0020}, {LR1;0060;0010}, {LR1;0060;0020}, u {LR1;0060;0070}.</w:t>
      </w:r>
    </w:p>
    <w:p w14:paraId="6F47B92E" w14:textId="36B5B5EF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14.</w:t>
      </w:r>
      <w:r>
        <w:tab/>
      </w:r>
      <w:r>
        <w:rPr>
          <w:rFonts w:ascii="Times New Roman" w:hAnsi="Times New Roman"/>
          <w:sz w:val="24"/>
        </w:rPr>
        <w:t>Iċ-ċelloli li huma meħtieġa jiġu rrapportati mill-istituzzjonijiet skont il-paragrafu 12 huma dawn: {LR1;0020;0075}, {LR1;0050;0075} u {LR1;0050;0085}.</w:t>
      </w:r>
    </w:p>
    <w:p w14:paraId="00E6EF91" w14:textId="4226172D" w:rsidR="00217D1F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49" w:name="_Toc351048506"/>
      <w:bookmarkStart w:id="50" w:name="_Toc359414285"/>
      <w:bookmarkStart w:id="51" w:name="_Toc423089070"/>
      <w:bookmarkStart w:id="52" w:name="_Toc182305158"/>
      <w:bookmarkStart w:id="53" w:name="_Toc322687879"/>
      <w:bookmarkStart w:id="54" w:name="_Toc315961853"/>
      <w:bookmarkEnd w:id="46"/>
      <w:r>
        <w:rPr>
          <w:rFonts w:ascii="Times New Roman" w:hAnsi="Times New Roman"/>
          <w:b/>
          <w:sz w:val="24"/>
        </w:rPr>
        <w:t>3.</w:t>
      </w:r>
      <w:r>
        <w:tab/>
      </w:r>
      <w:r>
        <w:rPr>
          <w:rFonts w:ascii="Times New Roman" w:hAnsi="Times New Roman"/>
          <w:b/>
          <w:sz w:val="24"/>
        </w:rPr>
        <w:t>C 47.00 – Kalkolu tal-proporzjon tal-ingranaġġ</w:t>
      </w:r>
      <w:bookmarkEnd w:id="49"/>
      <w:bookmarkEnd w:id="50"/>
      <w:r>
        <w:rPr>
          <w:rFonts w:ascii="Times New Roman" w:hAnsi="Times New Roman"/>
          <w:b/>
          <w:sz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</w:rPr>
        <w:t>LRCalc</w:t>
      </w:r>
      <w:proofErr w:type="spellEnd"/>
      <w:r>
        <w:rPr>
          <w:rFonts w:ascii="Times New Roman" w:hAnsi="Times New Roman"/>
          <w:b/>
          <w:sz w:val="24"/>
        </w:rPr>
        <w:t>)</w:t>
      </w:r>
      <w:bookmarkEnd w:id="51"/>
      <w:bookmarkEnd w:id="52"/>
    </w:p>
    <w:p w14:paraId="5579B71F" w14:textId="78EBED7E" w:rsidR="00AE2798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15.</w:t>
      </w:r>
      <w:r>
        <w:tab/>
      </w:r>
      <w:r>
        <w:rPr>
          <w:rFonts w:ascii="Times New Roman" w:hAnsi="Times New Roman"/>
          <w:sz w:val="24"/>
        </w:rPr>
        <w:t>Din il-formola tiġbor id-</w:t>
      </w:r>
      <w:r>
        <w:rPr>
          <w:rFonts w:ascii="Times New Roman" w:hAnsi="Times New Roman"/>
          <w:i/>
          <w:iCs/>
          <w:sz w:val="24"/>
        </w:rPr>
        <w:t>data</w:t>
      </w:r>
      <w:r>
        <w:rPr>
          <w:rFonts w:ascii="Times New Roman" w:hAnsi="Times New Roman"/>
          <w:sz w:val="24"/>
        </w:rPr>
        <w:t xml:space="preserve"> meħtieġa biex jiġi kkalkolat il-proporzjon tal-ingranaġġ kif definit fil-Parti Sebgħa tar-Regolament (UE) Nru 575/2013. </w:t>
      </w:r>
    </w:p>
    <w:p w14:paraId="0E7DE041" w14:textId="23463C95" w:rsidR="00AE2798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16.</w:t>
      </w:r>
      <w:r>
        <w:tab/>
      </w:r>
      <w:r>
        <w:rPr>
          <w:rFonts w:ascii="Times New Roman" w:hAnsi="Times New Roman"/>
          <w:sz w:val="24"/>
        </w:rPr>
        <w:t>L-istituzzjonijiet għandhom iwettqu r-rapportar tal-proporzjon tal-ingranaġġ fuq bażi trimestrali. F’kull trimestru, il-valur “fid-data ta’ referenza ta’ rapportar” għandu jkun il-valur fl-aħħar jum kalendarju tat-tielet xahar tat-trimestru rispettiv.</w:t>
      </w:r>
    </w:p>
    <w:p w14:paraId="36716E2F" w14:textId="501E6CBB" w:rsidR="00941862" w:rsidRPr="000B66BC" w:rsidRDefault="008B4710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17.</w:t>
      </w:r>
      <w:r>
        <w:tab/>
      </w:r>
      <w:r>
        <w:rPr>
          <w:rFonts w:ascii="Times New Roman" w:hAnsi="Times New Roman"/>
          <w:sz w:val="24"/>
        </w:rPr>
        <w:t>L-istituzzjonijiet għandhom jirrapportaw l-entrati fit-taqsima dwar il-valuri tal-Iskoperturi b’sinjal pożittiv skont il-konvenzjoni tas-sinjali fil-paragrafu 9 tal-Parti I ta’ dan l-Anness (minbarra {LRCalc;0270;0010} u {LRCalc;0280;0010}), daqslikieku l-entrati b’sinjal negattiv (pereżempju eżenzjonijiet/tnaqqis) skont il-konvenzjoni tas-sinjali fil-paragrafu 9 tal-Parti I ta’ dan l-Anness ma kinux japplikaw.</w:t>
      </w:r>
    </w:p>
    <w:p w14:paraId="725F2D82" w14:textId="2BEB62D8" w:rsidR="00720503" w:rsidRPr="000B66BC" w:rsidRDefault="006F588E" w:rsidP="009339D1">
      <w:pPr>
        <w:pStyle w:val="InstructionsText2"/>
        <w:numPr>
          <w:ilvl w:val="0"/>
          <w:numId w:val="0"/>
        </w:numPr>
        <w:ind w:left="720" w:hanging="360"/>
        <w:rPr>
          <w:sz w:val="24"/>
        </w:rPr>
      </w:pPr>
      <w:r>
        <w:rPr>
          <w:sz w:val="24"/>
        </w:rPr>
        <w:t>18.</w:t>
      </w:r>
      <w:r>
        <w:tab/>
      </w:r>
      <w:r>
        <w:rPr>
          <w:sz w:val="24"/>
        </w:rPr>
        <w:t>Kwalunkwe ammont li jżid il-fondi proprji jew l-iskopertura tal-proporzjon tal-ingranaġġ għandu jkun irrapportat bħala ċifra pożittiva. Għall-kuntrarju, kwalunkwe ammont li jnaqqas il-fondi proprji totali jew l-iskopertura tal-proporzjon tal-ingranaġġ għandu jiġi rrapportat bħala ċifra negattiva. Meta jkun hemm sinjal negattiv (-) qabel it-</w:t>
      </w:r>
      <w:r>
        <w:rPr>
          <w:sz w:val="24"/>
        </w:rPr>
        <w:lastRenderedPageBreak/>
        <w:t>tikketta ta’ entrata, ma jkun mistenni li tiġi rrapportata l-ebda ċifra pożittiva għal dik l-entrata.</w:t>
      </w:r>
    </w:p>
    <w:p w14:paraId="69E62B50" w14:textId="0E030492" w:rsidR="00EC3422" w:rsidRPr="000B66BC" w:rsidRDefault="006A4991" w:rsidP="009339D1">
      <w:pPr>
        <w:pStyle w:val="InstructionsText2"/>
        <w:numPr>
          <w:ilvl w:val="0"/>
          <w:numId w:val="0"/>
        </w:numPr>
        <w:ind w:left="720" w:hanging="360"/>
        <w:rPr>
          <w:sz w:val="24"/>
        </w:rPr>
      </w:pPr>
      <w:r>
        <w:rPr>
          <w:sz w:val="24"/>
        </w:rPr>
        <w:t>19. Fejn ammont jista’ jikkwalifika għal tnaqqis għal raġunijiet multipli, l-ammont għandu jitnaqqas biss mill-iskopertura f’waħda mir-ringieli tal-formola C47.00.</w:t>
      </w:r>
    </w:p>
    <w:tbl>
      <w:tblPr>
        <w:tblW w:w="912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24"/>
        <w:gridCol w:w="7566"/>
      </w:tblGrid>
      <w:tr w:rsidR="00AE2798" w:rsidRPr="00E75BB8" w14:paraId="5579CB50" w14:textId="77777777" w:rsidTr="008979D2">
        <w:trPr>
          <w:trHeight w:val="304"/>
        </w:trPr>
        <w:tc>
          <w:tcPr>
            <w:tcW w:w="1555" w:type="dxa"/>
            <w:gridSpan w:val="2"/>
            <w:shd w:val="clear" w:color="auto" w:fill="D9D9D9"/>
          </w:tcPr>
          <w:p w14:paraId="0C50BBA6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6" w:type="dxa"/>
            <w:shd w:val="clear" w:color="auto" w:fill="D9D9D9"/>
          </w:tcPr>
          <w:p w14:paraId="103B7EBD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Referenzi legali u struzzjonijiet</w:t>
            </w:r>
          </w:p>
        </w:tc>
      </w:tr>
      <w:tr w:rsidR="00AE2798" w:rsidRPr="00E75BB8" w14:paraId="699B1E0D" w14:textId="77777777" w:rsidTr="008979D2">
        <w:trPr>
          <w:trHeight w:val="304"/>
        </w:trPr>
        <w:tc>
          <w:tcPr>
            <w:tcW w:w="1555" w:type="dxa"/>
            <w:gridSpan w:val="2"/>
            <w:shd w:val="clear" w:color="auto" w:fill="D9D9D9" w:themeFill="background1" w:themeFillShade="D9"/>
          </w:tcPr>
          <w:p w14:paraId="3C798DCF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 u kolonna</w:t>
            </w:r>
          </w:p>
        </w:tc>
        <w:tc>
          <w:tcPr>
            <w:tcW w:w="7566" w:type="dxa"/>
            <w:shd w:val="clear" w:color="auto" w:fill="D9D9D9" w:themeFill="background1" w:themeFillShade="D9"/>
          </w:tcPr>
          <w:p w14:paraId="1E421E8F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Valuri tal-Iskopertura</w:t>
            </w:r>
          </w:p>
        </w:tc>
      </w:tr>
      <w:tr w:rsidR="00AE2798" w:rsidRPr="00E75BB8" w14:paraId="2DE0B580" w14:textId="77777777" w:rsidTr="008979D2">
        <w:trPr>
          <w:trHeight w:val="304"/>
        </w:trPr>
        <w:tc>
          <w:tcPr>
            <w:tcW w:w="1555" w:type="dxa"/>
            <w:gridSpan w:val="2"/>
            <w:shd w:val="clear" w:color="auto" w:fill="auto"/>
          </w:tcPr>
          <w:p w14:paraId="7EDCCB36" w14:textId="20E5281F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{0010;0010}</w:t>
            </w:r>
          </w:p>
        </w:tc>
        <w:tc>
          <w:tcPr>
            <w:tcW w:w="7566" w:type="dxa"/>
            <w:shd w:val="clear" w:color="auto" w:fill="auto"/>
          </w:tcPr>
          <w:p w14:paraId="776CC56F" w14:textId="3D6EA3A4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: Valur tal-iskopertura </w:t>
            </w:r>
          </w:p>
          <w:p w14:paraId="24BF7807" w14:textId="24D30A04" w:rsidR="00962812" w:rsidRPr="000B66BC" w:rsidRDefault="0096281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(b) tal-paragrafu (1) u l-paragrafi (4) u (5) tal-Artikolu 429b tar-Regolament (UE) Nru 575/2013</w:t>
            </w:r>
          </w:p>
          <w:p w14:paraId="4DADBAA1" w14:textId="4F33FF0A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L-iskopertura għall-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hija kkalkolata skont il-punt (b) tal-paragrafu (1) u l-paragrafi (4) u (5) tal-Artikolu 429b tar-Regolament (UE) Nru 575/2013</w:t>
            </w:r>
          </w:p>
          <w:p w14:paraId="7B519931" w14:textId="18CBF655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iqisu f’din iċ-ċellola tranżazzjonijiet skont il-punt (c) tal-Artikolu 429e(7) tar-Regolament (UE) Nru 575/2013.</w:t>
            </w:r>
          </w:p>
          <w:p w14:paraId="2DB53AA1" w14:textId="46DA276A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F’din iċ-ċellola, l-istituzzjonijiet ma għandhomx jinkludu flus riċevuti jew xi titolu li huwa pprovdut lil xi kontroparti permezz tat-tranżazzjonijiet imsemmijin iktar ’il fuq u li jinżamm fil-karta tal-bilanċ (jiġifieri ma jintlaħqux il-kriterji tal-kontabbiltà għad-dekontabilizzar). Minflok, l-istituzzjonijiet għandhom jinkludu dawk l-entrati f’{0190;0010}.</w:t>
            </w:r>
          </w:p>
          <w:p w14:paraId="3B9A69FC" w14:textId="63B5CA3B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ma għandhomx jinkludu f’din iċ-ċellola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aġenti fejn l-istituzzjoni tipprovdi indennizz jew garanzija lil xi klijent jew kontroparti limitata għal kwalunkwe differenza bejn il-valur tat-titolu jew flus li l-klijent ikun silef u l-valur tal-kollateral li l-mutwatarju jkun ipprovda skont il-punt (a) tal-Artikolu 429e(7) tar-Regolament (UE) Nru 575/2013.</w:t>
            </w:r>
          </w:p>
        </w:tc>
      </w:tr>
      <w:tr w:rsidR="00AE2798" w:rsidRPr="00E75BB8" w14:paraId="76B5A234" w14:textId="77777777" w:rsidTr="008979D2">
        <w:trPr>
          <w:trHeight w:val="304"/>
        </w:trPr>
        <w:tc>
          <w:tcPr>
            <w:tcW w:w="1555" w:type="dxa"/>
            <w:gridSpan w:val="2"/>
          </w:tcPr>
          <w:p w14:paraId="209FB7E2" w14:textId="457D251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{0020;0010}</w:t>
            </w:r>
          </w:p>
        </w:tc>
        <w:tc>
          <w:tcPr>
            <w:tcW w:w="7566" w:type="dxa"/>
          </w:tcPr>
          <w:p w14:paraId="2A5E1E69" w14:textId="77777777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: Supplimentazzjoni għar-riskju ta’ kreditu tal-kontroparti</w:t>
            </w:r>
          </w:p>
          <w:p w14:paraId="54D8230E" w14:textId="501C31D8" w:rsidR="00AE2798" w:rsidRPr="005A5E25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429e(1) tar-Regolament (UE) Nru 575/2013</w:t>
            </w:r>
          </w:p>
          <w:p w14:paraId="74373937" w14:textId="64B10156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-supplimentazzjoni għal riskju ta’ kreditu tal-kontroparti għal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>, inkluż dawk li ma jidhrux fil-karta tal-bilanċ, determinati skont il-paragrafu (2) jew (3) u l-paragrafu (4) tal-Artikolu 429e tar-Regolament (UE) Nru 575/2013, kif applikabbli.</w:t>
            </w:r>
          </w:p>
          <w:p w14:paraId="22B58EAB" w14:textId="758D2039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jikkunsidraw f’din iċ-ċellola tranżazzjonijiet f’konformità mal-punt (c) tal-Artikolu 429e(7) tar-Regolament (UE) Nru 575/2013.</w:t>
            </w:r>
          </w:p>
          <w:p w14:paraId="68CF607E" w14:textId="421A1EB2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ma għandhomx jinkludu f’din iċ-ċellola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aġenti fejn l-istituzzjoni tipprovdi indennizz jew garanzija lil xi klijent jew kontroparti limitata għal kwalunkwe differenza bejn il-valur tat-titolu jew flus li l-klijent </w:t>
            </w:r>
            <w:r>
              <w:rPr>
                <w:rFonts w:ascii="Times New Roman" w:hAnsi="Times New Roman"/>
                <w:sz w:val="24"/>
              </w:rPr>
              <w:lastRenderedPageBreak/>
              <w:t>ikun silef u l-valur tal-kollateral li l-mutwatarju jkun ipprovda skont il-punt (a) tal-Artikolu 429e(7) tar-Regolament (UE) Nru 575/2013. Minflok, l-istituzzjonijiet għandhom jinkludu dawk l-entrati f’{0040;0010}.</w:t>
            </w:r>
          </w:p>
        </w:tc>
      </w:tr>
      <w:tr w:rsidR="00AE2798" w:rsidRPr="00E75BB8" w14:paraId="0276DE00" w14:textId="77777777" w:rsidTr="008979D2">
        <w:trPr>
          <w:trHeight w:val="304"/>
        </w:trPr>
        <w:tc>
          <w:tcPr>
            <w:tcW w:w="1555" w:type="dxa"/>
            <w:gridSpan w:val="2"/>
          </w:tcPr>
          <w:p w14:paraId="311C9C54" w14:textId="6BFA55DF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{0030;0010}</w:t>
            </w:r>
          </w:p>
          <w:p w14:paraId="31A60AAC" w14:textId="77777777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</w:tcPr>
          <w:p w14:paraId="49F43F40" w14:textId="6B3311A4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Deroga għall-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: Supplimentazzjoni skont l-Artikoli 429e(5) u 222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-CRR</w:t>
            </w:r>
          </w:p>
          <w:p w14:paraId="2D39F187" w14:textId="7F187365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429e(5) u 222 tar-Regolament (UE) Nru 575/2013</w:t>
            </w:r>
          </w:p>
          <w:p w14:paraId="738B5B54" w14:textId="680FD6A3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għal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inkluż dawk li ma jidhrux fil-karta tal-bilanċ ikkalkolati skont l-Artikolu 222 tar-Regolament (UE) 575/2013, soġġetti għal minimu ta’ 20 % għall-ponderazzjoni tar-riskju applikabbli. </w:t>
            </w:r>
          </w:p>
          <w:p w14:paraId="3D5D2C18" w14:textId="42AA0940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iqisu f’din iċ-ċellola tranżazzjonijiet skont il-punt (c) tal-Artikolu 429e(7) tar-Regolament (UE) Nru 575/2013.</w:t>
            </w:r>
          </w:p>
          <w:p w14:paraId="29AD8FEA" w14:textId="1031B485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ma għandhomx iqisu f’din iċ-ċellola tranżazzjonijiet li għalihom il-parti supplimentari tal-iskopertura tal-proporzjon tal-ingranaġġ hija determinata skont il-metodu msemmi fl-Artikolu 429e(1) tar-Regolament (UE) Nru 575/2013.</w:t>
            </w:r>
          </w:p>
        </w:tc>
      </w:tr>
      <w:tr w:rsidR="00AE2798" w:rsidRPr="00E75BB8" w14:paraId="5E04553E" w14:textId="77777777" w:rsidTr="008979D2">
        <w:trPr>
          <w:trHeight w:val="304"/>
        </w:trPr>
        <w:tc>
          <w:tcPr>
            <w:tcW w:w="1555" w:type="dxa"/>
            <w:gridSpan w:val="2"/>
          </w:tcPr>
          <w:p w14:paraId="252F5F3F" w14:textId="40B73EF4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{0040;0010}</w:t>
            </w:r>
          </w:p>
        </w:tc>
        <w:tc>
          <w:tcPr>
            <w:tcW w:w="7566" w:type="dxa"/>
          </w:tcPr>
          <w:p w14:paraId="2565C50A" w14:textId="2E53ED69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Riskju ta’ kreditu tal-kontroparti ta’ tranżazzjonijiet tal-aġenti SFT </w:t>
            </w:r>
          </w:p>
          <w:p w14:paraId="475F166E" w14:textId="5DE704BE" w:rsidR="00E1045E" w:rsidRPr="000B66BC" w:rsidRDefault="00E1045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 (a ) tal-paragrafu (7) u l-paragrafi (2) u (3) tal-Artikolu 429e tar-Regolament (UE) Nru 575/2013</w:t>
            </w:r>
          </w:p>
          <w:p w14:paraId="1619B100" w14:textId="611A2DCA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għall-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bl-aġent li fihom l-istituzzjoni tipprovdi indennizz jew garanzija lil klijent jew kontroparti limitat għal kull differenza bejn il-valur tat-titolu jew tal-flus li l-klijent ikun silef u l-valur tal-kollateral li l-mutwatarju jkun ipprovda f’konformità mal-punt (a) tal-Artikolu 429e(7) tar-Regolament (UE) Nru 575/2013, jikkonsisti biss fis-supplimentazzjoni ddeterminata f’konformità mal-paragrafu (2) jew (3) tal-Artikolu 429e tar-Regolament (UE) Nru 575/2013, kif applikabbli.</w:t>
            </w:r>
          </w:p>
          <w:p w14:paraId="138E8801" w14:textId="61A2D011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ma għandhomx jinkludu f’din iċ-ċellola tranżazzjonijiet skont il-punt (c) tal-Artikolu 429e(7). Minflok, l-istituzzjonijiet għandhom jinkludu dawn l-entrati f’{0010;0010} u {0020;0010} jew {0010;0010} u {0030;0010}, kif applikabbli.</w:t>
            </w:r>
          </w:p>
        </w:tc>
      </w:tr>
      <w:tr w:rsidR="00AE2798" w:rsidRPr="00E75BB8" w14:paraId="730C9B47" w14:textId="77777777" w:rsidTr="008979D2">
        <w:trPr>
          <w:trHeight w:val="304"/>
        </w:trPr>
        <w:tc>
          <w:tcPr>
            <w:tcW w:w="1555" w:type="dxa"/>
            <w:gridSpan w:val="2"/>
          </w:tcPr>
          <w:p w14:paraId="67472548" w14:textId="3E8951DA" w:rsidR="00AE2798" w:rsidRPr="000B66BC" w:rsidRDefault="00AE27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{0050;0010}</w:t>
            </w:r>
          </w:p>
        </w:tc>
        <w:tc>
          <w:tcPr>
            <w:tcW w:w="7566" w:type="dxa"/>
          </w:tcPr>
          <w:p w14:paraId="2F6E1B5E" w14:textId="77777777" w:rsidR="00AE2798" w:rsidRPr="000B66BC" w:rsidRDefault="005556D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Komponent eżentat ta’ CCP tal-iskoperturi SFT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ikklirjati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għall-klijent</w:t>
            </w:r>
          </w:p>
          <w:p w14:paraId="1B6574CC" w14:textId="445B8DBB" w:rsidR="00AE2798" w:rsidRPr="000B66BC" w:rsidRDefault="00E1045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(g) tal-Artikolu 429a(1) u l-punt (c) tal-Artikolu 306(1) tar-Regolament (UE) Nru 575/2013</w:t>
            </w:r>
          </w:p>
          <w:p w14:paraId="5E6D8E3F" w14:textId="07590645" w:rsidR="00AE2798" w:rsidRPr="000B66BC" w:rsidRDefault="00AE279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Il-komponent eżentat </w:t>
            </w:r>
            <w:proofErr w:type="spellStart"/>
            <w:r>
              <w:rPr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-CCP ta’ skoperturi ta’ negozju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għall-klijent ta’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>, diment li dawk l-entrati jissodisfaw il-kundizzjonijiet stabbiliti fil-punt (c) tal-Artikolu 306(1) tar-Regolament (UE) Nru 575/2013.</w:t>
            </w:r>
          </w:p>
          <w:p w14:paraId="39011247" w14:textId="7D52358B" w:rsidR="004052F0" w:rsidRPr="000B66BC" w:rsidRDefault="004052F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l-komponent eżentat </w:t>
            </w:r>
            <w:proofErr w:type="spellStart"/>
            <w:r>
              <w:rPr>
                <w:rFonts w:ascii="Times New Roman" w:hAnsi="Times New Roman"/>
                <w:sz w:val="24"/>
              </w:rPr>
              <w:t>għas</w:t>
            </w:r>
            <w:proofErr w:type="spellEnd"/>
            <w:r>
              <w:rPr>
                <w:rFonts w:ascii="Times New Roman" w:hAnsi="Times New Roman"/>
                <w:sz w:val="24"/>
              </w:rPr>
              <w:t>-CCP ikun titolu, dan ma għandux jiġi rrapportat f’din iċ-ċellola sakemm ma jkunx titolu mirhun mill-ġdid li fil-</w:t>
            </w:r>
            <w:r>
              <w:rPr>
                <w:rFonts w:ascii="Times New Roman" w:hAnsi="Times New Roman"/>
                <w:sz w:val="24"/>
              </w:rPr>
              <w:lastRenderedPageBreak/>
              <w:t>qafas kontabilistiku applikabbli (jiġifieri skont l-ewwel sentenza tal-Artikolu 111(1) tar-Regolament (UE) Nru 575/2013) ikun inkluż bil-valur sħiħ.</w:t>
            </w:r>
          </w:p>
          <w:p w14:paraId="0885E19A" w14:textId="55DD0357" w:rsidR="00AF6C6D" w:rsidRPr="000B66BC" w:rsidRDefault="005A1D6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wkoll l-ammont irrapportat f’din iċ-ċellola f’{0010;0010}, {0020;0010} u {0030;0010}, daqslikieku ma tapplika l-ebda eżenzjoni, u, jekk ikun titolu mirhun mill-ġdid li skont il-qafas kontabilistiku applikabbli jkun inkluż bil-valur sħiħ, addizzjonalment f’{0190;0010}.</w:t>
            </w:r>
          </w:p>
          <w:p w14:paraId="2D82192D" w14:textId="03F34C36" w:rsidR="00AE2798" w:rsidRPr="000B66BC" w:rsidRDefault="00AF6C6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jkun hemm marġni inizjali mdaħħal mill-istituzzjoni għal komponent eżentat ta’ SFT li jkun irrapportat f’{0190;0010} u mhux irrapportat f’{0020;0010} jew {0030;0010}, l-istituzzjoni tista’ </w:t>
            </w:r>
            <w:proofErr w:type="spellStart"/>
            <w:r>
              <w:rPr>
                <w:rFonts w:ascii="Times New Roman" w:hAnsi="Times New Roman"/>
                <w:sz w:val="24"/>
              </w:rPr>
              <w:t>tirrapportah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f’din iċ-ċellola.</w:t>
            </w:r>
          </w:p>
        </w:tc>
      </w:tr>
      <w:tr w:rsidR="00AA0445" w:rsidRPr="00E75BB8" w14:paraId="22358CE2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45ADDB05" w14:textId="0401F47D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{0061;0010}</w:t>
            </w:r>
          </w:p>
          <w:p w14:paraId="39B81BC5" w14:textId="77777777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0E1CF2" w14:textId="77777777" w:rsidR="00AA0445" w:rsidRPr="000B66BC" w:rsidRDefault="00AA044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23795B97" w14:textId="5A0D0C24" w:rsidR="00AE3377" w:rsidRPr="000B66BC" w:rsidRDefault="00AE337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Derivattivi: kontribuzzjoni għall-kostijiet ta’ sostituzzjoni taħt l-SA-CCR (mingħajr l-effett ta’ kollateral fuq l-NICA) </w:t>
            </w:r>
          </w:p>
          <w:p w14:paraId="303004A2" w14:textId="377F9233" w:rsidR="00AA0445" w:rsidRPr="00D51F9E" w:rsidRDefault="00AA04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429c(1) tar-Regolament (UE) Nru 575/2013</w:t>
            </w:r>
          </w:p>
          <w:p w14:paraId="3B8148BD" w14:textId="4F445033" w:rsidR="000864F6" w:rsidRPr="000B66BC" w:rsidRDefault="004E204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Il-Kost tas-sostituzzjoni skont l-Artikolu 275 tar-Regolament (UE) Nru 575/2013 mingħajr l-effett tal-kollateral fuq l-NICA, u mingħajr l-effett ta’ kwalunkwe marġni ta’ varjazzjoni. L-istituzzjonijiet ma għandhomx japplikaw id-derogi tal-paragrafi (3) u (4) tal-Artikolu 429c u l-punt (g) tal-Artikolu 429a(1) tar-Regolament (UE) Nru 575/2013 għall-finijiet ta’ din iċ-ċellola. L-ammont għandu jiġi rrapportat bil-fattur alfa 1.4 applikat kif speċifikat fl-Artikolu 274(2) tar-Regolament (UE) Nru 575/2013.</w:t>
            </w:r>
          </w:p>
          <w:p w14:paraId="69D03BFF" w14:textId="7C94597B" w:rsidR="000864F6" w:rsidRDefault="000864F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Kif determinat mill-Artikolu 429c(1) tar-Regolament (UE) Nru 575/2013, l-istituzzjonijiet jistgħu jqisu wkoll l-effetti tal-kuntratti għal novazzjoni u ftehimiet oħrajn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skont l-Artikolu 295 tar-Regolament (UE) Nru 575/2013. In-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prodotti differenti ma għandux japplika. Madankollu, l-istituzzjonijiet jistgħu </w:t>
            </w:r>
            <w:proofErr w:type="spellStart"/>
            <w:r>
              <w:rPr>
                <w:rFonts w:ascii="Times New Roman" w:hAnsi="Times New Roman"/>
                <w:sz w:val="24"/>
              </w:rPr>
              <w:t>jinnettjaw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fi ħdan il-kategorija ta’ prodott imsemmija fil-punt (25)(c) tal-Artikolu 272 tar-Regolament (UE) Nru 575/2013 u d-derivattivi tal-kreditu meta jkunu soġġetti għal ftehim kuntrattwali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il-prodotti msemmi fl-Artikolu 295(c) tar-Regolament (UE) Nru 575/2013.</w:t>
            </w:r>
          </w:p>
          <w:p w14:paraId="68582320" w14:textId="76F97D55" w:rsidR="00AA0445" w:rsidRPr="000B66BC" w:rsidRDefault="000864F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d-derivattivi ta’ kreditu kollha, mhux biss dawk fil-portafoll tan-negozjar.</w:t>
            </w:r>
          </w:p>
          <w:p w14:paraId="2DFB7147" w14:textId="5C4A2661" w:rsidR="00AA0445" w:rsidRPr="000B66BC" w:rsidRDefault="008C45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ma għandhomx jikkunsidraw f’din iċ-ċellola l-kuntratti mkejla bl-applikazzjoni tal-approċċ standardizzat simplifikat jew il-metodu tal-iskopertura oriġinali.</w:t>
            </w:r>
          </w:p>
        </w:tc>
      </w:tr>
      <w:tr w:rsidR="00AA0445" w:rsidRPr="00E75BB8" w14:paraId="6839640F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7B6A76A4" w14:textId="48C3F797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{0065;0010}</w:t>
            </w:r>
          </w:p>
          <w:p w14:paraId="3E5668CA" w14:textId="77777777" w:rsidR="00AE3377" w:rsidRPr="000B66BC" w:rsidRDefault="00AE337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FEE6ED" w14:textId="77777777" w:rsidR="00AA0445" w:rsidRPr="000B66BC" w:rsidRDefault="00AA044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34EDC7E6" w14:textId="3E0D75A1" w:rsidR="00AE3377" w:rsidRPr="000B66BC" w:rsidRDefault="00AE337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(-) L-effett tar-rikonoxximent tal-kollateral fuq l-NICA fuq tranżazzjonijiet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ikklirjati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għall-klijent tal-QCCP (SA-CCR - kost tas-sostituzzjoni)</w:t>
            </w:r>
          </w:p>
          <w:p w14:paraId="4393A5C2" w14:textId="59905614" w:rsidR="00AA0445" w:rsidRPr="000B66BC" w:rsidRDefault="00AA04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Artikolu 429c(4) tar-Regolament (UE) Nru 575/2013 u l-Artikoli 429c(4a)</w:t>
            </w:r>
          </w:p>
          <w:p w14:paraId="5BDFEC31" w14:textId="28614318" w:rsidR="00AA0445" w:rsidRPr="000B66BC" w:rsidRDefault="00143A3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L-applikazzjoni tad-deroga ta’ 429c(4) tar-Regolament (UE) Nru 575/2013 flimkien mal-Artikolu 429c(4a) dwar il-kalkolu tal-kost tas-sostituzzjoni għal kuntratti tad-derivattivi ma’ klijenti meta dawk il-kuntratti jiġu kklerjati minn QCCP. L-ammont għandu jiġi rrapportat bil-fattur alfa 1.4 applikat kif speċifikat fl-Artikolu 274(2) tar-Regolament (UE) Nru 575/2013.</w:t>
            </w:r>
          </w:p>
          <w:p w14:paraId="71B5D857" w14:textId="15F17BCC" w:rsidR="00860608" w:rsidRPr="000B66BC" w:rsidRDefault="00C622B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l-ammont irrapportat f’din iċ-ċellola anke f’{0061;0010} daqslikieku ma tapplika l-ebda deroga.</w:t>
            </w:r>
          </w:p>
        </w:tc>
      </w:tr>
      <w:tr w:rsidR="00B451A5" w:rsidRPr="00E75BB8" w14:paraId="708471F4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5902" w14:textId="77777777" w:rsidR="00B451A5" w:rsidRPr="000B66BC" w:rsidRDefault="00B451A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{0071;0010}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DD9" w14:textId="77777777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L-effett tal-marġni ta’ varjazzjoni ta’ flus eliġibbli riċevut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paċut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kontra l-valur tas-suq tad-derivattivi (SA-CCR - kost tas-sostituzzjoni)</w:t>
            </w:r>
          </w:p>
          <w:p w14:paraId="1A368C0C" w14:textId="3657AB83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429c(3) tar-Regolament (UE) Nru 575/2013</w:t>
            </w:r>
          </w:p>
          <w:p w14:paraId="04F99B6B" w14:textId="4F870A7A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Marġni ta’ varjazzjoni riċevut fi flus mingħand il-kontroparti eliġibbli biex ipaċi kontra s-sehem tal-kost tas-sostituzzjoni tal-iskopertura tad-derivattivi skont l-Artikolu 429c(3) tar-Regolament (UE) Nru 575/2013. L-ammont għandu jiġi rrapportat bil-fattur alfa 1.4 applikat kif speċifikat fl-Artikolu 274(2) tar-Regolament (UE) Nru 575/2013.</w:t>
            </w:r>
          </w:p>
          <w:p w14:paraId="0D6BE08A" w14:textId="0AA9C4EA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Kwalunkwe marġni ta’ varjazzjoni fi flus riċevut fuq komponent eżentat għal CCP skont il-punt (g) tal-Artikolu 429a(1) tar-Regolament (UE) 575/2013 ma għandux ikun irrapportat.</w:t>
            </w:r>
          </w:p>
          <w:p w14:paraId="3C49A67A" w14:textId="21788571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l-ammont irrapportat f’din iċ-ċellola anke f’{0061;0010} daqslikieku ma japplika l-ebda tnaqqis tal-marġni ta’ varjazzjoni fi flus.</w:t>
            </w:r>
          </w:p>
        </w:tc>
      </w:tr>
      <w:tr w:rsidR="00B451A5" w:rsidRPr="00E75BB8" w14:paraId="2A6BC469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B0D5" w14:textId="77777777" w:rsidR="00B451A5" w:rsidRPr="000B66BC" w:rsidDel="002D1CE8" w:rsidRDefault="00B451A5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{0081;0010}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B90B" w14:textId="77777777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L-effett tal-komponent eżentat għal CCP ta’ skoperturi ta’ negozju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għall-klijent (SA-CCR -kost tas-sostituzzjoni)</w:t>
            </w:r>
          </w:p>
          <w:p w14:paraId="4B3A4644" w14:textId="2DF3E946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(g) tal-Artikolu 429a(1) tar-Regolament (UE) Nru 575/2013</w:t>
            </w:r>
          </w:p>
          <w:p w14:paraId="2F8AB13D" w14:textId="7971537D" w:rsidR="00B451A5" w:rsidRPr="000B66BC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Is-sehem tal-kost tas-sostituzzjoni ta’ skoperturi ta’ negozju eżentati għal QCCP minn tranżazzjonijiet derivattivi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għall-klijent, diment li dawk l-entrati jissodisfaw il-kundizzjonijiet stabbiliti fil-punt (c) tal-Artikolu 306(1) tar-Regolament (UE) Nru 575/2013. Dan l-ammont għandu jkun irrapportat gross bil-marġni ta’ varjazzjoni tal-flus riċevuti f’dan il-komponent. L-ammont għandu jiġi rrapportat bil-fattur alfa 1.4 applikat kif speċifikat fl-Artikolu 274(2) tar-Regolament (UE) Nru 575/2013</w:t>
            </w:r>
          </w:p>
          <w:p w14:paraId="3D70C614" w14:textId="27A413D3" w:rsidR="00B451A5" w:rsidRPr="000B66BC" w:rsidDel="002D1CE8" w:rsidRDefault="00B451A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l-ammont irrapportat f’din iċ-ċellola anke f’{0061;0010} daqslikieku ma tapplika l-ebda eżenzjoni.</w:t>
            </w:r>
          </w:p>
        </w:tc>
      </w:tr>
      <w:tr w:rsidR="00BE4B9E" w:rsidRPr="00E75BB8" w14:paraId="21C5C5EE" w14:textId="77777777" w:rsidTr="008979D2">
        <w:trPr>
          <w:trHeight w:val="304"/>
        </w:trPr>
        <w:tc>
          <w:tcPr>
            <w:tcW w:w="1555" w:type="dxa"/>
            <w:gridSpan w:val="2"/>
          </w:tcPr>
          <w:p w14:paraId="12F2B1DD" w14:textId="54C860E8" w:rsidR="00BE4B9E" w:rsidRPr="000B66BC" w:rsidRDefault="00BE4B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{0091;0010}</w:t>
            </w:r>
          </w:p>
        </w:tc>
        <w:tc>
          <w:tcPr>
            <w:tcW w:w="7566" w:type="dxa"/>
          </w:tcPr>
          <w:p w14:paraId="039E3624" w14:textId="77777777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Derivattivi: Kontribuzzjoni tal-iskopertura futura potenzjali skont l-SA-CCR (multiplikatur f’1) </w:t>
            </w:r>
          </w:p>
          <w:p w14:paraId="11FEB8DF" w14:textId="0B9CCE03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429c(5) tar-Regolament (UE) Nru 575/2013</w:t>
            </w:r>
          </w:p>
          <w:p w14:paraId="77480A73" w14:textId="71E40CF3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Skopertura futura potenzjali skont l-Artikolu 278 tar-Regolament (UE) Nru 575/2013 bis-suppożizzjoni ta’ multiplikatur ta’ 1, jiġifieri mingħajr l-applikazzjoni tad-deroga fir-rigward ta’ kuntratti ma’ klijenti meta dawk il-kuntratti jiġu kklerjati minn QCCP ta’ 429c(5) ir-Regolament (UE) Nru 575/2013. L-ammont għandu jiġi rrapportat bil-fattur alfa 1.4 applikat kif speċifikat fl-Artikolu 274(2) tar-Regolament (UE) Nru 575/2013.</w:t>
            </w:r>
          </w:p>
        </w:tc>
      </w:tr>
      <w:tr w:rsidR="00BE4B9E" w:rsidRPr="00E75BB8" w14:paraId="1F0CF2B9" w14:textId="77777777" w:rsidTr="008979D2">
        <w:trPr>
          <w:trHeight w:val="304"/>
        </w:trPr>
        <w:tc>
          <w:tcPr>
            <w:tcW w:w="1555" w:type="dxa"/>
            <w:gridSpan w:val="2"/>
          </w:tcPr>
          <w:p w14:paraId="3B470185" w14:textId="419934C4" w:rsidR="00BE4B9E" w:rsidRPr="000B66BC" w:rsidRDefault="00BE4B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{0092;0010}</w:t>
            </w:r>
          </w:p>
        </w:tc>
        <w:tc>
          <w:tcPr>
            <w:tcW w:w="7566" w:type="dxa"/>
          </w:tcPr>
          <w:p w14:paraId="2E121ECA" w14:textId="77777777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L-effett tal-multiplikatur iktar baxx għal tranżazzjonijiet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ikklirjati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għall-klijent tal-QCCP fuq il-kontribuzzjoni PFE (SA-CCR - Skopertura futura potenzjali)</w:t>
            </w:r>
          </w:p>
          <w:p w14:paraId="51309425" w14:textId="54D1B8FE" w:rsidR="00BE4B9E" w:rsidRPr="000B66BC" w:rsidRDefault="00BE4B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429c(5) tar-Regolament (UE) Nru 575/2013</w:t>
            </w:r>
          </w:p>
          <w:p w14:paraId="36AD83FD" w14:textId="2FF4947E" w:rsidR="00BE4B9E" w:rsidRPr="000B66BC" w:rsidRDefault="0033453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L-applikazzjoni tad-deroga tal-Artikolu 429c(5) ir-Regolament (UE) Nru 575/2013 dwar il-kalkolu tal-PFE għal kuntratti tad-derivattivi ma’ klijenti meta dawk il-kuntratti jiġu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minn QCCP. L-ammont għandu jiġi rrapportat bil-fattur alfa 1.4 applikat kif speċifikat fl-Artikolu 274(2) tar-Regolament (UE) Nru 575/2013.</w:t>
            </w:r>
          </w:p>
          <w:p w14:paraId="69C754CC" w14:textId="4C627CA1" w:rsidR="00334535" w:rsidRPr="000B66BC" w:rsidRDefault="00C622B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l-ammont irrapportat f’din iċ-ċellola anke f’{0091;0010} daqslikieku ma tapplika l-ebda deroga.</w:t>
            </w:r>
          </w:p>
        </w:tc>
      </w:tr>
      <w:tr w:rsidR="00721D6C" w:rsidRPr="00E75BB8" w14:paraId="337DFBE3" w14:textId="77777777" w:rsidTr="008979D2">
        <w:trPr>
          <w:trHeight w:val="304"/>
        </w:trPr>
        <w:tc>
          <w:tcPr>
            <w:tcW w:w="1555" w:type="dxa"/>
            <w:gridSpan w:val="2"/>
          </w:tcPr>
          <w:p w14:paraId="4EC86A2A" w14:textId="23F426EB" w:rsidR="00721D6C" w:rsidRPr="000B66BC" w:rsidRDefault="00721D6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{0093;0010}</w:t>
            </w:r>
          </w:p>
        </w:tc>
        <w:tc>
          <w:tcPr>
            <w:tcW w:w="7566" w:type="dxa"/>
          </w:tcPr>
          <w:p w14:paraId="799DA79E" w14:textId="77777777" w:rsidR="00721D6C" w:rsidRPr="000B66BC" w:rsidRDefault="00721D6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L-effett tal-komponent eżentat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-CCP ta’ skoperturi ta’ negozju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għall-klijent (approċċ SA-CCR-skopertura futura potenzjali)</w:t>
            </w:r>
          </w:p>
          <w:p w14:paraId="638E19CF" w14:textId="54F17918" w:rsidR="00721D6C" w:rsidRPr="000B66BC" w:rsidRDefault="002F3BA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(g) tal-Artikolu 429a(1) tar-Regolament (UE) Nru 575/2013</w:t>
            </w:r>
          </w:p>
          <w:p w14:paraId="3C911695" w14:textId="5D4C77C5" w:rsidR="00721D6C" w:rsidRPr="000B66BC" w:rsidRDefault="00721D6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L-iskopertura futura potenzjali ta’ skoperturi ta’ negozju eżentati għal QCCP minn tranżazzjonijiet derivattivi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għall-klijent, diment li dawn l-entrati jissodisfaw il-kundizzjonijiet stabbiliti fil-punt (c) tal-Artikolu 306(1) ir-Regolament (UE) Nru 575/2013. L-ammont għandu jiġi rrapportat bil-fattur alfa 1.4 applikat kif speċifikat fl-Artikolu 274(2) tar-Regolament (UE) Nru 575/2013.</w:t>
            </w:r>
          </w:p>
          <w:p w14:paraId="5DC396D3" w14:textId="79540906" w:rsidR="00721D6C" w:rsidRPr="000B66BC" w:rsidRDefault="00721D6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l-ammont irrapportat f’din iċ-ċellola anke f’{0091;0010} daqslikieku ma tapplika l-ebda eżenzjoni.</w:t>
            </w:r>
          </w:p>
        </w:tc>
      </w:tr>
      <w:tr w:rsidR="001D7778" w:rsidRPr="00E75BB8" w14:paraId="7D779BBC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2254" w14:textId="77777777" w:rsidR="001D7778" w:rsidRPr="000B66BC" w:rsidRDefault="001D777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{0101;0010}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E3AE" w14:textId="77777777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Deroga għad-derivattivi: kontribuzzjoni tal-kostijiet ta’ sostituzzjoni skont l-approċċ standardizzat simplifikat </w:t>
            </w:r>
          </w:p>
          <w:p w14:paraId="729E4C3C" w14:textId="599BA87E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L-Artikoli 429c(6) u 281 tar-Regolament (UE) Nru 575/2013</w:t>
            </w:r>
          </w:p>
          <w:p w14:paraId="4582CAFD" w14:textId="1D9769B3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Din iċ-ċellola tipprovdi l-kejl tal-iskopertura tal-kuntratti elenkati fil-punti 1 u 2 tal-Anness II tar-Regolament (UE) Nru 575/2013 ikkalkulat f’konformità </w:t>
            </w:r>
            <w:proofErr w:type="spellStart"/>
            <w:r>
              <w:rPr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Fonts w:ascii="Times New Roman" w:hAnsi="Times New Roman"/>
                <w:sz w:val="24"/>
              </w:rPr>
              <w:t>-approċċ standardizzat simplifikat stabbilit fl-Artikolu 281 tar-Regolament (UE) Nru 575/2013. L-ammont għandu jiġi rrapportat bil-fattur alfa 1.4 applikat kif speċifikat fl-Artikolu 274(2) tar-Regolament (UE) Nru 575/2013.</w:t>
            </w:r>
          </w:p>
          <w:p w14:paraId="6AF43C3C" w14:textId="33DD047C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L-istituzzjonijiet li japplikaw l-approċċ standardizzat simplifikat ma għandhomx inaqqsu l-miżura tal-iskopertura totali bl-ammont ta’ marġni riċevut skont l-Artikolu 429c(6) ir-Regolament (UE) Nru 575/2013. Għalhekk l-eċċezzjoni għall-kuntratti tad-derivattivi ma’ klijenti meta dawk il-kuntratti jiġu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minn QCCP fl-Artikolu 429c(4) ir-Regolament (UE) Nru 575/2013 ma għandhiex tapplika.</w:t>
            </w:r>
          </w:p>
          <w:p w14:paraId="41A54C94" w14:textId="000C6D0B" w:rsidR="001D7778" w:rsidRPr="000B66BC" w:rsidRDefault="001D777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ma għandhomx jikkunsidraw f’din iċ-ċellola kuntratti mkejla bl-applikazzjoni tal-SA-CCR jew il-metodu tal-iskopertura oriġinali.</w:t>
            </w:r>
          </w:p>
        </w:tc>
      </w:tr>
      <w:tr w:rsidR="00CB48CC" w:rsidRPr="00E75BB8" w14:paraId="177E0E57" w14:textId="77777777" w:rsidTr="008979D2">
        <w:trPr>
          <w:trHeight w:val="304"/>
        </w:trPr>
        <w:tc>
          <w:tcPr>
            <w:tcW w:w="1555" w:type="dxa"/>
            <w:gridSpan w:val="2"/>
          </w:tcPr>
          <w:p w14:paraId="1A21B8B9" w14:textId="3A3A59D4" w:rsidR="00CB48CC" w:rsidRPr="000B66BC" w:rsidRDefault="001F3E84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{0102;0010}</w:t>
            </w:r>
          </w:p>
        </w:tc>
        <w:tc>
          <w:tcPr>
            <w:tcW w:w="7566" w:type="dxa"/>
          </w:tcPr>
          <w:p w14:paraId="1AB84BA7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L-effett tal-komponent eżentat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-CCP ta’ skoperturi ta’ negozju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għall-klijent (approċċ standardizzat simplifikat - kostijiet tas-sostituzzjoni)</w:t>
            </w:r>
          </w:p>
          <w:p w14:paraId="145D251C" w14:textId="4101DA1F" w:rsidR="00CB48CC" w:rsidRPr="000B66BC" w:rsidRDefault="00803ED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(g) tal-Artikolu 429a(1) tar-Regolament (UE) Nru 575/2013</w:t>
            </w:r>
          </w:p>
          <w:p w14:paraId="577C5D50" w14:textId="038570D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Is-sehem tal-kost tas-sostituzzjoni ta’ skoperturi ta’ negozju eżentati għal QCCP minn tranżazzjonijiet derivattivi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għall-klijent, diment li dawk l-entrati jissodisfaw il-kundizzjonijiet stabbiliti fil-punt (c) tal-Artikolu 306(1) tar-Regolament (UE) Nru 575/2013. Dan l-ammont għandu jkun irrapportat gross bil-marġni ta’ varjazzjoni tal-flus riċevuti f’dan il-komponent. L-ammont għandu jiġi rrapportat bil-fattur alfa 1.4 applikat kif speċifikat fl-Artikolu 274(2) tar-Regolament (UE) Nru 575/2013.</w:t>
            </w:r>
          </w:p>
          <w:p w14:paraId="217819AF" w14:textId="1C24625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l-ammont irrapportat f’din iċ-ċellola anke f’{0101;0010} daqslikieku ma tapplika l-ebda eżenzjoni.</w:t>
            </w:r>
          </w:p>
        </w:tc>
      </w:tr>
      <w:tr w:rsidR="00CB48CC" w:rsidRPr="00E75BB8" w14:paraId="77B81E13" w14:textId="77777777" w:rsidTr="008979D2">
        <w:trPr>
          <w:trHeight w:val="304"/>
        </w:trPr>
        <w:tc>
          <w:tcPr>
            <w:tcW w:w="1555" w:type="dxa"/>
            <w:gridSpan w:val="2"/>
          </w:tcPr>
          <w:p w14:paraId="59F8E92F" w14:textId="10EA442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{0103;0010}</w:t>
            </w:r>
          </w:p>
        </w:tc>
        <w:tc>
          <w:tcPr>
            <w:tcW w:w="7566" w:type="dxa"/>
          </w:tcPr>
          <w:p w14:paraId="3D169826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Deroga għad-derivattivi: Kontribuzzjoni tal-iskopertura futura potenzjali skont l-approċċ standardizzat simplifikat (multiplikatur ta’ 1) </w:t>
            </w:r>
          </w:p>
          <w:p w14:paraId="5B7322DC" w14:textId="231FF6D8" w:rsidR="00201339" w:rsidRPr="000B66BC" w:rsidRDefault="00803ED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 (f) tal-Artikolu 281(2) u l-Artikolu 429c(6) ir-Regolament (UE) Nru 575/2013. L-iskopertura futura potenzjali skont l-approċċ standardizzat simplifikat stabbilit fl-Artikolu 281 ir-Regolament (UE) Nru 575/2013, bis-suppożizzjoni ta’ multiplikatur ta’ 1. L-ammont għandu jiġi rrapportat bil-fattur alfa 1.4 applikat kif speċifikat fl-Artikolu 274(2) tar-Regolament (UE) Nru 575/2013.</w:t>
            </w:r>
          </w:p>
          <w:p w14:paraId="3AE17E54" w14:textId="1C4D71E5" w:rsidR="00CB48CC" w:rsidRPr="000B66BC" w:rsidRDefault="00201339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li japplikaw l-approċċ standardizzat simplifikat ma għandhomx inaqqsu l-miżura tal-iskopertura totali bl-ammont ta’ marġni riċevut skont l-Artikolu 429c(6) ir-Regolament (UE) Nru 575/2013.</w:t>
            </w:r>
            <w:r>
              <w:rPr>
                <w:sz w:val="24"/>
              </w:rPr>
              <w:t xml:space="preserve"> </w:t>
            </w:r>
          </w:p>
        </w:tc>
      </w:tr>
      <w:tr w:rsidR="00E1595A" w:rsidRPr="00E75BB8" w14:paraId="65B70708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5996" w14:textId="77777777" w:rsidR="00E1595A" w:rsidRPr="000B66BC" w:rsidRDefault="00E1595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{0104;0010}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8B96" w14:textId="77777777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L-effett tal-komponent eżentat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-CCP ta’ skoperturi ta’ negozju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għall-klijent (approċċ standardizzat simplifikat - skopertura futura potenzjali)</w:t>
            </w:r>
          </w:p>
          <w:p w14:paraId="350D0B05" w14:textId="62172539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(g) tal-Artikolu 429a(1) tar-Regolament (UE) Nru 575/2013</w:t>
            </w:r>
          </w:p>
          <w:p w14:paraId="7020C299" w14:textId="52211B9C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L-iskopertura futura potenzjali ta’ skoperturi ta’ negozju eżentati għal QCCP minn tranżazzjonijiet derivattivi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għall-klijent, diment li dawn l-</w:t>
            </w:r>
            <w:r>
              <w:rPr>
                <w:rFonts w:ascii="Times New Roman" w:hAnsi="Times New Roman"/>
                <w:sz w:val="24"/>
              </w:rPr>
              <w:lastRenderedPageBreak/>
              <w:t>entrati jissodisfaw il-kundizzjonijiet stabbiliti fil-punt (c) tal-Artikolu 306(1) ir-Regolament (UE) Nru 575/2013. L-ammont għandu jiġi rrapportat bil-fattur alfa 1.4 applikat kif speċifikat fl-Artikolu 274(2) tar-Regolament (UE) Nru 575/2013.</w:t>
            </w:r>
          </w:p>
          <w:p w14:paraId="419E01C7" w14:textId="70A232D0" w:rsidR="00E1595A" w:rsidRPr="000B66BC" w:rsidRDefault="00E1595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l-ammont irrapportat f’din iċ-ċellola anke f’{0103;0010} daqslikieku ma tapplika l-ebda eżenzjoni.</w:t>
            </w:r>
          </w:p>
        </w:tc>
      </w:tr>
      <w:tr w:rsidR="00CB48CC" w:rsidRPr="00E75BB8" w14:paraId="28BF0347" w14:textId="77777777" w:rsidTr="008979D2">
        <w:trPr>
          <w:trHeight w:val="304"/>
        </w:trPr>
        <w:tc>
          <w:tcPr>
            <w:tcW w:w="1555" w:type="dxa"/>
            <w:gridSpan w:val="2"/>
          </w:tcPr>
          <w:p w14:paraId="313EA046" w14:textId="430415F9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{0110;0010}</w:t>
            </w:r>
          </w:p>
          <w:p w14:paraId="4A976476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</w:tcPr>
          <w:p w14:paraId="2CF5E433" w14:textId="00E40A8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Deroga għad-derivattivi: metodu ta’ skopertura oriġinali</w:t>
            </w:r>
          </w:p>
          <w:p w14:paraId="6E5CD50D" w14:textId="5B2D1AE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L-Artikoli 429c(6) u 282 tar-Regolament (UE) Nru 575/2013</w:t>
            </w:r>
          </w:p>
          <w:p w14:paraId="394FA10D" w14:textId="43C3B25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iċ-ċellola tipprovdi l-kejl tal-iskopertura tal-kuntratti elenkati fil-punti 1 u 2 tal-Anness II ir-Regolament (UE) Nru 575/2013 ikkalkolat skont il-metodu ta’ skopertura oriġinali stabbilit fl-Artikolu 282 ir-Regolament (UE) Nru 575/2013.</w:t>
            </w:r>
          </w:p>
          <w:p w14:paraId="0B0A4108" w14:textId="459E724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li japplikaw il-metodu ta’ skopertura oriġinali ma għandhomx inaqqsu l-kejl tal-iskopertura totali bl-ammont tal-marġni riċevut skont l-Artikolu 429c(6) ir-Regolament (UE) Nru 575/2013.</w:t>
            </w:r>
          </w:p>
          <w:p w14:paraId="39B54B07" w14:textId="5E193AC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li ma jużawx il-metodu ta’ skopertura oriġinali ma għandhomx jirrapportaw din iċ-ċellola.</w:t>
            </w:r>
          </w:p>
          <w:p w14:paraId="1981EF1E" w14:textId="08F03AC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ma għandhomx jikkunsidraw f’din iċ-ċellola kuntratti mkejla bl-applikazzjoni tal-SA-CCR jew l-approċċ standardizzat simplifikat.</w:t>
            </w:r>
          </w:p>
        </w:tc>
      </w:tr>
      <w:tr w:rsidR="00CB48CC" w:rsidRPr="00E75BB8" w14:paraId="3B7D8618" w14:textId="77777777" w:rsidTr="008979D2">
        <w:trPr>
          <w:trHeight w:val="304"/>
        </w:trPr>
        <w:tc>
          <w:tcPr>
            <w:tcW w:w="1555" w:type="dxa"/>
            <w:gridSpan w:val="2"/>
          </w:tcPr>
          <w:p w14:paraId="42ED892B" w14:textId="40D1913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{0120;0010}</w:t>
            </w:r>
          </w:p>
        </w:tc>
        <w:tc>
          <w:tcPr>
            <w:tcW w:w="7566" w:type="dxa"/>
          </w:tcPr>
          <w:p w14:paraId="6FE290CC" w14:textId="030BF2BC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Komponent eżentat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-CCP ta’ skoperturi ta’ negozju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għall-klijent (metodu ta’ skopertura oriġinali)</w:t>
            </w:r>
          </w:p>
          <w:p w14:paraId="7A371D92" w14:textId="6A92D51F" w:rsidR="00CB48CC" w:rsidRPr="000B66BC" w:rsidRDefault="00803ED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(g) tal-Artikolu 429a(1) tar-Regolament (UE) Nru 575/2013</w:t>
            </w:r>
          </w:p>
          <w:p w14:paraId="6CD3BE79" w14:textId="0E1CDA1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Il-komponent eżentat </w:t>
            </w:r>
            <w:proofErr w:type="spellStart"/>
            <w:r>
              <w:rPr>
                <w:rFonts w:ascii="Times New Roman" w:hAnsi="Times New Roman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-CCP ta’ skoperturi ta’ negozju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għall-klijent meta jkun applikat il-metodu ta’ skopertura oriġinali kif stipulat fl-Artikolu 282 ir-Regolament (UE) Nru 575/2013, diment li dawk l-entrati jissodisfaw il-kundizzjonijiet stabbiliti fil-punt (c) tal-Artikolu 306(1) ir-Regolament (UE) Nru 575/2013.</w:t>
            </w:r>
          </w:p>
          <w:p w14:paraId="18D8428B" w14:textId="6B3C879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l-ammont irrapportat f’din iċ-ċellola anke f’{0110;0010} daqslikieku ma tapplika l-ebda eżenzjoni.</w:t>
            </w:r>
          </w:p>
        </w:tc>
      </w:tr>
      <w:tr w:rsidR="00CB48CC" w:rsidRPr="00E75BB8" w14:paraId="5029F8E7" w14:textId="77777777" w:rsidTr="008979D2">
        <w:trPr>
          <w:trHeight w:val="304"/>
        </w:trPr>
        <w:tc>
          <w:tcPr>
            <w:tcW w:w="1555" w:type="dxa"/>
            <w:gridSpan w:val="2"/>
          </w:tcPr>
          <w:p w14:paraId="598E1804" w14:textId="33506324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{0130;0010}</w:t>
            </w:r>
          </w:p>
        </w:tc>
        <w:tc>
          <w:tcPr>
            <w:tcW w:w="7566" w:type="dxa"/>
          </w:tcPr>
          <w:p w14:paraId="0ECB889E" w14:textId="0C2B43C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nozzjonali limitat tad-derivattivi ta’ kreditu sottoskritti</w:t>
            </w:r>
          </w:p>
          <w:p w14:paraId="3144DF47" w14:textId="03E6EFAF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 429d tar-Regolament (UE) Nru 575/2013</w:t>
            </w:r>
          </w:p>
          <w:p w14:paraId="7435D499" w14:textId="4D85CBD0" w:rsidR="00CB48CC" w:rsidRPr="000B66BC" w:rsidRDefault="00E75BB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jiddeterminaw l-ammont nozzjonali limitat ta’ derivattivi ta’ kreditu sottoskritti, kif definit fl-Artikolu 429d(1), b’konformità mal-Artikolu 429d ir-Regolament (UE) Nru 575/2013.</w:t>
            </w:r>
          </w:p>
        </w:tc>
      </w:tr>
      <w:tr w:rsidR="00CB48CC" w:rsidRPr="00E75BB8" w14:paraId="5DA0B9DC" w14:textId="77777777" w:rsidTr="008979D2">
        <w:trPr>
          <w:trHeight w:val="304"/>
        </w:trPr>
        <w:tc>
          <w:tcPr>
            <w:tcW w:w="1555" w:type="dxa"/>
            <w:gridSpan w:val="2"/>
          </w:tcPr>
          <w:p w14:paraId="753E918D" w14:textId="3CA2220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{0140;0010}</w:t>
            </w:r>
          </w:p>
        </w:tc>
        <w:tc>
          <w:tcPr>
            <w:tcW w:w="7566" w:type="dxa"/>
          </w:tcPr>
          <w:p w14:paraId="7C62D40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Derivattivi ta’ kreditu mixtrija eliġibbli li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tpaċew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ma’ derivattivi ta’ kreditu sottoskritti</w:t>
            </w:r>
          </w:p>
          <w:p w14:paraId="64C8DF12" w14:textId="20E8D01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L-Artikolu 429d tar-Regolament (UE) Nru 575/2013</w:t>
            </w:r>
          </w:p>
          <w:p w14:paraId="444D1EBB" w14:textId="45DE543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nozzjonali limitat ta’ derivattivi ta’ kreditu mixtrijin (jiġifieri meta l-istituzzjoni tkun qed tixtri protezzjoni ta’ kreditu mingħand kontroparti) bl-istess ismijiet ta’ referenza bħal dawk id-derivattivi ta’ kreditu sottoskritti mill-istituzzjoni, meta l-maturità li jifdal tal-protezzjoni mixtrija tkun daqs jew ikbar mill-maturità li jifdal tal-protezzjoni mibjugħa. Għalhekk, il-valur ma għandux ikun ikbar mill-valur imdaħħal f’{0130;0010} għal kull isem ta’ referenza.</w:t>
            </w:r>
          </w:p>
        </w:tc>
      </w:tr>
      <w:tr w:rsidR="00CB48CC" w:rsidRPr="00E75BB8" w14:paraId="31F41404" w14:textId="77777777" w:rsidTr="008979D2">
        <w:trPr>
          <w:trHeight w:val="983"/>
        </w:trPr>
        <w:tc>
          <w:tcPr>
            <w:tcW w:w="1555" w:type="dxa"/>
            <w:gridSpan w:val="2"/>
          </w:tcPr>
          <w:p w14:paraId="7A070329" w14:textId="158316A9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{0150;0010}</w:t>
            </w:r>
          </w:p>
          <w:p w14:paraId="7A113EB7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</w:tcPr>
          <w:p w14:paraId="4E086B7E" w14:textId="00B684E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Entrati li ma jidhrux fil-karta tal-bilanċ b’CCF ta’ 10 % skont l-Artikolu 429f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-CRR</w:t>
            </w:r>
          </w:p>
          <w:p w14:paraId="7C110152" w14:textId="2049FE67" w:rsidR="00CB48CC" w:rsidRPr="003D12C1" w:rsidRDefault="00867B4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f’konformità mal-Artikolu 429f, il-punt (e) tal-Artikolu 111(2) u l-Artikolu 111(3) tar-Regolament (UE) Nru 575/2013</w:t>
            </w:r>
          </w:p>
          <w:p w14:paraId="6707D5C8" w14:textId="795C2D7D" w:rsidR="00494A67" w:rsidRPr="003D12C1" w:rsidRDefault="00406DB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Regolament (UE) Nru 575/2013 </w:t>
            </w:r>
          </w:p>
          <w:p w14:paraId="7057DD3E" w14:textId="18CCDCA2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Bħala tfakkira, il-valur nominali ma jistax jitnaqqas b’aġġustamenti speċifiċi għar-riskju ta’ kreditu qabel ma jiġi applikat </w:t>
            </w:r>
            <w:proofErr w:type="spellStart"/>
            <w:r>
              <w:rPr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</w:rPr>
              <w:t>-CCF.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Skont l-Artikolu 429f(2) l-istituzzjonijiet jistgħu jnaqqsu l-ammont ekwivalenti tal-iskopertura ta’ kreditu ta’ entrata li ma tidhirx fil-karta tal-bilanċ bl-ammont korrispondenti ta’ aġġustamenti speċifiċi għar-riskju ta’ kreditu. Dan il-kalkolu huwa soġġett għal minimu ta’ żero.</w:t>
            </w:r>
          </w:p>
          <w:p w14:paraId="34359CD8" w14:textId="4FC2CED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impenn jirreferi għall-estensjoni ta’ entrata oħra li ma tidhirx fil-karta tal-bilanċ, għandu jintuża l-inqas wieħed miż-żewġ fatturi ta’ konverżjoni (assoċjati </w:t>
            </w:r>
            <w:proofErr w:type="spellStart"/>
            <w:r>
              <w:rPr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Fonts w:ascii="Times New Roman" w:hAnsi="Times New Roman"/>
                <w:sz w:val="24"/>
              </w:rPr>
              <w:t>-entrata li fuqha jsir l-impenn jew mat-tip ta’ impenn magħmul) f’konformità mal-Artikolu 111(3) tar-Regolament (UE) Nru 575/2013.</w:t>
            </w:r>
          </w:p>
          <w:p w14:paraId="39DFADB3" w14:textId="3712D59A" w:rsidR="00CB48CC" w:rsidRDefault="00CB48CC" w:rsidP="0061658B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ma għandhomx jikkunsidraw f’din iċ-ċellola l-kuntratti elenkati fl-Anness II tar-Regolament (UE) Nru 575/2013, derivattivi ta’ kreditu,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pożizzjonijiet imsemmija fl-Artikolu 429d f’konformità mal-Artikolu 429f tar-Regolament (UE) Nru 575/2013.</w:t>
            </w:r>
          </w:p>
          <w:p w14:paraId="2398A4B9" w14:textId="5CEEC100" w:rsidR="004B1D31" w:rsidRPr="000B66BC" w:rsidRDefault="004B1D31" w:rsidP="0061658B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japplikaw CCF ta’ 10 % għall-KDU, f’konformità mal-Artikolu 429f(3).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</w:tr>
      <w:tr w:rsidR="00CB48CC" w:rsidRPr="00E75BB8" w14:paraId="736A5471" w14:textId="77777777" w:rsidTr="008979D2">
        <w:trPr>
          <w:trHeight w:val="712"/>
        </w:trPr>
        <w:tc>
          <w:tcPr>
            <w:tcW w:w="1555" w:type="dxa"/>
            <w:gridSpan w:val="2"/>
          </w:tcPr>
          <w:p w14:paraId="7BB0A9E0" w14:textId="321744D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{0160;0010}</w:t>
            </w:r>
          </w:p>
        </w:tc>
        <w:tc>
          <w:tcPr>
            <w:tcW w:w="7566" w:type="dxa"/>
          </w:tcPr>
          <w:p w14:paraId="079FCB69" w14:textId="5B79425E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Entrati li ma jidhrux fil-karta tal-bilanċ b’CCF ta’ 20 % skont l-Artikolu 429f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-CRR</w:t>
            </w:r>
          </w:p>
          <w:p w14:paraId="1808F2C6" w14:textId="505700F8" w:rsidR="00CB48CC" w:rsidRPr="000B66BC" w:rsidRDefault="004127B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f’konformità mal-Artikolu 429f, il-punt (d) tal-Artikolu 111(2) u l-Artikolu 111(3) tar-Regolament (UE) Nru 575/2013</w:t>
            </w:r>
          </w:p>
          <w:p w14:paraId="130864F0" w14:textId="06C16CD6" w:rsidR="00CB48CC" w:rsidRPr="000B66BC" w:rsidRDefault="00406DB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Regolament (UE) Nru 575/2013 Bħala tfakkira, il-valur nominali ma jistax jitnaqqas b’aġġustamenti speċifiċi għar-riskju ta’ kreditu qabel ma jiġi applikat </w:t>
            </w:r>
            <w:proofErr w:type="spellStart"/>
            <w:r>
              <w:rPr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</w:rPr>
              <w:t>-CCF. Skont l-Artikolu 429f(2) l-istituzzjonijiet jistgħu jnaqqsu l-</w:t>
            </w:r>
            <w:r>
              <w:rPr>
                <w:rFonts w:ascii="Times New Roman" w:hAnsi="Times New Roman"/>
                <w:sz w:val="24"/>
              </w:rPr>
              <w:lastRenderedPageBreak/>
              <w:t>ammont ekwivalenti tal-iskopertura ta’ kreditu ta’ entrata li ma tidhirx fil-karta tal-bilanċ bl-ammont korrispondenti ta’ aġġustamenti speċifiċi għar-riskju ta’ kreditu. Dan il-kalkolu huwa soġġett għal minimu ta’ żero.</w:t>
            </w:r>
          </w:p>
          <w:p w14:paraId="771B332A" w14:textId="4AB3716F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impenn jirreferi għall-estensjoni ta’ entrata oħra li ma tidhirx fil-karta tal-bilanċ, għandu jintuża l-inqas wieħed miż-żewġ fatturi ta’ konverżjoni (assoċjati </w:t>
            </w:r>
            <w:proofErr w:type="spellStart"/>
            <w:r>
              <w:rPr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Fonts w:ascii="Times New Roman" w:hAnsi="Times New Roman"/>
                <w:sz w:val="24"/>
              </w:rPr>
              <w:t>-entrata li fuqha jsir l-impenn jew mat-tip ta’ impenn magħmul) f’konformità mal-Artikolu 111(3) tar-Regolament (UE) Nru 575/2013.</w:t>
            </w:r>
          </w:p>
          <w:p w14:paraId="6986CCC3" w14:textId="4845021E" w:rsidR="003A5EB5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ma għandhomx jikkunsidraw f’din iċ-ċellola l-kuntratti elenkati fl-Anness II tar-Regolament (UE) Nru 575/2013, derivattivi ta’ kreditu,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pożizzjonijiet imsemmija fl-Artikolu 429d f’konformità mal-Artikolu 429f tar-Regolament (UE) Nru 575/2013.</w:t>
            </w:r>
          </w:p>
        </w:tc>
      </w:tr>
      <w:tr w:rsidR="00B64E88" w:rsidRPr="00E75BB8" w14:paraId="5D75FFBF" w14:textId="77777777" w:rsidTr="008979D2">
        <w:trPr>
          <w:trHeight w:val="304"/>
        </w:trPr>
        <w:tc>
          <w:tcPr>
            <w:tcW w:w="1555" w:type="dxa"/>
            <w:gridSpan w:val="2"/>
          </w:tcPr>
          <w:p w14:paraId="0E3E0D10" w14:textId="6E0627B6" w:rsidR="00B64E88" w:rsidRPr="000B66BC" w:rsidRDefault="00B64E8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{0165;0010}</w:t>
            </w:r>
          </w:p>
        </w:tc>
        <w:tc>
          <w:tcPr>
            <w:tcW w:w="7566" w:type="dxa"/>
          </w:tcPr>
          <w:p w14:paraId="2CE0BE47" w14:textId="1A6F01F5" w:rsidR="00B64E88" w:rsidRDefault="00412D6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Entrati li ma jidhrux fil-karta tal-bilanċ b’CCF ta’ 40 % skont l-Artikolu 429f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-CRR</w:t>
            </w:r>
          </w:p>
          <w:p w14:paraId="733C45E6" w14:textId="419DBB23" w:rsidR="00DF7B01" w:rsidRPr="00012719" w:rsidRDefault="004127BF" w:rsidP="005A5E25">
            <w:pPr>
              <w:pStyle w:val="BodyText1"/>
              <w:spacing w:before="24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f’konformità mal-Artikolu 429f, il-punt (c) tal-Artikolu 111(2) u l-Artikolu 111(3) tar-Regolament (UE) Nru 575/2013</w:t>
            </w:r>
          </w:p>
          <w:p w14:paraId="0E51A0A8" w14:textId="11457FFC" w:rsidR="000D5576" w:rsidRPr="000B66BC" w:rsidRDefault="000D5576" w:rsidP="005A5E25">
            <w:pPr>
              <w:pStyle w:val="BodyText1"/>
              <w:spacing w:before="240" w:after="24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Bħala tfakkira, il-valur nominali ma jistax jitnaqqas b’aġġustamenti speċifiċi għar-riskju ta’ kreditu qabel ma jiġi applikat </w:t>
            </w:r>
            <w:proofErr w:type="spellStart"/>
            <w:r>
              <w:rPr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</w:rPr>
              <w:t>-CCF. Skont l-Artikolu 429f(2) l-istituzzjonijiet jistgħu jnaqqsu l-ammont ekwivalenti tal-iskopertura ta’ kreditu ta’ entrata li ma tidhirx fil-karta tal-bilanċ bl-ammont korrispondenti ta’ aġġustamenti speċifiċi għar-riskju ta’ kreditu. Dan il-kalkolu huwa soġġett għal minimu ta’ żero.</w:t>
            </w:r>
          </w:p>
          <w:p w14:paraId="76BB5F85" w14:textId="192A0C50" w:rsidR="000D5576" w:rsidRPr="000B66BC" w:rsidRDefault="000D5576" w:rsidP="000D5576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impenn jirreferi għall-estensjoni ta’ entrata oħra li ma tidhirx fil-karta tal-bilanċ, għandu jintuża l-inqas wieħed miż-żewġ fatturi ta’ konverżjoni (assoċjati </w:t>
            </w:r>
            <w:proofErr w:type="spellStart"/>
            <w:r>
              <w:rPr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Fonts w:ascii="Times New Roman" w:hAnsi="Times New Roman"/>
                <w:sz w:val="24"/>
              </w:rPr>
              <w:t>-entrata li fuqha jsir l-impenn jew mat-tip ta’ impenn magħmul) f’konformità mal-Artikolu 111(3) tar-Regolament (UE) Nru 575/2013.</w:t>
            </w:r>
          </w:p>
          <w:p w14:paraId="7D87CAA4" w14:textId="5E43F9DD" w:rsidR="000D5576" w:rsidRPr="000B66BC" w:rsidRDefault="000D5576" w:rsidP="000D5576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ma għandhomx jikkunsidraw f’din iċ-ċellola l-kuntratti elenkati fl-Anness II tar-Regolament (UE) Nru 575/2013, derivattivi ta’ kreditu,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pożizzjonijiet imsemmija fl-Artikolu 429d f’konformità mal-Artikolu 429f tar-Regolament (UE) Nru 575/2013.</w:t>
            </w:r>
          </w:p>
        </w:tc>
      </w:tr>
      <w:tr w:rsidR="00CB48CC" w:rsidRPr="00E75BB8" w14:paraId="3354B9C5" w14:textId="77777777" w:rsidTr="008979D2">
        <w:trPr>
          <w:trHeight w:val="304"/>
        </w:trPr>
        <w:tc>
          <w:tcPr>
            <w:tcW w:w="1555" w:type="dxa"/>
            <w:gridSpan w:val="2"/>
          </w:tcPr>
          <w:p w14:paraId="513659B4" w14:textId="6E2AF11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{0170;0010}</w:t>
            </w:r>
          </w:p>
          <w:p w14:paraId="2D1C2289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</w:tcPr>
          <w:p w14:paraId="2B65BAF0" w14:textId="70D57BA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Entrati li ma jidhrux fil-karta tal-bilanċ b’CCF ta’ 50 % skont l-Artikolu 429f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-CRR</w:t>
            </w:r>
          </w:p>
          <w:p w14:paraId="7DA0F3D2" w14:textId="575D7B68" w:rsidR="00CB48CC" w:rsidRPr="000B66BC" w:rsidRDefault="004127B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f’konformità mal-Artikolu 429f, il-punt (d) tal-Artikolu 111(2) u l-Artikolu 111(3) tar-Regolament (UE) Nru 575/2013</w:t>
            </w:r>
          </w:p>
          <w:p w14:paraId="512D74AD" w14:textId="0B92D63F" w:rsidR="00CB48CC" w:rsidRPr="000B66BC" w:rsidRDefault="00406DB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Regolament (UE) Nru 575/2013 bħala tfakkira l-valur nominali ma jistax jitnaqqas b’aġġustamenti speċifiċi għar-riskju ta’ kreditu qabel ma tiġi applikata s-CCF. Skont l-Artikolu 429f(2) l-istituzzjonijiet jistgħu jnaqqsu l-ammont ekwivalenti tal-iskopertura ta’ kreditu ta’ entrata li ma tidhirx fil-</w:t>
            </w:r>
            <w:r>
              <w:rPr>
                <w:rFonts w:ascii="Times New Roman" w:hAnsi="Times New Roman"/>
                <w:sz w:val="24"/>
              </w:rPr>
              <w:lastRenderedPageBreak/>
              <w:t>karta tal-bilanċ bl-ammont korrispondenti ta’ aġġustamenti speċifiċi għar-riskju ta’ kreditu. Dan il-kalkolu huwa soġġett għal minimu ta’ żero.</w:t>
            </w:r>
          </w:p>
          <w:p w14:paraId="116B0E4F" w14:textId="1B31E16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Din iċ-ċellola tinkludi faċilitajiet ta’ likwidità u impenji oħra għal titolizzazzjonijiet. Fi kliem ieħor, </w:t>
            </w:r>
            <w:proofErr w:type="spellStart"/>
            <w:r>
              <w:rPr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</w:rPr>
              <w:t>-CCF għall-faċilitajiet ta’ likwidità kollha f’konformità mal-Artikolu 255 tar-Regolament (UE) Nru 575/2013 huwa ta’ 50 % irrispettivament mill-maturità.</w:t>
            </w:r>
          </w:p>
          <w:p w14:paraId="4339295A" w14:textId="1AC63CC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impenn jirreferi għall-estensjoni ta’ entrata oħra li ma tidhirx fil-karta tal-bilanċ, għandu jintuża l-inqas wieħed miż-żewġ fatturi ta’ konverżjoni (assoċjati </w:t>
            </w:r>
            <w:proofErr w:type="spellStart"/>
            <w:r>
              <w:rPr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Fonts w:ascii="Times New Roman" w:hAnsi="Times New Roman"/>
                <w:sz w:val="24"/>
              </w:rPr>
              <w:t>-entrata li fuqha jsir l-impenn jew mat-tip ta’ impenn magħmul) f’konformità mal-Artikolu 111(3) tar-Regolament (UE) Nru 575/2013.</w:t>
            </w:r>
          </w:p>
          <w:p w14:paraId="6DDC311B" w14:textId="77CB6B5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ma għandhomx jikkunsidraw f’din iċ-ċellola l-kuntratti elenkati fl-Anness II tar-Regolament (UE) Nru 575/2013, derivattivi ta’ kreditu,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pożizzjonijiet imsemmija fl-Artikolu 429d f’konformità mal-Artikolu 429f tar-Regolament (UE) Nru 575/2013.</w:t>
            </w:r>
          </w:p>
        </w:tc>
      </w:tr>
      <w:tr w:rsidR="00CB48CC" w:rsidRPr="00E75BB8" w14:paraId="0A0BB45E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546786C4" w14:textId="1D71B0C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{0180;0010}</w:t>
            </w:r>
          </w:p>
          <w:p w14:paraId="22AA02FE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6F41926D" w14:textId="591860B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Entrati li ma jidhrux fil-karta tal-bilanċ b’CCF ta’ 100 % skont l-Artikolu 429f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-CRR </w:t>
            </w:r>
          </w:p>
          <w:p w14:paraId="603EE80E" w14:textId="5805ED8A" w:rsidR="00CB48CC" w:rsidRPr="000B66BC" w:rsidRDefault="00D3062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f’konformità mal-Artikolu 429f, il-punt (a) tal-Artikolu 111(2) u l-Artikolu 111(3) tar-Regolament (UE) Nru 575/2013</w:t>
            </w:r>
          </w:p>
          <w:p w14:paraId="02A01DC2" w14:textId="1E1A0970" w:rsidR="00CB48CC" w:rsidRPr="000B66BC" w:rsidRDefault="00406DB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Regolament (UE) Nru 575/2013 Bħala tfakkira, il-valur nominali ma jistax jitnaqqas b’aġġustamenti speċifiċi għar-riskju ta’ kreditu qabel ma jiġi applikat </w:t>
            </w:r>
            <w:proofErr w:type="spellStart"/>
            <w:r>
              <w:rPr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</w:rPr>
              <w:t>-CCF. Skont l-Artikolu 429f(2) l-istituzzjonijiet jistgħu jnaqqsu l-ammont ekwivalenti tal-iskopertura ta’ kreditu ta’ entrata li ma tidhirx fil-karta tal-bilanċ bl-ammont korrispondenti ta’ aġġustamenti speċifiċi għar-riskju ta’ kreditu. Dan il-kalkolu huwa soġġett għal minimu ta’ żero.</w:t>
            </w:r>
          </w:p>
          <w:p w14:paraId="12BC0F57" w14:textId="6A8A33B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iċ-ċellola tinkludi faċilitajiet ta’ likwidità u impenji oħra għal titolizzazzjonijiet.</w:t>
            </w:r>
          </w:p>
          <w:p w14:paraId="01861A93" w14:textId="1AF15CC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impenn jirreferi għall-estensjoni ta’ entrata oħra li ma tidhirx fil-karta tal-bilanċ, għandu jintuża l-inqas wieħed miż-żewġ fatturi ta’ konverżjoni (assoċjati </w:t>
            </w:r>
            <w:proofErr w:type="spellStart"/>
            <w:r>
              <w:rPr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Fonts w:ascii="Times New Roman" w:hAnsi="Times New Roman"/>
                <w:sz w:val="24"/>
              </w:rPr>
              <w:t>-entrata li fuqha jsir l-impenn jew mat-tip ta’ impenn magħmul) f’konformità mal-Artikolu 111(3) tar-Regolament (UE) Nru 575/2013.</w:t>
            </w:r>
          </w:p>
          <w:p w14:paraId="37DBE5CD" w14:textId="2DDC0E0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ma għandhomx jikkunsidraw f’din iċ-ċellola l-kuntratti elenkati fl-Anness II tar-Regolament (UE) Nru 575/2013, derivattivi ta’ kreditu,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pożizzjonijiet imsemmija fl-Artikolu 429d’ konformità mal-Artikolu 429f tar-Regolament (UE) Nru 575/2013.</w:t>
            </w:r>
          </w:p>
        </w:tc>
      </w:tr>
      <w:tr w:rsidR="00CB48CC" w:rsidRPr="00E75BB8" w14:paraId="36A7A2BB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7E132F7E" w14:textId="5BAF48E5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{0181;0010}</w:t>
            </w:r>
          </w:p>
          <w:p w14:paraId="41120190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6AD2D6D7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Aġġustamenti ġenerali għar-riskju ta’ kreditu għal entrati li ma jidhrux fil-karta tal-bilanċ </w:t>
            </w:r>
          </w:p>
          <w:p w14:paraId="62AD4ABC" w14:textId="6E11CF8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429(4) tar-Regolament (UE) Nru 575/2013</w:t>
            </w:r>
          </w:p>
          <w:p w14:paraId="301E11EC" w14:textId="7BD850E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ta’ aġġustamenti ġenerali għar-riskju ta’ kreditu li jikkorrispondi għal entrati barra l-karta tal-bilanċ imsemmijin fil-punt (d) tal-Artikolu 429(4), li l-istituzzjonijiet inaqqsu skont l-aħħar paragrafu tal-Artikolu 429(4) ir-Regolament (UE) Nru 575/2013.</w:t>
            </w:r>
          </w:p>
          <w:p w14:paraId="2059F8B9" w14:textId="5CF2B1A7" w:rsidR="00CB48CC" w:rsidRPr="000B66BC" w:rsidRDefault="00CB48CC" w:rsidP="0061658B">
            <w:pPr>
              <w:pStyle w:val="BodyText1"/>
              <w:spacing w:after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ma għandux jitqies bħala tnaqqis fil-kalkolu tal-entrati li ma jidhrux fil-karta tal-bilanċ irrapportati fir-ringieli minn {0150;0010} sa {0180;0010}.</w:t>
            </w:r>
          </w:p>
        </w:tc>
      </w:tr>
      <w:tr w:rsidR="00CB48CC" w:rsidRPr="00E75BB8" w14:paraId="1DF5F072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581AAB63" w14:textId="5DF88AB5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{0185;0010}</w:t>
            </w:r>
          </w:p>
          <w:p w14:paraId="122DCB6F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01E22C55" w14:textId="6F2775A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Xiri u bejgħ fi żmien regolari li qed jistennew saldu: Valur kontabilistiku skont il-kontabbiltà tad-data tan-negozju </w:t>
            </w:r>
          </w:p>
          <w:p w14:paraId="4C694246" w14:textId="0854703B" w:rsidR="00CB48CC" w:rsidRPr="000B66BC" w:rsidRDefault="00995F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429g(1) tar-Regolament (UE) Nru 575/2013</w:t>
            </w:r>
          </w:p>
          <w:p w14:paraId="7D206739" w14:textId="0B1BCEAC" w:rsidR="00272017" w:rsidRPr="000B66BC" w:rsidRDefault="0027201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It-total ta’:</w:t>
            </w:r>
          </w:p>
          <w:p w14:paraId="5F24E6D9" w14:textId="18634CD3" w:rsidR="00995F8D" w:rsidRPr="000B66BC" w:rsidRDefault="00995F8D" w:rsidP="000B66BC">
            <w:pPr>
              <w:pStyle w:val="BodyText1"/>
              <w:numPr>
                <w:ilvl w:val="0"/>
                <w:numId w:val="42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ta’ flus relatat ma’ xirjiet fi żmien regolari li jibqgħu fil-karta tal-bilanċ sad-data tas-saldu bħala assi skont il-punt (a) tal-Artikolu 429(4) ir-Regolament (UE) Nru 575/2013;</w:t>
            </w:r>
          </w:p>
          <w:p w14:paraId="72B0EC2C" w14:textId="3486F47F" w:rsidR="00995F8D" w:rsidRPr="000B66BC" w:rsidRDefault="00272017" w:rsidP="000B66BC">
            <w:pPr>
              <w:pStyle w:val="BodyText1"/>
              <w:numPr>
                <w:ilvl w:val="0"/>
                <w:numId w:val="42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Il-flus riċevibbli relatati ma’ bejgħ fi żmien regolari li jibqgħu fil-karta tal-bilanċ bħala assi sad-data tas-saldu f’konformità mal-punt (a) tal-Artikolu 429(4) tar-Regolament (UE) Nru 575/2013.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Dan l-ammont huwa wara l-effett tat-tpaċija bejn flus riċevibbli għal bejgħ fi żmien regolari li jkun qed jistenna s-saldu u ammonti pagabbli fi flus għal xiri fi żmien regolari li jkun qed jistenna saldu, kif permess skont il-qafas kontabilistiku applikabbli.</w:t>
            </w:r>
          </w:p>
          <w:p w14:paraId="5C35FB48" w14:textId="21B2EF08" w:rsidR="00CB48CC" w:rsidRPr="000B66BC" w:rsidRDefault="0027201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L-istituzzjonijiet li jsegwu l-kontabbiltà tad-data tan-negozju għandhom jirrapportaw is-somma msemmija hawn fuq f’din iċ-ċellola minflok fir-ringiela 0190 “assi oħrajn”, filwaqt li għandhom jirrapportaw it-titoli relatati max-xiri fi żmien regolari fir-ringiela 0190.</w:t>
            </w:r>
          </w:p>
        </w:tc>
      </w:tr>
      <w:tr w:rsidR="00CB48CC" w:rsidRPr="00E75BB8" w14:paraId="5102550B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7F15FF7B" w14:textId="4280A8CB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{0186;0010}</w:t>
            </w:r>
          </w:p>
          <w:p w14:paraId="09F7091F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6525B26A" w14:textId="37531743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Bejgħ fi żmien regolari li qed jistenna saldu: Treġġigħ lura ta’ tpaċija kontabilistika skont il-kontabbiltà tad-data tan-negozju</w:t>
            </w:r>
          </w:p>
          <w:p w14:paraId="20327055" w14:textId="385E8EAB" w:rsidR="00CB48CC" w:rsidRPr="000B66BC" w:rsidRDefault="00995F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429g(2) tar-Regolament (UE) Nru 575/2013</w:t>
            </w:r>
          </w:p>
          <w:p w14:paraId="4A0C32B6" w14:textId="15F13BC7" w:rsidR="002B0AAC" w:rsidRPr="000B66BC" w:rsidRDefault="00995F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L-ammont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paċut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bejn flus riċevibbli għal bejgħ fi żmien regolari li jistenna saldu u ammonti pagabbli fi flus għal xiri fi żmien regolari li jistenna saldu permess skont il-qafas kontabilistiku.</w:t>
            </w:r>
          </w:p>
        </w:tc>
      </w:tr>
      <w:tr w:rsidR="00195426" w:rsidRPr="00E75BB8" w14:paraId="78EEA43B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61857A89" w14:textId="623EBF8F" w:rsidR="00195426" w:rsidRPr="000B66BC" w:rsidRDefault="00195426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{0187;0010}</w:t>
            </w:r>
          </w:p>
          <w:p w14:paraId="58BAB70E" w14:textId="77777777" w:rsidR="00195426" w:rsidRPr="000B66BC" w:rsidRDefault="00195426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3510C554" w14:textId="68E20342" w:rsidR="00195426" w:rsidRPr="000B66BC" w:rsidRDefault="001954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Bejgħ fi żmien regolari li qed jistenna saldu: tpaċija b’konformità ma’ 429 g(2)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>-CRR</w:t>
            </w:r>
          </w:p>
          <w:p w14:paraId="416B6808" w14:textId="30634B7B" w:rsidR="00195426" w:rsidRPr="000B66BC" w:rsidRDefault="001954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429g(2) tar-Regolament (UE) Nru 575/2013</w:t>
            </w:r>
          </w:p>
          <w:p w14:paraId="057F1FAB" w14:textId="6C538100" w:rsidR="00195426" w:rsidRPr="000B66BC" w:rsidRDefault="00195426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</w:t>
            </w:r>
            <w:proofErr w:type="spellStart"/>
            <w:r>
              <w:rPr>
                <w:rFonts w:ascii="Times New Roman" w:hAnsi="Times New Roman"/>
                <w:sz w:val="24"/>
              </w:rPr>
              <w:t>paċut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ir-riċevibbli fi flus u l-ammonti pagabbli fi flus meta kemm il-bejgħ kif ukoll ix-xiri mħallsa fi żmien regolari relatati jiġu saldati </w:t>
            </w:r>
            <w:r>
              <w:rPr>
                <w:rFonts w:ascii="Times New Roman" w:hAnsi="Times New Roman"/>
                <w:sz w:val="24"/>
              </w:rPr>
              <w:lastRenderedPageBreak/>
              <w:t>fuq bażi ta’ konsenja kontra pagament f’konformità mal-Artikolu 429g(2) tar-Regolament (UE) Nru 575/2013.</w:t>
            </w:r>
          </w:p>
        </w:tc>
      </w:tr>
      <w:tr w:rsidR="00CB48CC" w:rsidRPr="00E75BB8" w14:paraId="664DB6ED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761F65B7" w14:textId="0803C63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{0188;0010}</w:t>
            </w:r>
          </w:p>
          <w:p w14:paraId="2D8E081B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3CD9B991" w14:textId="1F5C665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Xiri fi żmien regolari li qed jistenna saldu: Rikonoxximent sħiħ tal-impenji li jridu jitħallsu skont il-kontabbiltà tad-data tas-saldu </w:t>
            </w:r>
          </w:p>
          <w:p w14:paraId="0305F981" w14:textId="4F83E6AC" w:rsidR="00CB48CC" w:rsidRPr="000B66BC" w:rsidRDefault="001954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429g(3) tar-Regolament (UE) Nru 575/2013</w:t>
            </w:r>
          </w:p>
          <w:p w14:paraId="17418655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Il-valur nominali sħiħ tal-impenji li jridu jitħallsu relatati max-xiri fi żmien regolari, għall-istituzzjonijiet li, skont il-qafas kontabilistiku applikabbli, japplikaw kontabbiltà tad-data tas-saldu għal xiri u bejgħ fi żmien regolari.</w:t>
            </w:r>
          </w:p>
          <w:p w14:paraId="59B3EB10" w14:textId="3BF06932" w:rsidR="00CB48CC" w:rsidRPr="000B66BC" w:rsidRDefault="003718C7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Titoli relatati ma’ bejgħ fi żmien regolari għandhom jiġu rrapportati fir-ringiela 0190 “assi oħrajn”.</w:t>
            </w:r>
          </w:p>
        </w:tc>
      </w:tr>
      <w:tr w:rsidR="00CB48CC" w:rsidRPr="00E75BB8" w14:paraId="061A339C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4E6F9470" w14:textId="411DE5F9" w:rsidR="00974BCC" w:rsidRPr="000B66BC" w:rsidRDefault="00974B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{0189;0010}</w:t>
            </w:r>
          </w:p>
          <w:p w14:paraId="299E6D92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3DDE4E8F" w14:textId="1D6A15E3" w:rsidR="00974BCC" w:rsidRPr="000B66BC" w:rsidRDefault="00974B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(-) Xiri fi żmien regolari li qed jistenna saldu: tpaċija għal impenji ta’ ħlas skont il-kontabbiltà tad-data tas-saldu skont 429 g(3) CRR</w:t>
            </w:r>
          </w:p>
          <w:p w14:paraId="0155689A" w14:textId="09D66768" w:rsidR="0049459B" w:rsidRPr="000B66BC" w:rsidRDefault="0049459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429g(3) tar-Regolament (UE) Nru 575/2013</w:t>
            </w:r>
          </w:p>
          <w:p w14:paraId="795D29D1" w14:textId="0149AE44" w:rsidR="0049459B" w:rsidRPr="000B66BC" w:rsidRDefault="00DC3476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Il-parti tal-ammont irrapportat fir-ringiela 0188 </w:t>
            </w:r>
            <w:proofErr w:type="spellStart"/>
            <w:r>
              <w:rPr>
                <w:rFonts w:ascii="Times New Roman" w:hAnsi="Times New Roman"/>
                <w:sz w:val="24"/>
              </w:rPr>
              <w:t>paċuta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mill-valur nominali sħiħ ta’ riċevibbli fi flus relatati ma’ bejgħ fi żmien regolari li jistenna saldu skont l-Artikolu 429g(3) ir-Regolament (UE) Nru 575/2013.</w:t>
            </w:r>
          </w:p>
        </w:tc>
      </w:tr>
      <w:tr w:rsidR="00CB48CC" w:rsidRPr="00E75BB8" w14:paraId="7F056AC7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363AA4BD" w14:textId="49D24DA5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{0190;0010}</w:t>
            </w:r>
          </w:p>
          <w:p w14:paraId="02CEC1ED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50F25DB7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Assi oħrajn </w:t>
            </w:r>
          </w:p>
          <w:p w14:paraId="6BF56BA7" w14:textId="02AF2400" w:rsidR="00CB48CC" w:rsidRPr="000B66BC" w:rsidRDefault="009716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(a) tal-Artikolu 429(4) tar-Regolament (UE) Nru 575/2013</w:t>
            </w:r>
          </w:p>
          <w:p w14:paraId="412FDEE7" w14:textId="71A56B82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L-assi kollha minbarra l-kuntratti tad-derivattivi elenkati fl-Anness II ir-Regolament (UE) Nru 575/2013, derivattivi ta’ kreditu u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(pereż. fost l-oħrajn, assi li jridu jiġu rrapportati f’din iċ-ċellola huma kontijiet riċevibbli għall-marġni ta’ varjazzjoni tal-flus fejn rikonoxxut fil-qafas kontabilistiku operattiv, assi likwidi kif definiti skont il-proporzjon </w:t>
            </w:r>
            <w:proofErr w:type="spellStart"/>
            <w:r>
              <w:rPr>
                <w:rFonts w:ascii="Times New Roman" w:hAnsi="Times New Roman"/>
                <w:sz w:val="24"/>
              </w:rPr>
              <w:t>tal-kopertura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tal-likwidità, u tranżazzjonijiet li fallew jew mhux saldati). L-istituzzjonijiet għandhom jibbażaw il-valwazzjoni fuq il-prinċipji stabbiliti fl-Artikolu 429b(1) u 429(7) tar-Regolament (UE) Nru 575/2013.</w:t>
            </w:r>
          </w:p>
          <w:p w14:paraId="1C53A1E2" w14:textId="69743091" w:rsidR="00BA46B1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F’din iċ-ċellola, l-istituzzjonijiet għandhom jinkludu flus riċevuti jew kwalunkwe titolu li jingħata lil kontroparti permezz ta’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li jinżamm fuq il-karta tal-bilanċ (jiġifieri l-kriterji ta’ kontabbiltà għad-dekontabilizzar ma jkunux issodisfati). Barra minn hekk, l-istituzzjonijiet għandhom jirrikonoxxu entrati li huma </w:t>
            </w:r>
            <w:proofErr w:type="spellStart"/>
            <w:r>
              <w:rPr>
                <w:rFonts w:ascii="Times New Roman" w:hAnsi="Times New Roman"/>
                <w:sz w:val="24"/>
              </w:rPr>
              <w:t>mnaqqsin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minn entrati tas-CET1 u tal-Grad 1 Addizzjonali (eż. intanġibbli, assi ta’ taxxa differita eċċ.) hawnhekk.</w:t>
            </w:r>
          </w:p>
          <w:p w14:paraId="0030E8E6" w14:textId="2978235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fir-ringiela {0191;0010} ma għandux jitqies bħala tnaqqis fil-kalkolu ta’ din ir-ringiela.</w:t>
            </w:r>
          </w:p>
          <w:p w14:paraId="52C58829" w14:textId="00F0E873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L-arranġamenti ta’ ppuljar ta’ flus għandhom jiġu rrapportati fir-ringieli {0193;0010}, {0194;0010}, {0195;0010}, {0196;0010}, {0197;0010} u {0198;0010} u mhux hawn.</w:t>
            </w:r>
          </w:p>
        </w:tc>
      </w:tr>
      <w:tr w:rsidR="00CB48CC" w:rsidRPr="00E75BB8" w14:paraId="5EC00608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0DDE44FD" w14:textId="34148683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{0191;0010}</w:t>
            </w:r>
          </w:p>
          <w:p w14:paraId="23095895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38980839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Aġġustamenti ġenerali għar-riskju ta’ kreditu għal entrati fil-karta tal-bilanċ </w:t>
            </w:r>
          </w:p>
          <w:p w14:paraId="1CDF58F3" w14:textId="721A510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429(4) tar-Regolament (UE) Nru 575/2013</w:t>
            </w:r>
          </w:p>
          <w:p w14:paraId="7E1379BD" w14:textId="271041A2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</w:rPr>
              <w:t>L-ammont ta’ aġġustamenti ġenerali għar-riskju ta’ kreditu li jikkorrispondu għal entrati fil-karta tal-bilanċ msemmija fil-punt (a) tal-Artikolu 429(4) tar-Regolament (UE) Nru 575/2013, li l-istituzzjonijiet inaqqsu f’konformità mal-aħħar paragrafu tal-Artikolu 429(4) tar-Regolament (UE) Nru 575/2013.</w:t>
            </w:r>
          </w:p>
          <w:p w14:paraId="58EB87A7" w14:textId="35B2ADB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ma għandux jitqies bħala tnaqqis fil-kalkolu ta’ assi oħrajn irrapportati f’{0190;0010}.</w:t>
            </w:r>
          </w:p>
        </w:tc>
      </w:tr>
      <w:tr w:rsidR="006E0322" w:rsidRPr="00E75BB8" w14:paraId="2DB04EEA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07B43E1F" w14:textId="12AF740D" w:rsidR="006E0322" w:rsidRPr="000B66BC" w:rsidRDefault="006E032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{0193;0010}</w:t>
            </w:r>
          </w:p>
          <w:p w14:paraId="28BFDD3E" w14:textId="77777777" w:rsidR="006E0322" w:rsidRPr="000B66BC" w:rsidRDefault="006E032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63974CEB" w14:textId="77777777" w:rsidR="00103B23" w:rsidRPr="000B66BC" w:rsidRDefault="00103B2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Arranġamenti ta’ ppuljar ta’ flus li ma jistgħux jiġu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b’mod prudenti: valur fil-qafas kontabilistiku</w:t>
            </w:r>
          </w:p>
          <w:p w14:paraId="01265E9F" w14:textId="22BFBC85" w:rsidR="00103B23" w:rsidRPr="000B66BC" w:rsidRDefault="009F6A5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Il-paragrafi (2) u (3) tal-Artikolu 429b tar-Regolament (UE) Nru 575/2013</w:t>
            </w:r>
          </w:p>
          <w:p w14:paraId="421B559D" w14:textId="30B00F23" w:rsidR="006E0322" w:rsidRPr="000B66BC" w:rsidRDefault="00103B2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kontabilistiku tal-arranġamenti ta’ ppuljar ta’ flus, jiġifieri ta’ arranġamenti li bihom il-bilanċi ta’ kreditu jew ta’ debitu ta’ diversi kontijiet individwali jiġu kkombinati għall-finijiet ta’ ġestjoni tal-flus jew tal-likwidità, li ma jistgħux jiġu </w:t>
            </w:r>
            <w:proofErr w:type="spellStart"/>
            <w:r>
              <w:rPr>
                <w:rFonts w:ascii="Times New Roman" w:hAnsi="Times New Roman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f’konformità </w:t>
            </w:r>
            <w:proofErr w:type="spellStart"/>
            <w:r>
              <w:rPr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Fonts w:ascii="Times New Roman" w:hAnsi="Times New Roman"/>
                <w:sz w:val="24"/>
              </w:rPr>
              <w:t>-paragrafi (2) u (3) tal-Artikolu 429b tar-Regolament (UE) Nru 575/2013.</w:t>
            </w:r>
          </w:p>
        </w:tc>
      </w:tr>
      <w:tr w:rsidR="00CB48CC" w:rsidRPr="00E75BB8" w14:paraId="26F15125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5FD0298B" w14:textId="2215C91C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{0194;0010}</w:t>
            </w:r>
          </w:p>
          <w:p w14:paraId="4FD69EB9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77940841" w14:textId="77777777" w:rsidR="00103B23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Arranġamenti ta’ ppuljar ta’ flus li ma jistgħux jiġu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b’mod prudenti: l-effett tal-aggregazzjoni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tan-netting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applikat fil-qafas kontabilistiku</w:t>
            </w:r>
          </w:p>
          <w:p w14:paraId="390CF1DE" w14:textId="6D417CDE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429(7(b) u l-paragrafu (2) u (3) ta’ 429b ir-Regolament (UE) Nru 575/2013</w:t>
            </w:r>
          </w:p>
          <w:p w14:paraId="7AC9B352" w14:textId="40BB7FB2" w:rsidR="00CB48CC" w:rsidRPr="000B66BC" w:rsidRDefault="00103B2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L-ammont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innettjat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skont il-qafas kontabilistiku applikabbli fuq l-arranġamenti ta’ ppuljar ta’ flus li ma jistgħux jiġu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b’mod prudenti, irrapportat f’{0193;0010}.</w:t>
            </w:r>
          </w:p>
        </w:tc>
      </w:tr>
      <w:tr w:rsidR="00CB48CC" w:rsidRPr="00E75BB8" w14:paraId="751549C0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12C2B1C4" w14:textId="60D4BAFE" w:rsidR="00974BCC" w:rsidRPr="000B66BC" w:rsidRDefault="00974B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{0195;0010}</w:t>
            </w:r>
          </w:p>
          <w:p w14:paraId="522A5DF4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3E634ADC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Arranġamenti ta’ ppuljar ta’ flus li jistgħu jiġu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b’mod prudenti: valur fil-qafas kontabilistiku</w:t>
            </w:r>
          </w:p>
          <w:p w14:paraId="444FD556" w14:textId="0460319C" w:rsidR="00CB48CC" w:rsidRPr="000B66BC" w:rsidRDefault="0073197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Il-paragrafi (2) u (3) tal-Artikolu 429b tar-Regolament (UE) Nru 575/2013</w:t>
            </w:r>
          </w:p>
          <w:p w14:paraId="5FF92BE1" w14:textId="795BE2F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kontabilistiku tal-arranġamenti ta’ ppuljar ta’ flus, jiġifieri ta’ arranġamenti li bihom il-bilanċi ta’ kreditu jew ta’ debitu ta’ diversi kontijiet individwali jiġu kkombinati għall-finijiet ta’ ġestjoni tal-flus jew tal-likwidità, li ma jistgħux jiġu </w:t>
            </w:r>
            <w:proofErr w:type="spellStart"/>
            <w:r>
              <w:rPr>
                <w:rFonts w:ascii="Times New Roman" w:hAnsi="Times New Roman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f’konformità </w:t>
            </w:r>
            <w:proofErr w:type="spellStart"/>
            <w:r>
              <w:rPr>
                <w:rFonts w:ascii="Times New Roman" w:hAnsi="Times New Roman"/>
                <w:sz w:val="24"/>
              </w:rPr>
              <w:t>mal</w:t>
            </w:r>
            <w:proofErr w:type="spellEnd"/>
            <w:r>
              <w:rPr>
                <w:rFonts w:ascii="Times New Roman" w:hAnsi="Times New Roman"/>
                <w:sz w:val="24"/>
              </w:rPr>
              <w:t>-paragrafi (2) u (3) tal-Artikolu 429b tar-Regolament (UE) Nru 575/2013.</w:t>
            </w:r>
          </w:p>
        </w:tc>
      </w:tr>
      <w:tr w:rsidR="00CB48CC" w:rsidRPr="00E75BB8" w14:paraId="0FD5A27F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4CBB43FC" w14:textId="18B8DCAA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{0196;0010}</w:t>
            </w:r>
          </w:p>
          <w:p w14:paraId="472BF07D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7BB5D25C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Arranġamenti ta’ ppuljar ta’ flus li jistgħu jiġu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b’mod prudenti: l-effett tal-aggregazzjoni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tan-netting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applikat fil-qafas kontabilistiku</w:t>
            </w:r>
          </w:p>
          <w:p w14:paraId="770F0F10" w14:textId="551E3D5F" w:rsidR="00CB48CC" w:rsidRPr="000B66BC" w:rsidRDefault="009F6A5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Il-paragrafi (2) u (3) tal-Artikolu 429b tar-Regolament (UE) Nru 575/2013</w:t>
            </w:r>
          </w:p>
          <w:p w14:paraId="4F594E25" w14:textId="2FF29B12" w:rsidR="00864866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L-ammont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innettjat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skont il-qafas kontabilistiku applikabbli fuq l-arranġamenti ta’ ppuljar ta’ flus li jistgħu jiġu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b’mod prudenti, irrapportat f’{0195;0010}.</w:t>
            </w:r>
          </w:p>
          <w:p w14:paraId="14E77DE6" w14:textId="4279D111" w:rsidR="00CB48CC" w:rsidRPr="000B66BC" w:rsidRDefault="00166A6F" w:rsidP="000B66BC">
            <w:pPr>
              <w:pStyle w:val="BodyText1"/>
              <w:spacing w:after="24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Meta l-istituzzjoni tissodisfa l-punt (b) tal-Artikolu 429b(2), ma għandhomx japplikaw il-gross-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up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f’din ir-ringiela għal bilanċi mitmuma fuq il-bażi tal-proċess stabbilit fil-punt (a) tal-Artikolu 429b(2).</w:t>
            </w:r>
          </w:p>
        </w:tc>
      </w:tr>
      <w:tr w:rsidR="00CB48CC" w:rsidRPr="00E75BB8" w14:paraId="6C598455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11C78F9F" w14:textId="649683AF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{0197;0010}</w:t>
            </w:r>
          </w:p>
          <w:p w14:paraId="2FDD840E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601FD6E4" w14:textId="2EE4433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Arranġamenti ta’ ppuljar ta’ flus li jistgħu jiġu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b’mod prudenti: Rikonoxximent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tan-netting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skont l-Artikolu 429b(2)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>-CRR</w:t>
            </w:r>
          </w:p>
          <w:p w14:paraId="52C1DAD6" w14:textId="04254F3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429b(2) tar-Regolament (UE) Nru 575/2013</w:t>
            </w:r>
          </w:p>
          <w:p w14:paraId="6514DC6F" w14:textId="4B1A16D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L-ammont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innettjat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mill-iskopertura grossa relatata mal-arranġamenti ta’ ppuljar ta’ flus (is-somma tar-ringieli 0195 u 0196) f’konformità mal-Artikolu 429b(2).</w:t>
            </w:r>
          </w:p>
        </w:tc>
      </w:tr>
      <w:tr w:rsidR="00CB48CC" w:rsidRPr="00E75BB8" w14:paraId="6681A527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4136B44E" w14:textId="263B95A4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{0198;0010}</w:t>
            </w:r>
          </w:p>
          <w:p w14:paraId="6AAFDEE3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7806A066" w14:textId="6CD2427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Arranġamenti ta’ ppuljar ta’ flus li jistgħu jiġu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nnettjati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b’mod prudenti: Rikonoxximent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tan-netting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 skont l-Artikolu 429b(3)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>-CRR</w:t>
            </w:r>
          </w:p>
          <w:p w14:paraId="10AA0B56" w14:textId="265D95F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Artikolu 429b(3) tar-Regolament (UE) Nru 575/2013. 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L-ammont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innettjat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mill-iskopertura grossa relatata mal-arranġamenti ta’ ppuljar ta’ flus (is-somma tar-ringieli 0195 u 0196) f’konformità mal-Artikolu 429b(3).</w:t>
            </w:r>
          </w:p>
        </w:tc>
      </w:tr>
      <w:tr w:rsidR="00CB48CC" w:rsidRPr="00E75BB8" w14:paraId="3E08AE39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16A9AAE1" w14:textId="7B5874EF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{0200;0010}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060D27D3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 gross għall-kollateral tad-derivattivi pprovdut</w:t>
            </w:r>
          </w:p>
          <w:p w14:paraId="2AA08714" w14:textId="6F4E6D5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429c(2) tar-Regolament (UE) Nru 575/2013</w:t>
            </w:r>
          </w:p>
          <w:p w14:paraId="6B6AC708" w14:textId="2EC6335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ta’ kwalunkwe kollateral tad-derivattivi pprovdut meta l-provvediment ta’ dak il-kollateral inaqqas l-ammont tal-assi fil-qafas kontabilistiku applikabbli, kif stabbilit fl-Artikolu 429c(2) ir-Regolament (UE) Nru 575/2013.</w:t>
            </w:r>
          </w:p>
          <w:p w14:paraId="3815F945" w14:textId="04AC9768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ma għandhomx jinkludu f’din iċ-ċellola l-marġni inizjali għal tranżazzjonijiet derivattivi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għall-klijent b’CCP kwalifikanti (QCCP) jew marġni ta’ varjazzjoni eliġibbli fi flus, kif definit fl-Artikolu 429c(3) ir-Regolament (UE) Nru 575/2013.</w:t>
            </w:r>
          </w:p>
        </w:tc>
      </w:tr>
      <w:tr w:rsidR="00CB48CC" w:rsidRPr="00E75BB8" w14:paraId="5CAE26AC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6E109898" w14:textId="552996B4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{0210;0010}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0DBB01E6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Riċevibbli għall-marġni ta’ varjazzjoni fil-flus ipprovduti fi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tranżazjonijiet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ta’ derivattivi</w:t>
            </w:r>
          </w:p>
          <w:p w14:paraId="353AEF67" w14:textId="6C391B7D" w:rsidR="00CB48CC" w:rsidRPr="000B66BC" w:rsidRDefault="001475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(c) tal-Artikolu 429c(3) tar-Regolament (UE) Nru 575/2013</w:t>
            </w:r>
          </w:p>
          <w:p w14:paraId="43A45BE7" w14:textId="65E078C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Ir-riċevibbli għall-marġni ta’ varjazzjoni mħallas fi flus lill-kontroparti fi tranżazzjonijiet derivattivi jekk l-istituzzjoni tkun meħtieġa, fil-qafas kontabilistiku applikabbli, li tirrikonoxxi dawn ir-riċevibbli bħala assi, diment li jkunu ssodisfati l-kundizzjonijiet fil-punti (a) sa (e) tal-Artikolu 429c(3) ir-Regolament (UE) Nru 575/2013.</w:t>
            </w:r>
          </w:p>
          <w:p w14:paraId="5E1EBFBA" w14:textId="5DE4D17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fl-assi l-oħrajn irrapportati f’{0190;0010}.</w:t>
            </w:r>
          </w:p>
        </w:tc>
      </w:tr>
      <w:tr w:rsidR="00CB48CC" w:rsidRPr="00E75BB8" w14:paraId="7004E9E4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200E881A" w14:textId="0436C5A2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{0220;0010}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68880B55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Komponent eżentat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-CCP tal-iskoperturi ta’ negozju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għall-klijent (marġni inizjali)</w:t>
            </w:r>
          </w:p>
          <w:p w14:paraId="3E812C65" w14:textId="6F86598F" w:rsidR="00CB48CC" w:rsidRPr="000B66BC" w:rsidRDefault="001475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(g) tal-Artikolu 429a(1) tar-Regolament (UE) Nru 575/2013</w:t>
            </w:r>
          </w:p>
          <w:p w14:paraId="5FE3535A" w14:textId="1026B90A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Il-porzjon tal-marġni inizjali (depożitat) tal-iskoperturi ta’ negozju eżentati għal QCCP minn tranżazzjonijiet derivattivi </w:t>
            </w:r>
            <w:proofErr w:type="spellStart"/>
            <w:r>
              <w:rPr>
                <w:rFonts w:ascii="Times New Roman" w:hAnsi="Times New Roman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għall-klijent, dment li dawk l-entrati jissodisfaw il-kundizzjonijiet stabbiliti fil-punt (c) tal-Artikolu 306(1) tar-Regolament (UE) Nru 575/2013.</w:t>
            </w:r>
          </w:p>
          <w:p w14:paraId="6C360905" w14:textId="21F19BE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fl-assi l-oħrajn irrapportati f’{0190;0010}.</w:t>
            </w:r>
          </w:p>
        </w:tc>
      </w:tr>
      <w:tr w:rsidR="00CB48CC" w:rsidRPr="00E75BB8" w14:paraId="49F39ED5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078DD162" w14:textId="26EF1E5A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{0230;0010}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66A65253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Aġġustamenti għal tranżazzjonijiet kontabilistiċi ta’ bejgħ SFT</w:t>
            </w:r>
          </w:p>
          <w:p w14:paraId="46B4994C" w14:textId="3895724D" w:rsidR="00CB48CC" w:rsidRPr="00D51F9E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429e(6) tar-Regolament (UE) Nru 575/2013</w:t>
            </w:r>
          </w:p>
          <w:p w14:paraId="05B69EB8" w14:textId="4CF799C1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tat-titoli </w:t>
            </w:r>
            <w:proofErr w:type="spellStart"/>
            <w:r>
              <w:rPr>
                <w:rFonts w:ascii="Times New Roman" w:hAnsi="Times New Roman"/>
                <w:sz w:val="24"/>
              </w:rPr>
              <w:t>msellfa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fi tranżazzjoni ta’ riakkwist li huma </w:t>
            </w:r>
            <w:proofErr w:type="spellStart"/>
            <w:r>
              <w:rPr>
                <w:rFonts w:ascii="Times New Roman" w:hAnsi="Times New Roman"/>
                <w:sz w:val="24"/>
              </w:rPr>
              <w:t>dekontabilizzati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minħabba tranżazzjoni ta’ kontabbiltà tal-bejgħ fil-qafas kontabilistiku applikabbli.</w:t>
            </w:r>
          </w:p>
        </w:tc>
      </w:tr>
      <w:tr w:rsidR="00CB48CC" w:rsidRPr="00E75BB8" w14:paraId="5CBC395D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22212EBE" w14:textId="01A07AD0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{0235;0010}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6E0AEEEF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Tnaqqis tal-valur tal-iskopertura ta’ prefinanzjament jew self intermedju </w:t>
            </w:r>
          </w:p>
          <w:p w14:paraId="44C18D39" w14:textId="584EBA41" w:rsidR="00131C70" w:rsidRPr="000B66BC" w:rsidRDefault="00131C7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429(8) tar-Regolament (UE) Nru 575/2013</w:t>
            </w:r>
          </w:p>
          <w:p w14:paraId="211507FA" w14:textId="5F4C37FD" w:rsidR="00131C70" w:rsidRPr="000B66BC" w:rsidRDefault="00131C70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imnaqqas mill-valur tal-iskopertura ta’ self ta’ prefinanzjament jew self intermedju, skont l-Artikolu 429(8) ir-Regolament (UE) Nru 575/2013.</w:t>
            </w:r>
          </w:p>
          <w:p w14:paraId="28E46325" w14:textId="539EE861" w:rsidR="00131C70" w:rsidRPr="000B66BC" w:rsidRDefault="002662F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fl-assi l-oħrajn irrapportati f’{0190;0010}.</w:t>
            </w:r>
          </w:p>
        </w:tc>
      </w:tr>
      <w:tr w:rsidR="00CB48CC" w:rsidRPr="00E75BB8" w14:paraId="18C57782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3BF18418" w14:textId="18069978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{0240;0010}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3B65685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(-) Assi fiduċjarji</w:t>
            </w:r>
          </w:p>
          <w:p w14:paraId="7B749386" w14:textId="0A0CBFBA" w:rsidR="00CB48CC" w:rsidRPr="000B66BC" w:rsidRDefault="00520E2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(i) tal-Artikolu 429a(1) tar-Regolament (UE) Nru 575/2013</w:t>
            </w:r>
          </w:p>
          <w:p w14:paraId="0AD4C34E" w14:textId="2623FBB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tal-assi fiduċjarji li huma rikonoxxuti fuq il-karta tal-bilanċ tal-istituzzjoni skont il-prinċipji kontabilistiċi ġeneralment aċċettati, jissodisfaw il-kriterji tal-IFRS 9 għad-dekontabilizzar u, fejn applikabbli, l-IFRS 10 għad-</w:t>
            </w:r>
            <w:proofErr w:type="spellStart"/>
            <w:r>
              <w:rPr>
                <w:rFonts w:ascii="Times New Roman" w:hAnsi="Times New Roman"/>
                <w:sz w:val="24"/>
              </w:rPr>
              <w:t>dekonsolidazzjoni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skont l-Artikolu 429a(1) ir-Regolament (UE) Nru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575/2013, meta ma jiġi </w:t>
            </w:r>
            <w:proofErr w:type="spellStart"/>
            <w:r>
              <w:rPr>
                <w:rFonts w:ascii="Times New Roman" w:hAnsi="Times New Roman"/>
                <w:sz w:val="24"/>
              </w:rPr>
              <w:t>supponut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ebda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effett CRM ieħor (jiġifieri kull effett li jirriżulta min-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CRM li kellu impatt fuq il-valur kontabilistiku għandu jitreġġa’ lura).</w:t>
            </w:r>
          </w:p>
          <w:p w14:paraId="3BDFEE4B" w14:textId="1245B02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fl-assi l-oħrajn irrapportati f’{0190;0010}.</w:t>
            </w:r>
          </w:p>
        </w:tc>
      </w:tr>
      <w:tr w:rsidR="00CB48CC" w:rsidRPr="00E75BB8" w14:paraId="6FE4C909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6A867BE8" w14:textId="56A136F0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{0250;0010}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444C70A3" w14:textId="69402B4C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(-) Skoperturi intragrupp (bażi individwali) eżentati skont il-punt (c) tal-Artikolu 429a(1)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-CRR</w:t>
            </w:r>
          </w:p>
          <w:p w14:paraId="1E2E0D64" w14:textId="4D7D7234" w:rsidR="00CB48CC" w:rsidRPr="000B66BC" w:rsidRDefault="0001056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(c) tal-Artikolu 429a(1) u l-Artikolu 113(6) tar-Regolament (UE) Nru 575/2013</w:t>
            </w:r>
          </w:p>
          <w:p w14:paraId="76D582E8" w14:textId="03A6394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Skoperturi li ma jkunux ġew konsolidati fil-livell applikabbli ta’ konsolidazzjoni, li jistgħu jibbenefikaw mit-trattament stabbilit fl-Artikolu 113(6) tar-Regolament (UE) Nru 575/2013, dment li jiġu ssodisfati l-kundizzjonijiet kollha stabbiliti fil-punti (a) sa (e) tal-Artikolu 113(6) tar-Regolament (UE) Nru 575/2013 u meta l-awtoritajiet kompetenti jkunu taw l-approvazzjoni tagħhom.</w:t>
            </w:r>
          </w:p>
          <w:p w14:paraId="01853F94" w14:textId="1684672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38D7A9B9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370147EC" w14:textId="12EDC221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{0251;0010}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4730EC18" w14:textId="4AA5BCE0" w:rsidR="00CB48CC" w:rsidRPr="000B66BC" w:rsidRDefault="00CB48CC" w:rsidP="000B66BC">
            <w:pPr>
              <w:spacing w:after="24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Skoperturi IPS eżentati skont il-punt (c) tal-Artikolu 429a(1)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-CRR </w:t>
            </w:r>
          </w:p>
          <w:p w14:paraId="7A5F0217" w14:textId="1AEEF28A" w:rsidR="00CB48CC" w:rsidRPr="000B66BC" w:rsidRDefault="009433A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(c) tal-Artikolu 429a(1) u l-Artikolu 113(7) tar-Regolament (UE) Nru 575/2013</w:t>
            </w:r>
          </w:p>
          <w:p w14:paraId="16C42B04" w14:textId="0BA4DB29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Skoperturi li jistgħu jibbenefikaw mit-trattament stabbilit fl-Artikolu 113(7) tar-Regolament (UE) Nru 575/2013, dment li jiġu ssodisfati l-kundizzjonijiet kollha stabbiliti fil-punti (a) sa (i) tal-Artikolu 113(7) tar-Regolament (UE) Nru 575/2013 u meta l-awtoritajiet kompetenti jkunu taw l-approvazzjoni tagħhom.</w:t>
            </w:r>
          </w:p>
          <w:p w14:paraId="3349FF66" w14:textId="7075C42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3D12C1" w:rsidRPr="00E75BB8" w14:paraId="74420A08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24AEF8FA" w14:textId="4344C276" w:rsidR="003D12C1" w:rsidRPr="000B66BC" w:rsidRDefault="003D12C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{0900;0010}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0F7B2C03" w14:textId="4E78668C" w:rsidR="003D12C1" w:rsidRDefault="0093277B" w:rsidP="000B66BC">
            <w:pPr>
              <w:spacing w:after="240"/>
              <w:jc w:val="both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(-) Skoperturi IPS eżentati skont il-punt (c) tal-Artikolu 429a(1) tar-Regolament (UE) Nru 575/2013</w:t>
            </w:r>
          </w:p>
          <w:p w14:paraId="6CE8CCB5" w14:textId="724F065F" w:rsidR="00D31203" w:rsidRDefault="0093277B" w:rsidP="00D31203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</w:t>
            </w:r>
            <w:proofErr w:type="spellStart"/>
            <w:r>
              <w:rPr>
                <w:rFonts w:ascii="Times New Roman" w:hAnsi="Times New Roman"/>
                <w:sz w:val="24"/>
              </w:rPr>
              <w:t>ca</w:t>
            </w:r>
            <w:proofErr w:type="spellEnd"/>
            <w:r>
              <w:rPr>
                <w:rFonts w:ascii="Times New Roman" w:hAnsi="Times New Roman"/>
                <w:sz w:val="24"/>
              </w:rPr>
              <w:t>) tal-Artikolu 429a(1), l-Artikolu 113(7), l-Artikolu 114 tar-Regolament (UE) Nru 575/2013 Skoperturi li jistgħu jibbenefikaw mit-trattament stabbilit fl-Artikolu 113(7) u l-Artikolu 114 tar-Regolament (UE) Nru 575/2013 dment li jiġu ssodisfati l-kundizzjonijiet kollha stabbiliti fil-punt (</w:t>
            </w:r>
            <w:proofErr w:type="spellStart"/>
            <w:r>
              <w:rPr>
                <w:rFonts w:ascii="Times New Roman" w:hAnsi="Times New Roman"/>
                <w:sz w:val="24"/>
              </w:rPr>
              <w:t>ca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tal-Artikolu 429a(1) tar-Regolament (UE) Nru 575/2013. </w:t>
            </w:r>
          </w:p>
          <w:p w14:paraId="679257E0" w14:textId="1D0F3ECC" w:rsidR="0093277B" w:rsidRPr="000B66BC" w:rsidRDefault="00B96F9D" w:rsidP="00D31203">
            <w:pPr>
              <w:pStyle w:val="BodyText1"/>
              <w:spacing w:after="240" w:line="240" w:lineRule="auto"/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1D8BFA67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4496E47D" w14:textId="20CF4394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{0252;0010}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6BC877C8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Partijiet garantiti ta’ skoperturi esklużi li jirriżultaw minn krediti għall-esportazzjoni </w:t>
            </w:r>
          </w:p>
          <w:p w14:paraId="43FFAEEA" w14:textId="5CB46AF0" w:rsidR="00EC6F1E" w:rsidRPr="000B66BC" w:rsidRDefault="00A42B1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(g) tal-Artikolu 429a(1) tar-Regolament (UE) Nru 575/2013</w:t>
            </w:r>
          </w:p>
          <w:p w14:paraId="0F2E3189" w14:textId="10775FEB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Il-partijiet garantiti tal-iskoperturi li jirriżultaw minn krediti għall-esportazzjoni li jistgħu jiġu esklużi meta jiġu ssodisfati l-kundizzjonijiet tal-punt (f) tal-Artikolu 429a(1) tar-Regolament (UE) Nru 575/2013.</w:t>
            </w:r>
          </w:p>
          <w:p w14:paraId="4BBC9AD0" w14:textId="70F280C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7AD87F00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1E11F6EB" w14:textId="77777777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23A635F" w14:textId="34C01BC7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{0253;0010}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050310BA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(-) Kollateral eċċessiv eskluż depożitat ma’ aġenti tripartitiċi</w:t>
            </w:r>
          </w:p>
          <w:p w14:paraId="209C179F" w14:textId="4EA76EF8" w:rsidR="00EC6F1E" w:rsidRPr="000B66BC" w:rsidRDefault="00A42B1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(k) tal-Artikolu 429a(1) tar-Regolament (UE) Nru 575/2013</w:t>
            </w:r>
          </w:p>
          <w:p w14:paraId="64B746C7" w14:textId="3E23835E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Il-kollateral eċċessiv depożitat ma’ aġenti tripartitiċi li ma jkunx ingħata b’self, li jista’ jiġi eskluż skont il-punt (k) tal-Artikolu 429a(1).</w:t>
            </w:r>
          </w:p>
          <w:p w14:paraId="7D107153" w14:textId="22433B1F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54166E91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5E8D1AF5" w14:textId="6DF49680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{0254;0010}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665021DC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Skoperturi titolizzati esklużi li jirrappreżentaw trasferiment ta’ riskju sinifikanti </w:t>
            </w:r>
          </w:p>
          <w:p w14:paraId="69C77F33" w14:textId="08590D91" w:rsidR="00EC6F1E" w:rsidRPr="000B66BC" w:rsidRDefault="00A42B1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(m) tal-Artikolu 429a(1) tar-Regolament (UE) Nru 575/2013</w:t>
            </w:r>
          </w:p>
          <w:p w14:paraId="17E7D3CF" w14:textId="77777777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L-iskoperturi titolizzati minn titolizzazzjonijiet tradizzjonali li jissodisfaw il-kondizzjonijiet għat-trasferiment ta’ riskju sinifikanti stipulati fl-Artikolu 244(2).</w:t>
            </w:r>
          </w:p>
          <w:p w14:paraId="56BAB74A" w14:textId="083FCC3D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7069054A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7B9CA4F6" w14:textId="3C428DC7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{0255;0010}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43716DF9" w14:textId="5295AF58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Skoperturi għall-bank ċentrali eżentati skont il-punt (n) tal-Artikolu 429a(1)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>-CRR</w:t>
            </w:r>
          </w:p>
          <w:p w14:paraId="737C879F" w14:textId="5B6A359D" w:rsidR="00EC6F1E" w:rsidRPr="000B66BC" w:rsidRDefault="00DE248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(n) tal-Artikolu 429a(1) tar-Regolament (UE) Nru 575/2013</w:t>
            </w:r>
          </w:p>
          <w:p w14:paraId="300950AF" w14:textId="128AE793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54E04016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07FCDF2C" w14:textId="69109565" w:rsidR="00EC6F1E" w:rsidRPr="000B66BC" w:rsidRDefault="00EC6F1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{0256;0010}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0B0A550F" w14:textId="14979BE2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(−) Servizzi anċillari ta’ tip bankarju ta’ CSD/istituzzjonijiet esklużi skont il-punt (o) tal-Artikolu 429a(1) tar-Regolament (UE) Nru 575/2013</w:t>
            </w:r>
          </w:p>
          <w:p w14:paraId="5D17ABE6" w14:textId="1743EA65" w:rsidR="00EC6F1E" w:rsidRPr="000B66BC" w:rsidRDefault="00F8268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(o) tal-Artikolu 429a(1) tar-Regolament (UE) Nru 575/2013</w:t>
            </w:r>
          </w:p>
          <w:p w14:paraId="2A59DF82" w14:textId="75E2BAB5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EC6F1E" w:rsidRPr="00E75BB8" w14:paraId="796C7E67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3A077F3C" w14:textId="5BBF63E4" w:rsidR="00EC6F1E" w:rsidRPr="000B66BC" w:rsidRDefault="0001312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{0257;0010}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4CA8E235" w14:textId="7031D048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Servizzi anċillari ta’ tip bankarju ta’ istituzzjonijiet magħżula esklużi skont il-punt (p) tal-Artikolu 429a(1)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>-CRR</w:t>
            </w:r>
          </w:p>
          <w:p w14:paraId="290DEB1D" w14:textId="2383EE7F" w:rsidR="00F82681" w:rsidRPr="000B66BC" w:rsidRDefault="00B329C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(p) tal-Artikolu 429a(1) tar-Regolament (UE) Nru 575/2013</w:t>
            </w:r>
          </w:p>
          <w:p w14:paraId="302E407B" w14:textId="2195E524" w:rsidR="00EC6F1E" w:rsidRPr="000B66BC" w:rsidRDefault="00EC6F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759771C3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523A3FCF" w14:textId="6DF532E0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{0260;0010}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1FAED4EC" w14:textId="176154C2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(-) Skoperturi eżentati skont il-punt (j ) tal-Artikolu 429a(1) CRR</w:t>
            </w:r>
          </w:p>
          <w:p w14:paraId="218BC8E5" w14:textId="0EE868DE" w:rsidR="00CB48CC" w:rsidRPr="000B66BC" w:rsidRDefault="00B329C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(j) tal-Artikolu 429a(1) tar-Regolament (UE) Nru 575/2013</w:t>
            </w:r>
          </w:p>
          <w:p w14:paraId="3A1ACCB0" w14:textId="050BCAC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Skoperturi eżentati f’konformità mal-punt (j) ta’ 429a(1) tar-Regolament (UE) Nru 575/2013 sakemm jiġu ssodisfati l-kundizzjonijiet iddikjarati fih.</w:t>
            </w:r>
          </w:p>
          <w:p w14:paraId="639566D9" w14:textId="70FB6A4B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4D2ECF18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4DF44B5D" w14:textId="2AAC5E7C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{0261;0010}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7117C87C" w14:textId="7829B627" w:rsidR="00743C1E" w:rsidRPr="000B66BC" w:rsidRDefault="009D46F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t>(-) Skoperturi esklużi ta’ istituzzjonijiet ta’ kreditu għall-iżvilupp pubbliku - Investimenti fis-settur pubbliku</w:t>
            </w:r>
          </w:p>
          <w:p w14:paraId="387343FE" w14:textId="306E8AEF" w:rsidR="00743C1E" w:rsidRPr="000B66BC" w:rsidRDefault="0099354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(d) tal-paragrafu (1) u l-paragrafu (2) tal-Artikolu 429a tar-Regolament (UE) Nru 575/2013</w:t>
            </w:r>
          </w:p>
          <w:p w14:paraId="740BFE27" w14:textId="1BD4C27A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L-iskoperturi li jirriżultaw minn assi li jikkostitwixxu pretensjonijiet fuq gvernijiet ċentrali, gvernijiet reġjonali, awtoritajiet lokali jew entitajiet tas-settur pubbliku fir-rigward ta’ investimenti fis-settur pubbliku, li jistgħu jiġu esklużi skont il-punt (d) tal-Artikolu 429a(1) tar-Regolament (UE) Nru 575/2013.</w:t>
            </w:r>
          </w:p>
          <w:p w14:paraId="0B2209FE" w14:textId="4A72C105" w:rsidR="000F5958" w:rsidRPr="000B66BC" w:rsidRDefault="000F595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Fejn il-pretensjoni tikkwalifika wkoll bħala self promozzjonali skont l-Artikolu 429a(3), din ma għandhiex tiġi rrapportata f’din iċ-ċellola iżda taħt ir-ringieli 0262–0264 kif applikabbli.</w:t>
            </w:r>
          </w:p>
          <w:p w14:paraId="1F103E32" w14:textId="51AB418A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53C01F29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17CB97C6" w14:textId="5334142B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{0262;0010}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788A486A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(-) Skoperturi esklużi ta’ istituzzjonijiet ta’ kreditu għall-iżvilupp pubbliku - Self Promozzjonali mogħti minn istituzzjoni ta’ kreditu għall-iżvilupp pubbliku</w:t>
            </w:r>
          </w:p>
          <w:p w14:paraId="30828A29" w14:textId="4C357904" w:rsidR="00743C1E" w:rsidRPr="000B66BC" w:rsidRDefault="0054252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 (d) tal-paragrafu (1) u l-paragrafi (2) u (3) tal-Artikolu 429a tar-Regolament (UE) Nru 575/2013</w:t>
            </w:r>
          </w:p>
          <w:p w14:paraId="672E00E2" w14:textId="08CD6F59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L-iskoperturi li jirriżultaw minn self promozzjonali, inkluż self promozzjonali ta’ trasferiment, mogħti minn istituzzjoni ta’ kreditu għall-iżvilupp pubbliku, li jistgħu jiġu esklużi skont il-punt (d) tal-Artikolu 429a(1) ir-Regolament (UE) Nru 575/2013.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L-iskoperturi tal-unità ta’ istituzzjoni li hija ttrattata bħala istituzzjoni ta’ kreditu għall-iżvilupp pubbliku minn </w:t>
            </w:r>
            <w:r>
              <w:rPr>
                <w:rFonts w:ascii="Times New Roman" w:hAnsi="Times New Roman"/>
                <w:sz w:val="24"/>
              </w:rPr>
              <w:lastRenderedPageBreak/>
              <w:t>awtorità kompetenti f’konformità mal-aħħar paragrafu tal-Artikolu 429a(2) ir-Regolament (UE) Nru 575/2013, għandhom jiġu kkunsidrati wkoll.</w:t>
            </w:r>
          </w:p>
          <w:p w14:paraId="64C77AD5" w14:textId="227981CE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00B60DDD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0C78434F" w14:textId="7703C49F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{0263;0010}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7CBAF840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(-) Skoperturi esklużi ta’ istituzzjonijiet ta’ kreditu għall-iżvilupp pubbliku - Self promozzjonali mogħti minn entità stabbilita direttament mill-gvern ċentrali, gvernijiet reġjonali jew awtoritajiet lokali ta’ Stat Membru</w:t>
            </w:r>
          </w:p>
          <w:p w14:paraId="4B17F8AE" w14:textId="36E2BB1D" w:rsidR="009D46F6" w:rsidRPr="000B66BC" w:rsidRDefault="00C36AC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 (d) tal-paragrafu (1) u l-paragrafi (2) u (3) tal-Artikolu 429a r-Regolament (UE) Nru 575/2013.</w:t>
            </w:r>
          </w:p>
          <w:p w14:paraId="6FAF30DE" w14:textId="69B451A9" w:rsidR="00E849C2" w:rsidRPr="000B66BC" w:rsidRDefault="00E849C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L-iskoperturi li jirriżultaw minn self promozzjonali, inkluż self promozzjonali ta’ trasferiment, mogħti minn entità stabbilita direttament mill-gvern ċentrali, gvernijiet reġjonali jew awtoritajiet lokali ta’ Stat Membru, li jistgħu jiġu esklużi skont il-punt (d) tal-Artikolu 429a(1). L-iskoperturi tal-unità ta’ istituzzjoni li hija ttrattata bħala istituzzjoni ta’ kreditu għall-iżvilupp pubbliku minn awtorità kompetenti skont l-aħħar paragrafu tal-Artikolu 429a(2), għandhom jiġu kkunsidrati wkoll.</w:t>
            </w:r>
          </w:p>
          <w:p w14:paraId="5A3364FC" w14:textId="2A7576CE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24911276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633E837E" w14:textId="64229AC4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{0264;0010}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7047590E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(-) Skoperturi esklużi ta’ istituzzjonijiet ta’ kreditu għall-iżvilupp pubbliku - Self promozzjonali mogħti minn entità stabbilita mill-gvern ċentrali, gvernijiet reġjonali jew awtoritajiet lokali ta’ Stat Membru permezz ta’ istituzzjoni ta’ kreditu intermedjarja</w:t>
            </w:r>
          </w:p>
          <w:p w14:paraId="6754B207" w14:textId="33310FD8" w:rsidR="009D46F6" w:rsidRPr="000B66BC" w:rsidRDefault="00C36AC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 (d) tal-paragrafu (1) u l-paragrafi (2) u (3) tal-Artikolu 429a r-Regolament (UE) Nru 575/2013.</w:t>
            </w:r>
          </w:p>
          <w:p w14:paraId="77D97E64" w14:textId="0FCAF836" w:rsidR="00E849C2" w:rsidRPr="000B66BC" w:rsidRDefault="00E849C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L-iskoperturi li jirriżultaw minn self promozzjonali, inkluż self promozzjonali ta’ trasferiment, mogħti minn entità stabbilita mill-gvern ċentrali, gvernijiet reġjonali jew awtoritajiet lokali ta’ Stat Membru permezz ta’ istituzzjoni ta’ kreditu intermedjarja, li jistgħu jiġu esklużi skont il-punt (d) tal-Artikolu 429a(1). L-iskoperturi tal-unità ta’ istituzzjoni li hija ttrattata bħala istituzzjoni ta’ kreditu għall-iżvilupp pubbliku minn awtorità kompetenti skont l-aħħar paragrafu tal-Artikolu 429a(2), għandhom jiġu kkunsidrati wkoll.</w:t>
            </w:r>
          </w:p>
          <w:p w14:paraId="318709D6" w14:textId="775B94CC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9D26A9" w:rsidRPr="00E75BB8" w14:paraId="6D70027E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23AB3133" w14:textId="474ED6D5" w:rsidR="009D26A9" w:rsidRPr="000B66BC" w:rsidRDefault="009D26A9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{0910;0010}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18FEA65B" w14:textId="77777777" w:rsidR="009D26A9" w:rsidRDefault="009D26A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(−) Skoperturi għall-azzjonisti, esklużi skont l-Artikolu 429a, il-paragrafu (1), il-punt (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da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4"/>
              </w:rPr>
              <w:t>)</w:t>
            </w:r>
          </w:p>
          <w:p w14:paraId="55A02ADA" w14:textId="3694931B" w:rsidR="009D26A9" w:rsidRDefault="009D26A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Punt (</w:t>
            </w:r>
            <w:proofErr w:type="spellStart"/>
            <w:r>
              <w:rPr>
                <w:rFonts w:ascii="Times New Roman" w:hAnsi="Times New Roman"/>
                <w:sz w:val="24"/>
              </w:rPr>
              <w:t>da</w:t>
            </w:r>
            <w:proofErr w:type="spellEnd"/>
            <w:r>
              <w:rPr>
                <w:rFonts w:ascii="Times New Roman" w:hAnsi="Times New Roman"/>
                <w:sz w:val="24"/>
              </w:rPr>
              <w:t>) tal-paragrafu (1) tal-Artikolu 429a r-Regolament (UE) Nru 575/2013.</w:t>
            </w:r>
          </w:p>
          <w:p w14:paraId="0CBC407D" w14:textId="26679CAA" w:rsidR="00F62C28" w:rsidRDefault="001E537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L-iskoperturi tal-istituzzjoni għall-azzjonisti li huma istituzzjonijiet ta’ kreditu dment li jkunu kollateralizzati u l-kundizzjonijiet kollha fil-punt (</w:t>
            </w:r>
            <w:proofErr w:type="spellStart"/>
            <w:r>
              <w:rPr>
                <w:rFonts w:ascii="Times New Roman" w:hAnsi="Times New Roman"/>
                <w:sz w:val="24"/>
              </w:rPr>
              <w:t>da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ikunu ssodisfati. </w:t>
            </w:r>
          </w:p>
          <w:p w14:paraId="798B3B54" w14:textId="3FA80E52" w:rsidR="00280AF8" w:rsidRPr="000B66BC" w:rsidRDefault="00280AF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337CD92B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6C7E09CA" w14:textId="166BCBE4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{0265;0010}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3A4A6AD1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(-) Esklużi l-iskoperturi ta’ self promozzjonali ttrasferit minn istituzzjonijiet (jew unitajiet) ta’ kreditu għall-iżvilupp mhux pubbliku - Self promozzjonali mogħti minn istituzzjoni ta’ kreditu għall-iżvilupp pubbliku</w:t>
            </w:r>
          </w:p>
          <w:p w14:paraId="51F998E0" w14:textId="6FF1F6C1" w:rsidR="009D46F6" w:rsidRPr="000B66BC" w:rsidRDefault="0079137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 (e) tal-paragrafu (1) u l-paragrafi (2) u (3) tal-Artikolu 429a r-Regolament (UE) Nru 575/2013</w:t>
            </w:r>
          </w:p>
          <w:p w14:paraId="6B9968E8" w14:textId="7DFDBBBB" w:rsidR="00743C1E" w:rsidRPr="000B66BC" w:rsidRDefault="00E849C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Il-partijiet tal-iskoperturi li jirriżultaw minn self promozzjonali ttrasferit lil istituzzjonijiet ta’ kreditu oħrajn, meta s-self promozzjonali jkun ingħata minn istituzzjoni ta’ kreditu għall-iżvilupp pubbliku. </w:t>
            </w:r>
            <w:r>
              <w:rPr>
                <w:rFonts w:ascii="Times New Roman" w:hAnsi="Times New Roman"/>
                <w:sz w:val="24"/>
              </w:rPr>
              <w:t>Il-partijiet tal-iskoperturi tal-unitajiet ta’ istituzzjoni li mhumiex trattati bħala istituzzjoni ta’ kreditu għall-iżvilupp pubbliku minn awtorità kompetenti skont l-aħħar paragrafu tal-Artikolu 429a(2), għandhom jiġu kkunsidrati wkoll.</w:t>
            </w:r>
          </w:p>
          <w:p w14:paraId="1CF30E6B" w14:textId="322E3C84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02D73868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57A4063C" w14:textId="06DE7FF4" w:rsidR="00CB48CC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{0266;0010}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4A900DCE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(-) Esklużi l-iskoperturi ta’ self promozzjonali ttrasferit minn istituzzjonijiet (jew unitajiet) ta’ kreditu għall-iżvilupp mhux pubbliku - Self promozzjonali mogħti minn entità stabbilita direttament mill-gvern ċentrali, gvernijiet reġjonali jew awtoritajiet lokali ta’ Stat Membru</w:t>
            </w:r>
          </w:p>
          <w:p w14:paraId="003BD5E4" w14:textId="30943184" w:rsidR="00743C1E" w:rsidRPr="000B66BC" w:rsidRDefault="00D0353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 (e) tal-paragrafu (1) u l-paragrafi (2) u (3) tal-Artikolu 429a r-Regolament (UE) Nru 575/2013</w:t>
            </w:r>
          </w:p>
          <w:p w14:paraId="128930FF" w14:textId="4A97FBF9" w:rsidR="00415D69" w:rsidRPr="000B66BC" w:rsidRDefault="00415D6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Il-partijiet tal-iskoperturi li jirriżultaw minn self promozzjonali ttrasferit lil istituzzjonijiet ta’ kreditu oħrajn, meta s-self promozzjonali jkun ingħata minn entità stabbilita direttament mill-gvern ċentrali, il-gvernijiet reġjonali jew l-awtoritajiet lokali ta’ Stat Membru. </w:t>
            </w:r>
            <w:r>
              <w:rPr>
                <w:rFonts w:ascii="Times New Roman" w:hAnsi="Times New Roman"/>
                <w:sz w:val="24"/>
              </w:rPr>
              <w:t>Il-partijiet tal-iskoperturi tal-unitajiet ta’ istituzzjoni li mhumiex trattati bħala istituzzjoni ta’ kreditu għall-iżvilupp pubbliku minn awtorità kompetenti skont l-aħħar paragrafu tal-Artikolu 429a(2), għandhom jiġu kkunsidrati wkoll.</w:t>
            </w:r>
          </w:p>
          <w:p w14:paraId="4DD1C09D" w14:textId="67B346B4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CB48CC" w:rsidRPr="00E75BB8" w14:paraId="78DBF21B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  <w:vAlign w:val="center"/>
          </w:tcPr>
          <w:p w14:paraId="159B9A71" w14:textId="29511FD8" w:rsidR="00946138" w:rsidRPr="000B66BC" w:rsidRDefault="009461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{0267;0010}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  <w:vAlign w:val="center"/>
          </w:tcPr>
          <w:p w14:paraId="0D809E6C" w14:textId="77777777" w:rsidR="00946138" w:rsidRPr="000B66BC" w:rsidRDefault="0094613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(-) Esklużi l-iskoperturi ta’ self promozzjonali ttrasferit minn istituzzjonijiet (jew unitajiet) ta’ kreditu għall-iżvilupp mhux pubbliku - Self promozzjonali mogħti minn entità stabbilita mill-gvern ċentrali, </w:t>
            </w:r>
            <w:r>
              <w:rPr>
                <w:rFonts w:ascii="Times New Roman" w:hAnsi="Times New Roman"/>
                <w:b/>
                <w:color w:val="auto"/>
                <w:sz w:val="24"/>
              </w:rPr>
              <w:lastRenderedPageBreak/>
              <w:t>gvernijiet reġjonali jew awtoritajiet lokali ta’ Stat Membru permezz ta’ istituzzjoni ta’ kreditu intermedjarja</w:t>
            </w:r>
          </w:p>
          <w:p w14:paraId="30EAE7BC" w14:textId="403C61E8" w:rsidR="009D46F6" w:rsidRPr="000B66BC" w:rsidRDefault="00D0353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 (e) tal-paragrafu (1) u l-paragrafi (2) u (3) tal-Artikolu 429a r-Regolament (UE) Nru 575/2013</w:t>
            </w:r>
          </w:p>
          <w:p w14:paraId="3DE31CDF" w14:textId="7B1B92C9" w:rsidR="00743C1E" w:rsidRPr="000B66BC" w:rsidRDefault="00415D6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Il-partijiet ta’ skoperturi li jirriżultaw minn self promozzjonali ttrasferit lil istituzzjonijiet ta’ kreditu oħrajn, meta s-self promozzjonali jkun ingħata minn entità stabbilita mill-gvern ċentrali, gvernijiet reġjonali jew awtoritajiet lokali ta’ Stat Membru permezz ta’ istituzzjoni ta’ kreditu intermedjarja. </w:t>
            </w:r>
            <w:r>
              <w:rPr>
                <w:rFonts w:ascii="Times New Roman" w:hAnsi="Times New Roman"/>
                <w:sz w:val="24"/>
              </w:rPr>
              <w:t>Il-partijiet tal-iskoperturi tal-unitajiet ta’ istituzzjoni li mhumiex trattati bħala istituzzjoni ta’ kreditu għall-iżvilupp pubbliku minn awtorità kompetenti skont l-aħħar paragrafu tal-Artikolu 429a(2), għandhom jiġu kkunsidrati wkoll.</w:t>
            </w:r>
          </w:p>
          <w:p w14:paraId="53C99EBF" w14:textId="67514C6D" w:rsidR="00743C1E" w:rsidRPr="000B66BC" w:rsidRDefault="00743C1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1F5E87" w:rsidRPr="00E75BB8" w14:paraId="61EC7F94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04D68E82" w14:textId="38E814D6" w:rsidR="001F5E87" w:rsidRPr="000B66BC" w:rsidRDefault="00A81E1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{0268;0010}</w:t>
            </w: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41E224EF" w14:textId="297E8B69" w:rsidR="001F5E87" w:rsidRDefault="00D01FB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(-) Skoperturi eżentati skont il-punt (q) tal-Artikolu 429a(1) CRR</w:t>
            </w:r>
          </w:p>
          <w:p w14:paraId="435D6AA0" w14:textId="53149545" w:rsidR="00515841" w:rsidRPr="008B5EF0" w:rsidRDefault="005158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Punt (q) tal-Artikolu 429a(1) </w:t>
            </w:r>
          </w:p>
          <w:p w14:paraId="692A1C06" w14:textId="6C394410" w:rsidR="007264E7" w:rsidRDefault="00B145B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L-iskoperturi li huma soġġetti għat-trattament stabbilit fl-ewwel subparagrafu tal-Artikolu 72e(5) ir-Regolament (UE) Nru 575/2013</w:t>
            </w:r>
          </w:p>
          <w:p w14:paraId="3625C467" w14:textId="194C53D5" w:rsidR="00227BD1" w:rsidRPr="000B66BC" w:rsidRDefault="00227BD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irrapportat għandu jkun inkluż ukoll fiċ-ċelloli applikabbli hawn fuq daqslikieku ma tapplika l-ebda eżenzjoni.</w:t>
            </w:r>
          </w:p>
        </w:tc>
      </w:tr>
      <w:tr w:rsidR="008979D2" w:rsidRPr="002A3F7D" w14:paraId="02A38F46" w14:textId="77777777" w:rsidTr="008B2DDF">
        <w:trPr>
          <w:trHeight w:val="30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A7AD" w14:textId="7906D106" w:rsidR="008979D2" w:rsidRPr="000B66BC" w:rsidRDefault="008979D2" w:rsidP="008B2DDF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{0269;0010}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5990" w14:textId="77777777" w:rsidR="008979D2" w:rsidRPr="002A3F7D" w:rsidRDefault="008979D2" w:rsidP="008B2DD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Ammont tal-iskopertura tal-proporzjon tal-ingranaġġ addizzjonali f’konformità mal-Artikolu 3 CRR</w:t>
            </w:r>
          </w:p>
          <w:p w14:paraId="6CB5E131" w14:textId="77777777" w:rsidR="008979D2" w:rsidRDefault="008979D2" w:rsidP="008B2DDF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Artikolu 3 tar-Regolament (UE) Nru 575/2013T</w:t>
            </w:r>
          </w:p>
          <w:p w14:paraId="61E0A840" w14:textId="4E58CC03" w:rsidR="008979D2" w:rsidRPr="002A3F7D" w:rsidRDefault="008979D2" w:rsidP="008B2DDF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L-ammont tal-iskopertura tal-proporzjon tal-ingranaġġ addizzjonali għandu jiġi rrapportat. Għandu jinkludi biss l-ammonti addizzjonali.</w:t>
            </w:r>
          </w:p>
        </w:tc>
      </w:tr>
      <w:tr w:rsidR="00CB48CC" w:rsidRPr="00E75BB8" w14:paraId="39D281E6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28E3E527" w14:textId="64B2DB2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{0270;0010}</w:t>
            </w:r>
          </w:p>
          <w:p w14:paraId="49DAE002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6CD09A92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(-) Ammont ta’ assi mnaqqas - Kapital tal-Grad 1 - definizzjoni stabbilita</w:t>
            </w:r>
          </w:p>
          <w:p w14:paraId="7786B29A" w14:textId="6BF51AB0" w:rsidR="00CB48CC" w:rsidRPr="000B66BC" w:rsidRDefault="0054252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(b) tal-Artikolu 429a(1) u l-punt (a) tal-Artikolu 499(1) tar-Regolament (UE) Nru 575/2013</w:t>
            </w:r>
          </w:p>
          <w:p w14:paraId="675D8B7D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Dan jinkludi l-aġġustamenti kollha mmirati lejn il-valur ta’ assi u li huma meħtieġa minn:</w:t>
            </w:r>
          </w:p>
          <w:p w14:paraId="0ABD1D78" w14:textId="350DBBF6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 xml:space="preserve">Artikoli 32 sa 35 ir-Regolament (UE) Nru 575/2013, jew </w:t>
            </w:r>
          </w:p>
          <w:p w14:paraId="14203D05" w14:textId="6AF0A71A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Artikoli 36 sa 47 ir-Regolament (UE) Nru 575/2013, jew</w:t>
            </w:r>
          </w:p>
          <w:p w14:paraId="33D193AD" w14:textId="2D478F60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Artikoli 56 sa 60 ir-Regolament (UE) Nru 575/2013,</w:t>
            </w:r>
          </w:p>
          <w:p w14:paraId="0A1B29C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kif applikabbli.</w:t>
            </w:r>
          </w:p>
          <w:p w14:paraId="75E8D9BE" w14:textId="0C22040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iqisu l-eżenzjonijiet, l-alternattivi u r-rinunzji għal tali tnaqqis stabbiliti fl-Artikoli 48, 49 u 79 tar-Regolament (UE) Nru 575/2013 mingħajr ma jqisu d-deroga stabbilita fil-Kapitoli 1, 2 u 4 tat-Titolu I tal-Parti Għaxra tar-Regolament (UE) Nru 575/2013. Sabiex jiġi evitat l-għadd doppju, l-istituzzjonijiet ma għandhomx jirrapportaw aġġustamenti diġà applikati skont l-Artikolu 111 tar-Regolament (UE) Nru 575/2013 meta jikkalkulaw il-valur tal-iskopertura f’{0010;0010} sa {0269;0010}, lanqas ma għandhom jirrapportaw xi aġġustament li ma jnaqqasx il-valur ta’ assi speċifiku.</w:t>
            </w:r>
          </w:p>
          <w:p w14:paraId="36ECE9CF" w14:textId="32731BE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Minħabba li dawn l-ammonti huma diġà </w:t>
            </w:r>
            <w:proofErr w:type="spellStart"/>
            <w:r>
              <w:rPr>
                <w:rFonts w:ascii="Times New Roman" w:hAnsi="Times New Roman"/>
                <w:sz w:val="24"/>
              </w:rPr>
              <w:t>mnaqqsin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mill-kejl kapitali, dawn inaqqsu l-iskopertura tal-proporzjon tal-ingranaġġ u għandhom ikunu rrapportati bħala ċifra negattiva.</w:t>
            </w:r>
          </w:p>
        </w:tc>
      </w:tr>
      <w:tr w:rsidR="00CB48CC" w:rsidRPr="00E75BB8" w14:paraId="70428859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5BCE2B05" w14:textId="02607C2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{0280;0010}</w:t>
            </w:r>
          </w:p>
          <w:p w14:paraId="0F555030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56F1EE18" w14:textId="44020D72" w:rsidR="00CB48CC" w:rsidRPr="000B66BC" w:rsidRDefault="003164F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(−) Ammont tal-assi mnaqqas — Kapital tal-Grad 1 — definizzjoni tranżitorja</w:t>
            </w:r>
          </w:p>
          <w:p w14:paraId="552CF68D" w14:textId="77F955BA" w:rsidR="00CB48CC" w:rsidRPr="000B66BC" w:rsidRDefault="006F5F1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Punt (b) tal-Artikolu 429a(1) u l-punt (a) tal-Artikolu 499(1) tar-Regolament (UE) Nru 575/2013</w:t>
            </w:r>
          </w:p>
          <w:p w14:paraId="1C7AD929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Dan jinkludi l-aġġustamenti kollha li jaġġustaw il-valur ta’ assi u li huma meħtieġa minn:</w:t>
            </w:r>
          </w:p>
          <w:p w14:paraId="2FE9C127" w14:textId="335AB7DB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 xml:space="preserve">Artikoli 32 sa 35 ir-Regolament (UE) Nru 575/2013, jew </w:t>
            </w:r>
          </w:p>
          <w:p w14:paraId="35A3C50B" w14:textId="3A4C2CFE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 xml:space="preserve">Artikoli 36 sa 47 ir-Regolament (UE) Nru 575/2013, jew </w:t>
            </w:r>
          </w:p>
          <w:p w14:paraId="66CB0299" w14:textId="1766DD59" w:rsidR="00CB48CC" w:rsidRPr="000B66BC" w:rsidRDefault="00CB48CC" w:rsidP="000B66BC">
            <w:pPr>
              <w:pStyle w:val="BodyText1"/>
              <w:spacing w:after="240" w:line="240" w:lineRule="auto"/>
              <w:ind w:left="72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Artikoli 56 sa 60 ir-Regolament (UE) Nru 575/2013,</w:t>
            </w:r>
          </w:p>
          <w:p w14:paraId="152F8BFD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kif applikabbli.</w:t>
            </w:r>
          </w:p>
          <w:p w14:paraId="730A3940" w14:textId="24896934" w:rsidR="00D9327B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iqisu l-eżenzjonijiet, l-alternattivi u r-rinunzji għal tali tnaqqis stabbiliti fl-Artikoli 48, 49 u 79 tar-Regolament (UE) Nru 575/2013, minbarra li jqisu d-derogi stabbiliti fil-Kapitolu 1, 2 u 4 tat-Titolu I tal-Parti Għaxra r-Regolament (UE) Nru 575/2013. Sabiex jiġi evitat l-għadd doppju, l-istituzzjonijiet ma għandhomx jirrapportaw aġġustamenti diġà applikati skont l-Artikolu 111 tar-Regolament (UE) Nru 575/2013 meta jikkalkulaw il-valur tal-iskopertura f’{0010;0010} sa {0269;0010}, lanqas ma għandhom jirrapportaw xi aġġustament li ma jnaqqasx il-valur ta’ assi speċifiku.</w:t>
            </w:r>
          </w:p>
          <w:p w14:paraId="33460AF9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Minħabba li dawn l-ammonti huma diġà </w:t>
            </w:r>
            <w:proofErr w:type="spellStart"/>
            <w:r>
              <w:rPr>
                <w:rFonts w:ascii="Times New Roman" w:hAnsi="Times New Roman"/>
                <w:sz w:val="24"/>
              </w:rPr>
              <w:t>mnaqqsin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mill-kejl kapitali, dawn inaqqsu l-iskopertura tal-proporzjon tal-ingranaġġ u għandhom ikunu rrapportati bħala ċifra negattiva.</w:t>
            </w:r>
          </w:p>
          <w:p w14:paraId="5A75B235" w14:textId="399DE8C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48CC" w:rsidRPr="00E75BB8" w14:paraId="2854FA96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4375AA27" w14:textId="5FEC739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{0290;0010}</w:t>
            </w:r>
          </w:p>
          <w:p w14:paraId="140D82B2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655BA90C" w14:textId="6C419506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Kejl tal-iskopertura tal-Proporzjon tal-Ingranaġġ totali - bl-użu ta’ definizzjoni stabbilita ta’ kapital tal-Grad 1</w:t>
            </w:r>
          </w:p>
          <w:p w14:paraId="18A90C99" w14:textId="79F7D615" w:rsidR="00CB48CC" w:rsidRPr="000B66BC" w:rsidRDefault="0026270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is-somma tar-ringieli kollha minn 0010 sa 0269 u r-ringiela 0270.</w:t>
            </w:r>
          </w:p>
        </w:tc>
      </w:tr>
      <w:tr w:rsidR="00CB48CC" w:rsidRPr="00E75BB8" w14:paraId="16865D6C" w14:textId="77777777" w:rsidTr="008979D2">
        <w:trPr>
          <w:trHeight w:val="304"/>
        </w:trPr>
        <w:tc>
          <w:tcPr>
            <w:tcW w:w="1555" w:type="dxa"/>
            <w:gridSpan w:val="2"/>
            <w:tcBorders>
              <w:bottom w:val="single" w:sz="4" w:space="0" w:color="auto"/>
            </w:tcBorders>
          </w:tcPr>
          <w:p w14:paraId="5F1E1E63" w14:textId="6C4A4D91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{0300;0010}</w:t>
            </w:r>
          </w:p>
          <w:p w14:paraId="2180AA43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bottom w:val="single" w:sz="4" w:space="0" w:color="auto"/>
            </w:tcBorders>
          </w:tcPr>
          <w:p w14:paraId="762C2DC4" w14:textId="132D1D7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Kejl tal-iskopertura tal-Proporzjon tal-Ingranaġġ totali - bl-użu ta’ definizzjoni tranżizzjonali ta’ kapital tal-Grad 1</w:t>
            </w:r>
          </w:p>
          <w:p w14:paraId="247E260C" w14:textId="3BD2777D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is-somma tar-ringieli kollha minn 0010 sa 0269 u r-ringiela 0280. </w:t>
            </w:r>
          </w:p>
        </w:tc>
      </w:tr>
      <w:tr w:rsidR="00CB48CC" w:rsidRPr="00E75BB8" w14:paraId="25B9F129" w14:textId="77777777" w:rsidTr="008979D2">
        <w:trPr>
          <w:trHeight w:val="304"/>
        </w:trPr>
        <w:tc>
          <w:tcPr>
            <w:tcW w:w="1555" w:type="dxa"/>
            <w:gridSpan w:val="2"/>
            <w:shd w:val="pct25" w:color="auto" w:fill="auto"/>
          </w:tcPr>
          <w:p w14:paraId="069EB129" w14:textId="740388FD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 u kolonna</w:t>
            </w:r>
          </w:p>
        </w:tc>
        <w:tc>
          <w:tcPr>
            <w:tcW w:w="7566" w:type="dxa"/>
            <w:shd w:val="pct25" w:color="auto" w:fill="auto"/>
          </w:tcPr>
          <w:p w14:paraId="10FF1AF5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Kapital </w:t>
            </w:r>
          </w:p>
        </w:tc>
      </w:tr>
      <w:tr w:rsidR="00CB48CC" w:rsidRPr="00E75BB8" w14:paraId="448FE1D7" w14:textId="77777777" w:rsidTr="008979D2">
        <w:trPr>
          <w:trHeight w:val="304"/>
        </w:trPr>
        <w:tc>
          <w:tcPr>
            <w:tcW w:w="1555" w:type="dxa"/>
            <w:gridSpan w:val="2"/>
          </w:tcPr>
          <w:p w14:paraId="696588A9" w14:textId="3F9C3A82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{0310;0010}</w:t>
            </w:r>
          </w:p>
          <w:p w14:paraId="7738A245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</w:tcPr>
          <w:p w14:paraId="2F0EFDF6" w14:textId="46AB3F1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 tal-Grad 1 - definizzjoni stabbilita</w:t>
            </w:r>
          </w:p>
          <w:p w14:paraId="6D31890D" w14:textId="143ECED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429(3) u l-punt (a) tal-Artikolu 499(1) tar-Regolament (UE) Nru 575/2013</w:t>
            </w:r>
          </w:p>
          <w:p w14:paraId="49E3D5DA" w14:textId="0B6B7334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Dan huwa l-ammont ta’ kapital tal-Grad 1 kif ikkalkolat f’konformità mal-Artikolu 25 tar-Regolament (UE) Nru 575/2013, mingħajr ma titqies id-deroga stabbilita fil-Kapitoli 1, 2 u 4 tat-Titolu I tal-Għaxar Parti tar-Regolament (UE) Nru 575/2013.</w:t>
            </w:r>
          </w:p>
        </w:tc>
      </w:tr>
      <w:tr w:rsidR="00CB48CC" w:rsidRPr="00E75BB8" w14:paraId="2B054486" w14:textId="77777777" w:rsidTr="008979D2">
        <w:trPr>
          <w:trHeight w:val="304"/>
        </w:trPr>
        <w:tc>
          <w:tcPr>
            <w:tcW w:w="1555" w:type="dxa"/>
            <w:gridSpan w:val="2"/>
          </w:tcPr>
          <w:p w14:paraId="5ED7C02F" w14:textId="7A8D781A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{0320;0010}</w:t>
            </w:r>
          </w:p>
          <w:p w14:paraId="15F4A511" w14:textId="7777777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</w:tcPr>
          <w:p w14:paraId="656D366B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Kapital tal-Grad 1 - definizzjoni tranżizzjonali</w:t>
            </w:r>
          </w:p>
          <w:p w14:paraId="5041E493" w14:textId="342F590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429(3) u l-punt (a) tal-Artikolu 499(1) tar-Regolament (UE) Nru 575/2013</w:t>
            </w:r>
          </w:p>
          <w:p w14:paraId="3270C368" w14:textId="285AC909" w:rsidR="00CB48CC" w:rsidRPr="000B66BC" w:rsidRDefault="00CB48C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Dan għandu jkun l-ammont ta’ kapital tal-Grad 1 kif ikkalkolat f’konformità mal-Artikolu 25 tar-Regolament (UE) Nru 575/2013, wara li titqies id-deroga stabbilita fil-Kapitoli 1, 2 u 4 tat-Titolu I tal-Għaxar Parti tar-Regolament (UE) Nru 575/2013.</w:t>
            </w:r>
          </w:p>
        </w:tc>
      </w:tr>
      <w:tr w:rsidR="00CB48CC" w:rsidRPr="00E75BB8" w14:paraId="30D5612D" w14:textId="77777777" w:rsidTr="008979D2">
        <w:trPr>
          <w:trHeight w:val="304"/>
        </w:trPr>
        <w:tc>
          <w:tcPr>
            <w:tcW w:w="1555" w:type="dxa"/>
            <w:gridSpan w:val="2"/>
            <w:shd w:val="clear" w:color="auto" w:fill="D9D9D9" w:themeFill="background1" w:themeFillShade="D9"/>
          </w:tcPr>
          <w:p w14:paraId="3E09CDC7" w14:textId="4222548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 u kolonna</w:t>
            </w:r>
          </w:p>
        </w:tc>
        <w:tc>
          <w:tcPr>
            <w:tcW w:w="7566" w:type="dxa"/>
            <w:shd w:val="clear" w:color="auto" w:fill="D9D9D9" w:themeFill="background1" w:themeFillShade="D9"/>
          </w:tcPr>
          <w:p w14:paraId="19280F08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tal-Ingranaġġ</w:t>
            </w:r>
          </w:p>
        </w:tc>
      </w:tr>
      <w:tr w:rsidR="00CB48CC" w:rsidRPr="00E75BB8" w14:paraId="7E720607" w14:textId="77777777" w:rsidTr="008979D2">
        <w:trPr>
          <w:trHeight w:val="304"/>
        </w:trPr>
        <w:tc>
          <w:tcPr>
            <w:tcW w:w="1555" w:type="dxa"/>
            <w:gridSpan w:val="2"/>
          </w:tcPr>
          <w:p w14:paraId="04FDC8D4" w14:textId="563122E7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{0330;0010}</w:t>
            </w:r>
          </w:p>
        </w:tc>
        <w:tc>
          <w:tcPr>
            <w:tcW w:w="7566" w:type="dxa"/>
          </w:tcPr>
          <w:p w14:paraId="170E1973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tal-Ingranaġġ – bl-użu ta’ definizzjoni stabbilita ta’ kapital tal-Grad 1</w:t>
            </w:r>
          </w:p>
          <w:p w14:paraId="14103416" w14:textId="3DDF1B90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Artikoli 429(2) u 499(1) tar-Regolament (UE) Nru 575/2013</w:t>
            </w:r>
          </w:p>
          <w:p w14:paraId="13640073" w14:textId="33312D1E" w:rsidR="00CB48CC" w:rsidRPr="000B66BC" w:rsidRDefault="00CB48C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Dan għandu jkun il-proporzjon tal-ingranaġġ kif ikkalkolat skont il-paragrafu 2 tal-Parti II ta’ dan l-Anness.</w:t>
            </w:r>
          </w:p>
        </w:tc>
      </w:tr>
      <w:tr w:rsidR="00CB48CC" w:rsidRPr="00E75BB8" w14:paraId="58F7E1A1" w14:textId="77777777" w:rsidTr="008979D2">
        <w:trPr>
          <w:trHeight w:val="304"/>
        </w:trPr>
        <w:tc>
          <w:tcPr>
            <w:tcW w:w="1555" w:type="dxa"/>
            <w:gridSpan w:val="2"/>
          </w:tcPr>
          <w:p w14:paraId="775E3AF8" w14:textId="15CC0D81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{0340;0010}</w:t>
            </w:r>
          </w:p>
        </w:tc>
        <w:tc>
          <w:tcPr>
            <w:tcW w:w="7566" w:type="dxa"/>
          </w:tcPr>
          <w:p w14:paraId="750922D1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Proporzjon tal-Ingranaġġ – bl-użu ta’ definizzjoni tranżizzjonali ta’ kapital tal-Grad 1</w:t>
            </w:r>
          </w:p>
          <w:p w14:paraId="26098DFB" w14:textId="009CAE85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Artikoli 429(2) u 499(1) tar-Regolament (UE) Nru 575/2013</w:t>
            </w:r>
          </w:p>
          <w:p w14:paraId="173B4CA4" w14:textId="15DFD6E5" w:rsidR="000A486B" w:rsidRPr="000B66BC" w:rsidRDefault="00CB48C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Dan għandu jkun il-proporzjon tal-ingranaġġ kif ikkalkolat skont il-paragrafu 3 tal-Parti II ta’ dan l-Anness.</w:t>
            </w:r>
          </w:p>
        </w:tc>
      </w:tr>
      <w:tr w:rsidR="00CB48CC" w:rsidRPr="00E75BB8" w14:paraId="39DF531E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4F4CF2" w14:textId="395C0A79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Ringiela u kolonna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47A705" w14:textId="77777777" w:rsidR="00CB48CC" w:rsidRPr="000B66BC" w:rsidRDefault="00CB48C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Rekwiżiti: ammonti</w:t>
            </w:r>
          </w:p>
        </w:tc>
      </w:tr>
      <w:tr w:rsidR="00E36E71" w:rsidRPr="00E75BB8" w14:paraId="49D3F110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79BE" w14:textId="15CB4911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{0350;0010}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51AE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Rekwiżit tal-Pilastru 2 (P2R) biex jiġu indirizzati r-riskji ta’ ingranaġġ eċċessiv</w:t>
            </w:r>
          </w:p>
          <w:p w14:paraId="52420558" w14:textId="1EE5977B" w:rsidR="00E36E71" w:rsidRPr="000B66BC" w:rsidRDefault="008B096D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Artikoli 104 u 104a tad-Direttiva 2013/36/UE; fondi proprji addizzjonali meħtieġa mill-awtorità kompetenti biex jiġu indirizzati r-riskji ta’ ingranaġġ eċċessiv, kif imsemmi fl-Artikolu 104 tad-Direttiva 2013/36/UE</w:t>
            </w:r>
          </w:p>
        </w:tc>
      </w:tr>
      <w:tr w:rsidR="00E36E71" w:rsidRPr="00E75BB8" w14:paraId="5E2FEE39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C276" w14:textId="64F853EC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{0360;0010}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45DE" w14:textId="659EEC38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li minnhom: irid ikun magħmul minn kapital CET1</w:t>
            </w:r>
          </w:p>
          <w:p w14:paraId="118609BA" w14:textId="66E6068C" w:rsidR="008E21B3" w:rsidRPr="000B66BC" w:rsidRDefault="008E21B3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Il-parti tal-P2R, imsemmi fir-ringiela 0350, li hija meħtieġa mill-awtorità kompetenti li tinżamm fil-forma ta’ kapital CET1</w:t>
            </w:r>
          </w:p>
        </w:tc>
      </w:tr>
      <w:tr w:rsidR="00E36E71" w:rsidRPr="00E75BB8" w14:paraId="050776BA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4369" w14:textId="61BE47AC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{0370;0010}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DE4" w14:textId="4DD14E6A" w:rsidR="008E21B3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Buffer tal-proporzjon tal-ingranaġġ tal-G-SII</w:t>
            </w:r>
          </w:p>
          <w:p w14:paraId="2DF708A7" w14:textId="4743D9F9" w:rsidR="008E21B3" w:rsidRPr="000B66BC" w:rsidRDefault="008E21B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92(1a) tar-Regolament (UE) Nru 575/2013</w:t>
            </w:r>
          </w:p>
          <w:p w14:paraId="04DDCD79" w14:textId="110DEF14" w:rsidR="008E21B3" w:rsidRPr="000B66BC" w:rsidRDefault="00B70EBF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Il-G-</w:t>
            </w:r>
            <w:proofErr w:type="spellStart"/>
            <w:r>
              <w:rPr>
                <w:rFonts w:ascii="Times New Roman" w:hAnsi="Times New Roman"/>
                <w:sz w:val="24"/>
              </w:rPr>
              <w:t>SIIs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għandhom jirrapportaw il-valur tas-suppliment tal-G-SII għall-proporzjon tal-ingranaġġ iddeterminat f'konformità mal-Artikolu 92(1a) tar-Regolament (UE) Nru 575/2013.</w:t>
            </w:r>
          </w:p>
          <w:p w14:paraId="10B82F9E" w14:textId="5E998451" w:rsidR="00E36E71" w:rsidRPr="000B66BC" w:rsidRDefault="008E21B3" w:rsidP="000B66BC">
            <w:pPr>
              <w:pStyle w:val="BodyText1"/>
              <w:spacing w:after="24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Il-G-</w:t>
            </w:r>
            <w:proofErr w:type="spellStart"/>
            <w:r>
              <w:rPr>
                <w:rFonts w:ascii="Times New Roman" w:hAnsi="Times New Roman"/>
                <w:sz w:val="24"/>
              </w:rPr>
              <w:t>SIIs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għandhom jirrapportaw dan l-ammont mid-data tal-applikazzjoni tal-buffer skont ir-Regolament (UE) Nru 575/2013.</w:t>
            </w:r>
          </w:p>
        </w:tc>
      </w:tr>
      <w:tr w:rsidR="00E36E71" w:rsidRPr="00E75BB8" w14:paraId="756B6F5A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6523" w14:textId="5BD07284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{0380;0010}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9F97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Gwida tal-Pilastru 2 (P2G) biex jiġu indirizzati r-riskji ta’ ingranaġġ eċċessiv</w:t>
            </w:r>
          </w:p>
          <w:p w14:paraId="0B3B1A45" w14:textId="68F57FF2" w:rsidR="00E36E71" w:rsidRPr="000B66BC" w:rsidRDefault="008E21B3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Artikolu 104b tad-Direttiva 2013/36/UE; fondi proprji addizzjonali kkomunikati mill-awtorità kompetenti biex jiġu indirizzati r-riskji ta’ ingranaġġ eċċessiv, kif imsemmi fl-Artikolu 104b tad-Direttiva 2013/36/UE</w:t>
            </w:r>
          </w:p>
        </w:tc>
      </w:tr>
      <w:tr w:rsidR="00E36E71" w:rsidRPr="00E75BB8" w14:paraId="5FB7C0D6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C8EE" w14:textId="66C61468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{0390;0010}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2868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li minnhom: irid ikun magħmul minn kapital CET1</w:t>
            </w:r>
          </w:p>
          <w:p w14:paraId="3318F690" w14:textId="590855DB" w:rsidR="00E36E71" w:rsidRPr="000B66BC" w:rsidRDefault="00FB31D6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Il-parti tal-P2G, imsemmija fir-ringiela 0380, li l-awtorità kompetenti titlob li tinżamm fil-forma ta’ kapital CET1</w:t>
            </w:r>
          </w:p>
        </w:tc>
      </w:tr>
      <w:tr w:rsidR="00E36E71" w:rsidRPr="00E75BB8" w14:paraId="65AB50BB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B95F" w14:textId="0B1F3FB1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{0400;0010}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61BE" w14:textId="2AF2CC4F" w:rsidR="00FB31D6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li minnhom: irid ikun magħmul minn kapital tal-Grad 1</w:t>
            </w:r>
          </w:p>
          <w:p w14:paraId="69A1223C" w14:textId="5FB61961" w:rsidR="00E36E71" w:rsidRPr="000B66BC" w:rsidRDefault="00FB31D6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Il-parti tal-P2G, imsemmija fir-ringiela 0380, li l-awtorità kompetenti titlob li tinżamm fil-forma ta’ kapital tal-Grad 1</w:t>
            </w:r>
          </w:p>
        </w:tc>
      </w:tr>
      <w:tr w:rsidR="00E36E71" w:rsidRPr="00E75BB8" w14:paraId="0EAD8BE9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A6857C" w14:textId="480AB7BD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 u kolonna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5B8FEE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Rekwiżiti: proporzjonijiet</w:t>
            </w:r>
          </w:p>
        </w:tc>
      </w:tr>
      <w:tr w:rsidR="00CB48CC" w:rsidRPr="00E75BB8" w14:paraId="297BFBE3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33B" w14:textId="17E35BDE" w:rsidR="00CB48CC" w:rsidRPr="000B66BC" w:rsidRDefault="00CB48C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{0410;0010}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B3A5" w14:textId="5E37AED7" w:rsidR="00CB48CC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Rekwiżit tal-Proporzjon tal-Ingranaġġ tal-Pilastru 1 </w:t>
            </w:r>
          </w:p>
          <w:p w14:paraId="75955E40" w14:textId="43A3F922" w:rsidR="00B70EBF" w:rsidRDefault="006F5F1F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Punt (d) tal-Artikolu 92(1), l-Artikolu 429a(7) u l-punt (n) tal-Artikolu 429a(1) tar-Regolament (UE) Nru 575/2013; Fil-proporzjon tal-ingranaġġ meħtieġ biex jiġu indirizzati r-riskji ta’ ingranaġġ eċċessiv, kif imsemmi fil-punt (d) tal-Artikolu 92(1) tar-Regolament (UE) Nru 575/2013</w:t>
            </w:r>
          </w:p>
          <w:p w14:paraId="2ACA2F0E" w14:textId="04995476" w:rsidR="00CB48CC" w:rsidRPr="000B66BC" w:rsidRDefault="00FB31D6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li jeskludu skoperturi għall-bank ċentrali tal-istituzzjoni kif imsemmi fil-punt (n) tal-paragrafu 1 tal-Artikolu 429a għandhom jirrapportaw ir-rekwiżit tal-Proporzjon tal-Ingranaġġ Aġġustat skont l-Artikolu 429a(7) tar-Regolament (UE) Nru 575/2013.</w:t>
            </w:r>
          </w:p>
        </w:tc>
      </w:tr>
      <w:tr w:rsidR="00E36E71" w:rsidRPr="00E75BB8" w14:paraId="18E64DF4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81A" w14:textId="0848022F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{0420;0010}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BF9B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Rekwiżit totali tal-proporzjon tal-ingranaġġ SREP (TSLRR)</w:t>
            </w:r>
          </w:p>
          <w:p w14:paraId="58E6C4BD" w14:textId="1E3D269F" w:rsidR="00FB31D6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Artikoli 104 u 104a tad-Direttiva 2013/36/UE</w:t>
            </w:r>
          </w:p>
          <w:p w14:paraId="010497B2" w14:textId="77777777" w:rsidR="00FB31D6" w:rsidRPr="000B66BC" w:rsidRDefault="00FB31D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It-total ta’ (i) u 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kif ġej:</w:t>
            </w:r>
          </w:p>
          <w:p w14:paraId="2BCF2D92" w14:textId="4D8870D5" w:rsidR="00FB31D6" w:rsidRPr="000B66BC" w:rsidRDefault="00FB31D6" w:rsidP="000B66BC">
            <w:pPr>
              <w:pStyle w:val="BodyText1"/>
              <w:numPr>
                <w:ilvl w:val="0"/>
                <w:numId w:val="27"/>
              </w:numPr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ir-Rekwiżit tal-Proporzjon tal-Ingranaġġ tal-Pilastru 1 kif irrapportat fir-ringiela 0410;</w:t>
            </w:r>
          </w:p>
          <w:p w14:paraId="4613F532" w14:textId="311FA7CC" w:rsidR="00FB31D6" w:rsidRPr="000B66BC" w:rsidRDefault="00FB31D6" w:rsidP="000B66BC">
            <w:pPr>
              <w:pStyle w:val="BodyText1"/>
              <w:numPr>
                <w:ilvl w:val="0"/>
                <w:numId w:val="27"/>
              </w:numPr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il-proporzjon ta’ fondi proprji addizzjonali meħtieġ mill-awtorità kompetenti (P2R) biex jiġu indirizzati r-riskji ta’ ingranaġġ eċċessiv, kif imsemmi fl-Artikolu 104 tad-Direttiva 2013/36/UE.</w:t>
            </w:r>
          </w:p>
          <w:p w14:paraId="4F1A1488" w14:textId="77777777" w:rsidR="00B70EBF" w:rsidRDefault="00780634" w:rsidP="00B70EBF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jikkalkulaw il-punt 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billi jiddividu l-valur </w:t>
            </w:r>
            <w:r>
              <w:rPr>
                <w:rFonts w:ascii="Times New Roman" w:hAnsi="Times New Roman"/>
                <w:color w:val="auto"/>
                <w:sz w:val="24"/>
              </w:rPr>
              <w:t>{0350;0010} b’dak f’</w:t>
            </w:r>
            <w:r>
              <w:rPr>
                <w:rFonts w:ascii="Times New Roman" w:hAnsi="Times New Roman"/>
                <w:sz w:val="24"/>
              </w:rPr>
              <w:t>{0300;0010}.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14:paraId="128BD13A" w14:textId="3F8F4801" w:rsidR="00FB31D6" w:rsidRPr="000B66BC" w:rsidRDefault="00B70EBF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Jekk l-ebda rekwiżit ta’ fondi proprji addizzjonali ma jkun ġie kkomunikat mill-awtorità kompetenti, f’dak il-każ għandu jiġi rrapportat biss il-punt (i).</w:t>
            </w:r>
          </w:p>
        </w:tc>
      </w:tr>
      <w:tr w:rsidR="00E36E71" w:rsidRPr="00E75BB8" w14:paraId="0482CAD5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3FBD" w14:textId="065D7838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{0430;0010}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150B" w14:textId="77777777" w:rsidR="00E36E71" w:rsidRPr="000B66BC" w:rsidRDefault="001D36C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TSLRR: irid ikun magħmul minn kapital CET1</w:t>
            </w:r>
          </w:p>
          <w:p w14:paraId="7473B81A" w14:textId="78011C71" w:rsidR="00780634" w:rsidRPr="000B66BC" w:rsidRDefault="00A0709E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Il-parti tal-proporzjon ta’ fondi proprji addizzjonali, imsemmi fil-punt 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 tar-ringiela 0420, li l-awtorità kompetenti titlob li tinżamm fil-forma ta’ kapital CET1</w:t>
            </w:r>
          </w:p>
          <w:p w14:paraId="17146566" w14:textId="4E043C22" w:rsidR="00E36E71" w:rsidRPr="000B66BC" w:rsidRDefault="0078063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jikkalkulaw dan il-valur billi jiddividu l-valur f’</w:t>
            </w:r>
            <w:r>
              <w:rPr>
                <w:rFonts w:ascii="Times New Roman" w:hAnsi="Times New Roman"/>
                <w:color w:val="auto"/>
                <w:sz w:val="24"/>
              </w:rPr>
              <w:t>{0360;0010} b’dak f’</w:t>
            </w:r>
            <w:r>
              <w:rPr>
                <w:rFonts w:ascii="Times New Roman" w:hAnsi="Times New Roman"/>
                <w:sz w:val="24"/>
              </w:rPr>
              <w:t>{0300;0010}.</w:t>
            </w:r>
          </w:p>
        </w:tc>
      </w:tr>
      <w:tr w:rsidR="00E36E71" w:rsidRPr="00E75BB8" w14:paraId="769316AF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C5FF" w14:textId="7241185F" w:rsidR="00E36E71" w:rsidRPr="000B66BC" w:rsidRDefault="00E36E7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{0440;0010}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666F" w14:textId="77777777" w:rsidR="00E36E71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Rekwiżit ġenerali tal-proporzjon tal-ingranaġġ (OLRR)</w:t>
            </w:r>
          </w:p>
          <w:p w14:paraId="42BE8CD3" w14:textId="0949F4CF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92(1a) tar-Regolament (UE) Nru 575/2013</w:t>
            </w:r>
          </w:p>
          <w:p w14:paraId="1BB646F8" w14:textId="77777777" w:rsidR="00136A9C" w:rsidRPr="000B66BC" w:rsidRDefault="00136A9C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It-total ta’ (i) u 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 kif ġej:</w:t>
            </w:r>
          </w:p>
          <w:p w14:paraId="3ACD46ED" w14:textId="4650EB7F" w:rsidR="00136A9C" w:rsidRPr="000B66BC" w:rsidRDefault="00136A9C" w:rsidP="000B66BC">
            <w:pPr>
              <w:pStyle w:val="BodyText1"/>
              <w:numPr>
                <w:ilvl w:val="0"/>
                <w:numId w:val="28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it-TSLRR imsemmi fir-ringiela 0420;</w:t>
            </w:r>
          </w:p>
          <w:p w14:paraId="7026B9BA" w14:textId="754156AE" w:rsidR="00136A9C" w:rsidRPr="000B66BC" w:rsidRDefault="00136A9C" w:rsidP="000B66BC">
            <w:pPr>
              <w:pStyle w:val="BodyText1"/>
              <w:numPr>
                <w:ilvl w:val="0"/>
                <w:numId w:val="28"/>
              </w:numPr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il-buffer għall-proporzjon tal-ingranaġġ G-SII f’konformità mal-Artikolu 92 (1a) tar-Regolament (UE) Nru 575/2013, espress </w:t>
            </w:r>
            <w:r>
              <w:rPr>
                <w:rFonts w:ascii="Times New Roman" w:hAnsi="Times New Roman"/>
                <w:sz w:val="24"/>
              </w:rPr>
              <w:lastRenderedPageBreak/>
              <w:t>bħala perċentwal tal-iskopertura totali tal-proporzjon tal-ingranaġġ.</w:t>
            </w:r>
          </w:p>
          <w:p w14:paraId="2D72E728" w14:textId="77777777" w:rsidR="00B70EBF" w:rsidRDefault="00B70EBF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jikkalkulaw il-punt 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billi jiddividu l-valur f’</w:t>
            </w:r>
            <w:r>
              <w:rPr>
                <w:rFonts w:ascii="Times New Roman" w:hAnsi="Times New Roman"/>
                <w:color w:val="auto"/>
                <w:sz w:val="24"/>
              </w:rPr>
              <w:t>{0370;0010} b’dak f’</w:t>
            </w:r>
            <w:r>
              <w:rPr>
                <w:rFonts w:ascii="Times New Roman" w:hAnsi="Times New Roman"/>
                <w:sz w:val="24"/>
              </w:rPr>
              <w:t>{0300;0010}.</w:t>
            </w:r>
          </w:p>
          <w:p w14:paraId="341458F5" w14:textId="66A734DD" w:rsidR="00136A9C" w:rsidRPr="000B66BC" w:rsidRDefault="00136A9C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Punt 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 għandu jitqies biss mill-G-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SIIs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mid-data tal-applikazzjoni tal-buffer skont ir-Regolament (UE) Nru 575/2013.</w:t>
            </w:r>
          </w:p>
          <w:p w14:paraId="0AEE6486" w14:textId="71BAF399" w:rsidR="00136A9C" w:rsidRPr="000B66BC" w:rsidRDefault="00136A9C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Jekk l-ebda suppliment ta’ G-SII ma jkun applikabbli, għandu jiġi rrapportat biss il-punt (i).</w:t>
            </w:r>
          </w:p>
        </w:tc>
      </w:tr>
      <w:tr w:rsidR="00E36E71" w:rsidRPr="00E75BB8" w14:paraId="700506B4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25A6" w14:textId="7BC3EB01" w:rsidR="00E36E71" w:rsidRPr="000B66BC" w:rsidRDefault="00A070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{0450;0010}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0973" w14:textId="44BB98C0" w:rsidR="00136A9C" w:rsidRPr="000B66BC" w:rsidRDefault="00E36E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Rekwiżit ġenerali tal-proporzjon tal-ingranaġġ (OLRR) u proporzjon tal-Gwida tal-Pilastru 2 (P2G)</w:t>
            </w:r>
          </w:p>
          <w:p w14:paraId="022B6350" w14:textId="7060CF19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104b tad-Direttiva 2013/36/UE</w:t>
            </w:r>
          </w:p>
          <w:p w14:paraId="358F5440" w14:textId="77777777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It-total ta’ (i) u 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kif ġej:</w:t>
            </w:r>
          </w:p>
          <w:p w14:paraId="4E42EACA" w14:textId="261B723C" w:rsidR="00136A9C" w:rsidRPr="000B66BC" w:rsidRDefault="00136A9C" w:rsidP="000B66BC">
            <w:pPr>
              <w:pStyle w:val="BodyText1"/>
              <w:numPr>
                <w:ilvl w:val="0"/>
                <w:numId w:val="29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l-OLRR imsemmi fir-ringiela 0440;</w:t>
            </w:r>
          </w:p>
          <w:p w14:paraId="51B081D7" w14:textId="1328C32A" w:rsidR="00136A9C" w:rsidRPr="000B66BC" w:rsidRDefault="00136A9C" w:rsidP="000B66BC">
            <w:pPr>
              <w:pStyle w:val="BodyText1"/>
              <w:numPr>
                <w:ilvl w:val="0"/>
                <w:numId w:val="29"/>
              </w:numPr>
              <w:spacing w:after="24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fondi proprji addizzjonali kkomunikati mill-awtorità kompetenti biex jiġu indirizzati r-riskji ta’ ingranaġġ eċċessiv, kif imsemmi fl-Artikolu 104b tad-Direttiva 2013/36/UE, espressi bħala perċentwal tal-iskopertura totali tal-proporzjon tal-ingranaġġ.</w:t>
            </w:r>
          </w:p>
          <w:p w14:paraId="1C4745E4" w14:textId="77777777" w:rsidR="00B70EBF" w:rsidRDefault="00780634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jikkalkulaw il-punt 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billi jiddividu l-valur f’</w:t>
            </w:r>
            <w:r>
              <w:rPr>
                <w:rFonts w:ascii="Times New Roman" w:hAnsi="Times New Roman"/>
                <w:color w:val="auto"/>
                <w:sz w:val="24"/>
              </w:rPr>
              <w:t>{0380;0010} b’dak f’</w:t>
            </w:r>
            <w:r>
              <w:rPr>
                <w:rFonts w:ascii="Times New Roman" w:hAnsi="Times New Roman"/>
                <w:sz w:val="24"/>
              </w:rPr>
              <w:t>{0300;0010}.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14:paraId="6E55E37C" w14:textId="5108C444" w:rsidR="00136A9C" w:rsidRPr="000B66BC" w:rsidRDefault="00B70EBF" w:rsidP="00B70EBF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Jekk l-ebda P2G ma tkun ġiet ikkomunikata mill-awtorità kompetenti, f’dak il-każ għandu jiġi rrapportat biss il-punt (i).</w:t>
            </w:r>
          </w:p>
        </w:tc>
      </w:tr>
      <w:tr w:rsidR="00E36E71" w:rsidRPr="00E75BB8" w14:paraId="680EF640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0E92" w14:textId="6C47A0CC" w:rsidR="00E36E71" w:rsidRPr="000B66BC" w:rsidRDefault="009573B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{0460;0010}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AF2A" w14:textId="3A51D2AA" w:rsidR="00E36E71" w:rsidRPr="000B66BC" w:rsidRDefault="001D36C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OLRR u P2G: irid ikun magħmul minn kapital CET1</w:t>
            </w:r>
          </w:p>
          <w:p w14:paraId="76E51CBF" w14:textId="77777777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It-total ta’ (i) u 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 kif ġej:</w:t>
            </w:r>
          </w:p>
          <w:p w14:paraId="4E8CC957" w14:textId="6092A4C3" w:rsidR="00136A9C" w:rsidRPr="000B66BC" w:rsidRDefault="00136A9C" w:rsidP="000B66BC">
            <w:pPr>
              <w:pStyle w:val="BodyText1"/>
              <w:numPr>
                <w:ilvl w:val="0"/>
                <w:numId w:val="30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il-parti tal-proporzjon tal-fondi proprji addizzjonali li hija meħtieġa mill-awtorità kompetenti li tinżamm fil-forma ta’ kapital CET1, kif imsemmi fir-ringiela 0430;</w:t>
            </w:r>
          </w:p>
          <w:p w14:paraId="611A5895" w14:textId="6EB99D1C" w:rsidR="00136A9C" w:rsidRPr="000B66BC" w:rsidRDefault="00136A9C" w:rsidP="000B66BC">
            <w:pPr>
              <w:pStyle w:val="BodyText1"/>
              <w:numPr>
                <w:ilvl w:val="0"/>
                <w:numId w:val="30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il-parti tal-proporzjon P2G, imsemmija fil-punt 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 tar-ringiela 0450, li l-awtorità kompetenti tkun avżat li għandha tinżamm fil-forma ta’ kapital CET1.</w:t>
            </w:r>
          </w:p>
          <w:p w14:paraId="30A327FA" w14:textId="77777777" w:rsidR="003E3C45" w:rsidRDefault="00780634" w:rsidP="003E3C45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jikkalkulaw il-punt 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billi jiddividu l-valur f’</w:t>
            </w:r>
            <w:r>
              <w:rPr>
                <w:rFonts w:ascii="Times New Roman" w:hAnsi="Times New Roman"/>
                <w:color w:val="auto"/>
                <w:sz w:val="24"/>
              </w:rPr>
              <w:t>{0390;0010} b’dak f’</w:t>
            </w:r>
            <w:r>
              <w:rPr>
                <w:rFonts w:ascii="Times New Roman" w:hAnsi="Times New Roman"/>
                <w:sz w:val="24"/>
              </w:rPr>
              <w:t>{0300;0010}.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  <w:p w14:paraId="32685844" w14:textId="531CB8FD" w:rsidR="00E36E71" w:rsidRPr="000B66BC" w:rsidRDefault="003E3C45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Jekk l-ebda P2G ma tkun ġiet ikkomunikata mill-awtorità kompetenti, f’dak il-każ għandu jiġi rrapportat biss il-punt (i).</w:t>
            </w:r>
          </w:p>
        </w:tc>
      </w:tr>
      <w:tr w:rsidR="00E36E71" w:rsidRPr="00E75BB8" w14:paraId="5CCACDAA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F561" w14:textId="5D20E85A" w:rsidR="00E36E71" w:rsidRPr="000B66BC" w:rsidRDefault="00A0709E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{0470;0010}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54F2" w14:textId="77777777" w:rsidR="00E36E71" w:rsidRPr="000B66BC" w:rsidRDefault="001D36C8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OLRR u P2G: irid ikun magħmul minn kapital tal-Grad 1</w:t>
            </w:r>
          </w:p>
          <w:p w14:paraId="7E7156A9" w14:textId="787E9B54" w:rsidR="00136A9C" w:rsidRPr="000B66BC" w:rsidRDefault="00136A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It-total ta’ (i), 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 u 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 kif ġej:</w:t>
            </w:r>
          </w:p>
          <w:p w14:paraId="5D168708" w14:textId="116662AF" w:rsidR="00136A9C" w:rsidRPr="000B66BC" w:rsidRDefault="00843D9B" w:rsidP="000B66BC">
            <w:pPr>
              <w:pStyle w:val="BodyText1"/>
              <w:numPr>
                <w:ilvl w:val="0"/>
                <w:numId w:val="32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ir-rekwiżit totali tal-proporzjon tal-ingranaġġ SREP, kif imsemmi fir-ringiela 0420;</w:t>
            </w:r>
          </w:p>
          <w:p w14:paraId="44471EA4" w14:textId="37A3F29A" w:rsidR="00843D9B" w:rsidRPr="000B66BC" w:rsidRDefault="00843D9B" w:rsidP="000B66BC">
            <w:pPr>
              <w:pStyle w:val="ListParagraph"/>
              <w:numPr>
                <w:ilvl w:val="0"/>
                <w:numId w:val="32"/>
              </w:numPr>
              <w:spacing w:after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il-buffer għall-proporzjon tal-ingranaġġ G-SII f’konformità mal-Artikolu 92 (1a) tar-Regolament (UE) Nru 575/2013, espress bħala perċentwal tal-iskopertura totali tal-proporzjon tal-ingranaġġ.</w:t>
            </w:r>
          </w:p>
          <w:p w14:paraId="776F4028" w14:textId="5132AE58" w:rsidR="00136A9C" w:rsidRPr="000B66BC" w:rsidRDefault="00136A9C" w:rsidP="000B66BC">
            <w:pPr>
              <w:pStyle w:val="BodyText1"/>
              <w:numPr>
                <w:ilvl w:val="0"/>
                <w:numId w:val="32"/>
              </w:numPr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il-parti tal-proporzjon P2G, imsemmija fil-punt 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 tar-ringiela 0450, li l-awtorità kompetenti titlob li tinżamm fil-forma ta’ kapital tal-Grad 1.</w:t>
            </w:r>
          </w:p>
          <w:p w14:paraId="26F19755" w14:textId="77777777" w:rsidR="003E3C45" w:rsidRPr="000B66BC" w:rsidRDefault="003E3C45" w:rsidP="003E3C45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jikkalkulaw il-punt 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billi jiddividu l-valur f’</w:t>
            </w:r>
            <w:r>
              <w:rPr>
                <w:rFonts w:ascii="Times New Roman" w:hAnsi="Times New Roman"/>
                <w:color w:val="auto"/>
                <w:sz w:val="24"/>
              </w:rPr>
              <w:t>{0370;0010} b’dak f’</w:t>
            </w:r>
            <w:r>
              <w:rPr>
                <w:rFonts w:ascii="Times New Roman" w:hAnsi="Times New Roman"/>
                <w:sz w:val="24"/>
              </w:rPr>
              <w:t>{0300;0010}.</w:t>
            </w:r>
          </w:p>
          <w:p w14:paraId="2313052B" w14:textId="77777777" w:rsidR="003E3C45" w:rsidRDefault="003E3C45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jikkalkulaw il-punt (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>) billi jiddividu l-valur f’</w:t>
            </w:r>
            <w:r>
              <w:rPr>
                <w:rFonts w:ascii="Times New Roman" w:hAnsi="Times New Roman"/>
                <w:color w:val="auto"/>
                <w:sz w:val="24"/>
              </w:rPr>
              <w:t>{0400;0010} b’dak f’</w:t>
            </w:r>
            <w:r>
              <w:rPr>
                <w:rFonts w:ascii="Times New Roman" w:hAnsi="Times New Roman"/>
                <w:sz w:val="24"/>
              </w:rPr>
              <w:t>{0300;0010}.</w:t>
            </w:r>
          </w:p>
          <w:p w14:paraId="6BF7BD0F" w14:textId="49D247A3" w:rsidR="00843D9B" w:rsidRPr="000B66BC" w:rsidRDefault="00843D9B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Jekk ma jkun applikabbli l-ebda suppliment ta’ G-SII, għandhom jiġu rrapportati biss il-punti (i) u 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).</w:t>
            </w:r>
          </w:p>
          <w:p w14:paraId="784A7DD8" w14:textId="6852D82B" w:rsidR="00E36E71" w:rsidRPr="000B66BC" w:rsidRDefault="00136A9C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Jekk l-ebda P2G ma tkun ġiet ikkomunikata mill-awtorità kompetenti, f’dak il-każ għandhom jiġu rrapportati biss il-punti (i) u (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>).</w:t>
            </w:r>
          </w:p>
        </w:tc>
      </w:tr>
      <w:tr w:rsidR="00E524FC" w:rsidRPr="00E75BB8" w14:paraId="601424AF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FD45C" w14:textId="1021D484" w:rsidR="00E524FC" w:rsidRPr="000B66BC" w:rsidRDefault="00E524F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 u kolonna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2BB32" w14:textId="77777777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Entrati ta’ memorandum</w:t>
            </w:r>
          </w:p>
        </w:tc>
      </w:tr>
      <w:tr w:rsidR="00E524FC" w:rsidRPr="00E75BB8" w14:paraId="66E51847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3E43" w14:textId="3C27850E" w:rsidR="00E524FC" w:rsidRPr="000B66BC" w:rsidRDefault="00E524F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BAB1" w14:textId="7D3F954D" w:rsidR="00E524FC" w:rsidRPr="000B66BC" w:rsidRDefault="009339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Regolament (UE) Nru 575/2013 Regolament (UE) Nru 575/2013</w:t>
            </w:r>
            <w:r>
              <w:rPr>
                <w:rFonts w:ascii="Times New Roman" w:hAnsi="Times New Roman"/>
                <w:color w:val="auto"/>
                <w:sz w:val="24"/>
              </w:rPr>
              <w:t xml:space="preserve"> </w:t>
            </w:r>
          </w:p>
        </w:tc>
      </w:tr>
      <w:tr w:rsidR="00E524FC" w:rsidRPr="00E75BB8" w14:paraId="12DDA6F6" w14:textId="77777777" w:rsidTr="008979D2">
        <w:trPr>
          <w:trHeight w:val="304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EEB" w14:textId="7EBFE2F4" w:rsidR="00E524FC" w:rsidRPr="000B66BC" w:rsidRDefault="00E524FC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{0490;0010}</w:t>
            </w:r>
          </w:p>
        </w:tc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C97D" w14:textId="7B6565CA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Proporzjon tal-ingranaġġ daqslikieku t-trattament temporanju ta’ qligħ u telf mhux realizzati mkejjel bil-valur ġust permezz ta’ introjtu komprensiv ieħor ma ġiex applikat</w:t>
            </w:r>
          </w:p>
          <w:p w14:paraId="22FC70A7" w14:textId="0B4FA8B5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Artikolu 468(5) tar-Regolament (UE) Nru 575/2013</w:t>
            </w:r>
          </w:p>
          <w:p w14:paraId="787A9CC8" w14:textId="0A07D371" w:rsidR="00E524FC" w:rsidRPr="000B66BC" w:rsidRDefault="00E524F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li ddeċidew li japplikaw it-trattament temporanju stabbilit fil-paragrafu 1 tal-Artikolu 468 tar-Regolament (UE) Nru 575/2013 għandhom jirrapportaw il-proporzjon tal-ingranaġġ li kien ikollhom li kieku ma kellhomx japplikaw dak it-trattament.</w:t>
            </w:r>
          </w:p>
        </w:tc>
      </w:tr>
    </w:tbl>
    <w:p w14:paraId="6B40D8E2" w14:textId="77777777" w:rsidR="00AE2798" w:rsidRPr="000B66BC" w:rsidRDefault="00AE2798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p w14:paraId="794CE395" w14:textId="173F43D2" w:rsidR="00700DA6" w:rsidRPr="000B66BC" w:rsidRDefault="005F4574" w:rsidP="005D135B">
      <w:pPr>
        <w:pStyle w:val="BodyText1"/>
        <w:keepNext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55" w:name="_Toc351048507"/>
      <w:bookmarkStart w:id="56" w:name="_Toc359414286"/>
      <w:bookmarkStart w:id="57" w:name="_Toc423089071"/>
      <w:bookmarkStart w:id="58" w:name="_Toc182305159"/>
      <w:r>
        <w:rPr>
          <w:rFonts w:ascii="Times New Roman" w:hAnsi="Times New Roman"/>
          <w:b/>
          <w:sz w:val="24"/>
        </w:rPr>
        <w:t>4.</w:t>
      </w:r>
      <w:r>
        <w:tab/>
      </w:r>
      <w:r>
        <w:rPr>
          <w:rFonts w:ascii="Times New Roman" w:hAnsi="Times New Roman"/>
          <w:b/>
          <w:sz w:val="24"/>
        </w:rPr>
        <w:t>C 40.00 – Trattament alternattiv tal-Kejl tal-Iskopertura</w:t>
      </w:r>
      <w:bookmarkEnd w:id="53"/>
      <w:bookmarkEnd w:id="55"/>
      <w:bookmarkEnd w:id="56"/>
      <w:r>
        <w:rPr>
          <w:rFonts w:ascii="Times New Roman" w:hAnsi="Times New Roman"/>
          <w:b/>
          <w:sz w:val="24"/>
        </w:rPr>
        <w:t xml:space="preserve"> (LR1)</w:t>
      </w:r>
      <w:bookmarkEnd w:id="57"/>
      <w:bookmarkEnd w:id="58"/>
    </w:p>
    <w:p w14:paraId="0FB337CA" w14:textId="47825928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20.</w:t>
      </w:r>
      <w:r>
        <w:tab/>
      </w:r>
      <w:r>
        <w:rPr>
          <w:rFonts w:ascii="Times New Roman" w:hAnsi="Times New Roman"/>
          <w:sz w:val="24"/>
        </w:rPr>
        <w:t xml:space="preserve">Din il-parti tar-rapportar tiġbor data dwar it-trattament alternattiv tad-derivattivi, </w:t>
      </w:r>
      <w:proofErr w:type="spellStart"/>
      <w:r>
        <w:rPr>
          <w:rFonts w:ascii="Times New Roman" w:hAnsi="Times New Roman"/>
          <w:sz w:val="24"/>
        </w:rPr>
        <w:t>SFTs</w:t>
      </w:r>
      <w:proofErr w:type="spellEnd"/>
      <w:r>
        <w:rPr>
          <w:rFonts w:ascii="Times New Roman" w:hAnsi="Times New Roman"/>
          <w:sz w:val="24"/>
        </w:rPr>
        <w:t xml:space="preserve">, entrati li ma jidhrux fil-karta tal-bilanċ, investimenti eżentati fis-settur pubbliku u skoperturi eżentati għal self promozzjonali. </w:t>
      </w:r>
    </w:p>
    <w:p w14:paraId="0801E40E" w14:textId="6947458E" w:rsidR="00F4754B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21.</w:t>
      </w:r>
      <w:r>
        <w:tab/>
      </w:r>
      <w:r>
        <w:rPr>
          <w:rFonts w:ascii="Times New Roman" w:hAnsi="Times New Roman"/>
          <w:sz w:val="24"/>
        </w:rPr>
        <w:t xml:space="preserve">L-istituzzjonijiet għandhom jiddeterminaw il-“valuri kontabilistiċi tal-karta tal-bilanċ” f’LR1 fuq il-bażi tal-qafas kontabilistiku applikabbli b’konformità mal-punt (77) tal-Artikolu 4(1) tar-Regolament (UE) Nru 575/2013. “Valur kontabilistiku jekk ma jiġi </w:t>
      </w:r>
      <w:proofErr w:type="spellStart"/>
      <w:r>
        <w:rPr>
          <w:rFonts w:ascii="Times New Roman" w:hAnsi="Times New Roman"/>
          <w:sz w:val="24"/>
        </w:rPr>
        <w:t>supponut</w:t>
      </w:r>
      <w:proofErr w:type="spellEnd"/>
      <w:r>
        <w:rPr>
          <w:rFonts w:ascii="Times New Roman" w:hAnsi="Times New Roman"/>
          <w:sz w:val="24"/>
        </w:rPr>
        <w:t xml:space="preserve"> ebda </w:t>
      </w:r>
      <w:proofErr w:type="spellStart"/>
      <w:r>
        <w:rPr>
          <w:rFonts w:ascii="Times New Roman" w:hAnsi="Times New Roman"/>
          <w:sz w:val="24"/>
        </w:rPr>
        <w:t>netting</w:t>
      </w:r>
      <w:proofErr w:type="spellEnd"/>
      <w:r>
        <w:rPr>
          <w:rFonts w:ascii="Times New Roman" w:hAnsi="Times New Roman"/>
          <w:sz w:val="24"/>
        </w:rPr>
        <w:t xml:space="preserve"> jew CRM oħra” tirreferi għall-valur kontabilistiku tal-karta tal-bilanċ li ma jqis l-ebda effett ta’ </w:t>
      </w:r>
      <w:proofErr w:type="spellStart"/>
      <w:r>
        <w:rPr>
          <w:rFonts w:ascii="Times New Roman" w:hAnsi="Times New Roman"/>
          <w:sz w:val="24"/>
        </w:rPr>
        <w:t>netting</w:t>
      </w:r>
      <w:proofErr w:type="spellEnd"/>
      <w:r>
        <w:rPr>
          <w:rFonts w:ascii="Times New Roman" w:hAnsi="Times New Roman"/>
          <w:sz w:val="24"/>
        </w:rPr>
        <w:t xml:space="preserve"> jew mitigazzjoni oħra tar-riskju tal-kreditu. </w:t>
      </w:r>
    </w:p>
    <w:p w14:paraId="6A1F4290" w14:textId="4A3B06AA" w:rsidR="005556DC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22.</w:t>
      </w:r>
      <w:r>
        <w:tab/>
      </w:r>
      <w:r>
        <w:rPr>
          <w:rFonts w:ascii="Times New Roman" w:hAnsi="Times New Roman"/>
          <w:sz w:val="24"/>
        </w:rPr>
        <w:t xml:space="preserve">L-istituzzjonijiet għandhom jirrapportaw l-entrati LR1 bħallikieku l-entrati b’sinjal negattiv fil-formola </w:t>
      </w:r>
      <w:proofErr w:type="spellStart"/>
      <w:r>
        <w:rPr>
          <w:rFonts w:ascii="Times New Roman" w:hAnsi="Times New Roman"/>
          <w:sz w:val="24"/>
        </w:rPr>
        <w:t>LRCalc</w:t>
      </w:r>
      <w:proofErr w:type="spellEnd"/>
      <w:r>
        <w:rPr>
          <w:rFonts w:ascii="Times New Roman" w:hAnsi="Times New Roman"/>
          <w:sz w:val="24"/>
        </w:rPr>
        <w:t xml:space="preserve"> (pereżempju eżenzjonijiet/tnaqqis) skont il-konvenzjoni tas-sinjali fil-paragrafu 9 tal-Parti I ta’ dan l-Anness, ħlief ir-ringieli {0270;0010} {0280;0010}, ma kinux japplikaw.</w:t>
      </w:r>
    </w:p>
    <w:p w14:paraId="3B5DA19A" w14:textId="314820A5" w:rsidR="00201643" w:rsidRPr="000B66BC" w:rsidRDefault="00201643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23.</w:t>
      </w:r>
      <w:r>
        <w:tab/>
      </w:r>
      <w:r>
        <w:rPr>
          <w:rFonts w:ascii="Times New Roman" w:hAnsi="Times New Roman"/>
          <w:sz w:val="24"/>
        </w:rPr>
        <w:t>L-assi totali ({r0410;c0010}) fil-formola 40.00 għandhom jiġu rrapportati biss minn:</w:t>
      </w:r>
    </w:p>
    <w:p w14:paraId="120D67B7" w14:textId="7350FC6D" w:rsidR="00390B64" w:rsidRPr="000B66BC" w:rsidRDefault="00390B64" w:rsidP="000B66BC">
      <w:pPr>
        <w:pStyle w:val="BodyText1"/>
        <w:numPr>
          <w:ilvl w:val="0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istituzzjonijiet kbar li huma jew G-</w:t>
      </w:r>
      <w:proofErr w:type="spellStart"/>
      <w:r>
        <w:rPr>
          <w:rFonts w:ascii="Times New Roman" w:hAnsi="Times New Roman"/>
          <w:sz w:val="24"/>
        </w:rPr>
        <w:t>SIIs</w:t>
      </w:r>
      <w:proofErr w:type="spellEnd"/>
      <w:r>
        <w:rPr>
          <w:rFonts w:ascii="Times New Roman" w:hAnsi="Times New Roman"/>
          <w:sz w:val="24"/>
        </w:rPr>
        <w:t xml:space="preserve"> jew li ħarġu titoli li huma ammessi għan-negozjar f’suq regolat bi frekwenza semi-annwali, </w:t>
      </w:r>
    </w:p>
    <w:p w14:paraId="275097FF" w14:textId="4F3F0B8E" w:rsidR="00390B64" w:rsidRPr="000B66BC" w:rsidRDefault="00390B64" w:rsidP="000B66BC">
      <w:pPr>
        <w:pStyle w:val="BodyText1"/>
        <w:numPr>
          <w:ilvl w:val="0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istituzzjonijiet kbar għajr G-</w:t>
      </w:r>
      <w:proofErr w:type="spellStart"/>
      <w:r>
        <w:rPr>
          <w:rFonts w:ascii="Times New Roman" w:hAnsi="Times New Roman"/>
          <w:sz w:val="24"/>
        </w:rPr>
        <w:t>SIIs</w:t>
      </w:r>
      <w:proofErr w:type="spellEnd"/>
      <w:r>
        <w:rPr>
          <w:rFonts w:ascii="Times New Roman" w:hAnsi="Times New Roman"/>
          <w:sz w:val="24"/>
        </w:rPr>
        <w:t xml:space="preserve"> li huma istituzzjonijiet mhux elenkati bi frekwenza annwali,</w:t>
      </w:r>
    </w:p>
    <w:p w14:paraId="59E3D42C" w14:textId="4C664B3D" w:rsidR="00390B64" w:rsidRPr="000B66BC" w:rsidRDefault="00390B64" w:rsidP="000B66BC">
      <w:pPr>
        <w:pStyle w:val="BodyText1"/>
        <w:numPr>
          <w:ilvl w:val="0"/>
          <w:numId w:val="35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istituzzjonijiet oħra għajr istituzzjonijiet kbar u istituzzjonijiet żgħar u mhux kumplessi, li ħarġu titoli li huma ammessi għan-negozjar f’suq regolat bi frekwenza annwali. </w:t>
      </w:r>
    </w:p>
    <w:tbl>
      <w:tblPr>
        <w:tblW w:w="92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7620"/>
      </w:tblGrid>
      <w:tr w:rsidR="00F4754B" w:rsidRPr="00E75BB8" w14:paraId="26421155" w14:textId="77777777" w:rsidTr="005D135B">
        <w:tc>
          <w:tcPr>
            <w:tcW w:w="1654" w:type="dxa"/>
            <w:shd w:val="clear" w:color="auto" w:fill="D9D9D9" w:themeFill="background1" w:themeFillShade="D9"/>
          </w:tcPr>
          <w:p w14:paraId="08FB450D" w14:textId="524E5AB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 u kolonna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2A94B720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F4754B" w:rsidRPr="00E75BB8" w14:paraId="361F248A" w14:textId="77777777" w:rsidTr="005D135B">
        <w:tc>
          <w:tcPr>
            <w:tcW w:w="1654" w:type="dxa"/>
          </w:tcPr>
          <w:p w14:paraId="4F9FA107" w14:textId="57BE6A8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{0010;0010}</w:t>
            </w:r>
          </w:p>
        </w:tc>
        <w:tc>
          <w:tcPr>
            <w:tcW w:w="7620" w:type="dxa"/>
          </w:tcPr>
          <w:p w14:paraId="39F15765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– Il-valur kontabilistiku tal-karta tal-bilanċ</w:t>
            </w:r>
          </w:p>
          <w:p w14:paraId="7F9C9C25" w14:textId="151D2509" w:rsidR="000A6437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{0020;010}, {0050;0010} u {0060;0010}.</w:t>
            </w:r>
          </w:p>
        </w:tc>
      </w:tr>
      <w:tr w:rsidR="00F4754B" w:rsidRPr="00E75BB8" w14:paraId="1D231FFA" w14:textId="77777777" w:rsidTr="005D135B">
        <w:tc>
          <w:tcPr>
            <w:tcW w:w="1654" w:type="dxa"/>
          </w:tcPr>
          <w:p w14:paraId="63C98797" w14:textId="06C6C9D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{0010;0020}</w:t>
            </w:r>
          </w:p>
        </w:tc>
        <w:tc>
          <w:tcPr>
            <w:tcW w:w="7620" w:type="dxa"/>
          </w:tcPr>
          <w:p w14:paraId="4563944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 – Il-valur kontabilistiku jekk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l-ebda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7E68FF9D" w14:textId="3AAE9DFF" w:rsidR="00FF3AC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{0020;0020}, {0050;0020} u {0060;0020}.</w:t>
            </w:r>
          </w:p>
        </w:tc>
      </w:tr>
      <w:tr w:rsidR="00F4754B" w:rsidRPr="00E75BB8" w14:paraId="56F668DB" w14:textId="77777777" w:rsidTr="005D135B">
        <w:tc>
          <w:tcPr>
            <w:tcW w:w="1654" w:type="dxa"/>
          </w:tcPr>
          <w:p w14:paraId="678E69B3" w14:textId="4CB7664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{0010;0070}</w:t>
            </w:r>
          </w:p>
        </w:tc>
        <w:tc>
          <w:tcPr>
            <w:tcW w:w="7620" w:type="dxa"/>
          </w:tcPr>
          <w:p w14:paraId="5D79D47D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– L-ammont nozzjonali</w:t>
            </w:r>
          </w:p>
          <w:p w14:paraId="2AECBC09" w14:textId="2F33E45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{0020;0070}, {0050;0070} u {0060;0070}.</w:t>
            </w:r>
          </w:p>
        </w:tc>
      </w:tr>
      <w:tr w:rsidR="00F4754B" w:rsidRPr="00E75BB8" w14:paraId="6B45BB27" w14:textId="77777777" w:rsidTr="005D135B">
        <w:tc>
          <w:tcPr>
            <w:tcW w:w="1654" w:type="dxa"/>
          </w:tcPr>
          <w:p w14:paraId="46216D41" w14:textId="7412E93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{0020;0010}</w:t>
            </w:r>
          </w:p>
        </w:tc>
        <w:tc>
          <w:tcPr>
            <w:tcW w:w="7620" w:type="dxa"/>
          </w:tcPr>
          <w:p w14:paraId="0B692C5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ta’ kreditu (protezzjoni mibjugħa) – Il-valur kontabilistiku tal-karta tal-bilanċ</w:t>
            </w:r>
          </w:p>
          <w:p w14:paraId="0232A08C" w14:textId="557B887D" w:rsidR="00F4754B" w:rsidRPr="000B66BC" w:rsidRDefault="006D6827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Il-punt (77) tal-Artikolu 4(1) tar-Regolament (UE) Nru 575/2013; il-valur kontabilistiku tal-karta tal-bilanċ skont il-qafas kontabilistiku applikabbli tad-</w:t>
            </w:r>
            <w:r>
              <w:rPr>
                <w:rFonts w:ascii="Times New Roman" w:hAnsi="Times New Roman"/>
                <w:sz w:val="24"/>
              </w:rPr>
              <w:lastRenderedPageBreak/>
              <w:t>derivattivi ta’ kreditu meta l-istituzzjoni tkun qed tbigħ protezzjoni ta’ kreditu lil kontroparti u l-kuntratt ikun rikonoxxut bħala assi fuq il-karta tal-bilanċ</w:t>
            </w:r>
          </w:p>
        </w:tc>
      </w:tr>
      <w:tr w:rsidR="00F4754B" w:rsidRPr="00E75BB8" w14:paraId="78089643" w14:textId="77777777" w:rsidTr="005D135B">
        <w:tc>
          <w:tcPr>
            <w:tcW w:w="1654" w:type="dxa"/>
          </w:tcPr>
          <w:p w14:paraId="6D29AC05" w14:textId="21326B2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{0020;0020}</w:t>
            </w:r>
          </w:p>
        </w:tc>
        <w:tc>
          <w:tcPr>
            <w:tcW w:w="7620" w:type="dxa"/>
          </w:tcPr>
          <w:p w14:paraId="47C4979D" w14:textId="1C2E617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 ta’ kreditu (protezzjoni mibjugħa) – Il-valur kontabilistiku jekk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379F5EE7" w14:textId="7F30105A" w:rsidR="00F4754B" w:rsidRPr="000B66BC" w:rsidRDefault="006D6827" w:rsidP="003E3C4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Il-punt (77) tal-Artikolu 4(1) tar-Regolament (UE) Nru 575/2013; il-valur kontabilistiku tal-karta tal-bilanċ skont il-qafas kontabilistiku applikabbli tad-derivattivi ta’ kreditu meta l-istituzzjoni tkun qed tbigħ protezzjoni ta’ kreditu lil kontroparti u l-kuntratt ikun rikonoxxut bħala assi fuq il-karta tal-bilanċ jekk ma jiġu </w:t>
            </w:r>
            <w:proofErr w:type="spellStart"/>
            <w:r>
              <w:rPr>
                <w:rFonts w:ascii="Times New Roman" w:hAnsi="Times New Roman"/>
                <w:sz w:val="24"/>
              </w:rPr>
              <w:t>supponutil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-ebda effett prudenzjali jew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oħra (jiġifieri kull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CRM li kellu effett fuq il-valur kontabilistiku għandu jitreġġa’ lura)</w:t>
            </w:r>
          </w:p>
        </w:tc>
      </w:tr>
      <w:tr w:rsidR="00F4754B" w:rsidRPr="00E75BB8" w14:paraId="6F14FFAF" w14:textId="77777777" w:rsidTr="005D135B">
        <w:tc>
          <w:tcPr>
            <w:tcW w:w="1654" w:type="dxa"/>
          </w:tcPr>
          <w:p w14:paraId="7C797A14" w14:textId="4C6AAC2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{0020;0070}</w:t>
            </w:r>
          </w:p>
        </w:tc>
        <w:tc>
          <w:tcPr>
            <w:tcW w:w="7620" w:type="dxa"/>
          </w:tcPr>
          <w:p w14:paraId="5B4D4747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ta’ kreditu (protezzjoni mibjugħa) – L-ammont nozzjonali</w:t>
            </w:r>
          </w:p>
          <w:p w14:paraId="79F96141" w14:textId="45B474E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Din għandha tkun is-somma taċ-ċelloli {0030;0070} u {0040;0070}</w:t>
            </w:r>
          </w:p>
        </w:tc>
      </w:tr>
      <w:tr w:rsidR="00410E47" w:rsidRPr="00E75BB8" w14:paraId="3223F811" w14:textId="77777777" w:rsidTr="005D135B">
        <w:tc>
          <w:tcPr>
            <w:tcW w:w="1654" w:type="dxa"/>
          </w:tcPr>
          <w:p w14:paraId="13A1CD32" w14:textId="73B22E89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{0020;0075}</w:t>
            </w:r>
          </w:p>
        </w:tc>
        <w:tc>
          <w:tcPr>
            <w:tcW w:w="7620" w:type="dxa"/>
          </w:tcPr>
          <w:p w14:paraId="4149AAF1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ta’ kreditu (protezzjoni mibjugħa) – L-ammont nozzjonali limitat</w:t>
            </w:r>
          </w:p>
          <w:p w14:paraId="0C4AF19E" w14:textId="54E04166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l-ammont nozzjonali </w:t>
            </w:r>
            <w:proofErr w:type="spellStart"/>
            <w:r>
              <w:rPr>
                <w:rFonts w:ascii="Times New Roman" w:hAnsi="Times New Roman"/>
                <w:sz w:val="24"/>
              </w:rPr>
              <w:t>referenzjat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mid-derivattivi tal-kreditu (protezzjoni mibjugħa) bħal f’{0020; 0070} wara tnaqqis bi kwalunkwe tibdil negattiv fil-valur ġust li kien inkorporat fil-kapital tal-Grad 1 fir-rigward tad-derivattiv ta’ kreditu sottoskritt.</w:t>
            </w:r>
          </w:p>
        </w:tc>
      </w:tr>
      <w:tr w:rsidR="00F56B61" w:rsidRPr="00E75BB8" w14:paraId="01AA1F98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FE0" w14:textId="29A35CD8" w:rsidR="00F56B61" w:rsidRPr="000B66BC" w:rsidRDefault="00F56B6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{0030;0070}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1D07" w14:textId="36F4ADB6" w:rsidR="00F56B61" w:rsidRPr="000B66BC" w:rsidRDefault="00F56B6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ta’ kreditu (protezzjoni mibjugħa), li huma soġġetti għal klawżola ta’ għeluq – L-ammont nozzjonali</w:t>
            </w:r>
          </w:p>
          <w:p w14:paraId="018BEF1F" w14:textId="22289BB3" w:rsidR="00F56B61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l-ammont nozzjonali </w:t>
            </w:r>
            <w:proofErr w:type="spellStart"/>
            <w:r>
              <w:rPr>
                <w:rFonts w:ascii="Times New Roman" w:hAnsi="Times New Roman"/>
                <w:sz w:val="24"/>
              </w:rPr>
              <w:t>referenzjat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minn derivattivi tal-kreditu meta l-istituzzjoni tkun qed tbigħ protezzjoni tal-kreditu lil kontroparti soġġetta għal klawżola ta’ għeluq.</w:t>
            </w:r>
          </w:p>
          <w:p w14:paraId="5A116C41" w14:textId="488FF38F" w:rsidR="00F56B61" w:rsidRPr="000B66BC" w:rsidRDefault="00F56B6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Il-klawżola ta’ għeluq għandha tiġi ddefinita bħala klawżola li tipprovdi lill-parti mhux inadempjenti d-dritt li ttemm u tagħlaq fil-ħin it-tranżazzjonijiet kollha skont il-ftehim f’każ ta’ inadempjenza, anki fil-każ ta’ insolvenza jew falliment tal-kontroparti.</w:t>
            </w:r>
          </w:p>
          <w:p w14:paraId="7931AC41" w14:textId="557F8233" w:rsidR="00F56B61" w:rsidRPr="000B66BC" w:rsidRDefault="00F56B6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iqisu d-derivattivi ta’ kreditu kollha, u mhux biss dawk assenjati lill-portafoll tan-negozjar.</w:t>
            </w:r>
          </w:p>
        </w:tc>
      </w:tr>
      <w:tr w:rsidR="00410E47" w:rsidRPr="00E75BB8" w14:paraId="758B12D8" w14:textId="77777777" w:rsidTr="005D135B">
        <w:tc>
          <w:tcPr>
            <w:tcW w:w="1654" w:type="dxa"/>
          </w:tcPr>
          <w:p w14:paraId="25EB07E0" w14:textId="122C486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{0040;0070}</w:t>
            </w:r>
          </w:p>
        </w:tc>
        <w:tc>
          <w:tcPr>
            <w:tcW w:w="7620" w:type="dxa"/>
          </w:tcPr>
          <w:p w14:paraId="6050FB9E" w14:textId="17B2C2C9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ta’ kreditu (protezzjoni mibjugħa), li mhumiex soġġetti għal klawżola ta’ għeluq – L-ammont nozzjonali</w:t>
            </w:r>
          </w:p>
          <w:p w14:paraId="1DD1CCDE" w14:textId="0B30797B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l-ammont nozzjonali </w:t>
            </w:r>
            <w:proofErr w:type="spellStart"/>
            <w:r>
              <w:rPr>
                <w:rFonts w:ascii="Times New Roman" w:hAnsi="Times New Roman"/>
                <w:sz w:val="24"/>
              </w:rPr>
              <w:t>referenzjat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minn derivattivi ta’ kreditu meta l-istituzzjoni tkun qed tbigħ protezzjoni ta’ kreditu lil kontroparti mhux soġġetta għal “klawżola ta’ għeluq”.</w:t>
            </w:r>
          </w:p>
          <w:p w14:paraId="35F31007" w14:textId="3FE74DD8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Il-klawżola ta’ għeluq għandha tiġi ddefinita bħala klawżola li tipprovdi lill-parti mhux inadempjenti d-dritt li ttemm u tagħlaq fil-ħin it-tranżazzjonijiet </w:t>
            </w:r>
            <w:r>
              <w:rPr>
                <w:rFonts w:ascii="Times New Roman" w:hAnsi="Times New Roman"/>
                <w:sz w:val="24"/>
              </w:rPr>
              <w:lastRenderedPageBreak/>
              <w:t>kollha skont il-ftehim f’każ ta’ inadempjenza, anki fil-każ ta’ insolvenza jew falliment tal-kontroparti.</w:t>
            </w:r>
          </w:p>
          <w:p w14:paraId="3D6F6539" w14:textId="27A2337C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iqisu d-derivattivi ta’ kreditu kollha, u mhux biss dawk assenjati lill-portafoll tan-negozjar.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410E47" w:rsidRPr="00E75BB8" w14:paraId="6FD3F9A1" w14:textId="77777777" w:rsidTr="005D135B">
        <w:tc>
          <w:tcPr>
            <w:tcW w:w="1654" w:type="dxa"/>
          </w:tcPr>
          <w:p w14:paraId="735EF22F" w14:textId="3084E84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{0050;0010}</w:t>
            </w:r>
          </w:p>
        </w:tc>
        <w:tc>
          <w:tcPr>
            <w:tcW w:w="7620" w:type="dxa"/>
          </w:tcPr>
          <w:p w14:paraId="1C7DEFE2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ta’ kreditu (protezzjoni mixtrija) – Valur kontabilistiku tal-karta tal-bilanċ</w:t>
            </w:r>
          </w:p>
          <w:p w14:paraId="253831D8" w14:textId="71F050F1" w:rsidR="00410E47" w:rsidRPr="000B66BC" w:rsidRDefault="006D682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(77) tal-Artikolu 4(1) tar-Regolament (UE) Nru 575/2013; il-valur kontabilistiku tal-karta tal-bilanċ skont il-qafas kontabilistiku applikabbli ta’ derivattivi ta’ kreditu meta l-istituzzjoni tkun qed tixtri protezzjoni ta’ kreditu minn kontroparti u l-kuntratt ikun rikonoxxut bħala assi fil-karta tal-bilanċ</w:t>
            </w:r>
          </w:p>
          <w:p w14:paraId="702252EB" w14:textId="057F95BC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iqisu d-derivattivi ta’ kreditu kollha, u mhux biss dawk assenjati lill-portafoll tan-negozjar.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410E47" w:rsidRPr="00E75BB8" w14:paraId="7D57309E" w14:textId="77777777" w:rsidTr="005D135B">
        <w:tc>
          <w:tcPr>
            <w:tcW w:w="1654" w:type="dxa"/>
          </w:tcPr>
          <w:p w14:paraId="321C83DC" w14:textId="405C105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{0050;0020}</w:t>
            </w:r>
          </w:p>
        </w:tc>
        <w:tc>
          <w:tcPr>
            <w:tcW w:w="7620" w:type="dxa"/>
          </w:tcPr>
          <w:p w14:paraId="0AFB57D5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 ta’ kreditu (protezzjoni mixtrija) – Il-valur kontabilistiku filwaqt li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269D2982" w14:textId="2B5E1E52" w:rsidR="00410E47" w:rsidRPr="000B66BC" w:rsidRDefault="006D682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Il-punt (77) tal-Artikolu 4(1) tar-Regolament (UE) Nru 575/2013; il-valur kontabilistiku tal-karta tal-bilanċ skont il-qafas kontabilistiku applikabbli ta’ derivattivi ta’ kreditu meta l-istituzzjoni tkun qed tixtri protezzjoni ta’ kreditu minn kontroparti u l-kuntratt ikun rikonoxxut bħala assi fuq il-karta tal-bilanċ jekk ma jiġi </w:t>
            </w:r>
            <w:proofErr w:type="spellStart"/>
            <w:r>
              <w:rPr>
                <w:rFonts w:ascii="Times New Roman" w:hAnsi="Times New Roman"/>
                <w:sz w:val="24"/>
              </w:rPr>
              <w:t>supponut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l-ebda effett prudenzjali jew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CRM (jiġifieri kull effett </w:t>
            </w:r>
            <w:proofErr w:type="spellStart"/>
            <w:r>
              <w:rPr>
                <w:rFonts w:ascii="Times New Roman" w:hAnsi="Times New Roman"/>
                <w:sz w:val="24"/>
              </w:rPr>
              <w:t>tan-netting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li kellu effett fuq il-valur kontabilistiku għandu jitreġġa’ lura)</w:t>
            </w:r>
          </w:p>
          <w:p w14:paraId="2E8D49DB" w14:textId="0AA0000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iqisu d-derivattivi ta’ kreditu kollha, u mhux biss dawk assenjati lill-portafoll tan-negozjar.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410E47" w:rsidRPr="00E75BB8" w14:paraId="66D4DF42" w14:textId="77777777" w:rsidTr="005D135B">
        <w:tc>
          <w:tcPr>
            <w:tcW w:w="1654" w:type="dxa"/>
          </w:tcPr>
          <w:p w14:paraId="14F12A57" w14:textId="14E0A38E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{0050;0070}</w:t>
            </w:r>
          </w:p>
          <w:p w14:paraId="02F218B6" w14:textId="7777777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20" w:type="dxa"/>
          </w:tcPr>
          <w:p w14:paraId="1CAAAE13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ta’ kreditu (protezzjoni mixtrija) – L-ammont nozzjonali</w:t>
            </w:r>
          </w:p>
          <w:p w14:paraId="1671DB5D" w14:textId="3D6728B4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l-ammont nozzjonali </w:t>
            </w:r>
            <w:proofErr w:type="spellStart"/>
            <w:r>
              <w:rPr>
                <w:rFonts w:ascii="Times New Roman" w:hAnsi="Times New Roman"/>
                <w:sz w:val="24"/>
              </w:rPr>
              <w:t>referenzjat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mid-derivattivi ta’ kreditu meta l-istituzzjoni tkun qed tixtri protezzjoni tal-kreditu mingħand kontroparti. </w:t>
            </w:r>
          </w:p>
          <w:p w14:paraId="38DBE45F" w14:textId="372DBEE5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iqisu d-derivattivi ta’ kreditu kollha, u mhux biss dawk assenjati lill-portafoll tan-negozjar.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</w:p>
        </w:tc>
      </w:tr>
      <w:tr w:rsidR="00410E47" w:rsidRPr="00E75BB8" w14:paraId="05C9F42E" w14:textId="77777777" w:rsidTr="005D135B">
        <w:tc>
          <w:tcPr>
            <w:tcW w:w="1654" w:type="dxa"/>
          </w:tcPr>
          <w:p w14:paraId="0F85E383" w14:textId="5077338D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{0050;0075}</w:t>
            </w:r>
          </w:p>
        </w:tc>
        <w:tc>
          <w:tcPr>
            <w:tcW w:w="7620" w:type="dxa"/>
          </w:tcPr>
          <w:p w14:paraId="1E75C7B9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ta’ kreditu (protezzjoni mixtrija) – L-ammont nozzjonali limitat</w:t>
            </w:r>
          </w:p>
          <w:p w14:paraId="34A0542C" w14:textId="20F92B99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l-ammont nozzjonali </w:t>
            </w:r>
            <w:proofErr w:type="spellStart"/>
            <w:r>
              <w:rPr>
                <w:rFonts w:ascii="Times New Roman" w:hAnsi="Times New Roman"/>
                <w:sz w:val="24"/>
              </w:rPr>
              <w:t>referenzjat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mid-derivattivi ta’ kreditu (protezzjoni mixtrija) bħal f’{0050;0070} wara t-tnaqqis minn kwalunkwe tibdil pożittiv fil-valur ġust li kien inkorporat fil-kapital tal-Grad 1 fir-rigward tad-derivattiva ta’ kreditu mixtrija.</w:t>
            </w:r>
          </w:p>
        </w:tc>
      </w:tr>
      <w:tr w:rsidR="00410E47" w:rsidRPr="00E75BB8" w14:paraId="3D24D0EB" w14:textId="77777777" w:rsidTr="005D135B">
        <w:tc>
          <w:tcPr>
            <w:tcW w:w="1654" w:type="dxa"/>
          </w:tcPr>
          <w:p w14:paraId="2FA9342C" w14:textId="1D5DB6DE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{0050;0085}</w:t>
            </w:r>
          </w:p>
          <w:p w14:paraId="09433CF3" w14:textId="7777777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20" w:type="dxa"/>
          </w:tcPr>
          <w:p w14:paraId="7385FC42" w14:textId="77777777" w:rsidR="00410E47" w:rsidRPr="000B66BC" w:rsidRDefault="00ED741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ta’ kreditu (protezzjoni mixtrija) – L-ammont nozzjonali limitat (l-istess isem ta’ referenza)</w:t>
            </w:r>
          </w:p>
          <w:p w14:paraId="797BBD79" w14:textId="03DB9559" w:rsidR="00410E47" w:rsidRPr="000B66BC" w:rsidRDefault="003E3C4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l-ammont nozzjonali </w:t>
            </w:r>
            <w:proofErr w:type="spellStart"/>
            <w:r>
              <w:rPr>
                <w:rFonts w:ascii="Times New Roman" w:hAnsi="Times New Roman"/>
                <w:sz w:val="24"/>
              </w:rPr>
              <w:t>referenzjat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mid-derivattivi ta’ kreditu meta l-istituzzjoni tkun qed tixtri protezzjoni tal-kreditu bl-istess isem ta’ referenza sottostanti bħal dawk id-derivattivi ta’ kreditu sottoskritti mill-istituzzjoni tar-rapportar.</w:t>
            </w:r>
          </w:p>
          <w:p w14:paraId="55CDE23E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tar-rapportar tal-valur ta’ din iċ-ċellola, l-ismijiet ta’ referenza sottostanti jitqiesu l-istess jekk jirreferu għall-istess entità ġuridika u livell ta’ superjorità. </w:t>
            </w:r>
          </w:p>
          <w:p w14:paraId="2F022BB9" w14:textId="3144A560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Il-protezzjoni tal-kreditu mixtrija fuq pula ta’ entitajiet referenzjarji għandha titqies l-istess jekk din il-protezzjoni tkun ekonomikament ekwivalenti għax-xiri tal-protezzjoni b’mod separat fuq kull wieħed mill-ismijiet individwali fil-pula.</w:t>
            </w:r>
          </w:p>
          <w:p w14:paraId="0154314D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Jekk istituzzjoni qed tixtri protezzjoni tal-kreditu fuq pula ta’ ismijiet ta’ referenza, f’dak il-każ din il-protezzjoni tal-kreditu titqies l-istess biss jekk il-protezzjoni tal-kreditu mixtrija tkopri kull subsett tal-pula li fuqu nbiegħet il-protezzjoni tal-kreditu. Fi kliem ieħor, it-tpaċija tista’ tiġi rikonoxxuta biss meta l-pula ta’ entitajiet referenzjarji u l-livell ta’ subordinazzjoni fiż-żewġ tranżazzjonijiet ikunu identiċi. </w:t>
            </w:r>
          </w:p>
          <w:p w14:paraId="52D47F4F" w14:textId="120567C7" w:rsidR="00410E47" w:rsidRPr="000B66BC" w:rsidRDefault="00410E4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Għal kull isem ta’ referenza, l-ammonti nozzjonali ta’ protezzjoni tal-kreditu li jitqiesu f’din iċ-ċellola għal skopijiet ta’ rapportar ma għandhomx jaqbżu l-ammonti rrapportati f’{0020;0075} u {0050;0075}.</w:t>
            </w:r>
          </w:p>
        </w:tc>
      </w:tr>
      <w:tr w:rsidR="00410E47" w:rsidRPr="00E75BB8" w14:paraId="679A8A87" w14:textId="77777777" w:rsidTr="005D135B">
        <w:tc>
          <w:tcPr>
            <w:tcW w:w="1654" w:type="dxa"/>
          </w:tcPr>
          <w:p w14:paraId="486F8B55" w14:textId="7C0C1343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{0060;0010}</w:t>
            </w:r>
          </w:p>
        </w:tc>
        <w:tc>
          <w:tcPr>
            <w:tcW w:w="7620" w:type="dxa"/>
          </w:tcPr>
          <w:p w14:paraId="7A410C0D" w14:textId="15D05203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finanzjarji – Il-valur kontabilistiku tal-karta tal-bilanċ</w:t>
            </w:r>
          </w:p>
          <w:p w14:paraId="6FA0DDE8" w14:textId="54BDF180" w:rsidR="00410E47" w:rsidRPr="000B66BC" w:rsidRDefault="006D682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(77) tal-Artikolu 4(1) tar-Regolament (UE) Nru 575/2013</w:t>
            </w:r>
          </w:p>
          <w:p w14:paraId="5A64C9B2" w14:textId="15E6A0CE" w:rsidR="00410E47" w:rsidRPr="000B66BC" w:rsidRDefault="00E2413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il-valur kontabilistiku tal-karta tal-bilanċ skont il-qafas kontabilistiku applikabbli tal-kuntratti elenkati fl-Anness II tar-Regolament (UE) Nru 575/2013 meta l-kuntratti jkunu rikonoxxuti bħala assi fuq il-karta tal-bilanċ.</w:t>
            </w:r>
          </w:p>
        </w:tc>
      </w:tr>
      <w:tr w:rsidR="00410E47" w:rsidRPr="00E75BB8" w14:paraId="64AB4D96" w14:textId="77777777" w:rsidTr="005D135B">
        <w:tc>
          <w:tcPr>
            <w:tcW w:w="1654" w:type="dxa"/>
          </w:tcPr>
          <w:p w14:paraId="2EC14738" w14:textId="4D7985E6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{0060;0020}</w:t>
            </w:r>
          </w:p>
        </w:tc>
        <w:tc>
          <w:tcPr>
            <w:tcW w:w="7620" w:type="dxa"/>
          </w:tcPr>
          <w:p w14:paraId="47D5F195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 finanzjarji – Il-valur kontabilistiku filwaqt li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00EB79C6" w14:textId="4B1F5274" w:rsidR="00410E47" w:rsidRPr="000B66BC" w:rsidRDefault="006D682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Il-punt (77) tal-Artikolu 4(1) tar-Regolament (UE) Nru 575/2013; il-valur kontabilistiku tal-karta tal-bilanċ skont il-qafas kontabilistiku applikabbli tal-kuntratti elenkati fl-Anness II tar-Regolament (UE) Nru 575/2013 meta l-kuntratti jkunu rikonoxxuti bħala assi fuq il-karta tal-bilanċ jekk ma jiġi </w:t>
            </w:r>
            <w:proofErr w:type="spellStart"/>
            <w:r>
              <w:rPr>
                <w:rFonts w:ascii="Times New Roman" w:hAnsi="Times New Roman"/>
                <w:sz w:val="24"/>
              </w:rPr>
              <w:t>supponut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l-ebda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prudenzjali jew kontabilistiku jew CRM ieħor (jiġifieri kwalunkwe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li kellu effett fuq il-valur kontabilistiku għandu jitreġġa’ lura)</w:t>
            </w:r>
          </w:p>
        </w:tc>
      </w:tr>
      <w:tr w:rsidR="00410E47" w:rsidRPr="00E75BB8" w14:paraId="24EE0FAD" w14:textId="77777777" w:rsidTr="005D135B">
        <w:tc>
          <w:tcPr>
            <w:tcW w:w="1654" w:type="dxa"/>
          </w:tcPr>
          <w:p w14:paraId="1ACC573A" w14:textId="679E5400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{0060;0070}</w:t>
            </w:r>
          </w:p>
        </w:tc>
        <w:tc>
          <w:tcPr>
            <w:tcW w:w="7620" w:type="dxa"/>
          </w:tcPr>
          <w:p w14:paraId="2C3B01F2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Derivattivi finanzjarji – L-ammont nozzjonali</w:t>
            </w:r>
          </w:p>
          <w:p w14:paraId="64E79FE5" w14:textId="0BAB0D53" w:rsidR="00410E47" w:rsidRPr="000B66BC" w:rsidRDefault="00410E4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Din iċ-ċellola għandha tinkludi l-ammont nozzjonali </w:t>
            </w:r>
            <w:proofErr w:type="spellStart"/>
            <w:r>
              <w:rPr>
                <w:rFonts w:ascii="Times New Roman" w:hAnsi="Times New Roman"/>
                <w:sz w:val="24"/>
              </w:rPr>
              <w:t>referenzjat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mill-kuntratti elenkati fl-Anness II tar-Regolament (UE) Nru 575/2013.</w:t>
            </w:r>
          </w:p>
        </w:tc>
      </w:tr>
      <w:tr w:rsidR="007B7914" w:rsidRPr="00E75BB8" w14:paraId="77E61D46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4BB" w14:textId="77777777" w:rsidR="007B7914" w:rsidRPr="000B66BC" w:rsidRDefault="007B7914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{0071;0010}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17E" w14:textId="77777777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Tranżazzjonijiet ta’ Finanzjament tat-Titoli - Il-valur kontabilistiku tal-karta tal-bilanċ</w:t>
            </w:r>
          </w:p>
          <w:p w14:paraId="0D6AB751" w14:textId="3C2AF32F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(77) tal-Artikolu 4(1) tar-Regolament (UE) Nru 575/2013; il-valur kontabilistiku tal-karta tal-bilanċ tal-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skont il-qafas kontabilistiku applikabbli fejn il-kuntratti huma rikonoxxuti bħala assi fil-karta tal-bilanċ</w:t>
            </w:r>
          </w:p>
          <w:p w14:paraId="2235756A" w14:textId="4A4EF690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F’din iċ-ċellola, l-istituzzjonijiet ma għandhomx jinkludu flus riċevuti jew xi titolu li huwa pprovdut lil xi kontroparti permezz tat-tranżazzjonijiet imsemmijin iktar ’il fuq u li jinżamm fil-karta tal-bilanċ (jiġifieri ma jintlaħqux il-kriterji tal-kontabbiltà għad-dekontabilizzar). Minflok, l-istituzzjonijiet għandhom jinkludu dan f’{0090,0010}.</w:t>
            </w:r>
          </w:p>
        </w:tc>
      </w:tr>
      <w:tr w:rsidR="007B7914" w:rsidRPr="00E75BB8" w14:paraId="4906EC4F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85B" w14:textId="77777777" w:rsidR="007B7914" w:rsidRPr="000B66BC" w:rsidRDefault="007B7914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{0071;0020}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63B4" w14:textId="77777777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Tranżazzjonijiet ta’ Finanzjament tat-Titoli - Il-valur kontabilistiku filwaqt li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07F0EA6D" w14:textId="56C0173B" w:rsidR="00474B43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Il-punt (77) tal-Artikolu 4(1) tar-Regolament (UE) Nru 575/2013; il-valur kontabilistiku tal-karta tal-bilanċ skont il-qafas kontabilistiku applikabbli meta l-kuntratti jkunu rikonoxxuti bħala assi fuq il-karta tal-bilanċ jekk ma jiġi </w:t>
            </w:r>
            <w:proofErr w:type="spellStart"/>
            <w:r>
              <w:rPr>
                <w:rFonts w:ascii="Times New Roman" w:hAnsi="Times New Roman"/>
                <w:sz w:val="24"/>
              </w:rPr>
              <w:t>supponut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l-ebda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prudenzjali jew kontabilistiku jew CRM ieħor (jiġifieri kwalunkwe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li kellu effett fuq il-valur kontabilistiku għandu jitreġġa’ lura). </w:t>
            </w:r>
          </w:p>
          <w:p w14:paraId="04F4C292" w14:textId="292EA0BD" w:rsidR="007B7914" w:rsidRPr="000B66BC" w:rsidRDefault="00474B4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tinkiseb kontabbiltà tal-bejgħ għal SFT skont il-qafas kontabilistiku applikabbli, l-istituzzjonijiet għandhom ireġġgħu lura kull entrata tal-kontabbiltà relatata mal-bejgħ.</w:t>
            </w:r>
          </w:p>
          <w:p w14:paraId="072F9F82" w14:textId="5255D9A3" w:rsidR="007B7914" w:rsidRPr="000B66BC" w:rsidRDefault="007B79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F’din iċ-ċellola, l-istituzzjonijiet ma għandhomx jinkludu flus riċevuti jew xi titolu li huwa pprovdut lil xi kontroparti permezz tat-tranżazzjonijiet imsemmijin iktar ’il fuq u li jinżamm fil-karta tal-bilanċ (jiġifieri ma jintlaħqux il-kriterji tal-kontabbiltà għad-dekontabilizzar). Minflok, l-istituzzjonijiet għandhom jinkludu dan f’{0090,0020}.</w:t>
            </w:r>
          </w:p>
        </w:tc>
      </w:tr>
      <w:tr w:rsidR="00410E47" w:rsidRPr="00E75BB8" w14:paraId="2BD078C3" w14:textId="77777777" w:rsidTr="005D135B">
        <w:tc>
          <w:tcPr>
            <w:tcW w:w="1654" w:type="dxa"/>
          </w:tcPr>
          <w:p w14:paraId="793DC72B" w14:textId="19D262D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{0090;0010}</w:t>
            </w:r>
          </w:p>
        </w:tc>
        <w:tc>
          <w:tcPr>
            <w:tcW w:w="7620" w:type="dxa"/>
          </w:tcPr>
          <w:p w14:paraId="520EA2AC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Assi oħra – Il-valur kontabilistiku tal-karta tal-bilanċ</w:t>
            </w:r>
          </w:p>
          <w:p w14:paraId="6BEE30BB" w14:textId="44CE9FC7" w:rsidR="00410E47" w:rsidRPr="000B66BC" w:rsidRDefault="0084728D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Il-punt (77) tal-Artikolu 4(1) tar-Regolament (UE) Nru 575/2013; il-valur kontabilistiku tal-karta tal-bilanċ skont il-qafas kontabilistiku applikabbli tal-assi kollha minbarra l-kuntratti elenkati fl-Anness II tar-Regolament (UE) Nru 575/2013 derivattivi ta’ kreditu, u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10E47" w:rsidRPr="00E75BB8" w14:paraId="2A9CFA05" w14:textId="77777777" w:rsidTr="005D135B">
        <w:tc>
          <w:tcPr>
            <w:tcW w:w="1654" w:type="dxa"/>
          </w:tcPr>
          <w:p w14:paraId="77B58A02" w14:textId="52063391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{0090;0020}</w:t>
            </w:r>
          </w:p>
        </w:tc>
        <w:tc>
          <w:tcPr>
            <w:tcW w:w="7620" w:type="dxa"/>
          </w:tcPr>
          <w:p w14:paraId="0A7C5F46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Assi oħra – Il-valur kontabilistiku filwaqt li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6FFD3E4A" w14:textId="01BB1CE6" w:rsidR="00410E47" w:rsidRDefault="00E20CD8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Il-punt (77) tal-Artikolu 4(1) tar-Regolament (UE) Nru 575/2013; il-valur kontabilistiku tal-karta tal-bilanċ skont il-qafas kontabilistiku applikabbli tal-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assi kollha għajr il-kuntratti elenkati fl-Anness II tar-Regolament (UE) Nru 575/2013, derivattivi ta’ kreditu u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jekk ma jiġi </w:t>
            </w:r>
            <w:proofErr w:type="spellStart"/>
            <w:r>
              <w:rPr>
                <w:rFonts w:ascii="Times New Roman" w:hAnsi="Times New Roman"/>
                <w:sz w:val="24"/>
              </w:rPr>
              <w:t>supponut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l-ebda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ieħor (jiġifieri kwalunkwe effett </w:t>
            </w:r>
            <w:proofErr w:type="spellStart"/>
            <w:r>
              <w:rPr>
                <w:rFonts w:ascii="Times New Roman" w:hAnsi="Times New Roman"/>
                <w:sz w:val="24"/>
              </w:rPr>
              <w:t>tan-netting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CRM li kellu effett fuq il-valur kontabilistiku għandu jitreġġa’ lura)</w:t>
            </w:r>
          </w:p>
          <w:p w14:paraId="398E7EA3" w14:textId="1CC2FD77" w:rsidR="00D1326E" w:rsidRPr="000B66BC" w:rsidRDefault="00D1326E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D5649D" w:rsidRPr="00E75BB8" w14:paraId="6FD4B7E9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263B" w14:textId="77777777" w:rsidR="00D5649D" w:rsidRPr="000B66BC" w:rsidDel="00764219" w:rsidRDefault="00D5649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{0095;0070}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8604" w14:textId="77777777" w:rsidR="00D5649D" w:rsidRPr="000B66BC" w:rsidRDefault="00D5649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Entrati li ma jidhrux fil-karta tal-bilanċ</w:t>
            </w:r>
          </w:p>
          <w:p w14:paraId="76247621" w14:textId="685AAB93" w:rsidR="00D5649D" w:rsidRPr="000B66BC" w:rsidDel="00764219" w:rsidRDefault="00474B4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il-valur nominali tal-entrati li ma jidhrux fil-karta tal-bilanċ. L-istituzzjonijiet ma għandhomx jikkunsidraw f’din iċ-ċellola l-kuntratti elenkati fl-Anness II tar-Regolament (UE) Nru 575/2013, derivattivi ta’ kreditu u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f’konformità mal-Artikolu 429f(1) tar-Regolament (UE) Nru 575/2013.</w:t>
            </w:r>
          </w:p>
        </w:tc>
      </w:tr>
      <w:tr w:rsidR="00410E47" w:rsidRPr="00E75BB8" w14:paraId="0FBB579D" w14:textId="77777777" w:rsidTr="005D135B">
        <w:tc>
          <w:tcPr>
            <w:tcW w:w="1654" w:type="dxa"/>
          </w:tcPr>
          <w:p w14:paraId="28FDBFBD" w14:textId="613B5E03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{0210;0020}</w:t>
            </w:r>
          </w:p>
        </w:tc>
        <w:tc>
          <w:tcPr>
            <w:tcW w:w="7620" w:type="dxa"/>
          </w:tcPr>
          <w:p w14:paraId="29B185C3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Kollateral fi flus riċevut fi tranżazzjonijiet ta’ derivattivi – Valur kontabilistiku jekk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l-ebda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39EDF297" w14:textId="273BC4C8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kontabilistiku tal-karta tal-bilanċ skont il-qafas kontabilistiku applikabbli ta’ kollateral fi flus riċevut fi tranżazzjonijiet ta’ derivattivi jekk ma jiġi </w:t>
            </w:r>
            <w:proofErr w:type="spellStart"/>
            <w:r>
              <w:rPr>
                <w:rFonts w:ascii="Times New Roman" w:hAnsi="Times New Roman"/>
                <w:sz w:val="24"/>
              </w:rPr>
              <w:t>supponut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l-ebda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ieħor (jiġifieri kull effett li jirriżulta min-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CRM li kellu impatt fuq il-valur kontabilistiku għandu jitreġġa’ lura)</w:t>
            </w:r>
          </w:p>
          <w:p w14:paraId="2131D4BF" w14:textId="59EC9867" w:rsidR="00410E47" w:rsidRPr="000B66BC" w:rsidRDefault="00410E47" w:rsidP="00474B43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ta’ din iċ-ċellola, il-flus għandhom jiġu ddefiniti bħala l-ammont totali ta’ flus inklużi muniti u karti tal-flus/valuta. L-ammont totali ta’ depożiti fil-banek ċentrali għandu jiġi inkluż sal-punt li dawn id-depożiti jkunu jistgħu jiġu prelevati fi żminijiet ta’ stress. L-istituzzjonijiet ma għandhomx jirrapportaw flus depożitati ma’ istituzzjonijiet oħra f’din iċ-ċellola.</w:t>
            </w:r>
          </w:p>
        </w:tc>
      </w:tr>
      <w:tr w:rsidR="00410E47" w:rsidRPr="00E75BB8" w14:paraId="53DF6927" w14:textId="77777777" w:rsidTr="005D135B">
        <w:tc>
          <w:tcPr>
            <w:tcW w:w="1654" w:type="dxa"/>
          </w:tcPr>
          <w:p w14:paraId="211CECAA" w14:textId="44AF7167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{0220;0020}</w:t>
            </w:r>
          </w:p>
        </w:tc>
        <w:tc>
          <w:tcPr>
            <w:tcW w:w="7620" w:type="dxa"/>
          </w:tcPr>
          <w:p w14:paraId="6DB00C4C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Riċevibbli għal kollateral fi flus imdaħħlin fi tranżazzjonijiet ta’ derivattivi – Valur kontabilistiku jekk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l-ebda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7D33E862" w14:textId="047F9D4A" w:rsidR="00474B43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kontabilistiku tal-karta tal-bilanċ skont il-qafas kontabilistiku applikabbli ta’ riċevibbli għal kollateral fi flus iddepożitat kontra tranżazzjonijiet ta’ derivattivi jekk ma jiġi </w:t>
            </w:r>
            <w:proofErr w:type="spellStart"/>
            <w:r>
              <w:rPr>
                <w:rFonts w:ascii="Times New Roman" w:hAnsi="Times New Roman"/>
                <w:sz w:val="24"/>
              </w:rPr>
              <w:t>supponut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l-ebda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(jiġifieri kull effett li jirriżulta minn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CRM li kellu impatt fuq il-valur kontabilistiku għandu jitreġġa’ lura) </w:t>
            </w:r>
          </w:p>
          <w:p w14:paraId="7CD00868" w14:textId="0996E74B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li huma awtorizzati skont il-qafas kontabilistiku applikabbli biex </w:t>
            </w:r>
            <w:proofErr w:type="spellStart"/>
            <w:r>
              <w:rPr>
                <w:rFonts w:ascii="Times New Roman" w:hAnsi="Times New Roman"/>
                <w:sz w:val="24"/>
              </w:rPr>
              <w:t>jinnettjaw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ir-riċevibbli għal kollateral fi flus iddepożitat kontra l-obbligazzjoni derivattiva relatata (valur ġust negattiv) u li jagħżlu li jagħmlu dan għandhom ireġġgħu lura n-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jirrapportaw ir-riċevibbli fi flus netti.</w:t>
            </w:r>
          </w:p>
        </w:tc>
      </w:tr>
      <w:tr w:rsidR="00410E47" w:rsidRPr="00E75BB8" w14:paraId="56CCADD2" w14:textId="77777777" w:rsidTr="005D135B">
        <w:tc>
          <w:tcPr>
            <w:tcW w:w="1654" w:type="dxa"/>
          </w:tcPr>
          <w:p w14:paraId="3CD1E23F" w14:textId="2F79B69D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{0230;0020}</w:t>
            </w:r>
          </w:p>
        </w:tc>
        <w:tc>
          <w:tcPr>
            <w:tcW w:w="7620" w:type="dxa"/>
          </w:tcPr>
          <w:p w14:paraId="5AE16600" w14:textId="77777777" w:rsidR="00410E47" w:rsidRPr="000B66BC" w:rsidRDefault="00410E47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Titoli riċevuti f’SFT li huma rikonoxxuti bħala assi – Valur kontabilistiku jekk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28A4D6AF" w14:textId="5C43B50B" w:rsidR="00410E47" w:rsidRPr="000B66BC" w:rsidRDefault="00410E47" w:rsidP="00474B43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Il-valur kontabilistiku tal-karta tal-bilanċ skont il-qafas kontabilistiku applikabbli tat-titoli riċevuti f’SFT li huma rikonoxxuti bħala assi skont il-qafas </w:t>
            </w:r>
            <w:proofErr w:type="spellStart"/>
            <w:r>
              <w:rPr>
                <w:rFonts w:ascii="Times New Roman" w:hAnsi="Times New Roman"/>
                <w:sz w:val="24"/>
              </w:rPr>
              <w:t>kontabilitstiku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applikabbli jekk ma jiġi </w:t>
            </w:r>
            <w:proofErr w:type="spellStart"/>
            <w:r>
              <w:rPr>
                <w:rFonts w:ascii="Times New Roman" w:hAnsi="Times New Roman"/>
                <w:sz w:val="24"/>
              </w:rPr>
              <w:t>supponut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l-ebda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ieħor (jiġifieri kwalunkwe effett </w:t>
            </w:r>
            <w:proofErr w:type="spellStart"/>
            <w:r>
              <w:rPr>
                <w:rFonts w:ascii="Times New Roman" w:hAnsi="Times New Roman"/>
                <w:sz w:val="24"/>
              </w:rPr>
              <w:t>tan-netting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li kellu effett fuq il-valur kontabilistiku għandu jitreġġa’ lura)</w:t>
            </w:r>
          </w:p>
        </w:tc>
      </w:tr>
      <w:tr w:rsidR="00410E47" w:rsidRPr="00E75BB8" w14:paraId="73AB9A4D" w14:textId="77777777" w:rsidTr="005D135B">
        <w:tc>
          <w:tcPr>
            <w:tcW w:w="1654" w:type="dxa"/>
          </w:tcPr>
          <w:p w14:paraId="05353E9D" w14:textId="466C38AA" w:rsidR="00410E47" w:rsidRPr="000B66BC" w:rsidRDefault="00410E4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{0240;0020}</w:t>
            </w:r>
          </w:p>
        </w:tc>
        <w:tc>
          <w:tcPr>
            <w:tcW w:w="7620" w:type="dxa"/>
          </w:tcPr>
          <w:p w14:paraId="66AFC109" w14:textId="77777777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Self b’veikolu ta’ flus SFT (flus riċevibbli) – Valur kontabilistiku filwaqt li ma jiġu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supponutil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-ebda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jew CRM oħra</w:t>
            </w:r>
          </w:p>
          <w:p w14:paraId="6B9D4FF6" w14:textId="65358007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kontabilistiku tal-karta tal-bilanċ skont il-qafas kontabilistiku applikabbli tar-riċevibbli fi flus għall-flus mogħtijin b’self lill-proprjetarju tat-titoli fi tranżazzjoni </w:t>
            </w:r>
            <w:proofErr w:type="spellStart"/>
            <w:r>
              <w:rPr>
                <w:rFonts w:ascii="Times New Roman" w:hAnsi="Times New Roman"/>
                <w:sz w:val="24"/>
              </w:rPr>
              <w:t>kwalifikattiva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ta’ self b’veikolu fi flus (</w:t>
            </w:r>
            <w:proofErr w:type="spellStart"/>
            <w:r>
              <w:rPr>
                <w:rFonts w:ascii="Times New Roman" w:hAnsi="Times New Roman"/>
                <w:sz w:val="24"/>
              </w:rPr>
              <w:t>cash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conduit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lending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transaction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CCLT) jekk ma jiġi </w:t>
            </w:r>
            <w:proofErr w:type="spellStart"/>
            <w:r>
              <w:rPr>
                <w:rFonts w:ascii="Times New Roman" w:hAnsi="Times New Roman"/>
                <w:sz w:val="24"/>
              </w:rPr>
              <w:t>supponut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l-ebda effett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ta’ CRM ieħor (jiġifieri kull effett li jirriżulta min-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kontabilistiku jew CRM li kellu impatt fuq il-valur kontabilistiku għandu jitreġġa’ lura)</w:t>
            </w:r>
          </w:p>
          <w:p w14:paraId="748B124D" w14:textId="5207C935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ta’ din iċ-ċellola, il-flus għandhom jiġu ddefiniti bħala l-ammont totali ta’ flus inklużi muniti u karti tal-flus/valuta. L-ammont totali ta’ depożiti fil-banek ċentrali għandu jiġi inkluż sal-punt li dawn id-depożiti jkunu jistgħu jiġu prelevati fi żminijiet ta’ stress. L-istituzzjonijiet ma għandhomx jirrapportaw flus depożitati ma’ istituzzjonijiet oħrajn f’din iċ-ċellola.</w:t>
            </w:r>
          </w:p>
          <w:p w14:paraId="334DF029" w14:textId="53853645" w:rsidR="00410E47" w:rsidRPr="000B66BC" w:rsidRDefault="00410E4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</w:rPr>
              <w:t>-CCLT għandha tiġi ddefinita bħala taħlita ta’ żewġ tranżazzjonijiet li fihom istituzzjoni tieħu b’self titoli mill-</w:t>
            </w:r>
            <w:proofErr w:type="spellStart"/>
            <w:r>
              <w:rPr>
                <w:rFonts w:ascii="Times New Roman" w:hAnsi="Times New Roman"/>
                <w:sz w:val="24"/>
              </w:rPr>
              <w:t>proprjeatrju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tat-titoli u terġa’ tislef it-titoli lill-mutwatarju tat-titoli. Fl-istess waqt, l-istituzzjoni tirċievi kollateral fi flus mill-mutwatarju tat-titoli u terġa’ tislef il-flus riċevuti lill-proprjetarju tat-titoli. CCLT </w:t>
            </w:r>
            <w:proofErr w:type="spellStart"/>
            <w:r>
              <w:rPr>
                <w:rFonts w:ascii="Times New Roman" w:hAnsi="Times New Roman"/>
                <w:sz w:val="24"/>
              </w:rPr>
              <w:t>kwalifikattiva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għandha tikkonforma mal-kundizzjonijiet li ġejjin:</w:t>
            </w:r>
          </w:p>
          <w:p w14:paraId="2544528C" w14:textId="77777777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(a)</w:t>
            </w:r>
            <w: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>iż-żewġ tranżazzjonijiet individwali li jinkludu s-CCLT kwalifikanti għandhom isiru fl-istess data tan-negozju, jew għal tranżazzjonijiet internazzjonali f’jiem ta’ negozju li jaħbtu wara xulxin;</w:t>
            </w:r>
          </w:p>
          <w:p w14:paraId="491F9748" w14:textId="77777777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(b)</w:t>
            </w:r>
            <w: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meta t-tranżazzjonijiet involuti fiha ma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jispeċifikawx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maturità, l-istituzzjoni għandu jkollha d-dritt ġuridiku li tagħlaq kwalunkwe naħa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-CCLT, jiġifieri ż-żewġ tranżazzjonijiet involuti fiha, fi kwalunkwe waqt u mingħajr avviż minn qabel;</w:t>
            </w:r>
          </w:p>
          <w:p w14:paraId="5BFB7780" w14:textId="77777777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(c)</w:t>
            </w:r>
            <w:r>
              <w:tab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fejn it-tranżazzjonijiet involuti tagħha jispeċifikaw maturità,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-CCLT ma għandhiex twassal għal spariġġ fil-maturità għall-istituzzjoni; l-istituzzjoni għandu jkollha d-dritt ġuridiku li tagħlaq kwalunkwe naħa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-CCLT, jiġifieri ż-żewġ tranżazzjonijiet involuti fiha, fi kwalunkwe waqt u mingħajr avviż minn qabel;</w:t>
            </w:r>
          </w:p>
          <w:p w14:paraId="62CD2905" w14:textId="1AEDC3DC" w:rsidR="00410E47" w:rsidRPr="000B66BC" w:rsidRDefault="00500508" w:rsidP="000B66BC">
            <w:pPr>
              <w:pStyle w:val="Paragraph"/>
              <w:spacing w:after="240"/>
              <w:ind w:left="794" w:hanging="79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(d)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hija ma twassalx għal xi skopertura inkrementali oħra.</w:t>
            </w:r>
          </w:p>
        </w:tc>
      </w:tr>
      <w:tr w:rsidR="00142881" w:rsidRPr="00E75BB8" w14:paraId="12EB77F9" w14:textId="77777777" w:rsidTr="005D135B">
        <w:tc>
          <w:tcPr>
            <w:tcW w:w="1654" w:type="dxa"/>
          </w:tcPr>
          <w:p w14:paraId="2EC98E8B" w14:textId="4055F8C1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59" w:name="_Toc322687882"/>
            <w:bookmarkEnd w:id="54"/>
            <w:r>
              <w:rPr>
                <w:rFonts w:ascii="Times New Roman" w:hAnsi="Times New Roman"/>
                <w:sz w:val="24"/>
              </w:rPr>
              <w:t>{0270;0010}</w:t>
            </w:r>
          </w:p>
        </w:tc>
        <w:tc>
          <w:tcPr>
            <w:tcW w:w="7620" w:type="dxa"/>
          </w:tcPr>
          <w:p w14:paraId="056E429E" w14:textId="1C4A54EB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Investimenti fis-settur pubbliku- Pretensjonijiet fuq gvernijiet ċentrali - Valur kontabilistiku tal-karta tal-bilanċ</w:t>
            </w:r>
          </w:p>
          <w:p w14:paraId="62173A01" w14:textId="7BC7EE77" w:rsidR="00474B43" w:rsidRDefault="0014288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Meta l-istituzzjoni tkun istituzzjoni ta’ kreditu għall-iżvilupp pubbliku, il-valur kontabilistiku tal-karta tal-bilanċ skont il-qafas kontabilistiku applikabbli tal-assi li jikkostitwixxu pretensjonijiet fuq gvernijiet ċentrali fir-rigward tal-investimenti tas-settur pubbliku </w:t>
            </w:r>
          </w:p>
          <w:p w14:paraId="4B86F17F" w14:textId="318E21E8" w:rsidR="00142881" w:rsidRPr="000B66BC" w:rsidRDefault="007A5EF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42881" w:rsidRPr="00E75BB8" w14:paraId="65A561BA" w14:textId="77777777" w:rsidTr="005D135B">
        <w:tc>
          <w:tcPr>
            <w:tcW w:w="1654" w:type="dxa"/>
          </w:tcPr>
          <w:p w14:paraId="6E6645F9" w14:textId="7051B924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{0280;0010}</w:t>
            </w:r>
          </w:p>
        </w:tc>
        <w:tc>
          <w:tcPr>
            <w:tcW w:w="7620" w:type="dxa"/>
          </w:tcPr>
          <w:p w14:paraId="64975C56" w14:textId="4DD757EC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Investimenti fis-settur pubbliku- Pretensjonijiet fuq gvernijiet reġjonali – Valur kontabilistiku tal-karta tal-bilanċ</w:t>
            </w:r>
          </w:p>
          <w:p w14:paraId="13E2AB70" w14:textId="21F74962" w:rsidR="006E4F4E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l-istituzzjoni tkun istituzzjoni ta’ kreditu għall-iżvilupp pubbliku, il-valur kontabilistiku tal-karta tal-bilanċ skont il-qafas kontabilistiku applikabbli tal-assi li jikkostitwixxu pretensjonijiet fuq il-gvernijiet reġjonali fir-rigward tal-investimenti tas-settur pubbliku </w:t>
            </w:r>
          </w:p>
          <w:p w14:paraId="440096C8" w14:textId="4D2E5EED" w:rsidR="00142881" w:rsidRPr="000B66BC" w:rsidRDefault="007A5EF2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42881" w:rsidRPr="00E75BB8" w14:paraId="178B01CC" w14:textId="77777777" w:rsidTr="005D135B">
        <w:tc>
          <w:tcPr>
            <w:tcW w:w="1654" w:type="dxa"/>
          </w:tcPr>
          <w:p w14:paraId="14A30C11" w14:textId="09FC39C8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{0290;0010}</w:t>
            </w:r>
          </w:p>
        </w:tc>
        <w:tc>
          <w:tcPr>
            <w:tcW w:w="7620" w:type="dxa"/>
          </w:tcPr>
          <w:p w14:paraId="4E12A671" w14:textId="20EE5DA6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Investimenti fis-settur pubbliku – Pretensjonijiet fuq l-awtoritajiet lokali – Valur kontabilistiku tal-karta tal-bilanċ</w:t>
            </w:r>
          </w:p>
          <w:p w14:paraId="1993F59B" w14:textId="77777777" w:rsidR="006E4F4E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il-valur kontabilistiku tal-karta tal-bilanċ skont il-qafas kontabilistiku applikabbli tal-assi li jikkostitwixxu pretensjonijiet fuq l-awtoritajiet lokali fir-rigward tal-investimenti tas-settur pubbliku</w:t>
            </w:r>
          </w:p>
          <w:p w14:paraId="3AEC5523" w14:textId="32E213BF" w:rsidR="00142881" w:rsidRPr="000B66BC" w:rsidRDefault="007A5EF2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42881" w:rsidRPr="00E75BB8" w14:paraId="6B4A4FFD" w14:textId="77777777" w:rsidTr="005D135B">
        <w:tc>
          <w:tcPr>
            <w:tcW w:w="1654" w:type="dxa"/>
          </w:tcPr>
          <w:p w14:paraId="4AD0C008" w14:textId="06F13C4A" w:rsidR="00142881" w:rsidRPr="000B66BC" w:rsidRDefault="0014288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{0300;0010}</w:t>
            </w:r>
          </w:p>
        </w:tc>
        <w:tc>
          <w:tcPr>
            <w:tcW w:w="7620" w:type="dxa"/>
          </w:tcPr>
          <w:p w14:paraId="00BE052E" w14:textId="3ADFA117" w:rsidR="00142881" w:rsidRPr="000B66BC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Investimenti fis-settur pubbliku- Pretensjonijiet fuq entitajiet tas-settur pubbliku – Valur kontabilistiku tal-karta tal-bilanċ</w:t>
            </w:r>
          </w:p>
          <w:p w14:paraId="4C818D07" w14:textId="23446733" w:rsidR="006E4F4E" w:rsidRDefault="00142881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il-valur kontabilistiku tal-karta tal-bilanċ skont il-qafas kontabilistiku applikabbli tal-assi li jikkostitwixxu pretensjonijiet fuq entitajiet tas-settur pubbliku fir-rigward tal-investimenti tas-settur pubbliku</w:t>
            </w:r>
          </w:p>
          <w:p w14:paraId="7115C598" w14:textId="32973285" w:rsidR="00142881" w:rsidRPr="000B66BC" w:rsidRDefault="007A5EF2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D126C3" w:rsidRPr="00E75BB8" w14:paraId="5655180E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E0CF" w14:textId="68555762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{0310;0010}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0077" w14:textId="4AFA1485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– Pretensjonijiet fuq gvernijiet ċentrali – Valur kontabilistiku tal-karta tal-bilanċ</w:t>
            </w:r>
          </w:p>
          <w:p w14:paraId="23369FCD" w14:textId="74E86023" w:rsidR="006E4F4E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l-istituzzjoni tkun istituzzjoni ta’ kreditu għall-iżvilupp pubbliku, il-valur kontabilistiku tal-karta tal-bilanċ skont il-qafas kontabilistiku applikabbli tal-assi li jikkostitwixxu pretensjonijiet fuq gvernijiet ċentrali fir-rigward ta’ self promozzjonali </w:t>
            </w:r>
          </w:p>
          <w:p w14:paraId="57D9B72D" w14:textId="5104929D" w:rsidR="00D126C3" w:rsidRPr="000B66BC" w:rsidRDefault="00D126C3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E5A9A" w:rsidRPr="00E75BB8" w14:paraId="31EDB1F9" w14:textId="77777777" w:rsidTr="005D135B">
        <w:tc>
          <w:tcPr>
            <w:tcW w:w="1654" w:type="dxa"/>
          </w:tcPr>
          <w:p w14:paraId="1988C1B5" w14:textId="4DEDEE5A" w:rsidR="001E5A9A" w:rsidRPr="000B66BC" w:rsidRDefault="001E5A9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{0310;0070}</w:t>
            </w:r>
          </w:p>
        </w:tc>
        <w:tc>
          <w:tcPr>
            <w:tcW w:w="7620" w:type="dxa"/>
          </w:tcPr>
          <w:p w14:paraId="63C478B7" w14:textId="76F217EB" w:rsidR="001E5A9A" w:rsidRPr="000B66BC" w:rsidRDefault="001E5A9A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– Pretensjonijiet fuq il-gvernijiet ċentrali – Ammont nozzjonali/ valur nominali</w:t>
            </w:r>
          </w:p>
          <w:p w14:paraId="7A0E36C1" w14:textId="77777777" w:rsidR="006E4F4E" w:rsidRDefault="001E5A9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Meta l-istituzzjoni tkun istituzzjoni ta’ kreditu għall-iżvilupp pubbliku, l-ammont nominali ta’ </w:t>
            </w:r>
            <w:proofErr w:type="spellStart"/>
            <w:r>
              <w:rPr>
                <w:rFonts w:ascii="Times New Roman" w:hAnsi="Times New Roman"/>
                <w:sz w:val="24"/>
              </w:rPr>
              <w:t>entraturi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li ma jidhrux fil-karta tal-bilanċ fir-rigward tal-parti mhux prelevata tas-self promozzjonali mogħti lill-gvernijiet ċentrali</w:t>
            </w:r>
          </w:p>
          <w:p w14:paraId="60CCF55C" w14:textId="65935CC3" w:rsidR="001E5A9A" w:rsidRPr="000B66BC" w:rsidRDefault="001E5A9A" w:rsidP="006E4F4E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D126C3" w:rsidRPr="00E75BB8" w14:paraId="4CD3F0D4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7859" w14:textId="476A44FC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{0320;0010}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1E03" w14:textId="67E09130" w:rsidR="00D126C3" w:rsidRPr="000B66BC" w:rsidRDefault="003B79B4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gvernijiet reġjonali - Valur kontabilistiku tal-karta tal-bilanċ</w:t>
            </w:r>
          </w:p>
          <w:p w14:paraId="23DFAEA6" w14:textId="77777777" w:rsidR="006E4F4E" w:rsidRDefault="00D126C3" w:rsidP="006E4F4E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il-valur kontabilistiku tal-karta tal-bilanċ skont il-qafas kontabilistiku applikabbli tal-assi li jikkostitwixxu pretensjonijiet fuq gvernijiet reġjonali fir-rigward ta’ self promozzjonali</w:t>
            </w:r>
          </w:p>
          <w:p w14:paraId="5822DF0E" w14:textId="16DA8EF0" w:rsidR="00D126C3" w:rsidRPr="000B66BC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943A2" w:rsidRPr="00E75BB8" w14:paraId="44874BFB" w14:textId="77777777" w:rsidTr="005D135B">
        <w:tc>
          <w:tcPr>
            <w:tcW w:w="1654" w:type="dxa"/>
          </w:tcPr>
          <w:p w14:paraId="79CADF8F" w14:textId="0B21C100" w:rsidR="001943A2" w:rsidRPr="000B66BC" w:rsidRDefault="001943A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{0320;0070}</w:t>
            </w:r>
          </w:p>
        </w:tc>
        <w:tc>
          <w:tcPr>
            <w:tcW w:w="7620" w:type="dxa"/>
          </w:tcPr>
          <w:p w14:paraId="5C83E384" w14:textId="76BED22D" w:rsidR="001943A2" w:rsidRPr="000B66BC" w:rsidRDefault="001943A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gvernijiet reġjonali - Ammont nozzjonali/ valur nominali</w:t>
            </w:r>
          </w:p>
          <w:p w14:paraId="645C841D" w14:textId="1E4EDCB5" w:rsidR="006918E9" w:rsidRDefault="001943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l-ammont nominali ta’ entrati li ma jidhrux fil-karta tal-bilanċ fir-rigward tal-parti mhux prelevata tas-self promozzjonali mogħti lill-gvernijiet reġjonali</w:t>
            </w:r>
          </w:p>
          <w:p w14:paraId="2D66318A" w14:textId="19721B69" w:rsidR="000A486B" w:rsidRPr="000B66BC" w:rsidRDefault="001943A2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D126C3" w:rsidRPr="00E75BB8" w14:paraId="31B79207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B5A7" w14:textId="6C4B4A9D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{0330;0010}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D422" w14:textId="267967C6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awtoritajiet lokali - Valur kontabilistiku tal-karta tal-bilanċ</w:t>
            </w:r>
          </w:p>
          <w:p w14:paraId="04327041" w14:textId="6CF71B42" w:rsidR="006918E9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il-valur kontabilistiku tal-karta tal-bilanċ skont il-qafas kontabilistiku applikabbli tal-assi li jikkostitwixxu pretensjonijiet fuq l-awtoritajiet lokali fir-rigward ta’ self promozzjonali</w:t>
            </w:r>
          </w:p>
          <w:p w14:paraId="3B5B1EC0" w14:textId="304F0DBC" w:rsidR="00D126C3" w:rsidRPr="000B66BC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943A2" w:rsidRPr="00E75BB8" w14:paraId="0ABE486A" w14:textId="77777777" w:rsidTr="005D135B">
        <w:tc>
          <w:tcPr>
            <w:tcW w:w="1654" w:type="dxa"/>
          </w:tcPr>
          <w:p w14:paraId="6A69EE0F" w14:textId="4A68D204" w:rsidR="001943A2" w:rsidRPr="000B66BC" w:rsidRDefault="001943A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{0330;0070}</w:t>
            </w:r>
          </w:p>
        </w:tc>
        <w:tc>
          <w:tcPr>
            <w:tcW w:w="7620" w:type="dxa"/>
          </w:tcPr>
          <w:p w14:paraId="0211D136" w14:textId="747BD7FE" w:rsidR="001943A2" w:rsidRPr="000B66BC" w:rsidRDefault="001943A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l-awtoritajiet lokali - Ammont nozzjonali/ valur nominali</w:t>
            </w:r>
          </w:p>
          <w:p w14:paraId="38BCF0DC" w14:textId="6D975688" w:rsidR="006918E9" w:rsidRDefault="001943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l-ammont nominali ta’ entrati li ma jidhrux fil-karta tal-bilanċ fir-rigward tal-parti mhux prelevata tas-self promozzjonali mogħti lill-awtoritajiet lokali</w:t>
            </w:r>
          </w:p>
          <w:p w14:paraId="4054A803" w14:textId="7D1F66F0" w:rsidR="001943A2" w:rsidRPr="000B66BC" w:rsidRDefault="001943A2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L-ammonti nominali tal-unità ta’ istituzzjoni li hija ttrattata bħala istituzzjoni ta’ kreditu għall-iżvilupp pubbliku minn awtorità kompetenti skont l-aħħar paragrafu tal-Artikolu 429a(2), għandhom jiġu kkunsidrati wkoll.</w:t>
            </w:r>
          </w:p>
        </w:tc>
      </w:tr>
      <w:tr w:rsidR="00D126C3" w:rsidRPr="00E75BB8" w14:paraId="7024E473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C43" w14:textId="4FD45966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{0340;0010}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403F" w14:textId="5A0EBB01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entitajiet tas-settur pubbliku - Valur kontabilistiku tal-karta tal-bilanċ</w:t>
            </w:r>
          </w:p>
          <w:p w14:paraId="01C18437" w14:textId="77777777" w:rsidR="006918E9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il-valur kontabilistiku tal-karta tal-bilanċ skont il-qafas kontabilistiku applikabbli tal-assi li jikkostitwixxu pretensjonijiet fuq entitajiet tas-settur pubbliku fir-rigward ta’ self promozzjonali</w:t>
            </w:r>
          </w:p>
          <w:p w14:paraId="271873F2" w14:textId="69D63A33" w:rsidR="00D126C3" w:rsidRPr="000B66BC" w:rsidRDefault="00D126C3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1943A2" w:rsidRPr="00E75BB8" w14:paraId="5E7DDD36" w14:textId="77777777" w:rsidTr="005D135B">
        <w:tc>
          <w:tcPr>
            <w:tcW w:w="1654" w:type="dxa"/>
          </w:tcPr>
          <w:p w14:paraId="525D124D" w14:textId="765B9FDB" w:rsidR="001943A2" w:rsidRPr="000B66BC" w:rsidRDefault="001943A2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{0340;0070}</w:t>
            </w:r>
          </w:p>
        </w:tc>
        <w:tc>
          <w:tcPr>
            <w:tcW w:w="7620" w:type="dxa"/>
          </w:tcPr>
          <w:p w14:paraId="6383FA4C" w14:textId="78CEFFA7" w:rsidR="001943A2" w:rsidRPr="000B66BC" w:rsidRDefault="001943A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entitajiet tas-settur pubbliku - Ammont nozzjonali/ valur nominali</w:t>
            </w:r>
          </w:p>
          <w:p w14:paraId="5C047141" w14:textId="77777777" w:rsidR="006918E9" w:rsidRDefault="001943A2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l-ammont nominali ta’ entrati li ma jidhrux fil-karta tal-bilanċ fir-rigward tal-parti mhux prelevata ta’ self promozzjonali mogħti lil entitajiet tas-settur pubbliku</w:t>
            </w:r>
          </w:p>
          <w:p w14:paraId="28AF0C76" w14:textId="43B760BA" w:rsidR="001943A2" w:rsidRPr="000B66BC" w:rsidRDefault="001943A2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462408" w:rsidRPr="00E75BB8" w14:paraId="29DF5E7A" w14:textId="77777777" w:rsidTr="005D135B">
        <w:tc>
          <w:tcPr>
            <w:tcW w:w="1654" w:type="dxa"/>
          </w:tcPr>
          <w:p w14:paraId="1D9C525C" w14:textId="680B64DF" w:rsidR="00462408" w:rsidRPr="000B66BC" w:rsidRDefault="0046240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{0350;0010}</w:t>
            </w:r>
          </w:p>
        </w:tc>
        <w:tc>
          <w:tcPr>
            <w:tcW w:w="7620" w:type="dxa"/>
          </w:tcPr>
          <w:p w14:paraId="3CAFC6DC" w14:textId="096127A3" w:rsidR="00462408" w:rsidRPr="000B66BC" w:rsidRDefault="0046240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korporazzjonijiet mhux finanzjarji - Valur kontabilistiku tal-karta tal-bilanċ</w:t>
            </w:r>
          </w:p>
          <w:p w14:paraId="38EC1D3F" w14:textId="77777777" w:rsidR="006918E9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il-valur kontabilistiku tal-karta tal-bilanċ skont il-qafas kontabilistiku applikabbli tal-assi li jikkostitwixxu pretensjonijiet fuq korporazzjonijiet mhux finanzjarji fir-rigward ta’ self promozzjonali</w:t>
            </w:r>
          </w:p>
          <w:p w14:paraId="6BF179ED" w14:textId="2C4CB2A0" w:rsidR="00462408" w:rsidRPr="000B66BC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A7136D" w:rsidRPr="00E75BB8" w14:paraId="12870EEF" w14:textId="77777777" w:rsidTr="005D135B">
        <w:tc>
          <w:tcPr>
            <w:tcW w:w="1654" w:type="dxa"/>
          </w:tcPr>
          <w:p w14:paraId="79383F04" w14:textId="29554F65" w:rsidR="00A7136D" w:rsidRPr="000B66BC" w:rsidRDefault="00A7136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{0350;0070}</w:t>
            </w:r>
          </w:p>
        </w:tc>
        <w:tc>
          <w:tcPr>
            <w:tcW w:w="7620" w:type="dxa"/>
          </w:tcPr>
          <w:p w14:paraId="26540368" w14:textId="2C1D23F7" w:rsidR="00A7136D" w:rsidRPr="000B66BC" w:rsidRDefault="00A7136D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korporazzjonijiet mhux finanzjarji - Ammont nozzjonali/ valur nominali</w:t>
            </w:r>
          </w:p>
          <w:p w14:paraId="054BF407" w14:textId="212AEBBD" w:rsidR="00A7136D" w:rsidRPr="000B66BC" w:rsidRDefault="00A7136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l-ammont nominali ta’ entrati barra l-karta tal-bilanċ fir-rigward tal-parti mhux prelevata ta’ self promozzjonali mogħti lil korporazzjonijiet mhux finanzjarji</w:t>
            </w:r>
          </w:p>
          <w:p w14:paraId="41A92F44" w14:textId="7D39B959" w:rsidR="00A7136D" w:rsidRPr="000B66BC" w:rsidRDefault="00A7136D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462408" w:rsidRPr="00E75BB8" w14:paraId="1F6E7CB4" w14:textId="77777777" w:rsidTr="005D135B">
        <w:tc>
          <w:tcPr>
            <w:tcW w:w="1654" w:type="dxa"/>
          </w:tcPr>
          <w:p w14:paraId="6254A862" w14:textId="004992BC" w:rsidR="00462408" w:rsidRPr="000B66BC" w:rsidRDefault="0046240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{0360;0010}</w:t>
            </w:r>
          </w:p>
        </w:tc>
        <w:tc>
          <w:tcPr>
            <w:tcW w:w="7620" w:type="dxa"/>
          </w:tcPr>
          <w:p w14:paraId="1C554FC7" w14:textId="1F3CBF52" w:rsidR="00462408" w:rsidRPr="000B66BC" w:rsidRDefault="0046240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unitajiet domestiċi - Valur kontabilistiku tal-karta tal-bilanċ</w:t>
            </w:r>
          </w:p>
          <w:p w14:paraId="55D67008" w14:textId="77777777" w:rsidR="006918E9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il-valur kontabilistiku tal-karta tal-bilanċ skont il-qafas kontabilistiku applikabbli tal-assi li jikkostitwixxu pretensjonijiet fuq unitajiet domestiċi fir-rigward ta’ self promozzjonali</w:t>
            </w:r>
          </w:p>
          <w:p w14:paraId="77B96BEE" w14:textId="794E8F25" w:rsidR="00462408" w:rsidRPr="000B66BC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D126C3" w:rsidRPr="00E75BB8" w14:paraId="18F55D0D" w14:textId="77777777" w:rsidTr="005D135B">
        <w:tc>
          <w:tcPr>
            <w:tcW w:w="1654" w:type="dxa"/>
          </w:tcPr>
          <w:p w14:paraId="6CB2C6F3" w14:textId="0D17F3B9" w:rsidR="00D126C3" w:rsidRPr="000B66BC" w:rsidRDefault="00D126C3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{0360;0070}</w:t>
            </w:r>
          </w:p>
        </w:tc>
        <w:tc>
          <w:tcPr>
            <w:tcW w:w="7620" w:type="dxa"/>
          </w:tcPr>
          <w:p w14:paraId="5FFB5CC5" w14:textId="0AFA9088" w:rsidR="00D126C3" w:rsidRPr="000B66BC" w:rsidRDefault="00D126C3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- Pretensjonijiet fuq unitajiet domestiċi - Ammont nozzjonali/ valur nominali</w:t>
            </w:r>
          </w:p>
          <w:p w14:paraId="5C098B17" w14:textId="561EFEA4" w:rsidR="00D126C3" w:rsidRPr="000B66BC" w:rsidRDefault="00D126C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l-ammont nominali ta’ entrati li ma jidhrux fil-karta tal-bilanċ fir-rigward tal-parti mhux prelevata tas-self promozzjonali mogħti lill-unitajiet domestiċi</w:t>
            </w:r>
          </w:p>
          <w:p w14:paraId="635041B3" w14:textId="7B16BC5F" w:rsidR="00D126C3" w:rsidRPr="000B66BC" w:rsidRDefault="00D126C3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462408" w:rsidRPr="00E75BB8" w14:paraId="44E1C677" w14:textId="77777777" w:rsidTr="005D135B">
        <w:tc>
          <w:tcPr>
            <w:tcW w:w="1654" w:type="dxa"/>
          </w:tcPr>
          <w:p w14:paraId="17FF7A37" w14:textId="4D384D9C" w:rsidR="00462408" w:rsidRPr="000B66BC" w:rsidRDefault="0046240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{0370;0010}</w:t>
            </w:r>
          </w:p>
        </w:tc>
        <w:tc>
          <w:tcPr>
            <w:tcW w:w="7620" w:type="dxa"/>
          </w:tcPr>
          <w:p w14:paraId="3F005630" w14:textId="77777777" w:rsidR="00462408" w:rsidRPr="000B66BC" w:rsidRDefault="0046240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– Ittrasferit- Valur kontabilistiku tal-karta tal-bilanċ</w:t>
            </w:r>
          </w:p>
          <w:p w14:paraId="77AE875C" w14:textId="77777777" w:rsidR="006918E9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il-valur kontabilistiku tal-karta tal-bilanċ skont il-qafas kontabilistiku applikabbli tas-self promozzjonali ttrasferit, meta s-self promozzjonali ma jkunx ingħata mill-istituzzjoni nnifisha</w:t>
            </w:r>
          </w:p>
          <w:p w14:paraId="13D74794" w14:textId="2A0E0A51" w:rsidR="00462408" w:rsidRPr="000B66BC" w:rsidRDefault="00462408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Il-valuri kontabilistiċi tal-karta tal-bilanċ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4A107B" w:rsidRPr="00E75BB8" w14:paraId="09331359" w14:textId="77777777" w:rsidTr="005D135B">
        <w:tc>
          <w:tcPr>
            <w:tcW w:w="1654" w:type="dxa"/>
          </w:tcPr>
          <w:p w14:paraId="073777C0" w14:textId="772CDEDA" w:rsidR="004A107B" w:rsidRPr="000B66BC" w:rsidRDefault="004A107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{0370;0070}</w:t>
            </w:r>
          </w:p>
        </w:tc>
        <w:tc>
          <w:tcPr>
            <w:tcW w:w="7620" w:type="dxa"/>
          </w:tcPr>
          <w:p w14:paraId="0CA54233" w14:textId="2370225D" w:rsidR="004A107B" w:rsidRPr="000B66BC" w:rsidRDefault="004A107B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Self promozzjonali – Ittrasferit- Ammont nozzjonali/ valur nominali</w:t>
            </w:r>
          </w:p>
          <w:p w14:paraId="67DCF513" w14:textId="77777777" w:rsidR="006918E9" w:rsidRDefault="004A107B" w:rsidP="006918E9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Meta l-istituzzjoni tkun istituzzjoni ta’ kreditu għall-iżvilupp pubbliku, l-ammont nominali ta’ entrati li ma jidhrux fil-karta tal-bilanċ fir-rigward tal-parti mhux prelevata tas-self promozzjonali ttrasferit, meta s-self promozzjonali ma jkunx ingħata mill-istituzzjoni nnifisha</w:t>
            </w:r>
          </w:p>
          <w:p w14:paraId="75F9BF76" w14:textId="0F97AE35" w:rsidR="004A107B" w:rsidRPr="000B66BC" w:rsidRDefault="0033642B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L-ammonti nominali tal-unità ta’ istituzzjoni li hija ttrattata bħala istituzzjoni ta’ kreditu għall-iżvilupp pubbliku minn awtorità kompetenti skont l-aħħar paragrafu tal-Artikolu 429a(2) għandhom jiġu kkunsidrati wkoll.</w:t>
            </w:r>
          </w:p>
        </w:tc>
      </w:tr>
      <w:tr w:rsidR="00703CC2" w:rsidRPr="00E75BB8" w14:paraId="5432666E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FB29" w14:textId="23478B5E" w:rsidR="00703CC2" w:rsidRPr="000B66BC" w:rsidRDefault="007F383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{0380;0010}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A2BC" w14:textId="0B7E2413" w:rsidR="00703CC2" w:rsidRPr="000B66BC" w:rsidRDefault="00703CC2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tal-bank ċentrali - Valur kontabilistiku tal-karta tal-bilanċ</w:t>
            </w:r>
          </w:p>
          <w:p w14:paraId="68FD6F4B" w14:textId="013AB044" w:rsidR="007F3838" w:rsidRPr="000B66BC" w:rsidRDefault="007F383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jirrapportaw, f’konformità mal-qafas kontabilistiku applikabbli, il-valur tal-iskoperturi li ġejjin lill-bank ċentrali tal-istituzzjoni: (i) muniti u karti tal-flus li jikkostitwixxu munita legali fil-ġurisdizzjoni tal-bank ċentrali; 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assi li jirrappreżentaw pretensjonijiet fuq il-bank ċentrali, inkluż riżervi miżmuma fil-bank ċentrali.</w:t>
            </w:r>
          </w:p>
          <w:p w14:paraId="6DEE1984" w14:textId="4388DF7E" w:rsidR="009F67E9" w:rsidRPr="000B66BC" w:rsidRDefault="007F383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jinkludu biss skoperturi li jissodisfaw iż-żewġ kundizzjonijiet li ġejjin: (a) huma denominati fl-istess munita bħad-depożiti meħuda mill-istituzzjoni; (b) il-maturità medja tagħhom ma taqbiżx b’mod sinifikanti l-maturità medja tad-depożiti meħuda mill-istituzzjoni.</w:t>
            </w:r>
          </w:p>
          <w:p w14:paraId="1572123D" w14:textId="79750841" w:rsidR="007F3838" w:rsidRPr="000B66BC" w:rsidRDefault="009F67E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dawn l-iskoperturi irrispettivament minn jekk humiex eżentati mill-miżura tal-iskopertura totali skont l-Artikolu 429a(5) u (6) tar-Regolament (UE) Nru 575/2013.</w:t>
            </w:r>
          </w:p>
        </w:tc>
      </w:tr>
      <w:tr w:rsidR="00086398" w:rsidRPr="00E75BB8" w14:paraId="2FC50208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2019" w14:textId="77777777" w:rsidR="00086398" w:rsidRPr="000B66BC" w:rsidRDefault="000863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{0390;0140}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D8C3" w14:textId="1C344E74" w:rsidR="00DD51E7" w:rsidRPr="000B66BC" w:rsidRDefault="00DD51E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Il-valur tal-iskoperturi tal-bank ċentrali użat għall-kalkolu tar-rekwiżit tal-proporzjon tal-ingranaġġ aġġustat imsemmi fl-Artikolu 429a(7) CRR - Ammont tal-iskopertura tal-proporzjon tal-ingranaġġ</w:t>
            </w:r>
          </w:p>
          <w:p w14:paraId="0EDC2D5D" w14:textId="0F8FC5EF" w:rsidR="00DD51E7" w:rsidRPr="000B66BC" w:rsidRDefault="00DD51E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totali medju ta’ kuljum tal-iskoperturi tal-istituzzjoni għall-bank ċentrali tagħha, ikkalkulat tul il-perijodu sħiħ ta’ żamma ta’ riservi tal-bank ċentrali immedjatament qabel id-data msemmija fil-punt (c) tal-Artikolu 429a(5) tar-Regolament (UE) Nru 575/2013, li huma eliġibbli li jiġu </w:t>
            </w:r>
            <w:r>
              <w:rPr>
                <w:rFonts w:ascii="Times New Roman" w:hAnsi="Times New Roman"/>
                <w:sz w:val="24"/>
              </w:rPr>
              <w:lastRenderedPageBreak/>
              <w:t>esklużi skont il-punt (n) tal-Artikolu 429a(1) tar-Regolament (UE) Nru 575/2013.</w:t>
            </w:r>
          </w:p>
        </w:tc>
      </w:tr>
      <w:tr w:rsidR="00086398" w:rsidRPr="00E75BB8" w14:paraId="49595092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BE0E" w14:textId="77777777" w:rsidR="00086398" w:rsidRPr="000B66BC" w:rsidRDefault="0008639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{0400;0140}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54B7" w14:textId="0BDD4F96" w:rsidR="00DD51E7" w:rsidRPr="000B66BC" w:rsidRDefault="00DD51E7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Kejl tal-iskopertura tal-proporzjon tal-ingranaġġ użat għall-kalkolu tar-rekwiżit tal-proporzjon tal-ingranaġġ aġġustat imsemmi fl-Artikolu 429a(7)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-CRR - Ammont tal-iskopertura tal-proporzjon tal-ingranaġġ</w:t>
            </w:r>
          </w:p>
          <w:p w14:paraId="7F49B2B2" w14:textId="6908FD98" w:rsidR="000A486B" w:rsidRPr="000B66BC" w:rsidRDefault="00DD51E7" w:rsidP="006918E9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Il-miżura tal-iskopertura totali tal-istituzzjoni kif definita fl-Artikolu 429(4) tar-Regolament (UE) Nru 575/2013, inkluża kwalunkwe skopertura eskluża f’konformità mal-punt (n) tal-Artikolu 429(1) tar-Regolament (UE) Nru 575/2013, fid-data msemmija fil-punt (c) tal-Artikolu 429a(5) tar-Regolament (UE) Nru 575/2013</w:t>
            </w:r>
          </w:p>
        </w:tc>
      </w:tr>
      <w:tr w:rsidR="000C01E8" w:rsidRPr="00E75BB8" w14:paraId="2AF78942" w14:textId="77777777" w:rsidTr="005D135B"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ECA9" w14:textId="5DFC5643" w:rsidR="000C01E8" w:rsidRPr="000B66BC" w:rsidRDefault="000C01E8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{0410;0010}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C592" w14:textId="77777777" w:rsidR="000C01E8" w:rsidRPr="000B66BC" w:rsidRDefault="000C01E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Assi totali </w:t>
            </w:r>
          </w:p>
          <w:p w14:paraId="6B941506" w14:textId="67257FB8" w:rsidR="00086398" w:rsidRPr="000B66BC" w:rsidRDefault="000C01E8" w:rsidP="000B66BC">
            <w:pPr>
              <w:pStyle w:val="BodyText1"/>
              <w:tabs>
                <w:tab w:val="left" w:pos="4755"/>
              </w:tabs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f’din l-entrata l-assi totali skont l-ambitu użat fir-rapporti finanzjarji ppubblikati.</w:t>
            </w:r>
          </w:p>
        </w:tc>
      </w:tr>
    </w:tbl>
    <w:p w14:paraId="03B5554A" w14:textId="77777777" w:rsidR="00462408" w:rsidRPr="000B66BC" w:rsidRDefault="00462408" w:rsidP="000B66BC">
      <w:pPr>
        <w:pStyle w:val="BodyText1"/>
        <w:spacing w:after="240"/>
        <w:rPr>
          <w:rFonts w:ascii="Times New Roman" w:hAnsi="Times New Roman"/>
          <w:b/>
          <w:sz w:val="24"/>
          <w:szCs w:val="24"/>
        </w:rPr>
      </w:pPr>
      <w:bookmarkStart w:id="60" w:name="_Toc338669922"/>
      <w:bookmarkStart w:id="61" w:name="_Toc338669923"/>
      <w:bookmarkStart w:id="62" w:name="_Toc338669924"/>
      <w:bookmarkStart w:id="63" w:name="_Toc338669925"/>
      <w:bookmarkStart w:id="64" w:name="_Toc338669926"/>
      <w:bookmarkStart w:id="65" w:name="_Toc338669927"/>
      <w:bookmarkStart w:id="66" w:name="_Toc338669928"/>
      <w:bookmarkEnd w:id="60"/>
      <w:bookmarkEnd w:id="61"/>
      <w:bookmarkEnd w:id="62"/>
      <w:bookmarkEnd w:id="63"/>
      <w:bookmarkEnd w:id="64"/>
      <w:bookmarkEnd w:id="65"/>
      <w:bookmarkEnd w:id="66"/>
    </w:p>
    <w:p w14:paraId="5E95AFC7" w14:textId="71198216" w:rsidR="00217D1F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67" w:name="_Toc338669914"/>
      <w:bookmarkStart w:id="68" w:name="_Toc338669915"/>
      <w:bookmarkStart w:id="69" w:name="_Toc338669918"/>
      <w:bookmarkStart w:id="70" w:name="_Toc322687900"/>
      <w:bookmarkStart w:id="71" w:name="_Toc351048510"/>
      <w:bookmarkStart w:id="72" w:name="_Toc359414289"/>
      <w:bookmarkStart w:id="73" w:name="_Toc423089074"/>
      <w:bookmarkStart w:id="74" w:name="_Toc182305160"/>
      <w:bookmarkStart w:id="75" w:name="_Toc322533879"/>
      <w:bookmarkEnd w:id="59"/>
      <w:bookmarkEnd w:id="67"/>
      <w:bookmarkEnd w:id="68"/>
      <w:bookmarkEnd w:id="69"/>
      <w:r>
        <w:rPr>
          <w:rFonts w:ascii="Times New Roman" w:hAnsi="Times New Roman"/>
          <w:b/>
          <w:sz w:val="24"/>
        </w:rPr>
        <w:t>5.</w:t>
      </w:r>
      <w:r>
        <w:tab/>
      </w:r>
      <w:r>
        <w:rPr>
          <w:rFonts w:ascii="Times New Roman" w:hAnsi="Times New Roman"/>
          <w:b/>
          <w:sz w:val="24"/>
        </w:rPr>
        <w:t>C 43.00 – Diżaggregazzjoni alternattiva ta’ komponenti tal-kejl tal-iskopertura tal-proporzjon tal-ingranaġġ</w:t>
      </w:r>
      <w:bookmarkEnd w:id="70"/>
      <w:bookmarkEnd w:id="71"/>
      <w:bookmarkEnd w:id="72"/>
      <w:r>
        <w:rPr>
          <w:rFonts w:ascii="Times New Roman" w:hAnsi="Times New Roman"/>
          <w:b/>
          <w:sz w:val="24"/>
        </w:rPr>
        <w:t xml:space="preserve"> (LR4)</w:t>
      </w:r>
      <w:bookmarkEnd w:id="73"/>
      <w:bookmarkEnd w:id="74"/>
    </w:p>
    <w:p w14:paraId="28B96BA9" w14:textId="5AF52E0B" w:rsidR="004E437E" w:rsidRPr="000B66BC" w:rsidRDefault="00500508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24.</w:t>
      </w:r>
      <w:r>
        <w:tab/>
      </w:r>
      <w:r>
        <w:rPr>
          <w:rFonts w:ascii="Times New Roman" w:hAnsi="Times New Roman"/>
          <w:sz w:val="24"/>
        </w:rPr>
        <w:t xml:space="preserve">L-istituzzjonijiet għandhom jirrapportaw il-valuri tal-iskopertura tal-proporzjon tal-ingranaġġ f’LR4 wara l-applikazzjoni ta’ eżenzjonijiet u tnaqqis fil-formola </w:t>
      </w:r>
      <w:proofErr w:type="spellStart"/>
      <w:r>
        <w:rPr>
          <w:rFonts w:ascii="Times New Roman" w:hAnsi="Times New Roman"/>
          <w:sz w:val="24"/>
        </w:rPr>
        <w:t>LRCalc</w:t>
      </w:r>
      <w:proofErr w:type="spellEnd"/>
      <w:r>
        <w:rPr>
          <w:rFonts w:ascii="Times New Roman" w:hAnsi="Times New Roman"/>
          <w:sz w:val="24"/>
        </w:rPr>
        <w:t>, jiġifieri l-entrati b’sinjal negattiv f’konformità mal-konvenzjoni tas-sinjali fil-paragrafu 9 tal-Parti I ta’ dan l-Anness, ħlief ir-ringieli {0270;0010} {0280;0010}.</w:t>
      </w:r>
    </w:p>
    <w:p w14:paraId="69B9194E" w14:textId="636E268C" w:rsidR="00A54449" w:rsidRPr="000B66BC" w:rsidRDefault="00500508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25.</w:t>
      </w:r>
      <w:r>
        <w:tab/>
      </w:r>
      <w:r>
        <w:rPr>
          <w:rFonts w:ascii="Times New Roman" w:hAnsi="Times New Roman"/>
          <w:sz w:val="24"/>
        </w:rPr>
        <w:t>Sabiex jevitaw għadd doppju, l-istituzzjonijiet għandhom iżommu din l-ekwazzjoni li ġejja:</w:t>
      </w:r>
    </w:p>
    <w:p w14:paraId="6C63F05C" w14:textId="18F59633" w:rsidR="00F4754B" w:rsidRPr="000B66BC" w:rsidRDefault="00287E34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</w:t>
      </w:r>
      <w:r>
        <w:tab/>
      </w:r>
      <w:r>
        <w:rPr>
          <w:rFonts w:ascii="Times New Roman" w:hAnsi="Times New Roman"/>
          <w:sz w:val="24"/>
        </w:rPr>
        <w:t xml:space="preserve">Is-somma tar-ringieli kollha minn {0010; 0010} sa {0269;0010} fil-formola </w:t>
      </w:r>
      <w:proofErr w:type="spellStart"/>
      <w:r>
        <w:rPr>
          <w:rFonts w:ascii="Times New Roman" w:hAnsi="Times New Roman"/>
          <w:sz w:val="24"/>
        </w:rPr>
        <w:t>LRCalc</w:t>
      </w:r>
      <w:proofErr w:type="spellEnd"/>
      <w:r>
        <w:rPr>
          <w:rFonts w:ascii="Times New Roman" w:hAnsi="Times New Roman"/>
          <w:sz w:val="24"/>
        </w:rPr>
        <w:t xml:space="preserve"> għandha tkun ugwali għal = [{LR4;0010;0010} + {LR4;0040;0010} + {LR4;0050;0010} + {LR4;0060;0010} + {LR4;0065;0010} + {LR4;0070;0010} + {LR4;0080;0010} + {LR40;080;0020} + {LR4;0090;0010} + {LR4;00090;0020} + {LR4;0140;0010} + {LR4;0140;0020} + {LR4;0180;0010} + {LR4;0180;0020} + {LR4;190;0010} + {LR4;0190;0020} + {LR4;0210;0010} + {LR4;0210;0020} + {LR4;0230;0010} + {LR4;0230;0020} + {LR4;0280;0010} + {LR4;0280;0020} + {LR4;0290;0010} + {LR4;0290;0020}].</w:t>
      </w:r>
    </w:p>
    <w:p w14:paraId="5BDC94CE" w14:textId="208FDE2C" w:rsidR="00675587" w:rsidRPr="000B66BC" w:rsidRDefault="00143C6A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26.</w:t>
      </w:r>
      <w:r>
        <w:tab/>
      </w:r>
      <w:r>
        <w:rPr>
          <w:rFonts w:ascii="Times New Roman" w:hAnsi="Times New Roman"/>
          <w:sz w:val="24"/>
        </w:rPr>
        <w:t xml:space="preserve">Sabiex ikunu konsistenti mal-valuri tal-iskopertura tal-proporzjon tal-ingranaġġ, l-ammonti ta’ skoperturi ponderati għar-riskju għandhom jiġu rrapportati wkoll b’mod gradwali. L-aġġustamenti minimi tal-output mhux se jitqiesu għall-fini ta’ din il-formola. </w:t>
      </w:r>
    </w:p>
    <w:p w14:paraId="794DC095" w14:textId="4A4B07F0" w:rsidR="003B1611" w:rsidRPr="000B66BC" w:rsidRDefault="003B1611" w:rsidP="000B66BC">
      <w:pPr>
        <w:pStyle w:val="BodyText1"/>
        <w:spacing w:after="240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27. L-istituzzjonijiet għandhom jirrapportaw il-kontroparti fir-rigward tal-RWEA wara t-tekniki tal-mitigazzjoni tar-riskju ta’ kreditu (CRM) u l-effetti tas-sostituzzjoni tiegħu. L-istituzzjonijiet għandhom jirrapportaw il-kontroparti fir-rigward tal-LRE </w:t>
      </w:r>
      <w:r>
        <w:rPr>
          <w:rFonts w:ascii="Times New Roman" w:hAnsi="Times New Roman"/>
          <w:sz w:val="24"/>
        </w:rPr>
        <w:lastRenderedPageBreak/>
        <w:t xml:space="preserve">f’konformità </w:t>
      </w:r>
      <w:proofErr w:type="spellStart"/>
      <w:r>
        <w:rPr>
          <w:rFonts w:ascii="Times New Roman" w:hAnsi="Times New Roman"/>
          <w:sz w:val="24"/>
        </w:rPr>
        <w:t>mal</w:t>
      </w:r>
      <w:proofErr w:type="spellEnd"/>
      <w:r>
        <w:rPr>
          <w:rFonts w:ascii="Times New Roman" w:hAnsi="Times New Roman"/>
          <w:sz w:val="24"/>
        </w:rPr>
        <w:t xml:space="preserve">-kontroparti oriġinali, jiġifieri mingħajr ma jqisu kwalunkwe CRM jew effett ta’ sostituzzjoni applikabbli għall-RWEA. </w:t>
      </w:r>
    </w:p>
    <w:tbl>
      <w:tblPr>
        <w:tblW w:w="896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559"/>
        <w:gridCol w:w="7406"/>
      </w:tblGrid>
      <w:tr w:rsidR="002A54FF" w:rsidRPr="00E75BB8" w14:paraId="69CF6F62" w14:textId="77777777" w:rsidTr="000B66BC">
        <w:trPr>
          <w:trHeight w:val="297"/>
        </w:trPr>
        <w:tc>
          <w:tcPr>
            <w:tcW w:w="1559" w:type="dxa"/>
            <w:shd w:val="clear" w:color="auto" w:fill="D9D9D9" w:themeFill="background1" w:themeFillShade="D9"/>
          </w:tcPr>
          <w:p w14:paraId="5F424E32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Ringiela u kolonna</w:t>
            </w:r>
          </w:p>
        </w:tc>
        <w:tc>
          <w:tcPr>
            <w:tcW w:w="7406" w:type="dxa"/>
            <w:shd w:val="clear" w:color="auto" w:fill="D9D9D9" w:themeFill="background1" w:themeFillShade="D9"/>
          </w:tcPr>
          <w:p w14:paraId="0DBEBFC4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Referenzi legali u struzzjonijiet</w:t>
            </w:r>
          </w:p>
        </w:tc>
      </w:tr>
      <w:tr w:rsidR="002A54FF" w:rsidRPr="00E75BB8" w14:paraId="7949D943" w14:textId="77777777" w:rsidTr="000B66BC">
        <w:trPr>
          <w:trHeight w:val="445"/>
        </w:trPr>
        <w:tc>
          <w:tcPr>
            <w:tcW w:w="1559" w:type="dxa"/>
            <w:shd w:val="clear" w:color="auto" w:fill="FFFFFF"/>
          </w:tcPr>
          <w:p w14:paraId="55F0F0BF" w14:textId="2E63969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{0010;0010}</w:t>
            </w:r>
          </w:p>
        </w:tc>
        <w:tc>
          <w:tcPr>
            <w:tcW w:w="7406" w:type="dxa"/>
            <w:shd w:val="clear" w:color="auto" w:fill="FFFFFF"/>
          </w:tcPr>
          <w:p w14:paraId="1750A9AE" w14:textId="2B686C4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Entrati li ma jidhrux fil-karta tal-bilanċ– Valur tal-Iskopertura tal-Proporzjon tal-Ingranaġġ</w:t>
            </w:r>
          </w:p>
          <w:p w14:paraId="158DBAF4" w14:textId="1A1A8F2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ikkalkolat bħala s-somma ta’{LRCalc;0150;0010}, {LRCalc;0160;0010}, {LRCalc;0165;0010} {LRCalc;0170;0010} u {LRCalc;0180;0010} esklużi l-iskoperturi intragrupp rispettivi (fuq bażi individwali) li huma eżentati f’konformità mal-punt (c) u l-punt (</w:t>
            </w:r>
            <w:proofErr w:type="spellStart"/>
            <w:r>
              <w:rPr>
                <w:rFonts w:ascii="Times New Roman" w:hAnsi="Times New Roman"/>
                <w:sz w:val="24"/>
              </w:rPr>
              <w:t>ca</w:t>
            </w:r>
            <w:proofErr w:type="spellEnd"/>
            <w:r>
              <w:rPr>
                <w:rFonts w:ascii="Times New Roman" w:hAnsi="Times New Roman"/>
                <w:sz w:val="24"/>
              </w:rPr>
              <w:t>) tal-Artikolu 429a(1) tar-Regolament (UE) Nru 575/2013.</w:t>
            </w:r>
          </w:p>
        </w:tc>
      </w:tr>
      <w:tr w:rsidR="002A54FF" w:rsidRPr="00E75BB8" w14:paraId="5C714FF5" w14:textId="77777777" w:rsidTr="000B66BC">
        <w:trPr>
          <w:trHeight w:val="1179"/>
        </w:trPr>
        <w:tc>
          <w:tcPr>
            <w:tcW w:w="1559" w:type="dxa"/>
            <w:shd w:val="clear" w:color="auto" w:fill="FFFFFF"/>
          </w:tcPr>
          <w:p w14:paraId="2120C924" w14:textId="781A037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{0010;0020}</w:t>
            </w:r>
          </w:p>
        </w:tc>
        <w:tc>
          <w:tcPr>
            <w:tcW w:w="7406" w:type="dxa"/>
            <w:shd w:val="clear" w:color="auto" w:fill="FFFFFF"/>
          </w:tcPr>
          <w:p w14:paraId="01D12FD7" w14:textId="094E74CB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Entrati li ma jidhrux fil-karta tal-bilanċ– RWEA</w:t>
            </w:r>
          </w:p>
          <w:p w14:paraId="672047D9" w14:textId="29F80B0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entrati li ma jidhrux fil-karta tal-bilanċ – esklużi l-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d-derivattivi – bħal </w:t>
            </w:r>
            <w:proofErr w:type="spellStart"/>
            <w:r>
              <w:rPr>
                <w:rFonts w:ascii="Times New Roman" w:hAnsi="Times New Roman"/>
                <w:sz w:val="24"/>
              </w:rPr>
              <w:t>fl</w:t>
            </w:r>
            <w:proofErr w:type="spellEnd"/>
            <w:r>
              <w:rPr>
                <w:rFonts w:ascii="Times New Roman" w:hAnsi="Times New Roman"/>
                <w:sz w:val="24"/>
              </w:rPr>
              <w:t>-Approċċ Standardizzat u l-Approċċ IRB. Għal skoperturi skont l-Approċċ Standardizzat, l-istituzzjonijiet għandhom jiddeterminaw l-ammont tal-iskopertura ponderat għar-riskju f’konformità mal-Kapitolu 2 tat-Titolu II tal-Parti Tlieta tar-Regolament (UE) Nru 575/2013. Għal skoperturi skont l-Approċċ IRB, l-istituzzjonijiet għandhom jiddeterminaw l-ammont tal-iskopertura ponderat għar-riskju f’konformità mal-Kapitolu 3 tat-Titolu II tal-Parti Tlieta tar-Regolament (UE) Nru 575/2013.</w:t>
            </w:r>
          </w:p>
        </w:tc>
      </w:tr>
      <w:tr w:rsidR="002A54FF" w:rsidRPr="00E75BB8" w14:paraId="3A2B982B" w14:textId="77777777" w:rsidTr="000B66BC">
        <w:trPr>
          <w:trHeight w:val="741"/>
        </w:trPr>
        <w:tc>
          <w:tcPr>
            <w:tcW w:w="1559" w:type="dxa"/>
            <w:shd w:val="clear" w:color="auto" w:fill="FFFFFF"/>
          </w:tcPr>
          <w:p w14:paraId="02155B13" w14:textId="2421AAB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{0020;0010}</w:t>
            </w:r>
          </w:p>
        </w:tc>
        <w:tc>
          <w:tcPr>
            <w:tcW w:w="7406" w:type="dxa"/>
            <w:shd w:val="clear" w:color="auto" w:fill="FFFFFF"/>
          </w:tcPr>
          <w:p w14:paraId="08539F0E" w14:textId="34DD4FEA" w:rsidR="00F4754B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Finanzjament tal-Kummerċ;– Valur tal-Iskopertura tal-Proporzjon tal-Ingranaġġ</w:t>
            </w:r>
          </w:p>
          <w:p w14:paraId="645ACACC" w14:textId="77777777" w:rsidR="00F21A85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tal-entrati li ma jidhrux fil-karta tal-bilanċ relatati ma’ finanzjament tal-kummerċ</w:t>
            </w:r>
          </w:p>
          <w:p w14:paraId="133382BF" w14:textId="754E9FF1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tar-rapportar f’LR4, entrati li ma jidhrux fil-karta tal-bilanċ relatati ma’ finanzjament ta’ kummerċ għandhom ikunu relatati ma’ ittri ta’ kreditu ta’ importazzjoni u esportazzjoni maħruġin u kkonfermati ta’ terminu qasir u </w:t>
            </w:r>
            <w:proofErr w:type="spellStart"/>
            <w:r>
              <w:rPr>
                <w:rFonts w:ascii="Times New Roman" w:hAnsi="Times New Roman"/>
                <w:sz w:val="24"/>
              </w:rPr>
              <w:t>awtolikwidanti</w:t>
            </w:r>
            <w:proofErr w:type="spellEnd"/>
            <w:r>
              <w:rPr>
                <w:rFonts w:ascii="Times New Roman" w:hAnsi="Times New Roman"/>
                <w:sz w:val="24"/>
              </w:rPr>
              <w:t>, u ma’ tranżazzjonijiet simili.</w:t>
            </w:r>
          </w:p>
        </w:tc>
      </w:tr>
      <w:tr w:rsidR="002A54FF" w:rsidRPr="00E75BB8" w14:paraId="76EF75CF" w14:textId="77777777" w:rsidTr="000B66BC">
        <w:trPr>
          <w:trHeight w:val="1038"/>
        </w:trPr>
        <w:tc>
          <w:tcPr>
            <w:tcW w:w="1559" w:type="dxa"/>
            <w:shd w:val="clear" w:color="auto" w:fill="FFFFFF"/>
          </w:tcPr>
          <w:p w14:paraId="35797C75" w14:textId="0565FF1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{0020;0020}</w:t>
            </w:r>
          </w:p>
        </w:tc>
        <w:tc>
          <w:tcPr>
            <w:tcW w:w="7406" w:type="dxa"/>
            <w:shd w:val="clear" w:color="auto" w:fill="FFFFFF"/>
          </w:tcPr>
          <w:p w14:paraId="249BC5D0" w14:textId="48587F9F" w:rsidR="002509B1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Finanzjament tal-Kummerċ– RWEA</w:t>
            </w:r>
          </w:p>
          <w:p w14:paraId="6D7F09A8" w14:textId="77777777" w:rsidR="006918E9" w:rsidRDefault="00F4754B" w:rsidP="006918E9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ponderat għar-riskju ta’ entrati li ma jidhrux fil-karta tal-bilanċ – esklużi l-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d-derivattivi – relatati mal-finanzjament tal-kummerċ</w:t>
            </w:r>
          </w:p>
          <w:p w14:paraId="38C84AEF" w14:textId="78316124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tar-rapportar f’LR4, entrati li ma jidhrux fil-karta tal-bilanċ relatati ma’ finanzjament ta’ kummerċ għandhom ikunu relatati ma’ ittri ta’ kreditu ta’ importazzjoni u esportazzjoni maħruġin u kkonfermati ta’ terminu qasir u </w:t>
            </w:r>
            <w:proofErr w:type="spellStart"/>
            <w:r>
              <w:rPr>
                <w:rFonts w:ascii="Times New Roman" w:hAnsi="Times New Roman"/>
                <w:sz w:val="24"/>
              </w:rPr>
              <w:t>awtolikwidanti</w:t>
            </w:r>
            <w:proofErr w:type="spellEnd"/>
            <w:r>
              <w:rPr>
                <w:rFonts w:ascii="Times New Roman" w:hAnsi="Times New Roman"/>
                <w:sz w:val="24"/>
              </w:rPr>
              <w:t>, u ma’ tranżazzjonijiet simili.</w:t>
            </w:r>
          </w:p>
        </w:tc>
      </w:tr>
      <w:tr w:rsidR="002A54FF" w:rsidRPr="00E75BB8" w14:paraId="277256CF" w14:textId="77777777" w:rsidTr="000B66BC">
        <w:trPr>
          <w:trHeight w:val="1030"/>
        </w:trPr>
        <w:tc>
          <w:tcPr>
            <w:tcW w:w="1559" w:type="dxa"/>
            <w:shd w:val="clear" w:color="auto" w:fill="FFFFFF"/>
          </w:tcPr>
          <w:p w14:paraId="5B876EDF" w14:textId="3902F51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{0030;0010}</w:t>
            </w:r>
          </w:p>
        </w:tc>
        <w:tc>
          <w:tcPr>
            <w:tcW w:w="7406" w:type="dxa"/>
            <w:shd w:val="clear" w:color="auto" w:fill="FFFFFF"/>
          </w:tcPr>
          <w:p w14:paraId="48F51CF2" w14:textId="4EB6A65B" w:rsidR="002509B1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Skont l-iskema uffiċjali tal-assigurazzjoni ta’ kreditu għall-esportazzjoni – Valur tal-Iskopertura tal-Proporzjon tal-Ingranaġġ</w:t>
            </w:r>
          </w:p>
          <w:p w14:paraId="6B70A020" w14:textId="3C72A663" w:rsidR="001F28E7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entrati li ma jidhrux fuq il-karta tal-bilanċ relatati mal-finanzjament tal-kummerċ taħt l-iskema uffiċjali tal-assigurazzjoni ta’ kreditu għall-esportazzjoni</w:t>
            </w:r>
          </w:p>
          <w:p w14:paraId="71BE2A86" w14:textId="52B3D7F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sovvenzjonijiet), assigurazzjoni tal-kreditu u garanziji għall-esportazzjoni.</w:t>
            </w:r>
          </w:p>
        </w:tc>
      </w:tr>
      <w:tr w:rsidR="002A54FF" w:rsidRPr="00E75BB8" w14:paraId="46968C9B" w14:textId="77777777" w:rsidTr="000B66BC">
        <w:trPr>
          <w:trHeight w:val="601"/>
        </w:trPr>
        <w:tc>
          <w:tcPr>
            <w:tcW w:w="1559" w:type="dxa"/>
            <w:shd w:val="clear" w:color="auto" w:fill="FFFFFF"/>
          </w:tcPr>
          <w:p w14:paraId="68790E0D" w14:textId="23854C8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{0030;0020}</w:t>
            </w:r>
          </w:p>
        </w:tc>
        <w:tc>
          <w:tcPr>
            <w:tcW w:w="7406" w:type="dxa"/>
            <w:shd w:val="clear" w:color="auto" w:fill="FFFFFF"/>
          </w:tcPr>
          <w:p w14:paraId="071CF42C" w14:textId="4BD5D1B3" w:rsidR="00F4754B" w:rsidRPr="000B66BC" w:rsidRDefault="005E7B7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Taħt l-iskema uffiċjali tal-assigurazzjoni ta’ kreditu għall-esportazzjoni – RWEA</w:t>
            </w:r>
          </w:p>
          <w:p w14:paraId="0E7BC811" w14:textId="6F1A953F" w:rsidR="001F28E7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ponderat għar-riskju ta’ entrati li ma jidhrux fil-karta tal-bilanċ – bl-esklużjoni tal-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u d-derivattivi – relatati mal-finanzjament tal-kummerċ skont skema uffiċjali tal-assigurazzjoni ta’ kreditu għall-esportazzjoni</w:t>
            </w:r>
          </w:p>
          <w:p w14:paraId="2D3ADF55" w14:textId="478E84F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għotjiet), assigurazzjoni tal-kreditu u garanziji għall-esportazzjoni.</w:t>
            </w:r>
          </w:p>
        </w:tc>
      </w:tr>
      <w:tr w:rsidR="002A54FF" w:rsidRPr="00E75BB8" w14:paraId="46D6302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89CF026" w14:textId="3E532BF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{0040;0010}</w:t>
            </w:r>
          </w:p>
        </w:tc>
        <w:tc>
          <w:tcPr>
            <w:tcW w:w="7406" w:type="dxa"/>
            <w:shd w:val="clear" w:color="auto" w:fill="FFFFFF"/>
          </w:tcPr>
          <w:p w14:paraId="70B328B5" w14:textId="418FD16C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 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soġġetti għal ftehim ta’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bejn prodotti differenti – Valur tal-Iskopertura tal-Proporzjon tal-Ingranaġġ</w:t>
            </w:r>
          </w:p>
          <w:p w14:paraId="04D3A7BA" w14:textId="2BCB7AFC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tad-derivattivi u tal-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jekk ikunu soġġetti għal ftehim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prodotti differenti kif definit fl-Artikolu 272(25) tar-Regolament (UE) Nru 575/2013</w:t>
            </w:r>
          </w:p>
        </w:tc>
      </w:tr>
      <w:tr w:rsidR="002A54FF" w:rsidRPr="00E75BB8" w14:paraId="71AC64B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2035BF5" w14:textId="02E9D93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{0040;0020}</w:t>
            </w:r>
          </w:p>
        </w:tc>
        <w:tc>
          <w:tcPr>
            <w:tcW w:w="7406" w:type="dxa"/>
            <w:shd w:val="clear" w:color="auto" w:fill="FFFFFF"/>
          </w:tcPr>
          <w:p w14:paraId="6A93DC52" w14:textId="5A4C870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 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soġġetti għal ftehim ta’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bejn prodotti differenti – RWEA</w:t>
            </w:r>
          </w:p>
          <w:p w14:paraId="2D88BC4B" w14:textId="20CFA41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L-ammonti tal-iskopertura ponderati għar-riskju ta’ kreditu u ta’ kreditu tal-kontroparti kif ikkalkolati skont it-Titolu II tal-Parti Tlieta tar-Regolament (UE) Nru 575/2013 tad-derivattivi u tal-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inklużi dawk li ma jidhrux fil-karta tal-bilanċ, jekk soġġetti għal ftehim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prodotti </w:t>
            </w:r>
            <w:r>
              <w:rPr>
                <w:rFonts w:ascii="Times New Roman" w:hAnsi="Times New Roman"/>
                <w:sz w:val="24"/>
              </w:rPr>
              <w:lastRenderedPageBreak/>
              <w:t>differenti kif definit fl-Artikolu 272(25) tar-Regolament (UE) Nru 575/2013</w:t>
            </w:r>
          </w:p>
        </w:tc>
      </w:tr>
      <w:tr w:rsidR="002A54FF" w:rsidRPr="00E75BB8" w14:paraId="6FAD68F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DA151D1" w14:textId="1DC2294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{0050;0010}</w:t>
            </w:r>
          </w:p>
        </w:tc>
        <w:tc>
          <w:tcPr>
            <w:tcW w:w="7406" w:type="dxa"/>
            <w:shd w:val="clear" w:color="auto" w:fill="FFFFFF"/>
          </w:tcPr>
          <w:p w14:paraId="37A53F91" w14:textId="1692A46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 mhux soġġetti għal ftehim ta’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bejn prodotti differenti – Valur tal-Iskopertura tal-Proporzjon tal-Ingranaġġ</w:t>
            </w:r>
          </w:p>
          <w:p w14:paraId="48BC0234" w14:textId="58D6669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tal-proporzjon tal-ingranaġġ tad-derivattivi jekk mhux soġġetti għal ftehim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prodotti differenti kif definit fl-Artikolu 272(25) tar-Regolament (UE) Nru 575/2013</w:t>
            </w:r>
          </w:p>
        </w:tc>
      </w:tr>
      <w:tr w:rsidR="002A54FF" w:rsidRPr="00E75BB8" w14:paraId="109BE50A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AA1CBE3" w14:textId="7C7D547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{0050;0020}</w:t>
            </w:r>
          </w:p>
        </w:tc>
        <w:tc>
          <w:tcPr>
            <w:tcW w:w="7406" w:type="dxa"/>
            <w:shd w:val="clear" w:color="auto" w:fill="FFFFFF"/>
          </w:tcPr>
          <w:p w14:paraId="128CF8E8" w14:textId="0277DB7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Derivattivi mhux soġġetti għal ftehim ta’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bejn prodotti differenti – RWEA</w:t>
            </w:r>
          </w:p>
          <w:p w14:paraId="328E1A83" w14:textId="58F42996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tal-iskopertura ponderati għar-riskju ta’ kreditu u ta’ kreditu tal-kontroparti ta’ derivattivi kif ikkalkolati skont it-Titolu II tal-Parti Tlieta tar-Regolament (UE) Nru 575/2013, inklużi dawk li ma jidhrux fil-karta tal-bilanċ, jekk ma jkunux soġġetti għal ftehim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prodotti differenti kif definit fl-Artikolu 272(25) tar-Regolament (UE) Nru 575/2013</w:t>
            </w:r>
          </w:p>
        </w:tc>
      </w:tr>
      <w:tr w:rsidR="002A54FF" w:rsidRPr="00E75BB8" w14:paraId="250886B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7AE751E" w14:textId="7CC2059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{0060;0010}</w:t>
            </w:r>
          </w:p>
        </w:tc>
        <w:tc>
          <w:tcPr>
            <w:tcW w:w="7406" w:type="dxa"/>
            <w:shd w:val="clear" w:color="auto" w:fill="FFFFFF"/>
          </w:tcPr>
          <w:p w14:paraId="62FDB809" w14:textId="5F25550B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soġġetti għal ftehim ta’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bejn prodotti differenti – Valur tal-Iskopertura tal-Proporzjon tal-Ingranaġġ</w:t>
            </w:r>
          </w:p>
          <w:p w14:paraId="621A4651" w14:textId="29EC337D" w:rsidR="000A486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tal-proporzjon tal-ingranaġġ ta’ skoperturi ta’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jekk mhux soġġetti għal ftehim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prodotti differenti kif definit fl-Artikolu 272(25) tar-Regolament (UE) Nru 575/2013</w:t>
            </w:r>
          </w:p>
        </w:tc>
      </w:tr>
      <w:tr w:rsidR="002A54FF" w:rsidRPr="00E75BB8" w14:paraId="02CE5A4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323F20A" w14:textId="5C57C5D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{0060;0020}</w:t>
            </w:r>
          </w:p>
        </w:tc>
        <w:tc>
          <w:tcPr>
            <w:tcW w:w="7406" w:type="dxa"/>
            <w:shd w:val="clear" w:color="auto" w:fill="FFFFFF"/>
          </w:tcPr>
          <w:p w14:paraId="25095D40" w14:textId="2E4D9B7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soġġetti għal ftehim ta’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bejn prodotti differenti – RWEA</w:t>
            </w:r>
          </w:p>
          <w:p w14:paraId="0358DACB" w14:textId="7C980E23" w:rsidR="002509B1" w:rsidRPr="000B66BC" w:rsidRDefault="00F4754B" w:rsidP="00F21A85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L-ammonti tal-iskopertura ponderati għar-riskju ta’ kreditu u ta’ kreditu tal-kontroparti ta’ </w:t>
            </w:r>
            <w:proofErr w:type="spellStart"/>
            <w:r>
              <w:rPr>
                <w:rFonts w:ascii="Times New Roman" w:hAnsi="Times New Roman"/>
                <w:sz w:val="24"/>
              </w:rPr>
              <w:t>SFTs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kif ikkalkolati skont it-Titolu II tal-Parti Tlieta tar-Regolament (UE) Nru 575/2013, inklużi dawk li ma jidhrux fil-karta tal-bilanċ, jekk ma jkunux soġġetti għal ftehim ta’ </w:t>
            </w:r>
            <w:proofErr w:type="spellStart"/>
            <w:r>
              <w:rPr>
                <w:rFonts w:ascii="Times New Roman" w:hAnsi="Times New Roman"/>
                <w:sz w:val="24"/>
              </w:rPr>
              <w:t>netting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bejn prodotti differenti kif definit fl-Artikolu 272(25) tar-Regolament (UE) Nru 575/2013</w:t>
            </w:r>
          </w:p>
        </w:tc>
      </w:tr>
      <w:tr w:rsidR="002A54FF" w:rsidRPr="00E75BB8" w14:paraId="53E747C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16A99BB" w14:textId="71684C56" w:rsidR="00465521" w:rsidRPr="000B66BC" w:rsidRDefault="0046552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{0065;0010}</w:t>
            </w:r>
          </w:p>
        </w:tc>
        <w:tc>
          <w:tcPr>
            <w:tcW w:w="7406" w:type="dxa"/>
            <w:shd w:val="clear" w:color="auto" w:fill="FFFFFF"/>
          </w:tcPr>
          <w:p w14:paraId="40B65940" w14:textId="26A29B28" w:rsidR="004968DF" w:rsidRPr="000B66BC" w:rsidRDefault="004968D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Ammonti ta’ skopertura li jirriżultaw mit-trattament addizzjonali għad-derivattivi ta’ kreditu – Valur tal-Iskopertura tal-Proporzjon tal-Ingranaġġ</w:t>
            </w:r>
          </w:p>
          <w:p w14:paraId="1E879EE4" w14:textId="70635271" w:rsidR="00EC2C14" w:rsidRPr="000B66BC" w:rsidRDefault="000D3973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iċ-ċellola għandha tkun daqs id-differenza bejn {LRCalc;0130;0010} u {LRCalc;0140;0010} bl-esklużjoni tal-iskoperturi intragrupp rispettivi (fuq bażi individwali) eżentati skont il-punt (c) tal-Artikolu 429a(1) tar-Regolament (UE) Nru 575/2013.</w:t>
            </w:r>
          </w:p>
        </w:tc>
      </w:tr>
      <w:tr w:rsidR="002A54FF" w:rsidRPr="00E75BB8" w14:paraId="07289AF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AB8700E" w14:textId="3A0BBEE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{0070;0010}</w:t>
            </w:r>
          </w:p>
        </w:tc>
        <w:tc>
          <w:tcPr>
            <w:tcW w:w="7406" w:type="dxa"/>
            <w:shd w:val="clear" w:color="auto" w:fill="FFFFFF"/>
          </w:tcPr>
          <w:p w14:paraId="330EEA74" w14:textId="3FC00B7E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Assi oħrajn li jappartjenu għall-portafoll tan-negozjar – Valur tal-Iskopertura tal-Proporzjon tal-Ingranaġġ</w:t>
            </w:r>
          </w:p>
          <w:p w14:paraId="1E037EEA" w14:textId="4585B1F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Il-valur tal-iskopertura tal-proporzjon tal-ingranaġġ tal-entrati rrapportati f’{LRCalc;0190;0010} bl-esklużjoni tal-entrati fil-portafoll mhux tan-negozjar</w:t>
            </w:r>
          </w:p>
        </w:tc>
      </w:tr>
      <w:tr w:rsidR="002A54FF" w:rsidRPr="00E75BB8" w14:paraId="5791503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BCDEC45" w14:textId="088A2CC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{0070;0020}</w:t>
            </w:r>
          </w:p>
        </w:tc>
        <w:tc>
          <w:tcPr>
            <w:tcW w:w="7406" w:type="dxa"/>
            <w:shd w:val="clear" w:color="auto" w:fill="FFFFFF"/>
          </w:tcPr>
          <w:p w14:paraId="6FF1BCA1" w14:textId="350A599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Assi oħrajn li jappartjenu għall-portafoll tan-negozjar – RWEA</w:t>
            </w:r>
          </w:p>
          <w:p w14:paraId="17C0B94C" w14:textId="2D5EB17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Rekwiżiti ta’ fondi proprji mmultiplikati bi 12.5 tal-entrati soġġetti għat-Titolu IV tal-Parti Tlieta tar-Regolament (UE) Nru 575/2013</w:t>
            </w:r>
          </w:p>
        </w:tc>
      </w:tr>
      <w:tr w:rsidR="002A54FF" w:rsidRPr="00E75BB8" w14:paraId="30AD697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CBED28C" w14:textId="1FF4044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{0080;0010}</w:t>
            </w:r>
          </w:p>
        </w:tc>
        <w:tc>
          <w:tcPr>
            <w:tcW w:w="7406" w:type="dxa"/>
            <w:shd w:val="clear" w:color="auto" w:fill="FFFFFF"/>
          </w:tcPr>
          <w:p w14:paraId="02FC2330" w14:textId="10761471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Bonds koperti – Valur tal-Iskopertura tal-Proporzjon tal-Ingranaġġ – Skoperturi SA</w:t>
            </w:r>
          </w:p>
          <w:p w14:paraId="7DABED3A" w14:textId="24CAD1D0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fil-forma ta’ bonds koperti bħal fl-Artikolu 129 tar-Regolament (UE) Nru 575/2013</w:t>
            </w:r>
          </w:p>
          <w:p w14:paraId="1426D45B" w14:textId="0DF44122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56ECC5B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7B311B6" w14:textId="2F59A0E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{0080;0020}</w:t>
            </w:r>
          </w:p>
        </w:tc>
        <w:tc>
          <w:tcPr>
            <w:tcW w:w="7406" w:type="dxa"/>
            <w:shd w:val="clear" w:color="auto" w:fill="FFFFFF"/>
          </w:tcPr>
          <w:p w14:paraId="7BBB17A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Bonds koperti – Valur tal-Iskopertura tal-Proporzjon tal-Ingranaġġ – Skoperturi IRB</w:t>
            </w:r>
          </w:p>
          <w:p w14:paraId="31EFC20D" w14:textId="13DFD927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fil-forma ta’ bonds koperti bħal fil-punt (d) tal-Artikolu 161(1) tar-Regolament (UE) Nru 575/2013</w:t>
            </w:r>
          </w:p>
          <w:p w14:paraId="69149D8B" w14:textId="5AF9D0AA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1CBCAE5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46A1715" w14:textId="2259578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{0080;0030}</w:t>
            </w:r>
          </w:p>
        </w:tc>
        <w:tc>
          <w:tcPr>
            <w:tcW w:w="7406" w:type="dxa"/>
            <w:shd w:val="clear" w:color="auto" w:fill="FFFFFF"/>
          </w:tcPr>
          <w:p w14:paraId="05046869" w14:textId="5880D72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Bonds koperti – RWEA – Skoperturi SA</w:t>
            </w:r>
          </w:p>
          <w:p w14:paraId="6C4B05A8" w14:textId="0D9A76AD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fil-forma ta’ bonds koperti bħal fl-Artikolu 129 tar-Regolament (UE) Nru 575/2013</w:t>
            </w:r>
          </w:p>
          <w:p w14:paraId="44B63283" w14:textId="34A33B6E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49349EC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D794F3F" w14:textId="2F016AE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{0080;0040}</w:t>
            </w:r>
          </w:p>
        </w:tc>
        <w:tc>
          <w:tcPr>
            <w:tcW w:w="7406" w:type="dxa"/>
            <w:shd w:val="clear" w:color="auto" w:fill="FFFFFF"/>
          </w:tcPr>
          <w:p w14:paraId="513DAEE1" w14:textId="752BA960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Bonds koperti – RWEA – Skoperturi IRB</w:t>
            </w:r>
          </w:p>
          <w:p w14:paraId="466ABC6A" w14:textId="79C7859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fil-forma ta’ bonds koperti bħal fil-punt (d) tal-Artikolu 161(1) tar-Regolament (UE) Nru 575/2013</w:t>
            </w:r>
          </w:p>
          <w:p w14:paraId="64310FB6" w14:textId="6BA49164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00C56CB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2BCBE3F" w14:textId="6D5D74E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{0090,0010}</w:t>
            </w:r>
          </w:p>
        </w:tc>
        <w:tc>
          <w:tcPr>
            <w:tcW w:w="7406" w:type="dxa"/>
            <w:shd w:val="clear" w:color="auto" w:fill="FFFFFF"/>
          </w:tcPr>
          <w:p w14:paraId="7C0C026C" w14:textId="236A8C03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ttrattati bħala sovrani – Valur tal-Iskopertura tal-Proporzjon tal-Ingranaġġ – Skoperturi SA</w:t>
            </w:r>
          </w:p>
          <w:p w14:paraId="0909B157" w14:textId="2673F018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Din għandha tkun is-somma taċ-ċelloli minn {0100,0010} sa {0130,0010}.</w:t>
            </w:r>
          </w:p>
          <w:p w14:paraId="144D9E7A" w14:textId="795F478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312BA98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0E94DE7" w14:textId="72315A8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{0090;0020}</w:t>
            </w:r>
          </w:p>
        </w:tc>
        <w:tc>
          <w:tcPr>
            <w:tcW w:w="7406" w:type="dxa"/>
            <w:shd w:val="clear" w:color="auto" w:fill="FFFFFF"/>
          </w:tcPr>
          <w:p w14:paraId="015E561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ttrattati bħala sovrani – Valur tal-Iskopertura tal-Proporzjon tal-Ingranaġġ – Skoperturi IRB</w:t>
            </w:r>
          </w:p>
          <w:p w14:paraId="361C00EC" w14:textId="191A9CA8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taċ-ċelloli minn {0100,0020} sa {0130,0020}.</w:t>
            </w:r>
          </w:p>
          <w:p w14:paraId="4CE96745" w14:textId="2CF889E3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0C1D337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3140D6A" w14:textId="181D4B9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{0090;0030}</w:t>
            </w:r>
          </w:p>
        </w:tc>
        <w:tc>
          <w:tcPr>
            <w:tcW w:w="7406" w:type="dxa"/>
            <w:shd w:val="clear" w:color="auto" w:fill="FFFFFF"/>
          </w:tcPr>
          <w:p w14:paraId="63538621" w14:textId="36E9198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ttrattati bħala sovrani – RWEA – Skoperturi SA</w:t>
            </w:r>
          </w:p>
          <w:p w14:paraId="2FE3A5A6" w14:textId="0A48A5C7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taċ-ċelloli minn {0100,0030} sa {0130,0030}.</w:t>
            </w:r>
          </w:p>
          <w:p w14:paraId="576656CF" w14:textId="7109E0FD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6675B4A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74B53A3" w14:textId="5AEDFC5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{0090;0040}</w:t>
            </w:r>
          </w:p>
        </w:tc>
        <w:tc>
          <w:tcPr>
            <w:tcW w:w="7406" w:type="dxa"/>
            <w:shd w:val="clear" w:color="auto" w:fill="FFFFFF"/>
          </w:tcPr>
          <w:p w14:paraId="7FD46908" w14:textId="76F6E52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ttrattati bħala sovrani – RWEA – Skoperturi IRB</w:t>
            </w:r>
          </w:p>
          <w:p w14:paraId="0EE39545" w14:textId="4A51FB5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taċ-ċelloli minn {0100,0040} sa {0130,0040}.</w:t>
            </w:r>
          </w:p>
          <w:p w14:paraId="21E4ED70" w14:textId="10D77DF8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7DDC06E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C9F879D" w14:textId="3D24C7C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{0100;0010}</w:t>
            </w:r>
          </w:p>
        </w:tc>
        <w:tc>
          <w:tcPr>
            <w:tcW w:w="7406" w:type="dxa"/>
            <w:shd w:val="clear" w:color="auto" w:fill="FFFFFF"/>
          </w:tcPr>
          <w:p w14:paraId="1F2266E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ċentrali u banek ċentrali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– Valur tal-Iskopertura tal-Proporzjon tal-Ingranaġġ – Skoperturi SA</w:t>
            </w:r>
          </w:p>
          <w:p w14:paraId="6613A997" w14:textId="765CDB47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gvernijiet ċentrali jew banek ċentrali bħal fl-Artikolu 114 tar-Regolament (UE) Nru 575/2013</w:t>
            </w:r>
          </w:p>
          <w:p w14:paraId="7F55138D" w14:textId="75576E6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0B4E656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D0291ED" w14:textId="3AD0608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{0100;0020}</w:t>
            </w:r>
          </w:p>
        </w:tc>
        <w:tc>
          <w:tcPr>
            <w:tcW w:w="7406" w:type="dxa"/>
            <w:shd w:val="clear" w:color="auto" w:fill="FFFFFF"/>
          </w:tcPr>
          <w:p w14:paraId="66A53D9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Gvernijiet ċentrali u banek ċentrali – Valur tal-Iskopertura tal-Proporzjon tal-Ingranaġġ – Skoperturi IRB</w:t>
            </w:r>
          </w:p>
          <w:p w14:paraId="517FD145" w14:textId="6355228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gvernijiet ċentrali jew banek ċentrali bħal fil-punt (a) tal-Artikolu 147(2) tar-Regolament (UE) Nru 575/2013</w:t>
            </w:r>
          </w:p>
          <w:p w14:paraId="0885AD1A" w14:textId="0035770A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73380BA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9953201" w14:textId="4A0778F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{0100;0030}</w:t>
            </w:r>
          </w:p>
        </w:tc>
        <w:tc>
          <w:tcPr>
            <w:tcW w:w="7406" w:type="dxa"/>
            <w:shd w:val="clear" w:color="auto" w:fill="FFFFFF"/>
          </w:tcPr>
          <w:p w14:paraId="26718359" w14:textId="1E245CA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ċentrali u banek ċentrali – RWEA – Skoperturi SA</w:t>
            </w:r>
          </w:p>
          <w:p w14:paraId="1057171E" w14:textId="5419CED6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tal-iskopertura ponderat għar-riskju ta’ assi li huma skoperturi SA għal gvernijiet ċentrali jew banek ċentrali bħal fl-Artikolu 114 tar-Regolament (UE) Nru 575/2013</w:t>
            </w:r>
          </w:p>
          <w:p w14:paraId="47506B7A" w14:textId="150E5BC3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4C79231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823C176" w14:textId="2320977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{0100;0040}</w:t>
            </w:r>
          </w:p>
        </w:tc>
        <w:tc>
          <w:tcPr>
            <w:tcW w:w="7406" w:type="dxa"/>
            <w:shd w:val="clear" w:color="auto" w:fill="FFFFFF"/>
          </w:tcPr>
          <w:p w14:paraId="1EC1A3E9" w14:textId="3460668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ċentrali u banek ċentrali – RWEA – Skoperturi IRB</w:t>
            </w:r>
          </w:p>
          <w:p w14:paraId="47A75B9C" w14:textId="7D20BA0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gvernijiet ċentrali jew banek ċentrali bħal fil-punt (a) tal-Artikolu 147(2) tar-Regolament (UE) Nru 575/2013</w:t>
            </w:r>
          </w:p>
          <w:p w14:paraId="58C303E4" w14:textId="75B02A12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7B8E285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E43D3FD" w14:textId="0F5E5E7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{0110;0010}</w:t>
            </w:r>
          </w:p>
        </w:tc>
        <w:tc>
          <w:tcPr>
            <w:tcW w:w="7406" w:type="dxa"/>
            <w:shd w:val="clear" w:color="auto" w:fill="FFFFFF"/>
          </w:tcPr>
          <w:p w14:paraId="0A9C6204" w14:textId="024ADD9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reġjonali u awtoritajiet lokali ttrattati bħala sovrani – Valur tal-Iskopertura tal-Proporzjon tal-Ingranaġġ – Skoperturi SA</w:t>
            </w:r>
          </w:p>
          <w:p w14:paraId="5294E5EC" w14:textId="6B8CEFDC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gvernijiet reġjonali u awtoritajiet lokali ttrattati bħala sovrani li jaqgħu taħt il-paragrafi (2) u (4) tal-Artikolu 115 tar-Regolament (UE) Nru 575/2013</w:t>
            </w:r>
          </w:p>
          <w:p w14:paraId="42456706" w14:textId="2E28EB9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1964D3A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7ADB526" w14:textId="2E03421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{0110;0020}</w:t>
            </w:r>
          </w:p>
        </w:tc>
        <w:tc>
          <w:tcPr>
            <w:tcW w:w="7406" w:type="dxa"/>
            <w:shd w:val="clear" w:color="auto" w:fill="FFFFFF"/>
          </w:tcPr>
          <w:p w14:paraId="7E0B20E2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reġjonali u awtoritajiet lokali ttrattati bħala sovrani – Valur tal-Iskopertura tal-Proporzjon tal-Ingranaġġ – Skoperturi IRB</w:t>
            </w:r>
          </w:p>
          <w:p w14:paraId="02346C27" w14:textId="18DAC4FC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gvernijiet reġjonali u awtoritajiet lokali li jaqgħu taħt il-punt (a) tal-Artikolu 147(3) tar-Regolament (UE) Nru 575/2013</w:t>
            </w:r>
          </w:p>
          <w:p w14:paraId="3496D48C" w14:textId="78A55785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2038F08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C19855D" w14:textId="4D9B42F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{0110;0030}</w:t>
            </w:r>
          </w:p>
        </w:tc>
        <w:tc>
          <w:tcPr>
            <w:tcW w:w="7406" w:type="dxa"/>
            <w:shd w:val="clear" w:color="auto" w:fill="FFFFFF"/>
          </w:tcPr>
          <w:p w14:paraId="0A1E21BF" w14:textId="5863EAF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reġjonali u awtoritajiet lokali ttrattati bħala sovrani – RWEA – Skoperturi SA</w:t>
            </w:r>
          </w:p>
          <w:p w14:paraId="38C283FD" w14:textId="1BC3A6FB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gvernijiet reġjonali u awtoritajiet lokali ttrattati bħala sovrani li jaqgħu taħt il-paragrafi (2) u (4) tal-Artikolu 115 tar-Regolament (UE) Nru 575/2013</w:t>
            </w:r>
          </w:p>
          <w:p w14:paraId="6D7AEF3D" w14:textId="0D5AC65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5BE41E6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370E83A" w14:textId="1FE6323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{0110;0040}</w:t>
            </w:r>
          </w:p>
        </w:tc>
        <w:tc>
          <w:tcPr>
            <w:tcW w:w="7406" w:type="dxa"/>
            <w:shd w:val="clear" w:color="auto" w:fill="FFFFFF"/>
          </w:tcPr>
          <w:p w14:paraId="0A1135F8" w14:textId="6E78745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reġjonali u awtoritajiet lokali ttrattati bħala sovrani – RWEA – Skoperturi IRB</w:t>
            </w:r>
          </w:p>
          <w:p w14:paraId="099D799F" w14:textId="3BE99DD6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tal-iskopertura ponderat għar-riskju ta’ assi li huma skoperturi IRB għal gvernijiet reġjonali u awtoritajiet lokali li jaqgħu taħt il-punt (a) tal-Artikolu 147(3) tar-Regolament (UE) Nru 575/2013</w:t>
            </w:r>
          </w:p>
          <w:p w14:paraId="77DFB307" w14:textId="152C7BA5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4E6380B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96E85C5" w14:textId="5E9760D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{0120;0010}</w:t>
            </w:r>
          </w:p>
        </w:tc>
        <w:tc>
          <w:tcPr>
            <w:tcW w:w="7406" w:type="dxa"/>
            <w:shd w:val="clear" w:color="auto" w:fill="FFFFFF"/>
          </w:tcPr>
          <w:p w14:paraId="4E16BD03" w14:textId="66901F1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u organizzazzjonijiet internazzjonali ttrattati bħala sovrani – Valur tal-Iskopertura tal-Proporzjon tal-Ingranaġġ – Skoperturi SA</w:t>
            </w:r>
          </w:p>
          <w:p w14:paraId="595E0D3B" w14:textId="0C58EC7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banek multilaterali tal-iżvilupp u organizzazzjonijiet internazzjonali li jaqgħu taħt l-Artikoli 117 (2) u 118 tar-Regolament (UE) Nru 575/2013</w:t>
            </w:r>
          </w:p>
          <w:p w14:paraId="4013B069" w14:textId="0EB1BFF4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2630225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A4EAF45" w14:textId="12E4FA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{0120;0020}</w:t>
            </w:r>
          </w:p>
        </w:tc>
        <w:tc>
          <w:tcPr>
            <w:tcW w:w="7406" w:type="dxa"/>
            <w:shd w:val="clear" w:color="auto" w:fill="FFFFFF"/>
          </w:tcPr>
          <w:p w14:paraId="76A1CB53" w14:textId="541DA8F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u organizzazzjonijiet internazzjonali ttrattati bħala sovrani – Valur tal-Iskopertura tal-Proporzjon tal-Ingranaġġ – Skoperturi IRB</w:t>
            </w:r>
          </w:p>
          <w:p w14:paraId="3802319A" w14:textId="4A7557C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banek multilaterali tal-iżvilupp u organizzazzjonijiet internazzjonali li jaqgħu taħt il-punt (b) u (c) tal-Artikolu 147(3) tar-Regolament (UE) Nru 575/2013</w:t>
            </w:r>
          </w:p>
          <w:p w14:paraId="4070105A" w14:textId="4FC040B2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3B2553E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FA22EB0" w14:textId="05DF8D9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{0120;0030}</w:t>
            </w:r>
          </w:p>
        </w:tc>
        <w:tc>
          <w:tcPr>
            <w:tcW w:w="7406" w:type="dxa"/>
            <w:shd w:val="clear" w:color="auto" w:fill="FFFFFF"/>
          </w:tcPr>
          <w:p w14:paraId="297278EC" w14:textId="1D7EC442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u organizzazzjonijiet internazzjonali ttrattati bħala sovrani – RWEA – Skoperturi SA</w:t>
            </w:r>
          </w:p>
          <w:p w14:paraId="37FB9B14" w14:textId="12B4EAAC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banek multilaterali tal-iżvilupp u organizzazzjonijiet internazzjonali li jaqgħu taħt l-Artikoli 117 (2) u 118 tar-Regolament (UE) Nru 575/2013</w:t>
            </w:r>
          </w:p>
          <w:p w14:paraId="21D9C9F4" w14:textId="49EA3C70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57DE532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210C2F3" w14:textId="0756556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{1020;0040}</w:t>
            </w:r>
          </w:p>
        </w:tc>
        <w:tc>
          <w:tcPr>
            <w:tcW w:w="7406" w:type="dxa"/>
            <w:shd w:val="clear" w:color="auto" w:fill="FFFFFF"/>
          </w:tcPr>
          <w:p w14:paraId="25AE3663" w14:textId="3A1D7E0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u organizzazzjonijiet internazzjonali ttrattati bħala sovrani – RWEA – Skoperturi IRB</w:t>
            </w:r>
          </w:p>
          <w:p w14:paraId="0A7C504F" w14:textId="419B949D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banek multilaterali tal-iżvilupp u organizzazzjonijiet internazzjonali li jaqgħu taħt il-punt (b) u (c) tal-Artikolu 147(3) tar-Regolament (UE) Nru 575/2013</w:t>
            </w:r>
          </w:p>
          <w:p w14:paraId="4B60B3CB" w14:textId="76329F3C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231E48A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729DCCA" w14:textId="1813ABC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{0130;0010}</w:t>
            </w:r>
          </w:p>
        </w:tc>
        <w:tc>
          <w:tcPr>
            <w:tcW w:w="7406" w:type="dxa"/>
            <w:shd w:val="clear" w:color="auto" w:fill="FFFFFF"/>
          </w:tcPr>
          <w:p w14:paraId="03377C61" w14:textId="0F13B636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ittrattati bħala sovrani – Valur tal-Iskopertura tal-Proporzjon tal-Ingranaġġ – Skoperturi SA</w:t>
            </w:r>
          </w:p>
          <w:p w14:paraId="7D8203A3" w14:textId="08A1137F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entitajiet tas-settur pubbliku li jaqgħu taħt l-Artikolu 116(4) tar-Regolament (UE) Nru 575/2013</w:t>
            </w:r>
          </w:p>
          <w:p w14:paraId="4AA47B62" w14:textId="393B657D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3CE3539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BD4FCC9" w14:textId="4A185F0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{0130;0020}</w:t>
            </w:r>
          </w:p>
        </w:tc>
        <w:tc>
          <w:tcPr>
            <w:tcW w:w="7406" w:type="dxa"/>
            <w:shd w:val="clear" w:color="auto" w:fill="FFFFFF"/>
          </w:tcPr>
          <w:p w14:paraId="3B63499B" w14:textId="36B14D4C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ittrattati bħala sovrani – Valur tal-Iskopertura tal-Proporzjon tal-Ingranaġġ – Skoperturi IRB</w:t>
            </w:r>
          </w:p>
          <w:p w14:paraId="6B0B91A7" w14:textId="2675950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tal-proporzjon tal-ingranaġġ ta’ assi li huma skoperturi IRB għal entitajiet tas-settur pubbliku li jaqgħu taħt il-punt (a) tal-Artikolu 147(3) tar-Regolament (UE) Nru 575/2013</w:t>
            </w:r>
          </w:p>
          <w:p w14:paraId="359554CF" w14:textId="52EF4F24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66BBD64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80B22F1" w14:textId="38F1137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{0130;0030}</w:t>
            </w:r>
          </w:p>
        </w:tc>
        <w:tc>
          <w:tcPr>
            <w:tcW w:w="7406" w:type="dxa"/>
            <w:shd w:val="clear" w:color="auto" w:fill="FFFFFF"/>
          </w:tcPr>
          <w:p w14:paraId="1DD3711A" w14:textId="41BC0A5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ittrattati bħala sovrani – RWEA – Skoperturi SA</w:t>
            </w:r>
          </w:p>
          <w:p w14:paraId="53A6C1B8" w14:textId="07E3EA1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entitajiet tas-settur pubbliku li jaqgħu taħt l-Artikolu 116(4) tar-Regolament (UE) Nru 575/2013</w:t>
            </w:r>
          </w:p>
          <w:p w14:paraId="432B1470" w14:textId="36FFD5BE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6BE8DD3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F17D6C7" w14:textId="60A1BB8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{0130;0040}</w:t>
            </w:r>
          </w:p>
        </w:tc>
        <w:tc>
          <w:tcPr>
            <w:tcW w:w="7406" w:type="dxa"/>
            <w:shd w:val="clear" w:color="auto" w:fill="FFFFFF"/>
          </w:tcPr>
          <w:p w14:paraId="60977598" w14:textId="37A519F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ittrattati bħala sovrani – RWEA – Skoperturi IRB</w:t>
            </w:r>
          </w:p>
          <w:p w14:paraId="0EAECD4A" w14:textId="4D9944EF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entitajiet tas-settur pubbliku li jaqgħu taħt il-punt (a) tal-Artikolu 147(3) tar-Regolament (UE) Nru 575/2013</w:t>
            </w:r>
          </w:p>
          <w:p w14:paraId="05B42B2C" w14:textId="7B404A8B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35BDD4D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F7AB96E" w14:textId="4B2E707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{0140;0010}</w:t>
            </w:r>
          </w:p>
        </w:tc>
        <w:tc>
          <w:tcPr>
            <w:tcW w:w="7406" w:type="dxa"/>
            <w:shd w:val="clear" w:color="auto" w:fill="FFFFFF"/>
          </w:tcPr>
          <w:p w14:paraId="68676BE2" w14:textId="6C78BF9D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Skoperturi għal gvernijiet reġjonali,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, organizzazzjonijiet internazzjonali 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ittrattati bħala sovrani – Valur tal-Iskopertura tal-Proporzjon tal-Ingranaġġ – Skoperturi SA</w:t>
            </w:r>
          </w:p>
          <w:p w14:paraId="16F7D104" w14:textId="442558D1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taċ-ċelloli minn {0150,0010} sa {0170,0010}.</w:t>
            </w:r>
          </w:p>
          <w:p w14:paraId="56668309" w14:textId="21D6A0F4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2401556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E9A7359" w14:textId="71A72E6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{0140;0020}</w:t>
            </w:r>
          </w:p>
        </w:tc>
        <w:tc>
          <w:tcPr>
            <w:tcW w:w="7406" w:type="dxa"/>
            <w:shd w:val="clear" w:color="auto" w:fill="FFFFFF"/>
          </w:tcPr>
          <w:p w14:paraId="16480F3A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Skoperturi għal gvernijiet reġjonali,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, organizzazzjonijiet internazzjonali u PSE mhux ittrattati bħala sovrani – Valur tal-Iskopertura tal-Proporzjon tal-Ingranaġġ – Skoperturi IRB</w:t>
            </w:r>
          </w:p>
          <w:p w14:paraId="01EFE154" w14:textId="3715624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Din għandha tkun is-somma taċ-ċelloli minn {0150,0020} sa {0170,0020}.</w:t>
            </w:r>
          </w:p>
          <w:p w14:paraId="4BA214B6" w14:textId="386C4F7E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32DCABE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236D8C3" w14:textId="2D8D1C9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{0140;0030}</w:t>
            </w:r>
          </w:p>
        </w:tc>
        <w:tc>
          <w:tcPr>
            <w:tcW w:w="7406" w:type="dxa"/>
            <w:shd w:val="clear" w:color="auto" w:fill="FFFFFF"/>
          </w:tcPr>
          <w:p w14:paraId="6D26AA72" w14:textId="198DF37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L-iskoperturi għal gvernijiet reġjonali,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, organizzazzjonijiet internazzjonali 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ittrattati bħala sovrani – RWEA – Skoperturi SA</w:t>
            </w:r>
          </w:p>
          <w:p w14:paraId="001A76CB" w14:textId="449CD518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taċ-ċelloli minn {0150,0030} sa {0170,0030}.</w:t>
            </w:r>
          </w:p>
          <w:p w14:paraId="0666DA98" w14:textId="42DCAEA8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19788CF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6BC83A9" w14:textId="067E360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{0140;0040}</w:t>
            </w:r>
          </w:p>
        </w:tc>
        <w:tc>
          <w:tcPr>
            <w:tcW w:w="7406" w:type="dxa"/>
            <w:shd w:val="clear" w:color="auto" w:fill="FFFFFF"/>
          </w:tcPr>
          <w:p w14:paraId="28502CF8" w14:textId="27254544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L-iskoperturi għal gvernijiet reġjonali,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, organizzazzjonijiet internazzjonali u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ittrattati bħala sovrani – RWEA – Skoperturi IRB</w:t>
            </w:r>
          </w:p>
          <w:p w14:paraId="26D9E4F6" w14:textId="3F28B51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taċ-ċelloli minn {0150,0040} sa {0170,0040}.</w:t>
            </w:r>
          </w:p>
          <w:p w14:paraId="6B0E2A45" w14:textId="73754F98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7FF2685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0C55306" w14:textId="22F0579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{0150;0010}</w:t>
            </w:r>
          </w:p>
        </w:tc>
        <w:tc>
          <w:tcPr>
            <w:tcW w:w="7406" w:type="dxa"/>
            <w:shd w:val="clear" w:color="auto" w:fill="FFFFFF"/>
          </w:tcPr>
          <w:p w14:paraId="6E882A95" w14:textId="42A5BAAA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reġjonali u awtoritajiet lokali mhux ittrattati bħala sovrani – Valur tal-Iskopertura tal-Proporzjon tal-Ingranaġġ – Skoperturi SA</w:t>
            </w:r>
          </w:p>
          <w:p w14:paraId="5997608A" w14:textId="0BF65BF8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gvernijiet reġjonali u awtoritajiet lokali mhux ittrattati bħala sovrani li jaqgħu taħt il-paragrafi (1), (3) u (5) tal-Artikolu 115 tar-Regolament (UE) Nru 575/2013</w:t>
            </w:r>
          </w:p>
          <w:p w14:paraId="2E409DCC" w14:textId="6CDA3B78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1422BA4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19A75AE" w14:textId="3BC5962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{0150;0020}</w:t>
            </w:r>
          </w:p>
        </w:tc>
        <w:tc>
          <w:tcPr>
            <w:tcW w:w="7406" w:type="dxa"/>
            <w:shd w:val="clear" w:color="auto" w:fill="FFFFFF"/>
          </w:tcPr>
          <w:p w14:paraId="6DA1492F" w14:textId="7777777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reġjonali u awtoritajiet lokali mhux ittrattati bħala sovrani – Valur tal-Iskopertura tal-Proporzjon tal-Ingranaġġ – Skoperturi IRB</w:t>
            </w:r>
          </w:p>
          <w:p w14:paraId="05330C07" w14:textId="0532F61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gvernijiet reġjonali u awtoritajiet lokali mhux ittrattati bħala sovrani li jaqgħu taħt il-punt (a) tal-Artikolu 147(4) tar-Regolament (UE) Nru 575/2013</w:t>
            </w:r>
          </w:p>
          <w:p w14:paraId="64866D79" w14:textId="278A91F6" w:rsidR="00F4754B" w:rsidRPr="000B66BC" w:rsidDel="00F559E6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in-nett tal-iskoperturi IRB inadempjenti. </w:t>
            </w:r>
          </w:p>
        </w:tc>
      </w:tr>
      <w:tr w:rsidR="002A54FF" w:rsidRPr="00E75BB8" w14:paraId="49B34BA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350671F" w14:textId="6CF3F1D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{0150;0030}</w:t>
            </w:r>
          </w:p>
        </w:tc>
        <w:tc>
          <w:tcPr>
            <w:tcW w:w="7406" w:type="dxa"/>
            <w:shd w:val="clear" w:color="auto" w:fill="FFFFFF"/>
          </w:tcPr>
          <w:p w14:paraId="0E90CE61" w14:textId="6590FBE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Gvernijiet reġjonali u awtoritajiet lokali mhux ittrattati bħala sovrani – RWEA – Skoperturi SA </w:t>
            </w:r>
          </w:p>
          <w:p w14:paraId="0C1281BF" w14:textId="0F177E4A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tal-iskopertura ponderat għar-riskju ta’ assi li huma skoperturi SA għal gvernijiet reġjonali u awtoritajiet lokali mhux ittrattati bħala </w:t>
            </w:r>
            <w:r>
              <w:rPr>
                <w:rFonts w:ascii="Times New Roman" w:hAnsi="Times New Roman"/>
                <w:sz w:val="24"/>
              </w:rPr>
              <w:lastRenderedPageBreak/>
              <w:t>sovrani li jaqgħu taħt il-paragrafi (1), (3) u (5) tal-Artikolu 115 tar-Regolament (UE) Nru 575/2013</w:t>
            </w:r>
          </w:p>
          <w:p w14:paraId="594F13B1" w14:textId="615E6282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218100D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E6979FD" w14:textId="4EA4998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{0150;0040}</w:t>
            </w:r>
          </w:p>
        </w:tc>
        <w:tc>
          <w:tcPr>
            <w:tcW w:w="7406" w:type="dxa"/>
            <w:shd w:val="clear" w:color="auto" w:fill="FFFFFF"/>
          </w:tcPr>
          <w:p w14:paraId="2F79CD95" w14:textId="1BA3728B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Gvernijiet reġjonali u awtoritajiet lokali mhux ittrattati bħala sovrani – RWEA – Skoperturi IRB</w:t>
            </w:r>
          </w:p>
          <w:p w14:paraId="51863919" w14:textId="13549DA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gvernijiet reġjonali u awtoritajiet lokali mhux ittrattati bħala sovrani li jaqgħu taħt il-punt (a) tal-Artikolu 147(4) tar-Regolament (UE) Nru 575/2013</w:t>
            </w:r>
          </w:p>
          <w:p w14:paraId="2CE67E1E" w14:textId="02F8044F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237E8E2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D0A1DEE" w14:textId="580C324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{0160;0010}</w:t>
            </w:r>
          </w:p>
        </w:tc>
        <w:tc>
          <w:tcPr>
            <w:tcW w:w="7406" w:type="dxa"/>
            <w:shd w:val="clear" w:color="auto" w:fill="FFFFFF"/>
          </w:tcPr>
          <w:p w14:paraId="382B2DE5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mhux</w:t>
            </w:r>
            <w:r>
              <w:rPr>
                <w:rFonts w:ascii="Times New Roman" w:hAnsi="Times New Roman"/>
                <w:b/>
                <w:sz w:val="24"/>
              </w:rPr>
              <w:t xml:space="preserve"> ittrattati bħala sovrani – Valur tal-Iskopertura tal-Proporzjon tal-Ingranaġġ – Skoperturi SA</w:t>
            </w:r>
          </w:p>
          <w:p w14:paraId="07928584" w14:textId="302FB43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banek multilaterali tal-iżvilupp li jaqgħu taħt il-paragrafi (1) u (3) tal-Artikolu 117 tar-Regolament (UE) Nru 575/2013</w:t>
            </w:r>
          </w:p>
          <w:p w14:paraId="01E4041D" w14:textId="00B0727A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62B19F9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9210C52" w14:textId="06EBFC7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{0160;0020}</w:t>
            </w:r>
          </w:p>
        </w:tc>
        <w:tc>
          <w:tcPr>
            <w:tcW w:w="7406" w:type="dxa"/>
            <w:shd w:val="clear" w:color="auto" w:fill="FFFFFF"/>
          </w:tcPr>
          <w:p w14:paraId="13E28A92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mhux</w:t>
            </w:r>
            <w:r>
              <w:rPr>
                <w:rFonts w:ascii="Times New Roman" w:hAnsi="Times New Roman"/>
                <w:b/>
                <w:sz w:val="24"/>
              </w:rPr>
              <w:t xml:space="preserve"> ittrattati bħala sovrani – Valur tal-Iskopertura tal-Proporzjon tal-Ingranaġġ – Skoperturi IRB</w:t>
            </w:r>
          </w:p>
          <w:p w14:paraId="6D2C0352" w14:textId="312107C2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banek multilaterali tal-iżvilupp mhux ittrattati bħala sovrani li jaqgħu taħt il-punt (c) tal-Artikolu 147(4) tar-Regolament (UE) Nru 575/2013</w:t>
            </w:r>
          </w:p>
          <w:p w14:paraId="74CFCB27" w14:textId="063441C0" w:rsidR="009C4E79" w:rsidRPr="000B66BC" w:rsidDel="009A4B38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3B7489D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3451B08" w14:textId="0717E11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{0160;0030}</w:t>
            </w:r>
          </w:p>
        </w:tc>
        <w:tc>
          <w:tcPr>
            <w:tcW w:w="7406" w:type="dxa"/>
            <w:shd w:val="clear" w:color="auto" w:fill="FFFFFF"/>
          </w:tcPr>
          <w:p w14:paraId="1D2AE94F" w14:textId="3A23504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ittrattati bħala sovrani – RWEA – Skoperturi SA</w:t>
            </w:r>
          </w:p>
          <w:p w14:paraId="4B127308" w14:textId="5B336149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banek multilaterali tal-iżvilupp li jaqgħu taħt il-paragrafi (1) u (3) tal-Artikolu 117 tar-Regolament (UE) Nru 575/2013</w:t>
            </w:r>
          </w:p>
          <w:p w14:paraId="6288F6E5" w14:textId="481F4915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44D6EB6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0D96829" w14:textId="555FD61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{0160;0040}</w:t>
            </w:r>
          </w:p>
        </w:tc>
        <w:tc>
          <w:tcPr>
            <w:tcW w:w="7406" w:type="dxa"/>
            <w:shd w:val="clear" w:color="auto" w:fill="FFFFFF"/>
          </w:tcPr>
          <w:p w14:paraId="00619AFE" w14:textId="73438BF5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MDBs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ittrattati bħala sovrani – RWEA – Skoperturi IRB</w:t>
            </w:r>
          </w:p>
          <w:p w14:paraId="466ECD88" w14:textId="5D28161E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tal-iskopertura ponderat għar-riskju ta’ assi li huma skoperturi IRB għal banek multilaterali tal-iżvilupp mhux ittrattati bħala sovrani li </w:t>
            </w:r>
            <w:r>
              <w:rPr>
                <w:rFonts w:ascii="Times New Roman" w:hAnsi="Times New Roman"/>
                <w:sz w:val="24"/>
              </w:rPr>
              <w:lastRenderedPageBreak/>
              <w:t>jaqgħu taħt il-punt (c) tal-Artikolu 147(4) tar-Regolament (UE) Nru 575/2013</w:t>
            </w:r>
          </w:p>
          <w:p w14:paraId="72DDDF92" w14:textId="6FAD844E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533E38A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412E3DC" w14:textId="71F1E57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{0170;0010}</w:t>
            </w:r>
          </w:p>
        </w:tc>
        <w:tc>
          <w:tcPr>
            <w:tcW w:w="7406" w:type="dxa"/>
            <w:shd w:val="clear" w:color="auto" w:fill="FFFFFF"/>
          </w:tcPr>
          <w:p w14:paraId="63BC1CED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ittrattati bħala sovrani – Valur tal-Iskopertura tal-Proporzjon tal-Ingranaġġ – Skoperturi SA</w:t>
            </w:r>
          </w:p>
          <w:p w14:paraId="3FF6AAF1" w14:textId="65E56C9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entitajiet tas-settur pubbliku li jaqgħu taħt il-paragrafi (1), (2), (3) u (5) tal-Artikolu 116 tar-Regolament (UE) Nru 575/2013</w:t>
            </w:r>
          </w:p>
          <w:p w14:paraId="7DF5A169" w14:textId="79FB274E" w:rsidR="000A486B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3A5C331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510FE52" w14:textId="0733B66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{0170;0020}</w:t>
            </w:r>
          </w:p>
        </w:tc>
        <w:tc>
          <w:tcPr>
            <w:tcW w:w="7406" w:type="dxa"/>
            <w:shd w:val="clear" w:color="auto" w:fill="FFFFFF"/>
          </w:tcPr>
          <w:p w14:paraId="426AE44C" w14:textId="331FC92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ittrattati bħala sovrani – Valur tal-Iskopertura tal-Proporzjon tal-Ingranaġġ – Skoperturi IRB</w:t>
            </w:r>
          </w:p>
          <w:p w14:paraId="19C4FD72" w14:textId="2D84BC9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entitajiet tas-settur pubbliku mhux ittrattati bħala sovrani li jaqgħu taħt il-punt (b) tal-Artikolu 147(4) tar-Regolament (UE) Nru 575/2013</w:t>
            </w:r>
          </w:p>
          <w:p w14:paraId="21D9C4B6" w14:textId="738536C0" w:rsidR="009C4E79" w:rsidRPr="000B66BC" w:rsidDel="00973F19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1BE427F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E1FC872" w14:textId="1CF85BB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{0170;0030}</w:t>
            </w:r>
          </w:p>
        </w:tc>
        <w:tc>
          <w:tcPr>
            <w:tcW w:w="7406" w:type="dxa"/>
            <w:shd w:val="clear" w:color="auto" w:fill="FFFFFF"/>
          </w:tcPr>
          <w:p w14:paraId="2459C33D" w14:textId="7EE3423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ittrattati bħala sovrani – RWEA – Skoperturi SA</w:t>
            </w:r>
          </w:p>
          <w:p w14:paraId="7ED0D977" w14:textId="5842F85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entitajiet tas-settur pubbliku li jaqgħu taħt il-paragrafi (1), (2), (3) u (5) tal-Artikolu 116 tar-Regolament (UE) Nru 575/2013</w:t>
            </w:r>
          </w:p>
          <w:p w14:paraId="2E4EB0DF" w14:textId="03959371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6C878C4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ADDF71D" w14:textId="4FD509A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{0170;0040}</w:t>
            </w:r>
          </w:p>
        </w:tc>
        <w:tc>
          <w:tcPr>
            <w:tcW w:w="7406" w:type="dxa"/>
            <w:shd w:val="clear" w:color="auto" w:fill="FFFFFF"/>
          </w:tcPr>
          <w:p w14:paraId="505DD8D8" w14:textId="3ADF109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PSEs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mhux ittrattati bħala sovrani – RWEA – Skoperturi IRB</w:t>
            </w:r>
          </w:p>
          <w:p w14:paraId="3B167735" w14:textId="1C3E108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entitajiet tas-settur pubbliku mhux ittrattati bħala sovrani li jaqgħu taħt il-punt (b) tal-Artikolu 147(4) tar-Regolament (UE) Nru 575/2013</w:t>
            </w:r>
          </w:p>
          <w:p w14:paraId="786F9A83" w14:textId="4738A295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4C6FA86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71E316D" w14:textId="22F0A69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{0180;0010}</w:t>
            </w:r>
          </w:p>
        </w:tc>
        <w:tc>
          <w:tcPr>
            <w:tcW w:w="7406" w:type="dxa"/>
            <w:shd w:val="clear" w:color="auto" w:fill="FFFFFF"/>
          </w:tcPr>
          <w:p w14:paraId="4C5AF924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Istituzzjonijiet – Valur tal-Iskopertura tal-Proporzjon tal-Ingranaġġ – Skoperturi SA</w:t>
            </w:r>
          </w:p>
          <w:p w14:paraId="285DE0DE" w14:textId="140BD1C0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Il-valur tal-iskopertura tal-proporzjon tal-ingranaġġ ta’ assi li huma skoperturi SA għal istituzzjonijiet li jaqgħu taħt l-Artikoli 119 sa 121 tar-Regolament (UE) Nru 575/2013</w:t>
            </w:r>
          </w:p>
          <w:p w14:paraId="718668CE" w14:textId="4B228AF6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7F4516F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29BBA0D" w14:textId="3387B1D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{0180;0020}</w:t>
            </w:r>
          </w:p>
        </w:tc>
        <w:tc>
          <w:tcPr>
            <w:tcW w:w="7406" w:type="dxa"/>
            <w:shd w:val="clear" w:color="auto" w:fill="FFFFFF"/>
          </w:tcPr>
          <w:p w14:paraId="5B3D67A0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Istituzzjonijiet – Valur tal-Iskopertura tal-Proporzjon tal-Ingranaġġ – Skoperturi IRB</w:t>
            </w:r>
          </w:p>
          <w:p w14:paraId="50027CF2" w14:textId="5920E641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istituzzjonijiet li jaqgħu taħt il-punt (b) tal-Artikolu 147(2) tar-Regolament (UE) Nru 575/2013 u li mhumiex skoperturi fil-forma ta’ bonds koperti skont il-punt (d) tal-Artikolu 161(1) tar-Regolament (UE) Nru 575/2013 u li ma jaqgħux taħt il-punt (c) tal-Artikolu 147(4) tar-Regolament (UE) Nru 575/2013</w:t>
            </w:r>
          </w:p>
          <w:p w14:paraId="74D3DFFE" w14:textId="50B07F0A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63DBCD4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8901B11" w14:textId="0DF0567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{0180;0030}</w:t>
            </w:r>
          </w:p>
        </w:tc>
        <w:tc>
          <w:tcPr>
            <w:tcW w:w="7406" w:type="dxa"/>
            <w:shd w:val="clear" w:color="auto" w:fill="FFFFFF"/>
          </w:tcPr>
          <w:p w14:paraId="6B6B1A57" w14:textId="58330F9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Istituzzjonijiet – RWEA – Skoperturi SA</w:t>
            </w:r>
          </w:p>
          <w:p w14:paraId="7CE29C3B" w14:textId="5E2E21C8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istituzzjonijiet li jaqgħu taħt l-Artikoli 119 sa 121 tar-Regolament (UE) Nru 575/2013</w:t>
            </w:r>
          </w:p>
          <w:p w14:paraId="6FA68F7E" w14:textId="7949A67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1EFD30DA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25E39D1" w14:textId="03E4A4D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{0180;0040}</w:t>
            </w:r>
          </w:p>
        </w:tc>
        <w:tc>
          <w:tcPr>
            <w:tcW w:w="7406" w:type="dxa"/>
            <w:shd w:val="clear" w:color="auto" w:fill="FFFFFF"/>
          </w:tcPr>
          <w:p w14:paraId="73DCBC6C" w14:textId="7593C5D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Istituzzjonijiet – RWEA – Skoperturi IRB</w:t>
            </w:r>
          </w:p>
          <w:p w14:paraId="5E814575" w14:textId="18C95566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istituzzjonijiet li jaqgħu taħt il-punt (b) tal-Artikolu 147(2) tar-Regolament (UE) Nru 575/2013 u li mhumiex skoperturi fil-forma ta’ bonds koperti skont il-punt (d) tal-Artikolu 161(1) tar-Regolament (UE) Nru 575/2013 u li ma jaqgħux taħt il-punt (c) tal-Artikolu 147(4) tar-Regolament (UE) Nru 575/2013</w:t>
            </w:r>
          </w:p>
          <w:p w14:paraId="1830B0D9" w14:textId="127A9738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3B7F5DF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247E1A0" w14:textId="091D4A6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{0190;0010}</w:t>
            </w:r>
          </w:p>
        </w:tc>
        <w:tc>
          <w:tcPr>
            <w:tcW w:w="7406" w:type="dxa"/>
            <w:shd w:val="clear" w:color="auto" w:fill="FFFFFF"/>
          </w:tcPr>
          <w:p w14:paraId="1DB57456" w14:textId="01AD74E9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Iggarantiti b’ipoteki fuq proprjetajiet immobbli u skoperturi ADC — Valur tal-Iskopertura tal-Proporzjon tal-Ingranaġġ — Skoperturi SA</w:t>
            </w:r>
          </w:p>
          <w:p w14:paraId="17D67F5E" w14:textId="7EDDE2D9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ggarantiti b’ipoteki fuq proprjetà immobbli u skoperturi ADC li jaqgħu taħt l-Artikolu 124 u 126a tar-Regolament (UE) Nru 575/2013</w:t>
            </w:r>
          </w:p>
          <w:p w14:paraId="4640B57D" w14:textId="7B28B7DF" w:rsidR="000A486B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jirrapportaw in-nett tal-iskoperturi SA inadempjenti.</w:t>
            </w:r>
          </w:p>
        </w:tc>
      </w:tr>
      <w:tr w:rsidR="002A54FF" w:rsidRPr="00E75BB8" w14:paraId="56FBD00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044B99B" w14:textId="7BA570D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{0190;0020}</w:t>
            </w:r>
          </w:p>
        </w:tc>
        <w:tc>
          <w:tcPr>
            <w:tcW w:w="7406" w:type="dxa"/>
            <w:shd w:val="clear" w:color="auto" w:fill="FFFFFF"/>
          </w:tcPr>
          <w:p w14:paraId="65802FBC" w14:textId="3578B74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Iggarantiti b’ipoteki fuq proprjetajiet immobbli u skoperturi ADC — Valur tal-Iskopertura tal-Proporzjon tal-Ingranaġġ — Skoperturi IRB</w:t>
            </w:r>
          </w:p>
          <w:p w14:paraId="61A2701B" w14:textId="449442F8" w:rsidR="001E1518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tal-proporzjon tal-ingranaġġ ta’ assi li huma skoperturi IRB għal korporattivi skont il-punt (c) tal-Artikolu 147(2) jew skoperturi fil-livell tal-konsumatur skont il-punt (d) </w:t>
            </w:r>
            <w:proofErr w:type="spellStart"/>
            <w:r>
              <w:rPr>
                <w:rFonts w:ascii="Times New Roman" w:hAnsi="Times New Roman"/>
                <w:sz w:val="24"/>
              </w:rPr>
              <w:t>tas-subpunt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tal-Artikolu 147(2) tar-Regolament (UE) Nru 575/2013 jekk dawn l-iskoperturi jkunu ggarantiti b’ipoteki fuq proprjetà immobbli u skoperturi ADC f’konformità mal-punt (a) tal-Artikolu 199(1) tar-Regolament (UE) Nru 575/2013)</w:t>
            </w:r>
          </w:p>
          <w:p w14:paraId="1A4EAAD1" w14:textId="25F5CC11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502C4EF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5681D38" w14:textId="06E026C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{0190;0030}</w:t>
            </w:r>
          </w:p>
        </w:tc>
        <w:tc>
          <w:tcPr>
            <w:tcW w:w="7406" w:type="dxa"/>
            <w:shd w:val="clear" w:color="auto" w:fill="FFFFFF"/>
          </w:tcPr>
          <w:p w14:paraId="660D9FEE" w14:textId="6E11FD18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Iggarantiti b’ipoteki fuq proprjetajiet immobbli u skoperturi ADC — RWEA — Skoperturi SA</w:t>
            </w:r>
          </w:p>
          <w:p w14:paraId="7FD54199" w14:textId="06D9ED87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ggarantiti b’ipoteki fuq proprjetà immobbli u skoperturi ADC li jaqgħu taħt l-Artikolu 124 u 126a tar-Regolament (UE) Nru 575/2013</w:t>
            </w:r>
          </w:p>
          <w:p w14:paraId="19AB0004" w14:textId="5017684F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523C1CD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EDDB4A4" w14:textId="1F5C859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{0190;0040}</w:t>
            </w:r>
          </w:p>
        </w:tc>
        <w:tc>
          <w:tcPr>
            <w:tcW w:w="7406" w:type="dxa"/>
            <w:shd w:val="clear" w:color="auto" w:fill="FFFFFF"/>
          </w:tcPr>
          <w:p w14:paraId="2A67D4CA" w14:textId="3E88AF47" w:rsidR="00F4754B" w:rsidRPr="000B66BC" w:rsidRDefault="00F4754B" w:rsidP="000B66BC">
            <w:pPr>
              <w:pStyle w:val="BodyText1"/>
              <w:tabs>
                <w:tab w:val="left" w:pos="6382"/>
              </w:tabs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Iggarantiti b’ipoteki fuq proprjetajiet immobbli u skoperturi ADC — RWEA — Skoperturi IRB</w:t>
            </w:r>
            <w:r>
              <w:tab/>
            </w:r>
          </w:p>
          <w:p w14:paraId="7586DF94" w14:textId="718ACA78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L-ammont tal-iskopertura ponderat għar-riskju ta’ assi li huma skoperturi IRB għal korporattivi skont il-punt (c) tal-Artikolu 147(2) jew skoperturi fil-livell tal-konsumatur skont il-punt (d) </w:t>
            </w:r>
            <w:proofErr w:type="spellStart"/>
            <w:r>
              <w:rPr>
                <w:rFonts w:ascii="Times New Roman" w:hAnsi="Times New Roman"/>
                <w:sz w:val="24"/>
              </w:rPr>
              <w:t>tas-subpunt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tal-Artikolu 147(2) tar-Regolament (UE) Nru 575/2013 jekk dawn l-iskoperturi jkunu ggarantiti b’ipoteki fuq proprjetà immobbli f’konformità mal-punt (a) tal-Artikolu 199(1) tar-Regolament (UE) Nru 575/2013) L-istituzzjonijiet għandhom jirrapportaw b’mod nett mill-iskoperturi IRB inadempjenti.</w:t>
            </w:r>
          </w:p>
        </w:tc>
      </w:tr>
      <w:tr w:rsidR="002A54FF" w:rsidRPr="00E75BB8" w14:paraId="79F6725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72A2EB4" w14:textId="70F516D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{0200;0010}</w:t>
            </w:r>
          </w:p>
        </w:tc>
        <w:tc>
          <w:tcPr>
            <w:tcW w:w="7406" w:type="dxa"/>
            <w:shd w:val="clear" w:color="auto" w:fill="FFFFFF"/>
          </w:tcPr>
          <w:p w14:paraId="584E92BF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Iggarantiti b’ipoteki fuq proprjetajiet residenzjali – Valur tal-Iskopertura tal-Proporzjon tal-Ingranaġġ – Skoperturi SA</w:t>
            </w:r>
          </w:p>
          <w:p w14:paraId="6D68CB80" w14:textId="74864D02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totalment u kompletament iggarantiti b’ipoteki fuq proprjetà residenzjali li jaqgħu taħt l-Artikolu 125 tar-Regolament (UE) Nru 575/2013</w:t>
            </w:r>
          </w:p>
          <w:p w14:paraId="76AD85E4" w14:textId="268C492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29B9499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E8E4168" w14:textId="098FD08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{0200;0020}</w:t>
            </w:r>
          </w:p>
        </w:tc>
        <w:tc>
          <w:tcPr>
            <w:tcW w:w="7406" w:type="dxa"/>
            <w:shd w:val="clear" w:color="auto" w:fill="FFFFFF"/>
          </w:tcPr>
          <w:p w14:paraId="32703B14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Iggarantiti b’ipoteki fuq proprjetajiet residenzjali – Valur tal-Iskopertura tal-Proporzjon tal-Ingranaġġ – Skoperturi IRB</w:t>
            </w:r>
          </w:p>
          <w:p w14:paraId="225F5A50" w14:textId="002E067D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tal-proporzjon tal-ingranaġġ ta’ assi li huma skoperturi IRB għal korporattivi skont il-punt (c) tal-Artikolu 147(2) jew skoperturi fil-livell tal-konsumatur skont il-punt (d) </w:t>
            </w:r>
            <w:proofErr w:type="spellStart"/>
            <w:r>
              <w:rPr>
                <w:rFonts w:ascii="Times New Roman" w:hAnsi="Times New Roman"/>
                <w:sz w:val="24"/>
              </w:rPr>
              <w:t>tas-subpunt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tal-Artikolu 147(2) tar-Regolament (UE) Nru 575/2013 jekk dawn l-iskoperturi jkunu ggarantiti b’ipoteki fuq proprjetà immobbli u skoperturi ADC f’konformità mal-punt (a) tal-Artikolu 199(1) tar-Regolament (UE) Nru 575/2013)</w:t>
            </w:r>
          </w:p>
          <w:p w14:paraId="3F187E7D" w14:textId="2026D8AC" w:rsidR="004B064A" w:rsidRPr="000B66BC" w:rsidDel="003A59D6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14374F6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4481671" w14:textId="4931896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{0200;0030}</w:t>
            </w:r>
          </w:p>
        </w:tc>
        <w:tc>
          <w:tcPr>
            <w:tcW w:w="7406" w:type="dxa"/>
            <w:shd w:val="clear" w:color="auto" w:fill="FFFFFF"/>
          </w:tcPr>
          <w:p w14:paraId="1C91D3EE" w14:textId="0C703C50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Iggarantiti b’ipoteki fuq proprjetajiet residenzjali – RWEA – Skoperturi SA</w:t>
            </w:r>
          </w:p>
          <w:p w14:paraId="2432C156" w14:textId="00BB8CEE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totalment u kompletament iggarantiti b’ipoteki fuq proprjetà residenzjali li jaqgħu taħt l-Artikolu 125 tar-Regolament (UE) Nru 575/2013</w:t>
            </w:r>
          </w:p>
          <w:p w14:paraId="26D9FFCE" w14:textId="4577953E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0D3A4E3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8ED62BB" w14:textId="034112B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{0200;0040}</w:t>
            </w:r>
          </w:p>
        </w:tc>
        <w:tc>
          <w:tcPr>
            <w:tcW w:w="7406" w:type="dxa"/>
            <w:shd w:val="clear" w:color="auto" w:fill="FFFFFF"/>
          </w:tcPr>
          <w:p w14:paraId="35F16AA3" w14:textId="7277D856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Iggarantiti b’ipoteki fuq proprjetajiet residenzjali – RWEA – Skoperturi IRB</w:t>
            </w:r>
          </w:p>
          <w:p w14:paraId="17020383" w14:textId="27BD45C5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tal-iskopertura ponderat għar-riskju ta’ assi li huma skoperturi IRB għal korporattivi skont il-punt (c) tal-Artikolu 147(2) jew skoperturi fil-livell tal-konsumatur skont il-punt (d) </w:t>
            </w:r>
            <w:proofErr w:type="spellStart"/>
            <w:r>
              <w:rPr>
                <w:rFonts w:ascii="Times New Roman" w:hAnsi="Times New Roman"/>
                <w:sz w:val="24"/>
              </w:rPr>
              <w:t>tas-subpunt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ii</w:t>
            </w:r>
            <w:proofErr w:type="spellEnd"/>
            <w:r>
              <w:rPr>
                <w:rFonts w:ascii="Times New Roman" w:hAnsi="Times New Roman"/>
                <w:sz w:val="24"/>
              </w:rPr>
              <w:t>) tal-Artikolu 147(2) tar-Regolament (UE) Nru 575/2013 jekk dawn l-iskoperturi jkunu ggarantiti b’ipoteki fuq proprjetà immobbli u skoperturi ADC f’konformità mal-punt (a) tal-Artikolu 199(1) tar-Regolament (UE) Nru 575/2013)</w:t>
            </w:r>
          </w:p>
          <w:p w14:paraId="434D72CF" w14:textId="69DE627D" w:rsidR="004250C0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18D713C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0D72D62" w14:textId="3E23070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{0210;0010}</w:t>
            </w:r>
          </w:p>
        </w:tc>
        <w:tc>
          <w:tcPr>
            <w:tcW w:w="7406" w:type="dxa"/>
            <w:shd w:val="clear" w:color="auto" w:fill="FFFFFF"/>
          </w:tcPr>
          <w:p w14:paraId="29F4D22F" w14:textId="0AFB67CF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fil-livell tal-konsumatur – Valur tal-Iskopertura tal-Proporzjon tal-Ingranaġġ – Skoperturi SA</w:t>
            </w:r>
          </w:p>
          <w:p w14:paraId="1C50F3CF" w14:textId="232A5189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fil-livell tal-konsumatur li jaqgħu taħt l-Artikolu 123 tar-Regolament (UE) Nru 575/2013</w:t>
            </w:r>
          </w:p>
          <w:p w14:paraId="467BDCEC" w14:textId="6EA2353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29E5C48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E1E0B5E" w14:textId="70EE57D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{0210;0020}</w:t>
            </w:r>
          </w:p>
        </w:tc>
        <w:tc>
          <w:tcPr>
            <w:tcW w:w="7406" w:type="dxa"/>
            <w:shd w:val="clear" w:color="auto" w:fill="FFFFFF"/>
          </w:tcPr>
          <w:p w14:paraId="31A6BB5D" w14:textId="22D5A816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fil-livell tal-konsumatur – Valur tal-Iskopertura tal-Proporzjon tal-Ingranaġġ – Skoperturi IRB</w:t>
            </w:r>
          </w:p>
          <w:p w14:paraId="2F48B2D6" w14:textId="33692B94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Il-valur tal-iskopertura tal-proporzjon tal-ingranaġġ ta’ assi li huma skoperturi IRB fil-livell tal-konsumatur skont </w:t>
            </w:r>
            <w:proofErr w:type="spellStart"/>
            <w:r>
              <w:rPr>
                <w:rFonts w:ascii="Times New Roman" w:hAnsi="Times New Roman"/>
                <w:sz w:val="24"/>
              </w:rPr>
              <w:t>is-subpunti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(i), (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>) u (iv) tal-punt (d) tal-Artikolu 147(2) tar-Regolament (UE) Nru 575/2013 jekk dawn l-iskoperturi ma jkunux iggarantiti b’ipoteki fuq proprjetà immobbli f’konformità mal-punt (a) tal-Artikolu 199(1) tar-Regolament (UE) Nru 575/2013</w:t>
            </w:r>
          </w:p>
          <w:p w14:paraId="3E24EEB1" w14:textId="56A3B7C1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2494CE4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EB17324" w14:textId="4693281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{0210;0030}</w:t>
            </w:r>
          </w:p>
        </w:tc>
        <w:tc>
          <w:tcPr>
            <w:tcW w:w="7406" w:type="dxa"/>
            <w:shd w:val="clear" w:color="auto" w:fill="FFFFFF"/>
          </w:tcPr>
          <w:p w14:paraId="289B0ED6" w14:textId="3F634A7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fil-livell tal-konsumatur – RWEA – Skoperturi SA</w:t>
            </w:r>
          </w:p>
          <w:p w14:paraId="078B0D1B" w14:textId="64B99A17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fil-livell tal-konsumatur li jaqgħu taħt l-Artikolu 123 tar-Regolament (UE) Nru 575/2013</w:t>
            </w:r>
          </w:p>
          <w:p w14:paraId="32C0AC0A" w14:textId="1D4C9F4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076433D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BBA610A" w14:textId="7E09D9E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{0210;0040}</w:t>
            </w:r>
          </w:p>
        </w:tc>
        <w:tc>
          <w:tcPr>
            <w:tcW w:w="7406" w:type="dxa"/>
            <w:shd w:val="clear" w:color="auto" w:fill="FFFFFF"/>
          </w:tcPr>
          <w:p w14:paraId="3829C860" w14:textId="1B4CBE3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fil-livell tal-konsumatur – RWEA – Skoperturi IRB</w:t>
            </w:r>
          </w:p>
          <w:p w14:paraId="270C61EF" w14:textId="63E1319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tal-iskopertura ponderat għar-riskju ta’ assi li huma skoperturi IRB fil-livell tal-konsumatur skont </w:t>
            </w:r>
            <w:proofErr w:type="spellStart"/>
            <w:r>
              <w:rPr>
                <w:rFonts w:ascii="Times New Roman" w:hAnsi="Times New Roman"/>
                <w:sz w:val="24"/>
              </w:rPr>
              <w:t>is-subpunti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(i), (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>) u (iv) tal-punt (d) tal-Artikolu 147(2) tar-Regolament (UE) Nru 575/2013 jekk dawn l-iskoperturi ma jkunux iggarantiti b’ipoteki fuq proprjetà immobbli f’konformità mal-punt (a) tal-Artikolu 199(1) tar-Regolament (UE) Nru 575/2013</w:t>
            </w:r>
          </w:p>
          <w:p w14:paraId="46460615" w14:textId="10D30752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0AAA69A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A257B46" w14:textId="42862C0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{0220;0010}</w:t>
            </w:r>
          </w:p>
        </w:tc>
        <w:tc>
          <w:tcPr>
            <w:tcW w:w="7406" w:type="dxa"/>
            <w:shd w:val="clear" w:color="auto" w:fill="FFFFFF"/>
          </w:tcPr>
          <w:p w14:paraId="7AF700CC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li minnhom: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SMEs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fil-livell tal-konsumatur – Valur tal-Iskopertura tal-Proporzjon tal-Ingranaġġ – Skoperturi SA</w:t>
            </w:r>
          </w:p>
          <w:p w14:paraId="30054418" w14:textId="51396120" w:rsidR="00BB532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fil-livell tal-konsumatur għal intrapriżi żgħar u ta’ daqs medju li jaqgħu taħt l-Artikolu 123 tar-Regolament (UE) Nru 575/2013</w:t>
            </w:r>
          </w:p>
          <w:p w14:paraId="55120FDB" w14:textId="214FE397" w:rsidR="004B653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ta’ din iċ-ċellola, l-istituzzjonijiet għandhom jużaw it-terminu “intrapriża żgħira u medja” kif definit fil-punt (b) tal-Artikolu 501(2) tar-Regolament (UE) Nru 575/2013.</w:t>
            </w:r>
          </w:p>
          <w:p w14:paraId="4231C6F4" w14:textId="7E0CACE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7C0D951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6A37ABD" w14:textId="2C88404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{0220;0020}</w:t>
            </w:r>
          </w:p>
        </w:tc>
        <w:tc>
          <w:tcPr>
            <w:tcW w:w="7406" w:type="dxa"/>
            <w:shd w:val="clear" w:color="auto" w:fill="FFFFFF"/>
          </w:tcPr>
          <w:p w14:paraId="08A88D6A" w14:textId="77777777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li minnhom: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SMEs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fil-livell tal-konsumatur – Valur tal-Iskopertura tal-Proporzjon tal-Ingranaġġ – Skoperturi IRB</w:t>
            </w:r>
          </w:p>
          <w:p w14:paraId="781E0C73" w14:textId="533752F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tal-proporzjon tal-ingranaġġ ta’ assi li huma skoperturi IRB fil-livell tal-konsumatur skont </w:t>
            </w:r>
            <w:proofErr w:type="spellStart"/>
            <w:r>
              <w:rPr>
                <w:rFonts w:ascii="Times New Roman" w:hAnsi="Times New Roman"/>
                <w:sz w:val="24"/>
              </w:rPr>
              <w:t>is-subpunti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(i), (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) u (iv) tal-punt (d) tal-Artikolu 147(2) tar-Regolament (UE) Nru 575/2013 jekk dawn </w:t>
            </w:r>
            <w:r>
              <w:rPr>
                <w:rFonts w:ascii="Times New Roman" w:hAnsi="Times New Roman"/>
                <w:sz w:val="24"/>
              </w:rPr>
              <w:lastRenderedPageBreak/>
              <w:t>l-iskoperturi jkunu skoperturi għal intrapriżi żgħar u medji u ma jkunux iggarantiti b’ipoteki fuq proprjetà immobbli f’konformità mal-punt (a) tal-Artikolu 199(1) tar-Regolament (UE) Nru 575/2013</w:t>
            </w:r>
          </w:p>
          <w:p w14:paraId="33D07FA1" w14:textId="0C76B163" w:rsidR="004B653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ta’ din iċ-ċellola, l-istituzzjonijiet għandhom jużaw it-terminu “intrapriża żgħira u medja” kif definit fil-punt (b) tal-Artikolu 501(2) tar-Regolament (UE) Nru 575/2013.</w:t>
            </w:r>
          </w:p>
          <w:p w14:paraId="04884D64" w14:textId="407FECC5" w:rsidR="002509B1" w:rsidRPr="000B66BC" w:rsidDel="00EC6E42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7A8F06D1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01DBA86" w14:textId="0C22B55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{0220;0030}</w:t>
            </w:r>
          </w:p>
        </w:tc>
        <w:tc>
          <w:tcPr>
            <w:tcW w:w="7406" w:type="dxa"/>
            <w:shd w:val="clear" w:color="auto" w:fill="FFFFFF"/>
          </w:tcPr>
          <w:p w14:paraId="54B8F22A" w14:textId="1D4B13D9" w:rsidR="002509B1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li minnhom: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SMEs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fil-livell tal-konsumatur – RWEA – Skoperturi SA</w:t>
            </w:r>
          </w:p>
          <w:p w14:paraId="6A3FD743" w14:textId="06AB1830" w:rsidR="00BB532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fil-livell tal-konsumatur għal intrapriżi żgħar u medji li jaqgħu taħt l-Artikolu 123 tar-Regolament (UE) Nru 575/2013</w:t>
            </w:r>
          </w:p>
          <w:p w14:paraId="550AD4D7" w14:textId="6CCB9C03" w:rsidR="00086A8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ta’ din iċ-ċellola, l-istituzzjonijiet għandhom jużaw it-terminu “intrapriża żgħira u medja” kif definit fil-punt (b) tal-Artikolu 501(2) tar-Regolament (UE) Nru 575/2013.</w:t>
            </w:r>
          </w:p>
          <w:p w14:paraId="1B6B32F8" w14:textId="14F01D19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0291C49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C057F01" w14:textId="210C1BD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{0220;0040}</w:t>
            </w:r>
          </w:p>
        </w:tc>
        <w:tc>
          <w:tcPr>
            <w:tcW w:w="7406" w:type="dxa"/>
            <w:shd w:val="clear" w:color="auto" w:fill="FFFFFF"/>
          </w:tcPr>
          <w:p w14:paraId="59E62599" w14:textId="6893B06F" w:rsidR="00F4754B" w:rsidRPr="000B66BC" w:rsidRDefault="00920DD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SME fil-livell tal-konsumatur – RWEA – Skoperturi IRB</w:t>
            </w:r>
          </w:p>
          <w:p w14:paraId="4092922E" w14:textId="4FF18F2A" w:rsidR="00BB532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tal-iskopertura ponderat għar-riskju ta’ assi li huma skoperturi IRB fil-livell tal-konsumatur skont </w:t>
            </w:r>
            <w:proofErr w:type="spellStart"/>
            <w:r>
              <w:rPr>
                <w:rFonts w:ascii="Times New Roman" w:hAnsi="Times New Roman"/>
                <w:sz w:val="24"/>
              </w:rPr>
              <w:t>is-subpunti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(i), (</w:t>
            </w:r>
            <w:proofErr w:type="spellStart"/>
            <w:r>
              <w:rPr>
                <w:rFonts w:ascii="Times New Roman" w:hAnsi="Times New Roman"/>
                <w:sz w:val="24"/>
              </w:rPr>
              <w:t>iii</w:t>
            </w:r>
            <w:proofErr w:type="spellEnd"/>
            <w:r>
              <w:rPr>
                <w:rFonts w:ascii="Times New Roman" w:hAnsi="Times New Roman"/>
                <w:sz w:val="24"/>
              </w:rPr>
              <w:t>) u (iv) tal-punt (d) tal-Artikolu 147(2) tar-Regolament (UE) Nru 575/2013 jekk dawn l-iskoperturi jkunu skoperturi għal intrapriżi żgħar u medji u ma jkunux iggarantiti b’ipoteki fuq proprjetà immobbli f’konformità mal-punt (a) tal-Artikolu 199(1) tar-Regolament (UE) Nru 575/2013</w:t>
            </w:r>
          </w:p>
          <w:p w14:paraId="51FEC3D4" w14:textId="010E27FC" w:rsidR="004B653A" w:rsidRPr="000B66BC" w:rsidRDefault="004B653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ta’ din iċ-ċellola, l-istituzzjonijiet għandhom jużaw it-terminu “intrapriża żgħira u medja” kif definit fil-punt (b) tal-Artikolu 501(2) tar-Regolament (UE) Nru 575/2013.</w:t>
            </w:r>
          </w:p>
          <w:p w14:paraId="15449195" w14:textId="06E7A313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22E0911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D2EB46F" w14:textId="6C0287C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{0230;0010}</w:t>
            </w:r>
          </w:p>
        </w:tc>
        <w:tc>
          <w:tcPr>
            <w:tcW w:w="7406" w:type="dxa"/>
            <w:shd w:val="clear" w:color="auto" w:fill="FFFFFF"/>
          </w:tcPr>
          <w:p w14:paraId="73CCE449" w14:textId="775C5A7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Korporattivi – Valur tal-Iskopertura tal-Proporzjon tal-Ingranaġġ – Skoperturi SA</w:t>
            </w:r>
          </w:p>
          <w:p w14:paraId="4918C822" w14:textId="3B8F07B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{0240,0010} u {0250,0010}.</w:t>
            </w:r>
          </w:p>
          <w:p w14:paraId="0E0CFA07" w14:textId="6CB7CDAF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12DD0BF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C2C1D0B" w14:textId="454CE52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{0230;0020}</w:t>
            </w:r>
          </w:p>
        </w:tc>
        <w:tc>
          <w:tcPr>
            <w:tcW w:w="7406" w:type="dxa"/>
            <w:shd w:val="clear" w:color="auto" w:fill="FFFFFF"/>
          </w:tcPr>
          <w:p w14:paraId="6362ED1C" w14:textId="48ECB6BB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Korporattivi – Valur tal-Iskopertura tal-Proporzjon tal-Ingranaġġ – Skoperturi IRB</w:t>
            </w:r>
          </w:p>
          <w:p w14:paraId="3219ACC2" w14:textId="4FF4B098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Din għandha tkun is-somma ta’ {0240,0020} u {0250,0020}.</w:t>
            </w:r>
          </w:p>
          <w:p w14:paraId="4E2F97BD" w14:textId="057F742F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1AA657C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522036A" w14:textId="1BC453B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{0230;0030}</w:t>
            </w:r>
          </w:p>
        </w:tc>
        <w:tc>
          <w:tcPr>
            <w:tcW w:w="7406" w:type="dxa"/>
            <w:shd w:val="clear" w:color="auto" w:fill="FFFFFF"/>
          </w:tcPr>
          <w:p w14:paraId="44E9C1D0" w14:textId="47E5782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Korporattivi – RWEA – Skoperturi SA</w:t>
            </w:r>
          </w:p>
          <w:p w14:paraId="327E6857" w14:textId="7197BBC3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{0240,0030} u {0250,0030}.</w:t>
            </w:r>
          </w:p>
          <w:p w14:paraId="730ED24A" w14:textId="291AC1EA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0C1B471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A82EAC6" w14:textId="7CFA6BC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{0230;0040}</w:t>
            </w:r>
          </w:p>
        </w:tc>
        <w:tc>
          <w:tcPr>
            <w:tcW w:w="7406" w:type="dxa"/>
            <w:shd w:val="clear" w:color="auto" w:fill="FFFFFF"/>
          </w:tcPr>
          <w:p w14:paraId="0B759A94" w14:textId="0A1DE6F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Korporattivi– RWEA – Skoperturi IRB</w:t>
            </w:r>
          </w:p>
          <w:p w14:paraId="1D494120" w14:textId="6A9832C6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{0240,0040} u {0250,0040}.</w:t>
            </w:r>
          </w:p>
          <w:p w14:paraId="1F4A9AA4" w14:textId="53069870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5D9FF2D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D822794" w14:textId="69E077E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{0240;0010}</w:t>
            </w:r>
          </w:p>
        </w:tc>
        <w:tc>
          <w:tcPr>
            <w:tcW w:w="7406" w:type="dxa"/>
            <w:shd w:val="clear" w:color="auto" w:fill="FFFFFF"/>
          </w:tcPr>
          <w:p w14:paraId="6E90DECA" w14:textId="3F12F294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Finanzjarji – Valur tal-Iskopertura tal-Proporzjon tal-Ingranaġġ – Skoperturi SA</w:t>
            </w:r>
          </w:p>
          <w:p w14:paraId="7CAB4F9A" w14:textId="1720AD57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korporattivi finanzjarji li jaqgħu taħt l-Artikolu 122 tar-Regolament (UE) Nru 575/2013</w:t>
            </w:r>
          </w:p>
          <w:p w14:paraId="48ACEE9F" w14:textId="5BA69E53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tar-rapportar fl-LR4, il-korporazzjonijiet finanzjarji għandhom ifissru impriżi regolati u mhux regolati minbarra l-istituzzjonijiet imsemmijin f’{0180;0010}, li l-attività ewlenija tagħhom hija li jakkwistaw parteċipazzjonijiet jew li jwettqu attività waħda jew iktar minn fost dawk imniżżlin fl-Anness I għad-Direttiva 2013/36/UE, kif ukoll l-impriżi kif definiti fil-punt (27) tal-Artikolu 4(1) tar-Regolament (UE) Nru 575/2013 minbarra l-istituzzjonijiet imsemmijin f’{0180;0010}. </w:t>
            </w:r>
          </w:p>
          <w:p w14:paraId="34C751F5" w14:textId="603A8953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3897B4F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C338C26" w14:textId="03E777A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{0240;0020}</w:t>
            </w:r>
          </w:p>
        </w:tc>
        <w:tc>
          <w:tcPr>
            <w:tcW w:w="7406" w:type="dxa"/>
            <w:shd w:val="clear" w:color="auto" w:fill="FFFFFF"/>
          </w:tcPr>
          <w:p w14:paraId="4094858A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Finanzjarji – Valur tal-Iskopertura tal-Proporzjon tal-Ingranaġġ – Skoperturi IRB</w:t>
            </w:r>
          </w:p>
          <w:p w14:paraId="058EB000" w14:textId="0F13A073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korporattivi finanzjarji skont il-punt (c) tal-Artikolu 147(2) tar-Regolament (UE) Nru 575/2013 jekk dawn l-iskoperturi ma jkunux iggarantiti b’ipoteki fuq proprjetà immobbli f’konformità mal-punt (a) tal-Artikolu 199(1) tar-Regolament (UE) Nru 575/2013</w:t>
            </w:r>
          </w:p>
          <w:p w14:paraId="07B8C8CE" w14:textId="7EFF169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tar-rapportar fl-LR4, il-korporazzjonijiet finanzjarji għandhom ifissru impriżi regolati u mhux regolati minbarra l-istituzzjonijiet imsemmijin f’{0180;0010}, li l-attività ewlenija tagħhom hija li jakkwistaw parteċipazzjonijiet jew li jwettqu attività waħda jew iktar minn fost dawk imniżżlin fl-Anness I għad-Direttiva 2013/36/UE, kif ukoll l-impriżi kif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definiti fil-punt (27) tal-Artikolu 4(1) tar-Regolament (UE) Nru 575/2013 minbarra l-istituzzjonijiet imsemmijin f’{0180;0010}. </w:t>
            </w:r>
          </w:p>
          <w:p w14:paraId="51655C6D" w14:textId="31474CF4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7E381EE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F071D43" w14:textId="5D1456F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{0240;0030}</w:t>
            </w:r>
          </w:p>
        </w:tc>
        <w:tc>
          <w:tcPr>
            <w:tcW w:w="7406" w:type="dxa"/>
            <w:shd w:val="clear" w:color="auto" w:fill="FFFFFF"/>
          </w:tcPr>
          <w:p w14:paraId="3EFA5487" w14:textId="705A466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Finanzjarji – RWEA – Skoperturi SA</w:t>
            </w:r>
          </w:p>
          <w:p w14:paraId="08FF6980" w14:textId="1B12B59D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korporattivi finanzjarji li jaqgħu taħt l-Artikolu 122 tar-Regolament (UE) Nru 575/2013</w:t>
            </w:r>
          </w:p>
          <w:p w14:paraId="4DE325F6" w14:textId="37CE0D32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tar-rapportar fl-LR4, il-korporazzjonijiet finanzjarji għandhom ifissru impriżi regolati u mhux regolati minbarra l-istituzzjonijiet imsemmijin f’{0180;0010}, li l-attività ewlenija tagħhom hija li jakkwistaw parteċipazzjonijiet jew li jwettqu attività waħda jew iktar minn fost dawk imniżżlin fl-Anness I għad-Direttiva 2013/36/UE, kif ukoll l-impriżi kif definiti fil-punt (27) tal-Artikolu 4(1) tar-Regolament (UE) Nru 575/2013 minbarra l-istituzzjonijiet imsemmijin f’{0180;0010}. </w:t>
            </w:r>
          </w:p>
          <w:p w14:paraId="6B38D45F" w14:textId="591397C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7E13A8B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A07187A" w14:textId="59A5E64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{0240;0040}</w:t>
            </w:r>
          </w:p>
        </w:tc>
        <w:tc>
          <w:tcPr>
            <w:tcW w:w="7406" w:type="dxa"/>
            <w:shd w:val="clear" w:color="auto" w:fill="FFFFFF"/>
          </w:tcPr>
          <w:p w14:paraId="0D42EAF2" w14:textId="4C7FF3C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Finanzjarji – RWEA – Skoperturi IRB</w:t>
            </w:r>
          </w:p>
          <w:p w14:paraId="2E63CDE0" w14:textId="17E55BEE" w:rsidR="008A5C87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korporattivi finanzjarji skont il-punt (c) tal-Artikolu 147(2) tar-Regolament (UE) Nru 575/2013 jekk dawn l-iskoperturi ma jkunux iggarantiti b’ipoteki fuq proprjetà immobbli f’konformità mal-punt (a) tal-Artikolu 199(1) tar-Regolament (UE) Nru 575/2013</w:t>
            </w:r>
          </w:p>
          <w:p w14:paraId="717CB3D1" w14:textId="55046D16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tar-rapportar fl-LR4, il-korporazzjonijiet finanzjarji għandhom ifissru impriżi regolati u mhux regolati minbarra l-istituzzjonijiet imsemmijin f’{0180;0010}, li l-attività ewlenija tagħhom hija li jakkwistaw parteċipazzjonijiet jew li jwettqu attività waħda jew iktar minn fost dawk imniżżlin fl-Anness I għad-Direttiva 2013/36/UE, kif ukoll l-impriżi kif definiti fil-punt (27) tal-Artikolu 4(1) tar-Regolament (UE) Nru 575/2013 minbarra l-istituzzjonijiet imsemmijin f’{0180;0010}.</w:t>
            </w:r>
          </w:p>
          <w:p w14:paraId="46CE9414" w14:textId="0957AC2F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1D9775D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33C726F" w14:textId="47DF85C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{0250;0010}</w:t>
            </w:r>
          </w:p>
        </w:tc>
        <w:tc>
          <w:tcPr>
            <w:tcW w:w="7406" w:type="dxa"/>
            <w:shd w:val="clear" w:color="auto" w:fill="FFFFFF"/>
          </w:tcPr>
          <w:p w14:paraId="50FEF333" w14:textId="081F5C0C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Mhux finanzjarji – Valur tal-Iskopertura tal-Proporzjon tal-Ingranaġġ – Skoperturi SA</w:t>
            </w:r>
          </w:p>
          <w:p w14:paraId="79750DB3" w14:textId="25D9C49A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korporattivi mhux finanzjarji li jaqgħu taħt l-Artikolu 122 tar-Regolament (UE) Nru 575/2013</w:t>
            </w:r>
          </w:p>
          <w:p w14:paraId="1A9B7F32" w14:textId="42798EB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{0260,0010} u {0270,0010}.</w:t>
            </w:r>
          </w:p>
          <w:p w14:paraId="69CDF75C" w14:textId="4C652EE4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jirrapportaw in-nett tal-iskoperturi SA inadempjenti.</w:t>
            </w:r>
          </w:p>
        </w:tc>
      </w:tr>
      <w:tr w:rsidR="002A54FF" w:rsidRPr="00E75BB8" w14:paraId="4729124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6917946" w14:textId="5C76670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{0250;0020}</w:t>
            </w:r>
          </w:p>
        </w:tc>
        <w:tc>
          <w:tcPr>
            <w:tcW w:w="7406" w:type="dxa"/>
            <w:shd w:val="clear" w:color="auto" w:fill="FFFFFF"/>
          </w:tcPr>
          <w:p w14:paraId="25E6520A" w14:textId="3CB20ED1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Mhux finanzjarji – Valur tal-Iskopertura tal-Proporzjon tal-Ingranaġġ – Skoperturi IRB</w:t>
            </w:r>
          </w:p>
          <w:p w14:paraId="1615C090" w14:textId="04C77CB2" w:rsidR="00BE6AC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korporattivi mhux finanzjarji skont il-punt (c) tal-Artikolu 147(2) tar-Regolament (UE) Nru 575/2013 jekk dawn l-iskoperturi ma jkunux iggarantiti b’ipoteki fuq proprjetà immobbli f’konformità mal-punt (a) tal-Artikolu 199(1) tar-Regolament (UE) Nru 575/2013</w:t>
            </w:r>
          </w:p>
          <w:p w14:paraId="5B891D71" w14:textId="425CD8A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{0260,0020} u {0270,0020}.</w:t>
            </w:r>
          </w:p>
          <w:p w14:paraId="4A94BD25" w14:textId="7EF0446C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1569EBB2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DAE0AFA" w14:textId="313B4AD3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{0250;0030}</w:t>
            </w:r>
          </w:p>
        </w:tc>
        <w:tc>
          <w:tcPr>
            <w:tcW w:w="7406" w:type="dxa"/>
            <w:shd w:val="clear" w:color="auto" w:fill="FFFFFF"/>
          </w:tcPr>
          <w:p w14:paraId="68E7D79C" w14:textId="33D6CD05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Mhux finanzjarji – RWEA – Skoperturi SA</w:t>
            </w:r>
          </w:p>
          <w:p w14:paraId="49E48609" w14:textId="74077D5F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korporattivi mhux finanzjarji li jaqgħu taħt l-Artikolu 122 tar-Regolament (UE) Nru 575/2013</w:t>
            </w:r>
          </w:p>
          <w:p w14:paraId="11F55E3D" w14:textId="2D4C4F8A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{0260,0030} u {0270,0030}.</w:t>
            </w:r>
          </w:p>
          <w:p w14:paraId="153E6308" w14:textId="63943BB8" w:rsidR="002509B1" w:rsidRPr="000B66BC" w:rsidDel="00504CFF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727F0C0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1B83D193" w14:textId="5070868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{0250;0040}</w:t>
            </w:r>
          </w:p>
        </w:tc>
        <w:tc>
          <w:tcPr>
            <w:tcW w:w="7406" w:type="dxa"/>
            <w:shd w:val="clear" w:color="auto" w:fill="FFFFFF"/>
          </w:tcPr>
          <w:p w14:paraId="2B0BB9F0" w14:textId="041EA5D1" w:rsidR="00F4754B" w:rsidRPr="000B66BC" w:rsidRDefault="00CD1DA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Mhux finanzjarji – RWEA – Skoperturi IRB</w:t>
            </w:r>
          </w:p>
          <w:p w14:paraId="4DD9CC03" w14:textId="609E2BFE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korporattivi mhux finanzjarji skont il-punt (c) tal-Artikolu 147(2) tar-Regolament (UE) Nru 575/2013 jekk dawn l-iskoperturi ma jkunux iggarantiti b’ipoteki fuq proprjetà immobbli f’konformità mal-punt (a) tal-Artikolu 199(1) tar-Regolament (UE) Nru 575/2013</w:t>
            </w:r>
          </w:p>
          <w:p w14:paraId="072F6C8B" w14:textId="7E5B0C7D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Din għandha tkun is-somma ta’ {0260,0040} u {0270,0040}.</w:t>
            </w:r>
          </w:p>
          <w:p w14:paraId="2B36DB12" w14:textId="48954611" w:rsidR="002509B1" w:rsidRPr="000B66BC" w:rsidDel="00504CFF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49E5887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EFCE46D" w14:textId="4434901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{0260;0010}</w:t>
            </w:r>
          </w:p>
        </w:tc>
        <w:tc>
          <w:tcPr>
            <w:tcW w:w="7406" w:type="dxa"/>
            <w:shd w:val="clear" w:color="auto" w:fill="FFFFFF"/>
          </w:tcPr>
          <w:p w14:paraId="16D3DD87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għall-SMEs – Valur tal-Iskopertura tal-Proporzjon tal-Ingranaġġ – Skoperturi SA</w:t>
            </w:r>
          </w:p>
          <w:p w14:paraId="1237A324" w14:textId="2F0A86F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korporattivi fil-forma ta’ intrapriżi żgħar u medji li jaqgħu taħt l-Artikolu 122 tar-Regolament (UE) Nru 575/2013</w:t>
            </w:r>
          </w:p>
          <w:p w14:paraId="5E29251B" w14:textId="41E792F5" w:rsidR="00086A8A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Għall-finijiet ta’ din iċ-ċellola, l-istituzzjonijiet għandhom jużaw it-terminu “intrapriża żgħira u medja” kif definit fil-punt (b) tal-Artikolu 501(2) tar-Regolament (UE) Nru 575/2013.</w:t>
            </w:r>
          </w:p>
          <w:p w14:paraId="5FAEA464" w14:textId="7B77BBC5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13131DF5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5B0110D" w14:textId="74C0B69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{0260;0020}</w:t>
            </w:r>
          </w:p>
        </w:tc>
        <w:tc>
          <w:tcPr>
            <w:tcW w:w="7406" w:type="dxa"/>
            <w:shd w:val="clear" w:color="auto" w:fill="FFFFFF"/>
          </w:tcPr>
          <w:p w14:paraId="4E8AC377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għall-SMEs – Valur tal-Iskopertura tal-Proporzjon tal-Ingranaġġ – Skoperturi IRB</w:t>
            </w:r>
          </w:p>
          <w:p w14:paraId="16526905" w14:textId="7BC27B48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korporattivi skont il-punt (c) tal-Artikolu 147(2) tar-Regolament (UE) Nru 575/2013 jekk dawn l-iskoperturi jkunu skoperturi għal intrapriżi żgħar u medji u ma jkunux iggarantiti b’ipoteki fuq proprjetà immobbli f’konformità mal-punt (a) tal-Artikolu 199(1) tar-Regolament (UE) Nru 575/2013</w:t>
            </w:r>
          </w:p>
          <w:p w14:paraId="729394D8" w14:textId="6F0084BF" w:rsidR="002509B1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Għall-finijiet ta’ din iċ-ċellola, l-istituzzjonijiet għandhom jużaw it-terminu “intrapriża żgħira u medja” kif definit fil-punt (b) tal-Artikolu 501(2) tar-Regolament (UE) Nru 575/2013.</w:t>
            </w:r>
          </w:p>
          <w:p w14:paraId="542463BD" w14:textId="165C2619" w:rsidR="009C4E79" w:rsidRPr="000B66BC" w:rsidDel="00504CFF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50044CA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F7100BE" w14:textId="2ACB4AD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{0260;0030}</w:t>
            </w:r>
          </w:p>
        </w:tc>
        <w:tc>
          <w:tcPr>
            <w:tcW w:w="7406" w:type="dxa"/>
            <w:shd w:val="clear" w:color="auto" w:fill="FFFFFF"/>
          </w:tcPr>
          <w:p w14:paraId="0D365078" w14:textId="540263EE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għall-SMEs – RWEA – Skoperturi SA</w:t>
            </w:r>
          </w:p>
          <w:p w14:paraId="47967B81" w14:textId="01F17C84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korporattivi fil-forma ta’ intrapriżi żgħar u medji li jaqgħu taħt l-Artikolu 122 tar-Regolament (UE) Nru 575/2013</w:t>
            </w:r>
          </w:p>
          <w:p w14:paraId="4E35047C" w14:textId="28428170" w:rsidR="00086A8A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ta’ din iċ-ċellola, l-istituzzjonijiet għandhom jużaw it-terminu “intrapriża żgħira u medja” kif definit fil-punt (b) tal-Artikolu 501(2) tar-Regolament (UE) Nru 575/2013.</w:t>
            </w:r>
          </w:p>
          <w:p w14:paraId="2B25463D" w14:textId="56CC7FBB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3DB0057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FFE83BB" w14:textId="4650F9FB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{0260;0040}</w:t>
            </w:r>
          </w:p>
        </w:tc>
        <w:tc>
          <w:tcPr>
            <w:tcW w:w="7406" w:type="dxa"/>
            <w:shd w:val="clear" w:color="auto" w:fill="FFFFFF"/>
          </w:tcPr>
          <w:p w14:paraId="72107293" w14:textId="2B92F95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għall-SMEs – RWEA – Skoperturi IRB</w:t>
            </w:r>
          </w:p>
          <w:p w14:paraId="61D071ED" w14:textId="4B1E17FE" w:rsidR="00FA71D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korporattivi skont il-punt (c) tal-Artikolu 147(2) tar-Regolament (UE) Nru 575/2013 jekk dawn l-iskoperturi jkunu skoperturi għal intrapriżi żgħar u medji u ma jkunux iggarantiti b’ipoteki fuq proprjetà immobbli f’konformità mal-punt (a) tal-Artikolu 199(1) tar-Regolament (UE) Nru 575/2013</w:t>
            </w:r>
          </w:p>
          <w:p w14:paraId="14AF8756" w14:textId="5C8B38D3" w:rsidR="004F39F5" w:rsidRPr="000B66BC" w:rsidRDefault="004F39F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ta’ din iċ-ċellola, l-istituzzjonijiet għandhom jużaw it-terminu “intrapriża żgħira u medja” kif definit fil-punt (b) tal-Artikolu 501(2) tar-Regolament (UE) Nru 575/2013.</w:t>
            </w:r>
          </w:p>
          <w:p w14:paraId="0EF08F24" w14:textId="18E4DC92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jirrapportaw in-nett tal-iskoperturi IRB inadempjenti.</w:t>
            </w:r>
          </w:p>
        </w:tc>
      </w:tr>
      <w:tr w:rsidR="002A54FF" w:rsidRPr="00E75BB8" w14:paraId="447B232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4CF42BC" w14:textId="0762963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{0270;0010}</w:t>
            </w:r>
          </w:p>
        </w:tc>
        <w:tc>
          <w:tcPr>
            <w:tcW w:w="7406" w:type="dxa"/>
            <w:shd w:val="clear" w:color="auto" w:fill="FFFFFF"/>
          </w:tcPr>
          <w:p w14:paraId="368904F3" w14:textId="1EEE993E" w:rsidR="002509B1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minbarra skoperturi għall-SMEs – Valur tal-Iskopertura tal-Proporzjon tal-Ingranaġġ – Skoperturi SA</w:t>
            </w:r>
          </w:p>
          <w:p w14:paraId="41FBC40B" w14:textId="640FD06A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korporattivi li jaqgħu taħt l-Artikolu 122 tar-Regolament (UE) Nru 575/2013 u li mhumiex irrapportati fi {0230;0040} u {0250;0040}</w:t>
            </w:r>
          </w:p>
          <w:p w14:paraId="01FC3B49" w14:textId="5139686F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7B64328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3017660" w14:textId="3B06C10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{0270;0020}</w:t>
            </w:r>
          </w:p>
        </w:tc>
        <w:tc>
          <w:tcPr>
            <w:tcW w:w="7406" w:type="dxa"/>
            <w:shd w:val="clear" w:color="auto" w:fill="FFFFFF"/>
          </w:tcPr>
          <w:p w14:paraId="2A27297A" w14:textId="77777777" w:rsidR="00F4754B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minbarra skoperturi għall-SMEs – Valur tal-Iskopertura tal-Proporzjon tal-Ingranaġġ – Skoperturi IRB</w:t>
            </w:r>
          </w:p>
          <w:p w14:paraId="585E711E" w14:textId="28E7DBEA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korporattivi skont il-punt (c) tal-Artikolu 147(2) tar-Regolament (UE) Nru 575/2013 jekk dawn l-iskoperturi ma jkunux iggarantiti b’ipoteki fuq proprjetà immobbli f’konformità mal-punt (a) tal-Artikolu 199(1) tar-Regolament (UE) Nru 575/2013 u li ma jkunux irrappurtati fi {0230;0040} u {0250;0040}</w:t>
            </w:r>
          </w:p>
          <w:p w14:paraId="714190FD" w14:textId="58141E55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44BE393C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4DF3E96B" w14:textId="78C7DD3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{0270;0030}</w:t>
            </w:r>
          </w:p>
        </w:tc>
        <w:tc>
          <w:tcPr>
            <w:tcW w:w="7406" w:type="dxa"/>
            <w:shd w:val="clear" w:color="auto" w:fill="FFFFFF"/>
          </w:tcPr>
          <w:p w14:paraId="214E8F81" w14:textId="267DF9F2" w:rsidR="00F4754B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minbarra skoperturi għall-SMEs – RWEA – Skoperturi SA</w:t>
            </w:r>
          </w:p>
          <w:p w14:paraId="10BEA73F" w14:textId="61EC6DDB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korporattivi li jaqgħu taħt l-Artikolu 122 tar-Regolament (UE) Nru 575/2013 u li ma humiex irrapportati fi {0230;0040} u {0250;0040}</w:t>
            </w:r>
          </w:p>
          <w:p w14:paraId="3BF86EC4" w14:textId="255E5CDC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4284B6D9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0A67914" w14:textId="4063927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{0270;0040}</w:t>
            </w:r>
          </w:p>
        </w:tc>
        <w:tc>
          <w:tcPr>
            <w:tcW w:w="7406" w:type="dxa"/>
            <w:shd w:val="clear" w:color="auto" w:fill="FFFFFF"/>
          </w:tcPr>
          <w:p w14:paraId="4D405A64" w14:textId="301D30BA" w:rsidR="002509B1" w:rsidRPr="000B66BC" w:rsidRDefault="00BE6AC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minbarra skoperturi għall-SMEs – RWEA – Skoperturi IRB</w:t>
            </w:r>
          </w:p>
          <w:p w14:paraId="66C72176" w14:textId="085A3EC0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korporattivi skont il-punt (c) tal-Artikolu 147(2) tar-Regolament (UE) Nru 575/2013 jekk dawn l-iskoperturi ma jkunux iggarantiti b’ipoteki fuq proprjetà immobbli f’konformità mal-punt (a) tal-Artikolu 199(1) tar-Regolament (UE) Nru 575/2013 u li ma jkunux irrapportati fi {0230;0040} u {0250;0040}</w:t>
            </w:r>
          </w:p>
          <w:p w14:paraId="56E24BD9" w14:textId="23040902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4078E02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8678416" w14:textId="11F0757A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{0280;0010}</w:t>
            </w:r>
          </w:p>
        </w:tc>
        <w:tc>
          <w:tcPr>
            <w:tcW w:w="7406" w:type="dxa"/>
            <w:shd w:val="clear" w:color="auto" w:fill="FFFFFF"/>
          </w:tcPr>
          <w:p w14:paraId="3643375B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f’inadempjenza – Valur tal-Iskopertura tal-Proporzjon tal-Ingranaġġ — Skoperturi SA</w:t>
            </w:r>
          </w:p>
          <w:p w14:paraId="19F3FE8B" w14:textId="09260466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il-valur tal-iskopertura tal-proporzjon tal-ingranaġġ ta’ assi li huma skoperturi SA f’inadempjenza u b’hekk jaqgħu taħt l-Artikolu 127 tar-Regolament (UE) Nru 575/2013.</w:t>
            </w:r>
          </w:p>
        </w:tc>
      </w:tr>
      <w:tr w:rsidR="002A54FF" w:rsidRPr="00E75BB8" w14:paraId="6208DB1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83D1BB3" w14:textId="6E8DA484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{0280;0020}</w:t>
            </w:r>
          </w:p>
        </w:tc>
        <w:tc>
          <w:tcPr>
            <w:tcW w:w="7406" w:type="dxa"/>
            <w:shd w:val="clear" w:color="auto" w:fill="FFFFFF"/>
          </w:tcPr>
          <w:p w14:paraId="5B5C9DCF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f’inadempjenza – Valur tal-Iskopertura tal-Proporzjon tal-Ingranaġġ — Skoperturi IRB</w:t>
            </w:r>
          </w:p>
          <w:p w14:paraId="35C502CA" w14:textId="59584DDE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il-valur tal-iskopertura tal-proporzjon tal-ingranaġġ ta’ assi kategorizzati fil-klassijiet tal-iskoperturi elenkati fl-Artikolu 147(2) tar-Regolament (UE) Nru 575/2013 jekk tkun seħħet inadempjenza f’konformità mal-Artikolu 178 tar-Regolament (UE) Nru 575/2013.</w:t>
            </w:r>
          </w:p>
        </w:tc>
      </w:tr>
      <w:tr w:rsidR="002A54FF" w:rsidRPr="00E75BB8" w14:paraId="3AD252C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8CA0E26" w14:textId="78C5E6F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{0280;0030}</w:t>
            </w:r>
          </w:p>
        </w:tc>
        <w:tc>
          <w:tcPr>
            <w:tcW w:w="7406" w:type="dxa"/>
            <w:shd w:val="clear" w:color="auto" w:fill="FFFFFF"/>
          </w:tcPr>
          <w:p w14:paraId="327CD6C9" w14:textId="16A698EF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f’inadempjenza – RWEA – Skoperturi SA</w:t>
            </w:r>
          </w:p>
          <w:p w14:paraId="4ECD736F" w14:textId="2BB025BA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l-ammont tal-iskopertura ponderat għar-riskju ta’ assi li huma skoperturi f’inadempjenza u b’hekk jaqgħu taħt l-Artikolu 127 tar-Regolament (UE) Nru 575/2013.</w:t>
            </w:r>
          </w:p>
        </w:tc>
      </w:tr>
      <w:tr w:rsidR="002A54FF" w:rsidRPr="00E75BB8" w14:paraId="1E9BD77A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1BD5908" w14:textId="24179E5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{0280;0040}</w:t>
            </w:r>
          </w:p>
        </w:tc>
        <w:tc>
          <w:tcPr>
            <w:tcW w:w="7406" w:type="dxa"/>
            <w:shd w:val="clear" w:color="auto" w:fill="FFFFFF"/>
          </w:tcPr>
          <w:p w14:paraId="480D541C" w14:textId="3923716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f’inadempjenza – RWEA – Skoperturi IRB</w:t>
            </w:r>
          </w:p>
          <w:p w14:paraId="5EF9576D" w14:textId="73F3DE3E" w:rsidR="002509B1" w:rsidRPr="000B66BC" w:rsidRDefault="00FC5086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l-ammont tal-iskopertura ponderat għar-riskju ta’ assi kategorizzati fil-klassijiet tal-iskoperturi elenkati fl-Artikolu 147(2) tar-Regolament (UE) Nru 575/2013 jekk tkun seħħet inadempjenza f’konformità mal-Artikolu 178 tar-Regolament (UE) Nru 575/2013.</w:t>
            </w:r>
          </w:p>
        </w:tc>
      </w:tr>
      <w:tr w:rsidR="002A54FF" w:rsidRPr="00E75BB8" w14:paraId="3AEBEAE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BA625DB" w14:textId="374E40D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{0290;0010}</w:t>
            </w:r>
          </w:p>
          <w:p w14:paraId="100727CA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6" w:type="dxa"/>
            <w:shd w:val="clear" w:color="auto" w:fill="FFFFFF"/>
          </w:tcPr>
          <w:p w14:paraId="7D8E3311" w14:textId="44E5148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oħrajn – Valur tal-Iskopertura tal-Proporzjon tal-Ingranaġġ – Skoperturi SA</w:t>
            </w:r>
          </w:p>
          <w:p w14:paraId="59E2187D" w14:textId="6DA1DF91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kategorizzati fil-klassijiet tal-iskoperturi elenkati fil-paragrafi (k), (m), (n), (o), (p) u (q) tal-Artikolu 112 tar-Regolament (UE) Nru 575/2013</w:t>
            </w:r>
          </w:p>
          <w:p w14:paraId="243415E4" w14:textId="6BDA1162" w:rsidR="002509B1" w:rsidRPr="000B66BC" w:rsidRDefault="0048267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assi li huma </w:t>
            </w:r>
            <w:proofErr w:type="spellStart"/>
            <w:r>
              <w:rPr>
                <w:rFonts w:ascii="Times New Roman" w:hAnsi="Times New Roman"/>
                <w:sz w:val="24"/>
              </w:rPr>
              <w:t>mnaqqsin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mill-fondi proprji (eż. intanġibbli) iżda li ma jistgħux jiġu kkategorizzati hawn, anke jekk din il-kategorizzazzjoni mhijiex meħtieġa biex jiġu stabbiliti r-rekwiżiti ta’ fondi proprji bbażati fuq ir-riskju fil-kolonni {*; 0030} u {*; 0040}.</w:t>
            </w:r>
          </w:p>
          <w:p w14:paraId="7B7E64BF" w14:textId="27D9DDDB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72E20088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79F489C" w14:textId="033B0F9E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{0290;0020}</w:t>
            </w:r>
          </w:p>
        </w:tc>
        <w:tc>
          <w:tcPr>
            <w:tcW w:w="7406" w:type="dxa"/>
            <w:shd w:val="clear" w:color="auto" w:fill="FFFFFF"/>
          </w:tcPr>
          <w:p w14:paraId="04B12DFD" w14:textId="7640F749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oħrajn – Valur tal-Iskopertura tal-Proporzjon tal-Ingranaġġ – Skoperturi IRB</w:t>
            </w:r>
          </w:p>
          <w:p w14:paraId="509BE205" w14:textId="760A9F01" w:rsidR="00482670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L-ammont tal-iskopertura tal-proporzjon tal-ingranaġġ ta’ assi kategorizzati fil-klassijiet tal-iskoperturi elenkati fil-punti (e), (e1), (f) u (g) tal-Artikolu 147(2) tar-Regolament (UE) Nru 575/2013</w:t>
            </w:r>
          </w:p>
          <w:p w14:paraId="71F126DD" w14:textId="4375AAF5" w:rsidR="00BB388D" w:rsidRPr="000B66BC" w:rsidRDefault="0048267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L-istituzzjonijiet għandhom jirrapportaw assi li huma </w:t>
            </w:r>
            <w:proofErr w:type="spellStart"/>
            <w:r>
              <w:rPr>
                <w:rFonts w:ascii="Times New Roman" w:hAnsi="Times New Roman"/>
                <w:sz w:val="24"/>
              </w:rPr>
              <w:t>mnaqqsin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mill-fondi proprji (eż. intanġibbli) iżda li ma jistgħux jiġu kkategorizzati hawn, anke jekk din il-kategorizzazzjoni mhijiex meħtieġa biex jiġu stabbiliti r-rekwiżiti ta’ fondi proprji bbażati fuq ir-riskju fil-kolonni {*; 0030} u {*; 0040}.</w:t>
            </w:r>
          </w:p>
          <w:p w14:paraId="2C772C0F" w14:textId="142C485B" w:rsidR="002509B1" w:rsidRPr="000B66BC" w:rsidRDefault="00BB38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6B7AB21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633B4D60" w14:textId="1DECF16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{0290;0030}</w:t>
            </w:r>
          </w:p>
        </w:tc>
        <w:tc>
          <w:tcPr>
            <w:tcW w:w="7406" w:type="dxa"/>
            <w:shd w:val="clear" w:color="auto" w:fill="FFFFFF"/>
          </w:tcPr>
          <w:p w14:paraId="75145255" w14:textId="3F61541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oħrajn – RWEA – Skoperturi SA</w:t>
            </w:r>
          </w:p>
          <w:p w14:paraId="61F5D6CA" w14:textId="1082E7C5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ponderat għar-riskju ta’ assi kategorizzati fil-klassijiet tal-iskoperturi elenkati fil-paragrafi (k), (m), (n), (o), (p) u (q) tal-Artikolu 112 tar-Regolament (UE) Nru 575/2013</w:t>
            </w:r>
          </w:p>
          <w:p w14:paraId="1A7DE9B0" w14:textId="1E7127C7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7C5A4860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D10170B" w14:textId="0353A1D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{0290;0040}</w:t>
            </w:r>
          </w:p>
        </w:tc>
        <w:tc>
          <w:tcPr>
            <w:tcW w:w="7406" w:type="dxa"/>
            <w:shd w:val="clear" w:color="auto" w:fill="FFFFFF"/>
          </w:tcPr>
          <w:p w14:paraId="4D50DB6F" w14:textId="4232608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Skoperturi oħrajn – RWEA – Skoperturi IRB</w:t>
            </w:r>
          </w:p>
          <w:p w14:paraId="047D3368" w14:textId="09023488" w:rsidR="00BB388D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ponderat għar-riskju ta’ assi kategorizzati fil-klassijiet tal-iskoperturi elenkati fil-punti (e), (e1), (f) u (g) tal-Artikolu 147(2) tar-Regolament (UE) Nru 575/2013</w:t>
            </w:r>
          </w:p>
          <w:p w14:paraId="2891CC60" w14:textId="54E32862" w:rsidR="002509B1" w:rsidRPr="000B66BC" w:rsidRDefault="00BB388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1F3D277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E979259" w14:textId="01C67E6D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{0300;0010}</w:t>
            </w:r>
          </w:p>
        </w:tc>
        <w:tc>
          <w:tcPr>
            <w:tcW w:w="7406" w:type="dxa"/>
            <w:shd w:val="clear" w:color="auto" w:fill="FFFFFF"/>
          </w:tcPr>
          <w:p w14:paraId="3D18A2F9" w14:textId="29912885" w:rsidR="002509B1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Skoperturi tat-titolizzazzjoni – Valur tal-Iskopertura tal-Proporzjon tal-Ingranaġġ – Skoperturi SA</w:t>
            </w:r>
          </w:p>
          <w:p w14:paraId="7530F6A8" w14:textId="34A5EF3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SA għal titolizzazzjonijiet li jaqgħu taħt l-Artikolu 112(m) tar-Regolament (UE) Nru 575/2013</w:t>
            </w:r>
          </w:p>
          <w:p w14:paraId="2DE0AC42" w14:textId="77A211EB" w:rsidR="009C4E79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54158C6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81F9849" w14:textId="6C8F235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{0300;0020}</w:t>
            </w:r>
          </w:p>
        </w:tc>
        <w:tc>
          <w:tcPr>
            <w:tcW w:w="7406" w:type="dxa"/>
            <w:shd w:val="clear" w:color="auto" w:fill="FFFFFF"/>
          </w:tcPr>
          <w:p w14:paraId="12C4E302" w14:textId="1F965943" w:rsidR="002509B1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Skoperturi tat-titolizzazzjoni – Valur tal-Iskopertura tal-Proporzjon tal-Ingranaġġ – Skoperturi IRB</w:t>
            </w:r>
          </w:p>
          <w:p w14:paraId="52AFEF6A" w14:textId="5CD6F874" w:rsidR="009C4E79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assi li huma skoperturi IRB għal titolizzazzjonijiet u li jaqgħu taħt il-punt (f) tal-Artikolu 147(2) tar-Regolament (UE) Nru 575/2013</w:t>
            </w:r>
          </w:p>
          <w:p w14:paraId="5A4CEC64" w14:textId="084E95CE" w:rsidR="002509B1" w:rsidRPr="000B66BC" w:rsidDel="00B9734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2D8DCA0F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9B7F740" w14:textId="00300309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{0300;0030}</w:t>
            </w:r>
          </w:p>
        </w:tc>
        <w:tc>
          <w:tcPr>
            <w:tcW w:w="7406" w:type="dxa"/>
            <w:shd w:val="clear" w:color="auto" w:fill="FFFFFF"/>
          </w:tcPr>
          <w:p w14:paraId="0195360F" w14:textId="4CF13008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Skoperturi tat-titolizzazzjoni – RWEA – Skoperturi SA</w:t>
            </w:r>
          </w:p>
          <w:p w14:paraId="583F2964" w14:textId="3E06746D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SA għal titolizzazzjonijiet li jaqgħu taħt l-Artikolu 112(m) tar-Regolament (UE) Nru 575/2013</w:t>
            </w:r>
          </w:p>
          <w:p w14:paraId="34AEB620" w14:textId="279486FE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4AF9EC67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38D7286" w14:textId="4155BC0C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{0300;0040}</w:t>
            </w:r>
          </w:p>
        </w:tc>
        <w:tc>
          <w:tcPr>
            <w:tcW w:w="7406" w:type="dxa"/>
            <w:shd w:val="clear" w:color="auto" w:fill="FFFFFF"/>
          </w:tcPr>
          <w:p w14:paraId="546F46AF" w14:textId="111BE038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Skoperturi tat-titolizzazzjoni – RWEA – Skoperturi IRB</w:t>
            </w:r>
          </w:p>
          <w:p w14:paraId="745FCC52" w14:textId="18AD3DD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assi li huma skoperturi IRB għal titolizzazzjonijiet u li jaqgħu taħt il-punt (f) tal-Artikolu 147(2) tar-Regolament (UE) Nru 575/2013</w:t>
            </w:r>
          </w:p>
          <w:p w14:paraId="6DCC2024" w14:textId="3E5BF347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19980126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0EF17D6" w14:textId="2BA7366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{0310;0010}</w:t>
            </w:r>
          </w:p>
        </w:tc>
        <w:tc>
          <w:tcPr>
            <w:tcW w:w="7406" w:type="dxa"/>
            <w:shd w:val="clear" w:color="auto" w:fill="FFFFFF"/>
          </w:tcPr>
          <w:p w14:paraId="1F726694" w14:textId="75DDDC08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Finanzjament tal-kummerċ (entrata ta’ memorandum)– Valur tal-Iskopertura tal-Proporzjon tal-Ingranaġġ – Skoperturi SA</w:t>
            </w:r>
          </w:p>
          <w:p w14:paraId="40329EE0" w14:textId="6890CB13" w:rsidR="002509B1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entrati fil-karta tal-bilanċ relatati mal-għoti b’self lil esportatur jew importatur ta’ prodotti jew servizzi permezz ta’ krediti għall-importazzjoni u l-esportazzjoni u tranżazzjonijiet simili</w:t>
            </w:r>
          </w:p>
          <w:p w14:paraId="07887909" w14:textId="376C2A24" w:rsidR="00086A8A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7849841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7770CF17" w14:textId="209AA22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{0310;0020}</w:t>
            </w:r>
          </w:p>
        </w:tc>
        <w:tc>
          <w:tcPr>
            <w:tcW w:w="7406" w:type="dxa"/>
            <w:shd w:val="clear" w:color="auto" w:fill="FFFFFF"/>
          </w:tcPr>
          <w:p w14:paraId="3DC59FB7" w14:textId="38AD74C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Finanzjament tal-kummerċ (entrata ta’ memorandum) – Valur tal-Iskopertura tal-Proporzjon tal-Ingranaġġ – Skoperturi IRB</w:t>
            </w:r>
          </w:p>
          <w:p w14:paraId="0A442979" w14:textId="3B301CAB" w:rsidR="00BE6AC4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tal-proporzjon tal-ingranaġġ tal-entrati fil-karta tal-bilanċ relatati mal-għoti b’self lil esportatur jew importatur ta’ prodotti jew servizzi permezz ta’ krediti għall-importazzjoni u l-esportazzjoni u tranżazzjonijiet simili</w:t>
            </w:r>
          </w:p>
          <w:p w14:paraId="009892EF" w14:textId="4CD440BB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0944BE2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75E033C" w14:textId="2994690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{0310;0030}</w:t>
            </w:r>
          </w:p>
        </w:tc>
        <w:tc>
          <w:tcPr>
            <w:tcW w:w="7406" w:type="dxa"/>
            <w:shd w:val="clear" w:color="auto" w:fill="FFFFFF"/>
          </w:tcPr>
          <w:p w14:paraId="2CAEEABE" w14:textId="362B2A0C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Finanzjament tal-kummerċ (entrata ta’ memorandum) – RWEA – Skoperturi SA</w:t>
            </w:r>
          </w:p>
          <w:p w14:paraId="08DFF23E" w14:textId="3FC89434" w:rsidR="00086A8A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ponderat għar-riskju ta’ entrati fil-karta tal-bilanċ relatati mal-għoti b’self lil esportatur jew importatur ta’ prodotti jew servizzi permezz ta’ krediti għall-importazzjoni u l-esportazzjoni u tranżazzjonijiet simili</w:t>
            </w:r>
          </w:p>
          <w:p w14:paraId="1392FEC6" w14:textId="0CEA5EB1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2EAEC41E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2D3EEDC7" w14:textId="50ACD0A0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{0310;0040}</w:t>
            </w:r>
          </w:p>
        </w:tc>
        <w:tc>
          <w:tcPr>
            <w:tcW w:w="7406" w:type="dxa"/>
            <w:shd w:val="clear" w:color="auto" w:fill="FFFFFF"/>
          </w:tcPr>
          <w:p w14:paraId="6234B372" w14:textId="0FE9A0F4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Finanzjament tal-kummerċ (entrata ta’ memorandum) – RWEA – Skoperturi IRB</w:t>
            </w:r>
          </w:p>
          <w:p w14:paraId="7C41D05F" w14:textId="163F70F0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L-ammont tal-iskopertura ponderat għar-riskju ta’ entrati fil-karta tal-bilanċ relatati mal-għoti b’self lil esportatur jew importatur ta’ prodotti jew servizzi permezz ta’ krediti għall-importazzjoni u l-esportazzjoni u tranżazzjonijiet simili</w:t>
            </w:r>
          </w:p>
          <w:p w14:paraId="69D1BF8F" w14:textId="1ADC695A" w:rsidR="009C4E79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  <w:tr w:rsidR="002A54FF" w:rsidRPr="00E75BB8" w14:paraId="0F47267B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01A66D59" w14:textId="16BAA6D6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{0320;0010}</w:t>
            </w:r>
          </w:p>
        </w:tc>
        <w:tc>
          <w:tcPr>
            <w:tcW w:w="7406" w:type="dxa"/>
            <w:shd w:val="clear" w:color="auto" w:fill="FFFFFF"/>
          </w:tcPr>
          <w:p w14:paraId="68BD9684" w14:textId="77777777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Taħt skema uffiċjali tal-assigurazzjoni ta’ kreditu għall-esportazzjoni – Valur tal-Iskopertura tal-Proporzjon tal-Ingranaġġ – Skoperturi SA</w:t>
            </w:r>
          </w:p>
          <w:p w14:paraId="77C2AA79" w14:textId="008650ED" w:rsidR="00FC5086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Il-valur tal-iskopertura tal-proporzjon tal-ingranaġġ ta’ entrati fil-karta tal-bilanċ relatati mal-finanzjament tal-kummerċ taħt skema uffiċjali tal-assigurazzjoni ta’ kreditu għall-esportazzjoni</w:t>
            </w:r>
          </w:p>
          <w:p w14:paraId="724169CB" w14:textId="4B72375C" w:rsidR="00F4754B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għotjiet), assigurazzjoni tal-kreditu u garanziji għall-esportazzjoni. </w:t>
            </w:r>
          </w:p>
          <w:p w14:paraId="6749A4E0" w14:textId="3BDB38AA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324D0C14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79BEEE3" w14:textId="251ACAEF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{0320;0020}</w:t>
            </w:r>
          </w:p>
        </w:tc>
        <w:tc>
          <w:tcPr>
            <w:tcW w:w="7406" w:type="dxa"/>
            <w:shd w:val="clear" w:color="auto" w:fill="FFFFFF"/>
          </w:tcPr>
          <w:p w14:paraId="487C59EC" w14:textId="64199DCF" w:rsidR="002509B1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Taħt skema uffiċjali tal-assigurazzjoni ta’ kreditu għall-esportazzjoni – Valur tal-Iskopertura tal-Proporzjon tal-Ingranaġġ – Skoperturi IRB</w:t>
            </w:r>
          </w:p>
          <w:p w14:paraId="28C477A6" w14:textId="45C80184" w:rsidR="00FC5086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tal-iskopertura tal-proporzjon tal-ingranaġġ ta’ entrati fil-karta tal-bilanċ relatati mal-finanzjament tal-kummerċ taħt skema uffiċjali ta’ assigurazzjoni ta’ kreditu għall-esportazzjoni </w:t>
            </w:r>
          </w:p>
          <w:p w14:paraId="453591E6" w14:textId="24EEED56" w:rsidR="009C4E79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għotjiet), assigurazzjoni tal-kreditu u garanziji għall-esportazzjoni.</w:t>
            </w:r>
          </w:p>
          <w:p w14:paraId="121B09A0" w14:textId="7D13C18C" w:rsidR="002509B1" w:rsidRPr="000B66BC" w:rsidDel="00600AB1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L-istituzzjonijiet għandhom jirrapportaw in-nett tal-iskoperturi IRB inadempjenti.</w:t>
            </w:r>
          </w:p>
        </w:tc>
      </w:tr>
      <w:tr w:rsidR="002A54FF" w:rsidRPr="00E75BB8" w14:paraId="5958CABD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50D523A5" w14:textId="2D5719F5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{0320;0030}</w:t>
            </w:r>
          </w:p>
        </w:tc>
        <w:tc>
          <w:tcPr>
            <w:tcW w:w="7406" w:type="dxa"/>
            <w:shd w:val="clear" w:color="auto" w:fill="FFFFFF"/>
          </w:tcPr>
          <w:p w14:paraId="1BC55C9E" w14:textId="018B97B0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Taħt skema uffiċjali tal-assigurazzjoni ta’ kreditu għall-esportazzjoni – RWEA – Skoperturi SA</w:t>
            </w:r>
          </w:p>
          <w:p w14:paraId="5BDA0B92" w14:textId="79F518BC" w:rsidR="005E0E4A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Il-valur tal-iskopertura ponderat għar-riskju ta’ entrati fil-karta tal-bilanċ relatati mal-finanzjament tal-kummerċ taħt skema uffiċjali ta’ assigurazzjoni ta’ kreditu għall-esportazzjoni </w:t>
            </w:r>
          </w:p>
          <w:p w14:paraId="04A05DE3" w14:textId="09DF700B" w:rsidR="00F4754B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għotjiet), assigurazzjoni tal-kreditu u garanziji għall-esportazzjoni. </w:t>
            </w:r>
          </w:p>
          <w:p w14:paraId="4F35ADC9" w14:textId="4AC2CE52" w:rsidR="002509B1" w:rsidRPr="000B66BC" w:rsidRDefault="00086A8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SA inadempjenti.</w:t>
            </w:r>
          </w:p>
        </w:tc>
      </w:tr>
      <w:tr w:rsidR="002A54FF" w:rsidRPr="00E75BB8" w14:paraId="50DFFA63" w14:textId="77777777" w:rsidTr="000B66BC">
        <w:trPr>
          <w:trHeight w:val="71"/>
        </w:trPr>
        <w:tc>
          <w:tcPr>
            <w:tcW w:w="1559" w:type="dxa"/>
            <w:shd w:val="clear" w:color="auto" w:fill="FFFFFF"/>
          </w:tcPr>
          <w:p w14:paraId="3E66A2E1" w14:textId="52C5C76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{0320;0040}</w:t>
            </w:r>
          </w:p>
        </w:tc>
        <w:tc>
          <w:tcPr>
            <w:tcW w:w="7406" w:type="dxa"/>
            <w:shd w:val="clear" w:color="auto" w:fill="FFFFFF"/>
          </w:tcPr>
          <w:p w14:paraId="02837300" w14:textId="087FB5C1" w:rsidR="00F4754B" w:rsidRPr="000B66BC" w:rsidRDefault="005A052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li minnhom: Taħt skema uffiċjali tal-assigurazzjoni ta’ kreditu għall-esportazzjoni – RWEA – Skoperturi IRB</w:t>
            </w:r>
          </w:p>
          <w:p w14:paraId="7E51B295" w14:textId="2E71FA87" w:rsidR="005E0E4A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L-ammont tal-iskopertura ponderat għar-riskju ta’ entrati fil-karta tal-bilanċ relatati mal-finanzjament tal-kummerċ taħt skema uffiċjali ta’ assigurazzjoni ta’ kreditu għall-esportazzjoni </w:t>
            </w:r>
          </w:p>
          <w:p w14:paraId="22173B42" w14:textId="69585F6C" w:rsidR="009C4E79" w:rsidRPr="000B66BC" w:rsidRDefault="00C90B14" w:rsidP="000B66BC">
            <w:pPr>
              <w:pStyle w:val="BodyText1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Għall-finijiet tar-rapportar f’LR4, skema uffiċjali ta’ assigurazzjoni tal-kreditu għall-esportazzjoni għandha tkun relatata ma’ appoġġ uffiċjali pprovdut mill-gvern jew entità oħra bħal aġenzija ta’ kreditu għall-esportazzjoni fil-forma ta’, fost l-oħrajn, krediti diretti/finanzjament, rifinanzjament, appoġġ tar-rata tal-imgħax (fejn tkun iggarantita rata tal-imgħax fissa għal kemm idum il-kreditu), finanzjament ta’ għajnuna (krediti u għotjiet), assigurazzjoni tal-kreditu u garanziji għall-esportazzjoni. </w:t>
            </w:r>
          </w:p>
          <w:p w14:paraId="16D3A7FB" w14:textId="65A4E59B" w:rsidR="002509B1" w:rsidRPr="000B66BC" w:rsidRDefault="009C4E79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in-nett tal-iskoperturi IRB inadempjenti.</w:t>
            </w:r>
          </w:p>
        </w:tc>
      </w:tr>
    </w:tbl>
    <w:p w14:paraId="6F5938BB" w14:textId="71A3874E" w:rsidR="004C0459" w:rsidRPr="000B66BC" w:rsidRDefault="004C0459" w:rsidP="000B66BC">
      <w:pPr>
        <w:pStyle w:val="BodyText1"/>
        <w:spacing w:after="240"/>
        <w:ind w:left="720"/>
        <w:rPr>
          <w:rFonts w:ascii="Times New Roman" w:hAnsi="Times New Roman"/>
          <w:b/>
          <w:sz w:val="24"/>
          <w:szCs w:val="24"/>
        </w:rPr>
      </w:pPr>
      <w:bookmarkStart w:id="76" w:name="_Toc351048511"/>
      <w:bookmarkStart w:id="77" w:name="_Toc359414290"/>
      <w:bookmarkStart w:id="78" w:name="_Toc423089075"/>
      <w:bookmarkEnd w:id="75"/>
    </w:p>
    <w:p w14:paraId="3B957644" w14:textId="7AA08C09" w:rsidR="00217D1F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79" w:name="_Toc182305161"/>
      <w:r>
        <w:rPr>
          <w:rFonts w:ascii="Times New Roman" w:hAnsi="Times New Roman"/>
          <w:b/>
          <w:sz w:val="24"/>
        </w:rPr>
        <w:t>6.</w:t>
      </w:r>
      <w:r>
        <w:tab/>
      </w:r>
      <w:r>
        <w:rPr>
          <w:rFonts w:ascii="Times New Roman" w:hAnsi="Times New Roman"/>
          <w:b/>
          <w:sz w:val="24"/>
        </w:rPr>
        <w:t>C 44.00 – Informazzjoni ġenerali</w:t>
      </w:r>
      <w:bookmarkEnd w:id="76"/>
      <w:bookmarkEnd w:id="77"/>
      <w:r>
        <w:rPr>
          <w:rFonts w:ascii="Times New Roman" w:hAnsi="Times New Roman"/>
          <w:b/>
          <w:sz w:val="24"/>
        </w:rPr>
        <w:t xml:space="preserve"> (LR5)</w:t>
      </w:r>
      <w:bookmarkEnd w:id="78"/>
      <w:bookmarkEnd w:id="79"/>
    </w:p>
    <w:p w14:paraId="0762DA75" w14:textId="1CF4EE9B" w:rsidR="00F4754B" w:rsidRPr="000B66BC" w:rsidRDefault="00143C6A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28.</w:t>
      </w:r>
      <w:r>
        <w:tab/>
      </w:r>
      <w:r>
        <w:rPr>
          <w:rFonts w:ascii="Times New Roman" w:hAnsi="Times New Roman"/>
          <w:sz w:val="24"/>
        </w:rPr>
        <w:t>Hawnhekk tinġabar informazzjoni addizzjonali għall-finijiet ta’ kategorizzazzjoni tal-attivitajiet tal-istituzzjonijiet u l-għażliet regolatorji magħżulin mill-istituzzjoni.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308"/>
      </w:tblGrid>
      <w:tr w:rsidR="00F4754B" w:rsidRPr="00E75BB8" w14:paraId="01020A4D" w14:textId="77777777" w:rsidTr="000B66BC">
        <w:tc>
          <w:tcPr>
            <w:tcW w:w="1730" w:type="dxa"/>
            <w:shd w:val="clear" w:color="auto" w:fill="D9D9D9" w:themeFill="background1" w:themeFillShade="D9"/>
          </w:tcPr>
          <w:p w14:paraId="609E7AEC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Ringiela </w:t>
            </w:r>
          </w:p>
          <w:p w14:paraId="3ADE932A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u kolonna</w:t>
            </w:r>
          </w:p>
        </w:tc>
        <w:tc>
          <w:tcPr>
            <w:tcW w:w="7308" w:type="dxa"/>
            <w:shd w:val="clear" w:color="auto" w:fill="D9D9D9" w:themeFill="background1" w:themeFillShade="D9"/>
          </w:tcPr>
          <w:p w14:paraId="07C08D86" w14:textId="77777777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Struzzjonijiet</w:t>
            </w:r>
          </w:p>
        </w:tc>
      </w:tr>
      <w:tr w:rsidR="00F4754B" w:rsidRPr="00E75BB8" w14:paraId="55A6FD39" w14:textId="77777777" w:rsidTr="000B66BC">
        <w:tc>
          <w:tcPr>
            <w:tcW w:w="1730" w:type="dxa"/>
          </w:tcPr>
          <w:p w14:paraId="4651DD6D" w14:textId="2C8898E2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{0010;0010}</w:t>
            </w:r>
          </w:p>
        </w:tc>
        <w:tc>
          <w:tcPr>
            <w:tcW w:w="7308" w:type="dxa"/>
          </w:tcPr>
          <w:p w14:paraId="4DA873F1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Struttura tal-kumpanija tal-istituzzjoni</w:t>
            </w:r>
          </w:p>
          <w:p w14:paraId="64CCC795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 għandha tikklassifika l-istruttura tal-kumpanija tagħha skont il-kategoriji ta’ hawn taħt:</w:t>
            </w:r>
          </w:p>
          <w:p w14:paraId="1F1192E5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Kumpanija b’ishma konġunti;</w:t>
            </w:r>
          </w:p>
          <w:p w14:paraId="003D2706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Reċiproka/kooperattiva;</w:t>
            </w:r>
          </w:p>
          <w:p w14:paraId="6192BE9A" w14:textId="31FF6E20" w:rsidR="00BE6AC4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Kumpanija oħra mhux b’ishma konġunti.</w:t>
            </w:r>
          </w:p>
        </w:tc>
      </w:tr>
      <w:tr w:rsidR="00F4754B" w:rsidRPr="00E75BB8" w14:paraId="0E805489" w14:textId="77777777" w:rsidTr="000B66BC">
        <w:tc>
          <w:tcPr>
            <w:tcW w:w="1730" w:type="dxa"/>
          </w:tcPr>
          <w:p w14:paraId="024D6767" w14:textId="451206B8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{0020;0010}</w:t>
            </w:r>
          </w:p>
        </w:tc>
        <w:tc>
          <w:tcPr>
            <w:tcW w:w="7308" w:type="dxa"/>
          </w:tcPr>
          <w:p w14:paraId="6E8478E9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Trattament tad-derivattivi</w:t>
            </w:r>
          </w:p>
          <w:p w14:paraId="32814C5E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 għandha tispeċifika t-trattament regolatorju tad-derivattivi skont il-kategoriji mogħtija hawn taħt:</w:t>
            </w:r>
          </w:p>
          <w:p w14:paraId="255B888B" w14:textId="0A6301B4" w:rsidR="00B04A5F" w:rsidRPr="000B66BC" w:rsidRDefault="00B04A5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 Approċċ Standardizzat għar-Riskju ta’ Kreditu tal-Kontroparti (SA-CCR);</w:t>
            </w:r>
          </w:p>
          <w:p w14:paraId="43920088" w14:textId="66D48971" w:rsidR="00B04A5F" w:rsidRPr="000B66BC" w:rsidRDefault="00B04A5F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 Approċċ Standardizzat Simplifikat għar-Riskju ta’ Kreditu tal-Kontroparti;</w:t>
            </w:r>
          </w:p>
          <w:p w14:paraId="7A9DB046" w14:textId="7690E86C" w:rsidR="00BE6AC4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Metodu tal-iskopertura oriġinali.</w:t>
            </w:r>
          </w:p>
        </w:tc>
      </w:tr>
      <w:tr w:rsidR="00F4754B" w:rsidRPr="00E75BB8" w14:paraId="0E0C8448" w14:textId="77777777" w:rsidTr="000B66BC">
        <w:tc>
          <w:tcPr>
            <w:tcW w:w="1730" w:type="dxa"/>
          </w:tcPr>
          <w:p w14:paraId="6C37BCD8" w14:textId="7BBC71D1" w:rsidR="00F4754B" w:rsidRPr="000B66BC" w:rsidRDefault="00F4754B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{0040;0010}</w:t>
            </w:r>
          </w:p>
        </w:tc>
        <w:tc>
          <w:tcPr>
            <w:tcW w:w="7308" w:type="dxa"/>
          </w:tcPr>
          <w:p w14:paraId="3154A9B3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Tip ta’ istituzzjoni</w:t>
            </w:r>
          </w:p>
          <w:p w14:paraId="2C15E916" w14:textId="77777777" w:rsidR="00F4754B" w:rsidRPr="000B66BC" w:rsidRDefault="00F4754B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 għandha tikklassifika t-tip ta’ istituzzjoni tagħha skont il-kategoriji mogħtijin hawn taħt:</w:t>
            </w:r>
          </w:p>
          <w:p w14:paraId="5F9BB21A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Servizzi bankarji universali (</w:t>
            </w:r>
            <w:proofErr w:type="spellStart"/>
            <w:r>
              <w:rPr>
                <w:rFonts w:ascii="Times New Roman" w:hAnsi="Times New Roman"/>
                <w:sz w:val="24"/>
              </w:rPr>
              <w:t>servizzji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bankarji fil-livell tal-konsumatur/kummerċjali u ta’ investiment);</w:t>
            </w:r>
          </w:p>
          <w:p w14:paraId="730C89BA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Servizzi bankarji fil-livell tal-konsumatur/kummerċjali;</w:t>
            </w:r>
          </w:p>
          <w:p w14:paraId="430C8F32" w14:textId="77777777" w:rsidR="00F4754B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Servizzi bankarji ta’ investiment;</w:t>
            </w:r>
          </w:p>
          <w:p w14:paraId="53DE36EC" w14:textId="5929A7F1" w:rsidR="00875832" w:rsidRPr="000B66BC" w:rsidRDefault="0050050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Sellief speċjalizzat;</w:t>
            </w:r>
          </w:p>
          <w:p w14:paraId="5E1BA609" w14:textId="431EB72A" w:rsidR="005D66B3" w:rsidRPr="000B66BC" w:rsidRDefault="00546848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 Istituzzjonijiet ta’ kreditu għall-iżvilupp pubbliku;</w:t>
            </w:r>
          </w:p>
          <w:p w14:paraId="55C552F6" w14:textId="725A2101" w:rsidR="00BE6AC4" w:rsidRPr="000B66BC" w:rsidRDefault="00875832" w:rsidP="000B66BC">
            <w:pPr>
              <w:pStyle w:val="BodyText1"/>
              <w:spacing w:after="240" w:line="240" w:lineRule="auto"/>
              <w:ind w:left="360" w:hanging="36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tab/>
            </w:r>
            <w:r>
              <w:rPr>
                <w:rFonts w:ascii="Times New Roman" w:hAnsi="Times New Roman"/>
                <w:sz w:val="24"/>
              </w:rPr>
              <w:t>Mudell kummerċjali ieħor.</w:t>
            </w:r>
          </w:p>
        </w:tc>
      </w:tr>
      <w:tr w:rsidR="006316AD" w:rsidRPr="00E75BB8" w14:paraId="46E27CC1" w14:textId="77777777" w:rsidTr="000B66BC">
        <w:tc>
          <w:tcPr>
            <w:tcW w:w="1730" w:type="dxa"/>
          </w:tcPr>
          <w:p w14:paraId="113B7AA0" w14:textId="48CFB31B" w:rsidR="006316AD" w:rsidRPr="000B66BC" w:rsidRDefault="006316AD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{0070;0010}</w:t>
            </w:r>
          </w:p>
        </w:tc>
        <w:tc>
          <w:tcPr>
            <w:tcW w:w="7308" w:type="dxa"/>
          </w:tcPr>
          <w:p w14:paraId="31DC1601" w14:textId="77777777" w:rsidR="006316AD" w:rsidRPr="000B66BC" w:rsidRDefault="006316A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Istituzzjoni b’unità għall-iżvilupp pubbliku</w:t>
            </w:r>
          </w:p>
          <w:p w14:paraId="6D39363C" w14:textId="06B12418" w:rsidR="006316AD" w:rsidRPr="000B66BC" w:rsidRDefault="006316A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li mhumiex istituzzjonijiet ta’ kreditu għall-iżvilupp pubbliku għandhom jindikaw jekk għandhomx unità għall-iżvilupp pubbliku.</w:t>
            </w:r>
          </w:p>
        </w:tc>
      </w:tr>
      <w:tr w:rsidR="003A13D1" w:rsidRPr="00E75BB8" w14:paraId="2CDC3E13" w14:textId="77777777" w:rsidTr="000B66BC">
        <w:tc>
          <w:tcPr>
            <w:tcW w:w="1730" w:type="dxa"/>
          </w:tcPr>
          <w:p w14:paraId="79D8D3BF" w14:textId="5989EBFA" w:rsidR="003A13D1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{0080;0010},</w:t>
            </w:r>
          </w:p>
          <w:p w14:paraId="0E404C36" w14:textId="3C546BDB" w:rsidR="003A13D1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{00090;0010},</w:t>
            </w:r>
          </w:p>
          <w:p w14:paraId="53B876FA" w14:textId="06E5D9AE" w:rsidR="003A13D1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{0100;0010}</w:t>
            </w:r>
          </w:p>
        </w:tc>
        <w:tc>
          <w:tcPr>
            <w:tcW w:w="7308" w:type="dxa"/>
          </w:tcPr>
          <w:p w14:paraId="66B939F9" w14:textId="6084E1B7" w:rsidR="003A13D1" w:rsidRPr="000B66BC" w:rsidRDefault="003A13D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Entità li tiggarantixxi l-istituzzjoni/unità ta’ kreditu għall-iżvilupp pubbliku skont il-punt (d) tal-Artikolu 429a(2)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-CRR: Gvern ċentrali, Gvern reġjonali, Awtorità lokali</w:t>
            </w:r>
          </w:p>
          <w:p w14:paraId="5D4C6A0E" w14:textId="404D2BB3" w:rsidR="00092325" w:rsidRPr="000B66BC" w:rsidRDefault="0009232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li jew huma istituzzjoni ta’ kreditu għall-iżvilupp pubbliku jew li għandhom unità għall-iżvilupp pubbliku għandhom jirrapportaw jekk humiex garantiti minn gvern ċentrali, gvern reġjonali jew awtorità lokali</w:t>
            </w:r>
          </w:p>
          <w:p w14:paraId="493FBA55" w14:textId="6B923AA1" w:rsidR="003B054D" w:rsidRPr="000B66BC" w:rsidRDefault="00092325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jindikaw “VERU” fir-ringiela li tikkorrispondi għat-tip(i) applikabbli ta’ fornitur tal-protezzjoni jew inkella “FALZ”.</w:t>
            </w:r>
          </w:p>
        </w:tc>
      </w:tr>
      <w:tr w:rsidR="00872B4A" w:rsidRPr="00E75BB8" w14:paraId="7B661A02" w14:textId="77777777" w:rsidTr="000B66BC">
        <w:tc>
          <w:tcPr>
            <w:tcW w:w="1730" w:type="dxa"/>
          </w:tcPr>
          <w:p w14:paraId="184627A9" w14:textId="01E80B34" w:rsidR="00872B4A" w:rsidRPr="000B66BC" w:rsidRDefault="008551A7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{0080;0010}</w:t>
            </w:r>
          </w:p>
        </w:tc>
        <w:tc>
          <w:tcPr>
            <w:tcW w:w="7308" w:type="dxa"/>
          </w:tcPr>
          <w:p w14:paraId="763F7485" w14:textId="7D0968A1" w:rsidR="00B04A5F" w:rsidRPr="000B66BC" w:rsidRDefault="00B132D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 ċentrali li jiggarantixxi l-istituzzjonijiet/unità ta’ kreditu għall-iżvilupp pubbliku</w:t>
            </w:r>
          </w:p>
        </w:tc>
      </w:tr>
      <w:tr w:rsidR="00B132DC" w:rsidRPr="00E75BB8" w14:paraId="355B1E3D" w14:textId="77777777" w:rsidTr="000B66BC">
        <w:tc>
          <w:tcPr>
            <w:tcW w:w="1730" w:type="dxa"/>
          </w:tcPr>
          <w:p w14:paraId="1700BD22" w14:textId="1957DAF2" w:rsidR="00B132DC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{0090;0010}</w:t>
            </w:r>
          </w:p>
        </w:tc>
        <w:tc>
          <w:tcPr>
            <w:tcW w:w="7308" w:type="dxa"/>
          </w:tcPr>
          <w:p w14:paraId="12648551" w14:textId="723AC193" w:rsidR="00B132DC" w:rsidRPr="000B66BC" w:rsidRDefault="000A5B0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Gvern reġjonali li jiggarantixxi l-istituzzjonijiet/unità ta’ kreditu għall-iżvilupp pubbliku</w:t>
            </w:r>
          </w:p>
        </w:tc>
      </w:tr>
      <w:tr w:rsidR="00B132DC" w:rsidRPr="00E75BB8" w14:paraId="261210F5" w14:textId="77777777" w:rsidTr="000B66BC">
        <w:tc>
          <w:tcPr>
            <w:tcW w:w="1730" w:type="dxa"/>
          </w:tcPr>
          <w:p w14:paraId="03A3CB47" w14:textId="5C79DC97" w:rsidR="00B132DC" w:rsidRPr="000B66BC" w:rsidRDefault="003A13D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{0100;0010}</w:t>
            </w:r>
          </w:p>
        </w:tc>
        <w:tc>
          <w:tcPr>
            <w:tcW w:w="7308" w:type="dxa"/>
          </w:tcPr>
          <w:p w14:paraId="3DBA105A" w14:textId="07763F33" w:rsidR="00B132DC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Awtorità lokali li tiggarantixxi l-istituzzjonijiet/unità ta’ kreditu għall-iżvilupp pubbliku</w:t>
            </w:r>
          </w:p>
        </w:tc>
      </w:tr>
      <w:tr w:rsidR="003B054D" w:rsidRPr="00E75BB8" w14:paraId="34258127" w14:textId="77777777" w:rsidTr="000B66BC">
        <w:tc>
          <w:tcPr>
            <w:tcW w:w="1730" w:type="dxa"/>
          </w:tcPr>
          <w:p w14:paraId="35F9E1F6" w14:textId="4B3A5235" w:rsidR="003B054D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{0110;0010};</w:t>
            </w:r>
          </w:p>
          <w:p w14:paraId="4E5E6B84" w14:textId="41699235" w:rsidR="00F966CA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{0120;0010};</w:t>
            </w:r>
          </w:p>
          <w:p w14:paraId="174F75EE" w14:textId="42C2EAF1" w:rsidR="00F966CA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{0130;0010}</w:t>
            </w:r>
          </w:p>
        </w:tc>
        <w:tc>
          <w:tcPr>
            <w:tcW w:w="7308" w:type="dxa"/>
          </w:tcPr>
          <w:p w14:paraId="5E6BF02B" w14:textId="2863BEEC" w:rsidR="003B054D" w:rsidRPr="000B66BC" w:rsidRDefault="003B054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Tip ta’ garanzija riċevuta skont il-punt (d) tal-Artikolu 429a(2)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-CRR</w:t>
            </w:r>
          </w:p>
          <w:p w14:paraId="6AD424FF" w14:textId="63E03310" w:rsidR="003B054D" w:rsidRPr="000B66BC" w:rsidRDefault="003B054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li jew huma istituzzjoni ta’ kreditu għall-iżvilupp pubbliku jew li għandhom unità għall-iżvilupp pubbliku għandhom jirrapportaw it-tip ta’ protezzjoni riċevuta</w:t>
            </w:r>
          </w:p>
          <w:p w14:paraId="70381FB6" w14:textId="2B13E154" w:rsidR="003B054D" w:rsidRPr="000B66BC" w:rsidRDefault="003B054D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L-istituzzjonijiet għandhom jindikaw “VERU” fir-ringiela li tikkorrispondi għat-tip(i) ta’ protezzjoni applikabbli jew inkella “FALZ”.</w:t>
            </w:r>
          </w:p>
        </w:tc>
      </w:tr>
      <w:tr w:rsidR="004D70D0" w:rsidRPr="00E75BB8" w14:paraId="049655D5" w14:textId="77777777" w:rsidTr="000B66BC">
        <w:tc>
          <w:tcPr>
            <w:tcW w:w="1730" w:type="dxa"/>
          </w:tcPr>
          <w:p w14:paraId="1DD88EB6" w14:textId="02D4AA7C" w:rsidR="004D70D0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{0110;0010}</w:t>
            </w:r>
          </w:p>
        </w:tc>
        <w:tc>
          <w:tcPr>
            <w:tcW w:w="7308" w:type="dxa"/>
          </w:tcPr>
          <w:p w14:paraId="29D5A7E2" w14:textId="34B8184D" w:rsidR="004D70D0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Obbligu li tiġi protetta l-vijabbiltà tal-istituzzjonijiet ta’ kreditu</w:t>
            </w:r>
          </w:p>
        </w:tc>
      </w:tr>
      <w:tr w:rsidR="004D70D0" w:rsidRPr="00E75BB8" w14:paraId="4796D2E1" w14:textId="77777777" w:rsidTr="000B66BC">
        <w:tc>
          <w:tcPr>
            <w:tcW w:w="1730" w:type="dxa"/>
          </w:tcPr>
          <w:p w14:paraId="16677FDC" w14:textId="37E0FCCD" w:rsidR="004D70D0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{0120;0010}</w:t>
            </w:r>
          </w:p>
        </w:tc>
        <w:tc>
          <w:tcPr>
            <w:tcW w:w="7308" w:type="dxa"/>
          </w:tcPr>
          <w:p w14:paraId="01E19ED4" w14:textId="2C530F26" w:rsidR="00F966CA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Garanzija diretta tar-rekwiżiti ta’ fondi proprji tal-istituzzjonijiet ta’ kreditu, rekwiżiti ta’ finanzjament jew self promozzjonali mogħti</w:t>
            </w:r>
          </w:p>
        </w:tc>
      </w:tr>
      <w:tr w:rsidR="004D70D0" w:rsidRPr="00E75BB8" w14:paraId="5FD34A30" w14:textId="77777777" w:rsidTr="000B66BC">
        <w:tc>
          <w:tcPr>
            <w:tcW w:w="1730" w:type="dxa"/>
          </w:tcPr>
          <w:p w14:paraId="0024CD7F" w14:textId="224F79CB" w:rsidR="004D70D0" w:rsidRPr="000B66BC" w:rsidRDefault="00F966CA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{0130;0010}</w:t>
            </w:r>
          </w:p>
        </w:tc>
        <w:tc>
          <w:tcPr>
            <w:tcW w:w="7308" w:type="dxa"/>
          </w:tcPr>
          <w:p w14:paraId="6809ECEE" w14:textId="15891213" w:rsidR="002C169A" w:rsidRPr="000B66BC" w:rsidRDefault="004D70D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Garanzija indiretta tar-rekwiżiti ta’ fondi proprji tal-istituzzjonijiet ta’ kreditu, rekwiżiti ta’ finanzjament jew self promozzjonali mogħti</w:t>
            </w:r>
          </w:p>
        </w:tc>
      </w:tr>
    </w:tbl>
    <w:p w14:paraId="47D20A93" w14:textId="77777777" w:rsidR="00565261" w:rsidRPr="000B66BC" w:rsidRDefault="00565261" w:rsidP="000B66BC">
      <w:pPr>
        <w:pStyle w:val="BodyText1"/>
        <w:spacing w:after="240"/>
        <w:ind w:left="567"/>
        <w:rPr>
          <w:rFonts w:ascii="Times New Roman" w:hAnsi="Times New Roman"/>
          <w:sz w:val="24"/>
          <w:szCs w:val="24"/>
        </w:rPr>
      </w:pPr>
    </w:p>
    <w:p w14:paraId="0E59FFDF" w14:textId="35DCDD76" w:rsidR="00700DB7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80" w:name="_Toc182305162"/>
      <w:r>
        <w:rPr>
          <w:rFonts w:ascii="Times New Roman" w:hAnsi="Times New Roman"/>
          <w:b/>
          <w:sz w:val="24"/>
        </w:rPr>
        <w:t>7.</w:t>
      </w:r>
      <w:r>
        <w:tab/>
      </w:r>
      <w:r>
        <w:rPr>
          <w:rFonts w:ascii="Times New Roman" w:hAnsi="Times New Roman"/>
          <w:b/>
          <w:sz w:val="24"/>
        </w:rPr>
        <w:t>C 48.00 Volatilità tal-proporzjon tal-ingranaġġ (LR6)</w:t>
      </w:r>
      <w:bookmarkEnd w:id="80"/>
    </w:p>
    <w:p w14:paraId="4D3787F1" w14:textId="2C3256EB" w:rsidR="00700DB7" w:rsidRPr="000B66BC" w:rsidRDefault="00143C6A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29.</w:t>
      </w:r>
      <w:r>
        <w:tab/>
      </w:r>
      <w:r>
        <w:rPr>
          <w:rFonts w:ascii="Times New Roman" w:hAnsi="Times New Roman"/>
          <w:sz w:val="24"/>
        </w:rPr>
        <w:t xml:space="preserve">L-informazzjoni tinġabar għall-finijiet tal-monitoraġġ tal-volatilità tal-proporzjon tal-ingranaġġ. L-informazzjoni għandha tkun irrapportata biss minn istituzzjonijiet kbar. </w:t>
      </w:r>
    </w:p>
    <w:p w14:paraId="16B16093" w14:textId="5ABFB2E9" w:rsidR="000472E7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81" w:name="_Toc182305163"/>
      <w:r>
        <w:rPr>
          <w:rFonts w:ascii="Times New Roman" w:hAnsi="Times New Roman"/>
          <w:b/>
          <w:sz w:val="24"/>
        </w:rPr>
        <w:t>8.</w:t>
      </w:r>
      <w:r>
        <w:tab/>
      </w:r>
      <w:r>
        <w:rPr>
          <w:rFonts w:ascii="Times New Roman" w:hAnsi="Times New Roman"/>
          <w:b/>
          <w:sz w:val="24"/>
        </w:rPr>
        <w:t>C 48.01 Volatilità tal-proporzjon tal-ingranaġġ: Valur medju għall-perjodu ta’ rapportar</w:t>
      </w:r>
      <w:bookmarkEnd w:id="81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420"/>
      </w:tblGrid>
      <w:tr w:rsidR="001D7541" w:rsidRPr="00E75BB8" w14:paraId="0A7DE439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83A63B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Ringiela </w:t>
            </w:r>
          </w:p>
          <w:p w14:paraId="188CF35D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u kolonna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0E6A9" w14:textId="77777777" w:rsidR="001D7541" w:rsidRPr="000B66BC" w:rsidRDefault="0069738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Struzzjonijiet</w:t>
            </w:r>
          </w:p>
        </w:tc>
      </w:tr>
      <w:tr w:rsidR="001D7541" w:rsidRPr="00E75BB8" w14:paraId="7E8A2B67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17E1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{0010;0010}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DCEA" w14:textId="77777777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Valur medju għall-perjodu ta’ rapportar - Valur tal-iskopertura tal-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SFTs</w:t>
            </w:r>
            <w:proofErr w:type="spellEnd"/>
          </w:p>
          <w:p w14:paraId="27CD001D" w14:textId="4B020038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L-istituzzjonijiet għandhom jirrapportaw il-medja tal-valuri ta’ kuljum tat-trimestru tar-rapportar tal-valur tal-iskopertura tal-SFT nett tal-komponent eżentat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-CCP tal-iskoperturi ta’ negozju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għall-klijent kif definit fir-ringieli 0010 u 0050 tal-formola C47.00.</w:t>
            </w:r>
          </w:p>
        </w:tc>
      </w:tr>
      <w:tr w:rsidR="001D7541" w:rsidRPr="00E75BB8" w14:paraId="4C36FCA0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0A94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{0010;0020}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827F" w14:textId="77777777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 xml:space="preserve">Valur medju għall-perjodu ta’ rapportar – Aġġustamenti għal tranżazzjonijiet kontabilistiċi tal-bejgħ tal-SFT </w:t>
            </w:r>
          </w:p>
          <w:p w14:paraId="53B119C8" w14:textId="5C8C9F92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il-medja tal-valuri ta’ kuljum tat-trimestru tar-rapportar tal-aġġustamenti għat-tranżazzjonijiet kontabilistiċi tal-bejgħ tal-SFT kif definit fir-ringiela 0230 tal-formola C47.00.</w:t>
            </w:r>
          </w:p>
        </w:tc>
      </w:tr>
    </w:tbl>
    <w:p w14:paraId="74866056" w14:textId="69DED7CA" w:rsidR="000472E7" w:rsidRPr="000B66BC" w:rsidRDefault="000472E7" w:rsidP="000B66BC">
      <w:pPr>
        <w:pStyle w:val="BodyText1"/>
        <w:spacing w:after="240"/>
        <w:ind w:left="567"/>
        <w:rPr>
          <w:rFonts w:ascii="Times New Roman" w:hAnsi="Times New Roman"/>
          <w:sz w:val="24"/>
          <w:szCs w:val="24"/>
        </w:rPr>
      </w:pPr>
    </w:p>
    <w:p w14:paraId="622AB7C1" w14:textId="0B8B7A60" w:rsidR="001D7541" w:rsidRPr="000B66BC" w:rsidRDefault="005F4574" w:rsidP="000B66BC">
      <w:pPr>
        <w:pStyle w:val="BodyText1"/>
        <w:spacing w:after="240"/>
        <w:ind w:left="357" w:hanging="357"/>
        <w:outlineLvl w:val="1"/>
        <w:rPr>
          <w:rFonts w:ascii="Times New Roman" w:hAnsi="Times New Roman"/>
          <w:b/>
          <w:sz w:val="24"/>
          <w:szCs w:val="24"/>
        </w:rPr>
      </w:pPr>
      <w:bookmarkStart w:id="82" w:name="_Toc182305164"/>
      <w:r>
        <w:rPr>
          <w:rFonts w:ascii="Times New Roman" w:hAnsi="Times New Roman"/>
          <w:b/>
          <w:sz w:val="24"/>
        </w:rPr>
        <w:t>9.</w:t>
      </w:r>
      <w:r>
        <w:tab/>
      </w:r>
      <w:r>
        <w:rPr>
          <w:rFonts w:ascii="Times New Roman" w:hAnsi="Times New Roman"/>
          <w:b/>
          <w:sz w:val="24"/>
        </w:rPr>
        <w:t>C 48.02 Volatilità tal-proporzjon tal-ingranaġġ: Valuri ta’ kuljum għall-perjodu ta’ rapportar</w:t>
      </w:r>
      <w:bookmarkEnd w:id="82"/>
    </w:p>
    <w:p w14:paraId="1BD85257" w14:textId="38D419A9" w:rsidR="001D7541" w:rsidRPr="000B66BC" w:rsidRDefault="00FA475C" w:rsidP="000B66BC">
      <w:pPr>
        <w:pStyle w:val="BodyText1"/>
        <w:spacing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30.</w:t>
      </w:r>
      <w:r>
        <w:tab/>
      </w:r>
      <w:r>
        <w:rPr>
          <w:rFonts w:ascii="Times New Roman" w:hAnsi="Times New Roman"/>
          <w:sz w:val="24"/>
        </w:rPr>
        <w:t xml:space="preserve">Il-valuri ta’ kuljum matul it-trimestru għandhom jiġu rrapportati. </w:t>
      </w:r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420"/>
      </w:tblGrid>
      <w:tr w:rsidR="001D7541" w:rsidRPr="00E75BB8" w14:paraId="2AC7E931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FA717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Ringiela </w:t>
            </w:r>
          </w:p>
          <w:p w14:paraId="4A69CF68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u kolonna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46AF82" w14:textId="77777777" w:rsidR="001D7541" w:rsidRPr="000B66BC" w:rsidRDefault="00697380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Struzzjonijiet</w:t>
            </w:r>
          </w:p>
        </w:tc>
      </w:tr>
      <w:tr w:rsidR="001D7541" w:rsidRPr="00E75BB8" w14:paraId="07392E1F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3E8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{0010;0010}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BEFA" w14:textId="7EF262DA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Data ta’ referenza fil-perjodu ta’ rapportar</w:t>
            </w:r>
          </w:p>
          <w:p w14:paraId="11691437" w14:textId="6CB0BDCD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L-istituzzjonijiet għandhom jirrapportaw id-data li għaliha jirreferi l-valur irrapportat ta’ kuljum. Kull jum tat-trimestru tar-rapportar għandu jiġi rrapportat.</w:t>
            </w:r>
          </w:p>
        </w:tc>
      </w:tr>
      <w:tr w:rsidR="001D7541" w:rsidRPr="00E75BB8" w14:paraId="1251FDD1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EDA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{0010;0020}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D5C0" w14:textId="77777777" w:rsidR="001D7541" w:rsidRPr="000B66BC" w:rsidRDefault="001D7541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Valur tal-iskopertura tal-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4"/>
              </w:rPr>
              <w:t>SFTs</w:t>
            </w:r>
            <w:proofErr w:type="spellEnd"/>
          </w:p>
          <w:p w14:paraId="56D707C5" w14:textId="5C4FBC5B" w:rsidR="001D7541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 xml:space="preserve">L-istituzzjonijiet għandhom jirrapportaw il-valuri ta’ kuljum tat-trimestru tar-rapportar tal-valur tal-iskopertura tal-SFT nett mill-komponent eżentat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tas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-CCP tal-iskoperturi ta’ negozju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kklirjati</w:t>
            </w:r>
            <w:proofErr w:type="spellEnd"/>
            <w:r>
              <w:rPr>
                <w:rFonts w:ascii="Times New Roman" w:hAnsi="Times New Roman"/>
                <w:color w:val="auto"/>
                <w:sz w:val="24"/>
              </w:rPr>
              <w:t xml:space="preserve"> għall-klijent kif imsemmi fir-ringieli 0010 u 0050 tal-formola C47.00.</w:t>
            </w:r>
          </w:p>
        </w:tc>
      </w:tr>
      <w:tr w:rsidR="001D7541" w:rsidRPr="00E75BB8" w14:paraId="324DD469" w14:textId="77777777" w:rsidTr="000B66BC">
        <w:trPr>
          <w:trHeight w:val="30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7F5" w14:textId="77777777" w:rsidR="001D7541" w:rsidRPr="000B66BC" w:rsidRDefault="001D7541" w:rsidP="000B66BC">
            <w:pPr>
              <w:pStyle w:val="BodyText1"/>
              <w:spacing w:after="24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{0010;0030}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8237" w14:textId="77777777" w:rsidR="001D7541" w:rsidRPr="000B66BC" w:rsidRDefault="00640D9C" w:rsidP="000B66BC">
            <w:pPr>
              <w:pStyle w:val="BodyText1"/>
              <w:spacing w:after="24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</w:rPr>
              <w:t>Aġġustamenti għal tranżazzjonijiet kontabilistiċi ta’ bejgħ SFT</w:t>
            </w:r>
          </w:p>
          <w:p w14:paraId="757C080D" w14:textId="4E51B80D" w:rsidR="00926849" w:rsidRPr="000B66BC" w:rsidRDefault="005E0E4A" w:rsidP="000B66BC">
            <w:pPr>
              <w:pStyle w:val="BodyText1"/>
              <w:spacing w:after="240" w:line="240" w:lineRule="auto"/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L-istituzzjonijiet għandhom jirrapportaw il-valuri ta’ kuljum tat-trimestru tar-rapportar tal-aġġustamenti għat-tranżazzjonijiet kontabilistiċi tal-bejgħ tal-SFT kif definit fir-ringiela 0230 tal-formola C 47.00.</w:t>
            </w:r>
          </w:p>
        </w:tc>
      </w:tr>
    </w:tbl>
    <w:p w14:paraId="49B21AC1" w14:textId="77777777" w:rsidR="0009615C" w:rsidRPr="000B66BC" w:rsidRDefault="0009615C" w:rsidP="000B66BC">
      <w:pPr>
        <w:pStyle w:val="BodyText1"/>
        <w:spacing w:after="240"/>
        <w:rPr>
          <w:rFonts w:ascii="Times New Roman" w:hAnsi="Times New Roman"/>
          <w:sz w:val="24"/>
          <w:szCs w:val="24"/>
        </w:rPr>
      </w:pPr>
    </w:p>
    <w:sectPr w:rsidR="0009615C" w:rsidRPr="000B66BC" w:rsidSect="005315D3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522" w:right="1418" w:bottom="1560" w:left="1418" w:header="851" w:footer="141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E5774" w14:textId="77777777" w:rsidR="00246A51" w:rsidRDefault="00246A51">
      <w:r>
        <w:separator/>
      </w:r>
    </w:p>
  </w:endnote>
  <w:endnote w:type="continuationSeparator" w:id="0">
    <w:p w14:paraId="48B49365" w14:textId="77777777" w:rsidR="00246A51" w:rsidRDefault="00246A51">
      <w:r>
        <w:continuationSeparator/>
      </w:r>
    </w:p>
  </w:endnote>
  <w:endnote w:type="continuationNotice" w:id="1">
    <w:p w14:paraId="2F022A14" w14:textId="77777777" w:rsidR="00246A51" w:rsidRDefault="00246A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C160F" w14:textId="2B225E98" w:rsidR="000B66BC" w:rsidRPr="00A772B4" w:rsidRDefault="000B66BC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 w14:paraId="2D971917" w14:textId="77777777" w:rsidR="000B66BC" w:rsidRDefault="000B66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83053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77655A" w14:textId="0638364B" w:rsidR="000B66BC" w:rsidRDefault="000B66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D7804EA" w14:textId="77777777" w:rsidR="000B66BC" w:rsidRDefault="000B66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</w:rPr>
      <w:id w:val="17201704"/>
      <w:docPartObj>
        <w:docPartGallery w:val="Page Numbers (Bottom of Page)"/>
        <w:docPartUnique/>
      </w:docPartObj>
    </w:sdtPr>
    <w:sdtEndPr/>
    <w:sdtContent>
      <w:p w14:paraId="3FFD22B5" w14:textId="039A8FD3" w:rsidR="000B66BC" w:rsidRPr="009A78F0" w:rsidRDefault="000B66BC" w:rsidP="009A78F0">
        <w:pPr>
          <w:pStyle w:val="Footer"/>
          <w:spacing w:line="240" w:lineRule="auto"/>
          <w:jc w:val="center"/>
          <w:rPr>
            <w:rFonts w:ascii="Times New Roman" w:hAnsi="Times New Roman"/>
            <w:sz w:val="20"/>
          </w:rPr>
        </w:pPr>
        <w:r>
          <w:rPr>
            <w:rFonts w:ascii="Times New Roman" w:hAnsi="Times New Roman"/>
            <w:sz w:val="20"/>
          </w:rPr>
          <w:fldChar w:fldCharType="begin"/>
        </w:r>
        <w:r>
          <w:rPr>
            <w:rFonts w:ascii="Times New Roman" w:hAnsi="Times New Roman"/>
            <w:sz w:val="20"/>
          </w:rPr>
          <w:instrText xml:space="preserve"> PAGE   \* MERGEFORMAT </w:instrText>
        </w:r>
        <w:r>
          <w:rPr>
            <w:rFonts w:ascii="Times New Roman" w:hAnsi="Times New Roman"/>
            <w:sz w:val="20"/>
          </w:rPr>
          <w:fldChar w:fldCharType="separate"/>
        </w:r>
        <w:r>
          <w:rPr>
            <w:rFonts w:ascii="Times New Roman" w:hAnsi="Times New Roman"/>
            <w:sz w:val="20"/>
          </w:rPr>
          <w:t>3</w:t>
        </w:r>
        <w:r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1700"/>
      <w:docPartObj>
        <w:docPartGallery w:val="Page Numbers (Bottom of Page)"/>
        <w:docPartUnique/>
      </w:docPartObj>
    </w:sdtPr>
    <w:sdtEndPr/>
    <w:sdtContent>
      <w:p w14:paraId="58D08035" w14:textId="77777777" w:rsidR="000B66BC" w:rsidRDefault="000B66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14:paraId="51D344E0" w14:textId="77777777" w:rsidR="000B66BC" w:rsidRDefault="000B66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C18F3" w14:textId="77777777" w:rsidR="00246A51" w:rsidRPr="004D223F" w:rsidRDefault="00246A51" w:rsidP="00C7701D">
      <w:r>
        <w:continuationSeparator/>
      </w:r>
    </w:p>
  </w:footnote>
  <w:footnote w:type="continuationSeparator" w:id="0">
    <w:p w14:paraId="668A8285" w14:textId="77777777" w:rsidR="00246A51" w:rsidRDefault="00246A51">
      <w:r>
        <w:continuationSeparator/>
      </w:r>
    </w:p>
  </w:footnote>
  <w:footnote w:type="continuationNotice" w:id="1">
    <w:p w14:paraId="191D2AE9" w14:textId="77777777" w:rsidR="00246A51" w:rsidRDefault="00246A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359B9" w14:textId="4F64E569" w:rsidR="000B66BC" w:rsidRDefault="001F5E8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CC1CACD" wp14:editId="1936BD4F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89624914" name="Text Box 489624914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55D8BC" w14:textId="1F687825" w:rsidR="001F5E87" w:rsidRPr="001F5E87" w:rsidRDefault="001F5E87" w:rsidP="001F5E87">
                          <w:pPr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C1CACD" id="_x0000_t202" coordsize="21600,21600" o:spt="202" path="m,l,21600r21600,l21600,xe">
              <v:stroke joinstyle="miter"/>
              <v:path gradientshapeok="t" o:connecttype="rect"/>
            </v:shapetype>
            <v:shape id="Text Box 489624914" o:spid="_x0000_s1026" type="#_x0000_t202" alt="Użu Regolari tal-EBA" style="position:absolute;left:0;text-align:left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355D8BC" w14:textId="1F687825" w:rsidR="001F5E87" w:rsidRPr="001F5E87" w:rsidRDefault="001F5E87" w:rsidP="001F5E87">
                    <w:pPr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F71AD" w14:textId="5352D09C" w:rsidR="000B66BC" w:rsidRPr="00B93D0F" w:rsidRDefault="001F5E87" w:rsidP="00B93D0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2B19CDBC" wp14:editId="0EA62CA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99333934" name="Text Box 499333934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AF00E0" w14:textId="27C18584" w:rsidR="001F5E87" w:rsidRPr="001F5E87" w:rsidRDefault="001F5E87" w:rsidP="001F5E87">
                          <w:pPr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9CDBC" id="_x0000_t202" coordsize="21600,21600" o:spt="202" path="m,l,21600r21600,l21600,xe">
              <v:stroke joinstyle="miter"/>
              <v:path gradientshapeok="t" o:connecttype="rect"/>
            </v:shapetype>
            <v:shape id="Text Box 499333934" o:spid="_x0000_s1027" type="#_x0000_t202" alt="Użu Regolari tal-EBA" style="position:absolute;left:0;text-align:left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6FAF00E0" w14:textId="27C18584" w:rsidR="001F5E87" w:rsidRPr="001F5E87" w:rsidRDefault="001F5E87" w:rsidP="001F5E87">
                    <w:pPr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32A18" w14:textId="244788FF" w:rsidR="000B66BC" w:rsidRPr="000B66BC" w:rsidRDefault="001F5E87" w:rsidP="000B66B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675F660B" wp14:editId="78920B4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102765287" name="Text Box 1102765287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2D41A" w14:textId="4C6FCB87" w:rsidR="001F5E87" w:rsidRPr="001F5E87" w:rsidRDefault="001F5E87" w:rsidP="001F5E87">
                          <w:pPr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5F660B" id="_x0000_t202" coordsize="21600,21600" o:spt="202" path="m,l,21600r21600,l21600,xe">
              <v:stroke joinstyle="miter"/>
              <v:path gradientshapeok="t" o:connecttype="rect"/>
            </v:shapetype>
            <v:shape id="Text Box 1102765287" o:spid="_x0000_s1028" type="#_x0000_t202" alt="Użu Regolari tal-EBA" style="position:absolute;left:0;text-align:left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A62D41A" w14:textId="4C6FCB87" w:rsidR="001F5E87" w:rsidRPr="001F5E87" w:rsidRDefault="001F5E87" w:rsidP="001F5E87">
                    <w:pPr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E0DCE" w14:textId="0A918D55" w:rsidR="001F5E87" w:rsidRDefault="001F5E8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0CE7BC3D" wp14:editId="42490FE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344682523" name="Text Box 134468252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22957A" w14:textId="45CD2FFA" w:rsidR="001F5E87" w:rsidRPr="001F5E87" w:rsidRDefault="001F5E87" w:rsidP="001F5E87">
                          <w:pPr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E7BC3D" id="_x0000_t202" coordsize="21600,21600" o:spt="202" path="m,l,21600r21600,l21600,xe">
              <v:stroke joinstyle="miter"/>
              <v:path gradientshapeok="t" o:connecttype="rect"/>
            </v:shapetype>
            <v:shape id="Text Box 1344682523" o:spid="_x0000_s1029" type="#_x0000_t202" alt="Użu Regolari tal-EBA" style="position:absolute;left:0;text-align:left;margin-left:0;margin-top:0;width:34.95pt;height:34.95pt;z-index:251658245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BI6APD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2C22957A" w14:textId="45CD2FFA" w:rsidR="001F5E87" w:rsidRPr="001F5E87" w:rsidRDefault="001F5E87" w:rsidP="001F5E87">
                    <w:pPr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E0FDF" w14:textId="1BA26D02" w:rsidR="001F5E87" w:rsidRDefault="001F5E8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413C97DB" wp14:editId="7372235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926357965" name="Text Box 926357965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8B35F7" w14:textId="6DA22982" w:rsidR="001F5E87" w:rsidRPr="001F5E87" w:rsidRDefault="001F5E87" w:rsidP="001F5E87">
                          <w:pPr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3C97DB" id="_x0000_t202" coordsize="21600,21600" o:spt="202" path="m,l,21600r21600,l21600,xe">
              <v:stroke joinstyle="miter"/>
              <v:path gradientshapeok="t" o:connecttype="rect"/>
            </v:shapetype>
            <v:shape id="Text Box 926357965" o:spid="_x0000_s1030" type="#_x0000_t202" alt="Użu Regolari tal-EBA" style="position:absolute;left:0;text-align:left;margin-left:0;margin-top:0;width:34.95pt;height:34.95pt;z-index:251658246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AaS2XO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6E8B35F7" w14:textId="6DA22982" w:rsidR="001F5E87" w:rsidRPr="001F5E87" w:rsidRDefault="001F5E87" w:rsidP="001F5E87">
                    <w:pPr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B18FA" w14:textId="0DC306E7" w:rsidR="000B66BC" w:rsidRDefault="001F5E87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0DEC7D00" wp14:editId="002029F1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284483510" name="Text Box 284483510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079A16" w14:textId="68AF0758" w:rsidR="001F5E87" w:rsidRPr="001F5E87" w:rsidRDefault="001F5E87" w:rsidP="001F5E87">
                          <w:pPr>
                            <w:rPr>
                              <w:rFonts w:ascii="Calibri" w:eastAsia="Calibri" w:hAnsi="Calibri" w:cs="Calibri"/>
                              <w:noProof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EC7D00" id="_x0000_t202" coordsize="21600,21600" o:spt="202" path="m,l,21600r21600,l21600,xe">
              <v:stroke joinstyle="miter"/>
              <v:path gradientshapeok="t" o:connecttype="rect"/>
            </v:shapetype>
            <v:shape id="Text Box 284483510" o:spid="_x0000_s1031" type="#_x0000_t202" alt="Użu Regolari tal-EBA" style="position:absolute;left:0;text-align:left;margin-left:0;margin-top:0;width:34.95pt;height:34.95pt;z-index:25165824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RG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K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DqxORG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32079A16" w14:textId="68AF0758" w:rsidR="001F5E87" w:rsidRPr="001F5E87" w:rsidRDefault="001F5E87" w:rsidP="001F5E87">
                    <w:pPr>
                      <w:rPr>
                        <w:rFonts w:ascii="Calibri" w:eastAsia="Calibri" w:hAnsi="Calibri" w:cs="Calibri"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Calibri" w:hAnsi="Calibri"/>
                        <w:sz w:val="24"/>
                      </w:rPr>
                      <w:t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1" locked="1" layoutInCell="0" allowOverlap="1" wp14:anchorId="724668FC" wp14:editId="123690D9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86174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70.6pt;margin-top:42.7pt;width:453.55pt;height:0;flip:x;z-index:-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" o:allowincell="f" strokecolor="#48748f [3204]">
              <w10:wrap anchorx="page" anchory="page"/>
              <w10:anchorlock/>
            </v:shape>
          </w:pict>
        </mc:Fallback>
      </mc:AlternateContent>
    </w:r>
  </w:p>
  <w:p w14:paraId="530A286E" w14:textId="77777777" w:rsidR="000B66BC" w:rsidRDefault="000B66BC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653A"/>
    <w:multiLevelType w:val="hybridMultilevel"/>
    <w:tmpl w:val="4C420076"/>
    <w:lvl w:ilvl="0" w:tplc="F50C75D0">
      <w:start w:val="1"/>
      <w:numFmt w:val="lowerRoman"/>
      <w:lvlText w:val="(%1)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4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6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C64F8"/>
    <w:multiLevelType w:val="hybridMultilevel"/>
    <w:tmpl w:val="94C49C90"/>
    <w:lvl w:ilvl="0" w:tplc="BDAACF18">
      <w:start w:val="1"/>
      <w:numFmt w:val="decimal"/>
      <w:lvlText w:val="%1)"/>
      <w:lvlJc w:val="left"/>
      <w:pPr>
        <w:ind w:left="1440" w:hanging="360"/>
      </w:pPr>
    </w:lvl>
    <w:lvl w:ilvl="1" w:tplc="7E8AF492">
      <w:start w:val="1"/>
      <w:numFmt w:val="decimal"/>
      <w:lvlText w:val="%2)"/>
      <w:lvlJc w:val="left"/>
      <w:pPr>
        <w:ind w:left="1440" w:hanging="360"/>
      </w:pPr>
    </w:lvl>
    <w:lvl w:ilvl="2" w:tplc="39D2B360">
      <w:start w:val="1"/>
      <w:numFmt w:val="decimal"/>
      <w:lvlText w:val="%3)"/>
      <w:lvlJc w:val="left"/>
      <w:pPr>
        <w:ind w:left="1440" w:hanging="360"/>
      </w:pPr>
    </w:lvl>
    <w:lvl w:ilvl="3" w:tplc="F0801F8E">
      <w:start w:val="1"/>
      <w:numFmt w:val="decimal"/>
      <w:lvlText w:val="%4)"/>
      <w:lvlJc w:val="left"/>
      <w:pPr>
        <w:ind w:left="1440" w:hanging="360"/>
      </w:pPr>
    </w:lvl>
    <w:lvl w:ilvl="4" w:tplc="0F92C66E">
      <w:start w:val="1"/>
      <w:numFmt w:val="decimal"/>
      <w:lvlText w:val="%5)"/>
      <w:lvlJc w:val="left"/>
      <w:pPr>
        <w:ind w:left="1440" w:hanging="360"/>
      </w:pPr>
    </w:lvl>
    <w:lvl w:ilvl="5" w:tplc="E3B6500E">
      <w:start w:val="1"/>
      <w:numFmt w:val="decimal"/>
      <w:lvlText w:val="%6)"/>
      <w:lvlJc w:val="left"/>
      <w:pPr>
        <w:ind w:left="1440" w:hanging="360"/>
      </w:pPr>
    </w:lvl>
    <w:lvl w:ilvl="6" w:tplc="A2C4DFB4">
      <w:start w:val="1"/>
      <w:numFmt w:val="decimal"/>
      <w:lvlText w:val="%7)"/>
      <w:lvlJc w:val="left"/>
      <w:pPr>
        <w:ind w:left="1440" w:hanging="360"/>
      </w:pPr>
    </w:lvl>
    <w:lvl w:ilvl="7" w:tplc="B6D0C224">
      <w:start w:val="1"/>
      <w:numFmt w:val="decimal"/>
      <w:lvlText w:val="%8)"/>
      <w:lvlJc w:val="left"/>
      <w:pPr>
        <w:ind w:left="1440" w:hanging="360"/>
      </w:pPr>
    </w:lvl>
    <w:lvl w:ilvl="8" w:tplc="70167148">
      <w:start w:val="1"/>
      <w:numFmt w:val="decimal"/>
      <w:lvlText w:val="%9)"/>
      <w:lvlJc w:val="left"/>
      <w:pPr>
        <w:ind w:left="1440" w:hanging="360"/>
      </w:pPr>
    </w:lvl>
  </w:abstractNum>
  <w:abstractNum w:abstractNumId="8" w15:restartNumberingAfterBreak="0">
    <w:nsid w:val="1B251DF8"/>
    <w:multiLevelType w:val="hybridMultilevel"/>
    <w:tmpl w:val="F4945D44"/>
    <w:lvl w:ilvl="0" w:tplc="83B40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35CE6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7C234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E38A6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560BA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B6E75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54CD4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DFA14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9D204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1" w15:restartNumberingAfterBreak="0">
    <w:nsid w:val="1F1B7365"/>
    <w:multiLevelType w:val="hybridMultilevel"/>
    <w:tmpl w:val="60F28E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25C4782E"/>
    <w:multiLevelType w:val="hybridMultilevel"/>
    <w:tmpl w:val="E9340D3E"/>
    <w:lvl w:ilvl="0" w:tplc="69B0F6B4">
      <w:start w:val="1"/>
      <w:numFmt w:val="decimal"/>
      <w:lvlText w:val="%1."/>
      <w:lvlJc w:val="left"/>
      <w:pPr>
        <w:ind w:left="107" w:hanging="432"/>
      </w:pPr>
      <w:rPr>
        <w:rFonts w:ascii="Times New Roman" w:eastAsia="Cambria" w:hAnsi="Times New Roman" w:cs="Times New Roman" w:hint="default"/>
        <w:w w:val="99"/>
        <w:sz w:val="24"/>
        <w:szCs w:val="24"/>
        <w:lang w:val="en-US" w:eastAsia="en-US" w:bidi="en-US"/>
      </w:rPr>
    </w:lvl>
    <w:lvl w:ilvl="1" w:tplc="769CDF62">
      <w:numFmt w:val="bullet"/>
      <w:lvlText w:val="•"/>
      <w:lvlJc w:val="left"/>
      <w:pPr>
        <w:ind w:left="1032" w:hanging="432"/>
      </w:pPr>
      <w:rPr>
        <w:lang w:val="en-US" w:eastAsia="en-US" w:bidi="en-US"/>
      </w:rPr>
    </w:lvl>
    <w:lvl w:ilvl="2" w:tplc="6D28036C">
      <w:numFmt w:val="bullet"/>
      <w:lvlText w:val="•"/>
      <w:lvlJc w:val="left"/>
      <w:pPr>
        <w:ind w:left="1965" w:hanging="432"/>
      </w:pPr>
      <w:rPr>
        <w:lang w:val="en-US" w:eastAsia="en-US" w:bidi="en-US"/>
      </w:rPr>
    </w:lvl>
    <w:lvl w:ilvl="3" w:tplc="A2FC0E62">
      <w:numFmt w:val="bullet"/>
      <w:lvlText w:val="•"/>
      <w:lvlJc w:val="left"/>
      <w:pPr>
        <w:ind w:left="2897" w:hanging="432"/>
      </w:pPr>
      <w:rPr>
        <w:lang w:val="en-US" w:eastAsia="en-US" w:bidi="en-US"/>
      </w:rPr>
    </w:lvl>
    <w:lvl w:ilvl="4" w:tplc="421C7C0E">
      <w:numFmt w:val="bullet"/>
      <w:lvlText w:val="•"/>
      <w:lvlJc w:val="left"/>
      <w:pPr>
        <w:ind w:left="3830" w:hanging="432"/>
      </w:pPr>
      <w:rPr>
        <w:lang w:val="en-US" w:eastAsia="en-US" w:bidi="en-US"/>
      </w:rPr>
    </w:lvl>
    <w:lvl w:ilvl="5" w:tplc="9D64ABBC">
      <w:numFmt w:val="bullet"/>
      <w:lvlText w:val="•"/>
      <w:lvlJc w:val="left"/>
      <w:pPr>
        <w:ind w:left="4762" w:hanging="432"/>
      </w:pPr>
      <w:rPr>
        <w:lang w:val="en-US" w:eastAsia="en-US" w:bidi="en-US"/>
      </w:rPr>
    </w:lvl>
    <w:lvl w:ilvl="6" w:tplc="E174AD06">
      <w:numFmt w:val="bullet"/>
      <w:lvlText w:val="•"/>
      <w:lvlJc w:val="left"/>
      <w:pPr>
        <w:ind w:left="5695" w:hanging="432"/>
      </w:pPr>
      <w:rPr>
        <w:lang w:val="en-US" w:eastAsia="en-US" w:bidi="en-US"/>
      </w:rPr>
    </w:lvl>
    <w:lvl w:ilvl="7" w:tplc="6A526752">
      <w:numFmt w:val="bullet"/>
      <w:lvlText w:val="•"/>
      <w:lvlJc w:val="left"/>
      <w:pPr>
        <w:ind w:left="6627" w:hanging="432"/>
      </w:pPr>
      <w:rPr>
        <w:lang w:val="en-US" w:eastAsia="en-US" w:bidi="en-US"/>
      </w:rPr>
    </w:lvl>
    <w:lvl w:ilvl="8" w:tplc="203ACF58">
      <w:numFmt w:val="bullet"/>
      <w:lvlText w:val="•"/>
      <w:lvlJc w:val="left"/>
      <w:pPr>
        <w:ind w:left="7560" w:hanging="432"/>
      </w:pPr>
      <w:rPr>
        <w:lang w:val="en-US" w:eastAsia="en-US" w:bidi="en-US"/>
      </w:rPr>
    </w:lvl>
  </w:abstractNum>
  <w:abstractNum w:abstractNumId="14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66497"/>
    <w:multiLevelType w:val="hybridMultilevel"/>
    <w:tmpl w:val="8A1E4BD4"/>
    <w:lvl w:ilvl="0" w:tplc="0809001B">
      <w:start w:val="1"/>
      <w:numFmt w:val="lowerRoman"/>
      <w:lvlText w:val="%1."/>
      <w:lvlJc w:val="right"/>
      <w:pPr>
        <w:ind w:left="827" w:hanging="360"/>
      </w:pPr>
    </w:lvl>
    <w:lvl w:ilvl="1" w:tplc="08090019">
      <w:start w:val="1"/>
      <w:numFmt w:val="lowerLetter"/>
      <w:lvlText w:val="%2."/>
      <w:lvlJc w:val="left"/>
      <w:pPr>
        <w:ind w:left="1547" w:hanging="360"/>
      </w:pPr>
    </w:lvl>
    <w:lvl w:ilvl="2" w:tplc="0809001B">
      <w:start w:val="1"/>
      <w:numFmt w:val="lowerRoman"/>
      <w:lvlText w:val="%3."/>
      <w:lvlJc w:val="right"/>
      <w:pPr>
        <w:ind w:left="2267" w:hanging="180"/>
      </w:pPr>
    </w:lvl>
    <w:lvl w:ilvl="3" w:tplc="0809000F">
      <w:start w:val="1"/>
      <w:numFmt w:val="decimal"/>
      <w:lvlText w:val="%4."/>
      <w:lvlJc w:val="left"/>
      <w:pPr>
        <w:ind w:left="2987" w:hanging="360"/>
      </w:pPr>
    </w:lvl>
    <w:lvl w:ilvl="4" w:tplc="08090019">
      <w:start w:val="1"/>
      <w:numFmt w:val="lowerLetter"/>
      <w:lvlText w:val="%5."/>
      <w:lvlJc w:val="left"/>
      <w:pPr>
        <w:ind w:left="3707" w:hanging="360"/>
      </w:pPr>
    </w:lvl>
    <w:lvl w:ilvl="5" w:tplc="0809001B">
      <w:start w:val="1"/>
      <w:numFmt w:val="lowerRoman"/>
      <w:lvlText w:val="%6."/>
      <w:lvlJc w:val="right"/>
      <w:pPr>
        <w:ind w:left="4427" w:hanging="180"/>
      </w:pPr>
    </w:lvl>
    <w:lvl w:ilvl="6" w:tplc="0809000F">
      <w:start w:val="1"/>
      <w:numFmt w:val="decimal"/>
      <w:lvlText w:val="%7."/>
      <w:lvlJc w:val="left"/>
      <w:pPr>
        <w:ind w:left="5147" w:hanging="360"/>
      </w:pPr>
    </w:lvl>
    <w:lvl w:ilvl="7" w:tplc="08090019">
      <w:start w:val="1"/>
      <w:numFmt w:val="lowerLetter"/>
      <w:lvlText w:val="%8."/>
      <w:lvlJc w:val="left"/>
      <w:pPr>
        <w:ind w:left="5867" w:hanging="360"/>
      </w:pPr>
    </w:lvl>
    <w:lvl w:ilvl="8" w:tplc="0809001B">
      <w:start w:val="1"/>
      <w:numFmt w:val="lowerRoman"/>
      <w:lvlText w:val="%9."/>
      <w:lvlJc w:val="right"/>
      <w:pPr>
        <w:ind w:left="6587" w:hanging="180"/>
      </w:pPr>
    </w:lvl>
  </w:abstractNum>
  <w:abstractNum w:abstractNumId="17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1E79A8"/>
    <w:multiLevelType w:val="multilevel"/>
    <w:tmpl w:val="DE88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3057CB8"/>
    <w:multiLevelType w:val="hybridMultilevel"/>
    <w:tmpl w:val="2698E4A4"/>
    <w:lvl w:ilvl="0" w:tplc="8FD0AD34">
      <w:start w:val="1"/>
      <w:numFmt w:val="decimal"/>
      <w:pStyle w:val="InstructionsText2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433EA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2032807"/>
    <w:multiLevelType w:val="hybridMultilevel"/>
    <w:tmpl w:val="9F3423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25" w15:restartNumberingAfterBreak="0">
    <w:nsid w:val="452C66B8"/>
    <w:multiLevelType w:val="hybridMultilevel"/>
    <w:tmpl w:val="D134736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0227369"/>
    <w:multiLevelType w:val="hybridMultilevel"/>
    <w:tmpl w:val="88A482EC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054905"/>
    <w:multiLevelType w:val="hybridMultilevel"/>
    <w:tmpl w:val="33709D28"/>
    <w:lvl w:ilvl="0" w:tplc="DBFAA0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8804A2"/>
    <w:multiLevelType w:val="hybridMultilevel"/>
    <w:tmpl w:val="E424B660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3330B4A"/>
    <w:multiLevelType w:val="hybridMultilevel"/>
    <w:tmpl w:val="4C420076"/>
    <w:lvl w:ilvl="0" w:tplc="F50C75D0">
      <w:start w:val="1"/>
      <w:numFmt w:val="lowerRoman"/>
      <w:lvlText w:val="(%1)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00117E"/>
    <w:multiLevelType w:val="hybridMultilevel"/>
    <w:tmpl w:val="644E74F8"/>
    <w:lvl w:ilvl="0" w:tplc="BE927E64">
      <w:start w:val="1"/>
      <w:numFmt w:val="lowerRoman"/>
      <w:lvlText w:val="(%1)"/>
      <w:lvlJc w:val="left"/>
      <w:pPr>
        <w:ind w:left="753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2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7" w15:restartNumberingAfterBreak="0">
    <w:nsid w:val="6A237D39"/>
    <w:multiLevelType w:val="hybridMultilevel"/>
    <w:tmpl w:val="517C8AE6"/>
    <w:lvl w:ilvl="0" w:tplc="3A5C5BF2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D76F86"/>
    <w:multiLevelType w:val="hybridMultilevel"/>
    <w:tmpl w:val="7CDEB7F8"/>
    <w:lvl w:ilvl="0" w:tplc="2510378A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54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55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FE66477"/>
    <w:multiLevelType w:val="hybridMultilevel"/>
    <w:tmpl w:val="000A00F6"/>
    <w:lvl w:ilvl="0" w:tplc="D7EC01F8">
      <w:start w:val="1"/>
      <w:numFmt w:val="lowerRoman"/>
      <w:lvlText w:val="(%1)"/>
      <w:lvlJc w:val="left"/>
      <w:pPr>
        <w:ind w:left="1080" w:hanging="72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5761463">
    <w:abstractNumId w:val="0"/>
  </w:num>
  <w:num w:numId="2" w16cid:durableId="970552445">
    <w:abstractNumId w:val="12"/>
  </w:num>
  <w:num w:numId="3" w16cid:durableId="1400708803">
    <w:abstractNumId w:val="24"/>
  </w:num>
  <w:num w:numId="4" w16cid:durableId="1837459398">
    <w:abstractNumId w:val="10"/>
  </w:num>
  <w:num w:numId="5" w16cid:durableId="509099342">
    <w:abstractNumId w:val="3"/>
  </w:num>
  <w:num w:numId="6" w16cid:durableId="694623396">
    <w:abstractNumId w:val="53"/>
  </w:num>
  <w:num w:numId="7" w16cid:durableId="1525746459">
    <w:abstractNumId w:val="1"/>
  </w:num>
  <w:num w:numId="8" w16cid:durableId="1683117819">
    <w:abstractNumId w:val="38"/>
  </w:num>
  <w:num w:numId="9" w16cid:durableId="454295772">
    <w:abstractNumId w:val="52"/>
  </w:num>
  <w:num w:numId="10" w16cid:durableId="1975597212">
    <w:abstractNumId w:val="26"/>
  </w:num>
  <w:num w:numId="11" w16cid:durableId="536938429">
    <w:abstractNumId w:val="45"/>
  </w:num>
  <w:num w:numId="12" w16cid:durableId="1994020000">
    <w:abstractNumId w:val="22"/>
  </w:num>
  <w:num w:numId="13" w16cid:durableId="1287465312">
    <w:abstractNumId w:val="51"/>
  </w:num>
  <w:num w:numId="14" w16cid:durableId="479886270">
    <w:abstractNumId w:val="9"/>
  </w:num>
  <w:num w:numId="15" w16cid:durableId="400566751">
    <w:abstractNumId w:val="40"/>
  </w:num>
  <w:num w:numId="16" w16cid:durableId="1098134752">
    <w:abstractNumId w:val="21"/>
  </w:num>
  <w:num w:numId="17" w16cid:durableId="288359321">
    <w:abstractNumId w:val="31"/>
  </w:num>
  <w:num w:numId="18" w16cid:durableId="1911233015">
    <w:abstractNumId w:val="17"/>
  </w:num>
  <w:num w:numId="19" w16cid:durableId="1893155877">
    <w:abstractNumId w:val="43"/>
  </w:num>
  <w:num w:numId="20" w16cid:durableId="2088111212">
    <w:abstractNumId w:val="37"/>
  </w:num>
  <w:num w:numId="21" w16cid:durableId="683440504">
    <w:abstractNumId w:val="19"/>
  </w:num>
  <w:num w:numId="22" w16cid:durableId="1515611626">
    <w:abstractNumId w:val="30"/>
  </w:num>
  <w:num w:numId="23" w16cid:durableId="1549948508">
    <w:abstractNumId w:val="46"/>
  </w:num>
  <w:num w:numId="24" w16cid:durableId="267540377">
    <w:abstractNumId w:val="5"/>
  </w:num>
  <w:num w:numId="25" w16cid:durableId="1875342958">
    <w:abstractNumId w:val="34"/>
  </w:num>
  <w:num w:numId="26" w16cid:durableId="2028829910">
    <w:abstractNumId w:val="18"/>
  </w:num>
  <w:num w:numId="27" w16cid:durableId="32312066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102812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705978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00673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85228827">
    <w:abstractNumId w:val="35"/>
  </w:num>
  <w:num w:numId="32" w16cid:durableId="783109350">
    <w:abstractNumId w:val="2"/>
  </w:num>
  <w:num w:numId="33" w16cid:durableId="1779596442">
    <w:abstractNumId w:val="20"/>
  </w:num>
  <w:num w:numId="34" w16cid:durableId="820077853">
    <w:abstractNumId w:val="39"/>
  </w:num>
  <w:num w:numId="35" w16cid:durableId="1935429718">
    <w:abstractNumId w:val="11"/>
  </w:num>
  <w:num w:numId="36" w16cid:durableId="106398748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6677132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7794979">
    <w:abstractNumId w:val="13"/>
  </w:num>
  <w:num w:numId="39" w16cid:durableId="591358563">
    <w:abstractNumId w:val="25"/>
  </w:num>
  <w:num w:numId="40" w16cid:durableId="1876848649">
    <w:abstractNumId w:val="23"/>
  </w:num>
  <w:num w:numId="41" w16cid:durableId="2043825609">
    <w:abstractNumId w:val="32"/>
  </w:num>
  <w:num w:numId="42" w16cid:durableId="642925041">
    <w:abstractNumId w:val="33"/>
  </w:num>
  <w:num w:numId="43" w16cid:durableId="1028723582">
    <w:abstractNumId w:val="41"/>
  </w:num>
  <w:num w:numId="44" w16cid:durableId="1277980879">
    <w:abstractNumId w:val="54"/>
  </w:num>
  <w:num w:numId="45" w16cid:durableId="615063052">
    <w:abstractNumId w:val="44"/>
  </w:num>
  <w:num w:numId="46" w16cid:durableId="2133399515">
    <w:abstractNumId w:val="28"/>
  </w:num>
  <w:num w:numId="47" w16cid:durableId="1752845016">
    <w:abstractNumId w:val="42"/>
  </w:num>
  <w:num w:numId="48" w16cid:durableId="2105374589">
    <w:abstractNumId w:val="55"/>
  </w:num>
  <w:num w:numId="49" w16cid:durableId="1642080444">
    <w:abstractNumId w:val="15"/>
  </w:num>
  <w:num w:numId="50" w16cid:durableId="1966429305">
    <w:abstractNumId w:val="29"/>
  </w:num>
  <w:num w:numId="51" w16cid:durableId="105581313">
    <w:abstractNumId w:val="50"/>
  </w:num>
  <w:num w:numId="52" w16cid:durableId="1384014742">
    <w:abstractNumId w:val="48"/>
  </w:num>
  <w:num w:numId="53" w16cid:durableId="379670167">
    <w:abstractNumId w:val="27"/>
  </w:num>
  <w:num w:numId="54" w16cid:durableId="330643579">
    <w:abstractNumId w:val="14"/>
  </w:num>
  <w:num w:numId="55" w16cid:durableId="2113041288">
    <w:abstractNumId w:val="4"/>
  </w:num>
  <w:num w:numId="56" w16cid:durableId="561603822">
    <w:abstractNumId w:val="36"/>
  </w:num>
  <w:num w:numId="57" w16cid:durableId="1460760637">
    <w:abstractNumId w:val="6"/>
  </w:num>
  <w:num w:numId="58" w16cid:durableId="1499466624">
    <w:abstractNumId w:val="19"/>
  </w:num>
  <w:num w:numId="59" w16cid:durableId="1937980521">
    <w:abstractNumId w:val="8"/>
  </w:num>
  <w:num w:numId="60" w16cid:durableId="680665167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4754B"/>
    <w:rsid w:val="000006B9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0563"/>
    <w:rsid w:val="00011618"/>
    <w:rsid w:val="0001167D"/>
    <w:rsid w:val="00011688"/>
    <w:rsid w:val="00011BC9"/>
    <w:rsid w:val="00011E14"/>
    <w:rsid w:val="00012574"/>
    <w:rsid w:val="00012719"/>
    <w:rsid w:val="0001312C"/>
    <w:rsid w:val="00014E10"/>
    <w:rsid w:val="0001525B"/>
    <w:rsid w:val="00015C89"/>
    <w:rsid w:val="000163CB"/>
    <w:rsid w:val="000164A2"/>
    <w:rsid w:val="00016AFB"/>
    <w:rsid w:val="00017C5E"/>
    <w:rsid w:val="00020486"/>
    <w:rsid w:val="00022D49"/>
    <w:rsid w:val="000236FF"/>
    <w:rsid w:val="00024D91"/>
    <w:rsid w:val="00026A1A"/>
    <w:rsid w:val="00030988"/>
    <w:rsid w:val="00030A95"/>
    <w:rsid w:val="00030CFF"/>
    <w:rsid w:val="00031FAA"/>
    <w:rsid w:val="00032D3D"/>
    <w:rsid w:val="00032DC0"/>
    <w:rsid w:val="0003417D"/>
    <w:rsid w:val="0003735D"/>
    <w:rsid w:val="00037947"/>
    <w:rsid w:val="00043D0E"/>
    <w:rsid w:val="000448DD"/>
    <w:rsid w:val="00046DCF"/>
    <w:rsid w:val="000472E7"/>
    <w:rsid w:val="0004746E"/>
    <w:rsid w:val="00047A5F"/>
    <w:rsid w:val="000515A8"/>
    <w:rsid w:val="00053DFD"/>
    <w:rsid w:val="000544EF"/>
    <w:rsid w:val="000567CE"/>
    <w:rsid w:val="00057794"/>
    <w:rsid w:val="00057ECF"/>
    <w:rsid w:val="00057FDE"/>
    <w:rsid w:val="00060AEF"/>
    <w:rsid w:val="00060D86"/>
    <w:rsid w:val="000612D4"/>
    <w:rsid w:val="00061569"/>
    <w:rsid w:val="00061696"/>
    <w:rsid w:val="00061FBE"/>
    <w:rsid w:val="0006345F"/>
    <w:rsid w:val="00064698"/>
    <w:rsid w:val="00070797"/>
    <w:rsid w:val="000708BE"/>
    <w:rsid w:val="0007247B"/>
    <w:rsid w:val="00072F44"/>
    <w:rsid w:val="0007350B"/>
    <w:rsid w:val="00075B1D"/>
    <w:rsid w:val="0007729E"/>
    <w:rsid w:val="00080B5B"/>
    <w:rsid w:val="00081D1E"/>
    <w:rsid w:val="00082D23"/>
    <w:rsid w:val="00082FFF"/>
    <w:rsid w:val="00083934"/>
    <w:rsid w:val="0008603A"/>
    <w:rsid w:val="00086398"/>
    <w:rsid w:val="00086418"/>
    <w:rsid w:val="000864F6"/>
    <w:rsid w:val="00086A8A"/>
    <w:rsid w:val="00087C56"/>
    <w:rsid w:val="00090275"/>
    <w:rsid w:val="00090312"/>
    <w:rsid w:val="00092325"/>
    <w:rsid w:val="00092348"/>
    <w:rsid w:val="00092BB7"/>
    <w:rsid w:val="000956D3"/>
    <w:rsid w:val="0009615C"/>
    <w:rsid w:val="000965C1"/>
    <w:rsid w:val="000971AD"/>
    <w:rsid w:val="000A14BE"/>
    <w:rsid w:val="000A1DC4"/>
    <w:rsid w:val="000A2489"/>
    <w:rsid w:val="000A32B5"/>
    <w:rsid w:val="000A359B"/>
    <w:rsid w:val="000A4658"/>
    <w:rsid w:val="000A486B"/>
    <w:rsid w:val="000A599E"/>
    <w:rsid w:val="000A5B0A"/>
    <w:rsid w:val="000A6437"/>
    <w:rsid w:val="000A6584"/>
    <w:rsid w:val="000A715B"/>
    <w:rsid w:val="000A7286"/>
    <w:rsid w:val="000A7330"/>
    <w:rsid w:val="000A78A1"/>
    <w:rsid w:val="000A7B45"/>
    <w:rsid w:val="000B0D11"/>
    <w:rsid w:val="000B108D"/>
    <w:rsid w:val="000B1619"/>
    <w:rsid w:val="000B1DE8"/>
    <w:rsid w:val="000B2DD8"/>
    <w:rsid w:val="000B3EAC"/>
    <w:rsid w:val="000B46C7"/>
    <w:rsid w:val="000B4762"/>
    <w:rsid w:val="000B4F70"/>
    <w:rsid w:val="000B5580"/>
    <w:rsid w:val="000B5761"/>
    <w:rsid w:val="000B659F"/>
    <w:rsid w:val="000B66BC"/>
    <w:rsid w:val="000B74A7"/>
    <w:rsid w:val="000B7D01"/>
    <w:rsid w:val="000C01E8"/>
    <w:rsid w:val="000C04BB"/>
    <w:rsid w:val="000C0B89"/>
    <w:rsid w:val="000C0D0F"/>
    <w:rsid w:val="000C216B"/>
    <w:rsid w:val="000C3F11"/>
    <w:rsid w:val="000C488E"/>
    <w:rsid w:val="000C5068"/>
    <w:rsid w:val="000C6AAC"/>
    <w:rsid w:val="000C6F73"/>
    <w:rsid w:val="000D0106"/>
    <w:rsid w:val="000D1636"/>
    <w:rsid w:val="000D1827"/>
    <w:rsid w:val="000D1E6C"/>
    <w:rsid w:val="000D3973"/>
    <w:rsid w:val="000D44A0"/>
    <w:rsid w:val="000D5576"/>
    <w:rsid w:val="000D5823"/>
    <w:rsid w:val="000D5FF7"/>
    <w:rsid w:val="000D6138"/>
    <w:rsid w:val="000D64CA"/>
    <w:rsid w:val="000D6823"/>
    <w:rsid w:val="000D6D58"/>
    <w:rsid w:val="000D77FB"/>
    <w:rsid w:val="000E083F"/>
    <w:rsid w:val="000E2D94"/>
    <w:rsid w:val="000E4713"/>
    <w:rsid w:val="000E4A3F"/>
    <w:rsid w:val="000E4B8D"/>
    <w:rsid w:val="000E5AAE"/>
    <w:rsid w:val="000E62A7"/>
    <w:rsid w:val="000E6617"/>
    <w:rsid w:val="000E6BF5"/>
    <w:rsid w:val="000E715A"/>
    <w:rsid w:val="000F0E59"/>
    <w:rsid w:val="000F1F74"/>
    <w:rsid w:val="000F26EF"/>
    <w:rsid w:val="000F4992"/>
    <w:rsid w:val="000F4A4A"/>
    <w:rsid w:val="000F4B74"/>
    <w:rsid w:val="000F5958"/>
    <w:rsid w:val="000F5F49"/>
    <w:rsid w:val="000F74E8"/>
    <w:rsid w:val="000F7613"/>
    <w:rsid w:val="00100493"/>
    <w:rsid w:val="001005A7"/>
    <w:rsid w:val="00103902"/>
    <w:rsid w:val="00103AE3"/>
    <w:rsid w:val="00103B23"/>
    <w:rsid w:val="00106F88"/>
    <w:rsid w:val="00110007"/>
    <w:rsid w:val="00110BC7"/>
    <w:rsid w:val="0011104F"/>
    <w:rsid w:val="00111F80"/>
    <w:rsid w:val="001120BB"/>
    <w:rsid w:val="001133CE"/>
    <w:rsid w:val="00114345"/>
    <w:rsid w:val="0011649C"/>
    <w:rsid w:val="00117248"/>
    <w:rsid w:val="00117791"/>
    <w:rsid w:val="001227AD"/>
    <w:rsid w:val="00123F45"/>
    <w:rsid w:val="00124715"/>
    <w:rsid w:val="00125BAF"/>
    <w:rsid w:val="00125CA1"/>
    <w:rsid w:val="00127AC7"/>
    <w:rsid w:val="0013029D"/>
    <w:rsid w:val="001305CF"/>
    <w:rsid w:val="00130DD7"/>
    <w:rsid w:val="00130EEF"/>
    <w:rsid w:val="00131057"/>
    <w:rsid w:val="00131C70"/>
    <w:rsid w:val="00132069"/>
    <w:rsid w:val="00132855"/>
    <w:rsid w:val="00132A0E"/>
    <w:rsid w:val="00132FD2"/>
    <w:rsid w:val="00133533"/>
    <w:rsid w:val="00134551"/>
    <w:rsid w:val="00136A9C"/>
    <w:rsid w:val="00136C36"/>
    <w:rsid w:val="00136DF0"/>
    <w:rsid w:val="001376F7"/>
    <w:rsid w:val="0014006A"/>
    <w:rsid w:val="001407E1"/>
    <w:rsid w:val="00141CCF"/>
    <w:rsid w:val="00141FF2"/>
    <w:rsid w:val="0014246F"/>
    <w:rsid w:val="00142881"/>
    <w:rsid w:val="00142ED4"/>
    <w:rsid w:val="00143338"/>
    <w:rsid w:val="00143A3F"/>
    <w:rsid w:val="00143C6A"/>
    <w:rsid w:val="0014449A"/>
    <w:rsid w:val="00145BAD"/>
    <w:rsid w:val="0014694D"/>
    <w:rsid w:val="00146CA4"/>
    <w:rsid w:val="001475A2"/>
    <w:rsid w:val="00151462"/>
    <w:rsid w:val="00151D33"/>
    <w:rsid w:val="0015208B"/>
    <w:rsid w:val="001526B8"/>
    <w:rsid w:val="0015292D"/>
    <w:rsid w:val="00153F16"/>
    <w:rsid w:val="00154FCE"/>
    <w:rsid w:val="001572C1"/>
    <w:rsid w:val="0016100A"/>
    <w:rsid w:val="001612FD"/>
    <w:rsid w:val="001622F5"/>
    <w:rsid w:val="00162ABC"/>
    <w:rsid w:val="00164A3E"/>
    <w:rsid w:val="00164A9A"/>
    <w:rsid w:val="0016680C"/>
    <w:rsid w:val="00166A6F"/>
    <w:rsid w:val="00166C41"/>
    <w:rsid w:val="00167041"/>
    <w:rsid w:val="00167C21"/>
    <w:rsid w:val="00171C3F"/>
    <w:rsid w:val="00171C76"/>
    <w:rsid w:val="001720F3"/>
    <w:rsid w:val="001721BF"/>
    <w:rsid w:val="0017297A"/>
    <w:rsid w:val="00173FAA"/>
    <w:rsid w:val="00174252"/>
    <w:rsid w:val="001753D7"/>
    <w:rsid w:val="0017558C"/>
    <w:rsid w:val="00175A51"/>
    <w:rsid w:val="00180521"/>
    <w:rsid w:val="001807E9"/>
    <w:rsid w:val="001807ED"/>
    <w:rsid w:val="00180FB9"/>
    <w:rsid w:val="00181A8D"/>
    <w:rsid w:val="001849BA"/>
    <w:rsid w:val="00184D76"/>
    <w:rsid w:val="00185539"/>
    <w:rsid w:val="001857D7"/>
    <w:rsid w:val="001865CF"/>
    <w:rsid w:val="00186774"/>
    <w:rsid w:val="0018771D"/>
    <w:rsid w:val="00187E4B"/>
    <w:rsid w:val="00187ECA"/>
    <w:rsid w:val="001905AF"/>
    <w:rsid w:val="00191467"/>
    <w:rsid w:val="001914C6"/>
    <w:rsid w:val="00193425"/>
    <w:rsid w:val="001934AC"/>
    <w:rsid w:val="00193A99"/>
    <w:rsid w:val="001943A2"/>
    <w:rsid w:val="00195426"/>
    <w:rsid w:val="00197F19"/>
    <w:rsid w:val="001A012D"/>
    <w:rsid w:val="001A2ABA"/>
    <w:rsid w:val="001A46E4"/>
    <w:rsid w:val="001A7665"/>
    <w:rsid w:val="001A78C1"/>
    <w:rsid w:val="001B1458"/>
    <w:rsid w:val="001B2359"/>
    <w:rsid w:val="001B2410"/>
    <w:rsid w:val="001B2D84"/>
    <w:rsid w:val="001B34D0"/>
    <w:rsid w:val="001B3BF0"/>
    <w:rsid w:val="001B7535"/>
    <w:rsid w:val="001C0756"/>
    <w:rsid w:val="001C123F"/>
    <w:rsid w:val="001C2254"/>
    <w:rsid w:val="001C2537"/>
    <w:rsid w:val="001C27BF"/>
    <w:rsid w:val="001C31A7"/>
    <w:rsid w:val="001C50A4"/>
    <w:rsid w:val="001C5613"/>
    <w:rsid w:val="001C597D"/>
    <w:rsid w:val="001C791E"/>
    <w:rsid w:val="001D0DCE"/>
    <w:rsid w:val="001D1678"/>
    <w:rsid w:val="001D1AE1"/>
    <w:rsid w:val="001D36C8"/>
    <w:rsid w:val="001D386D"/>
    <w:rsid w:val="001D39F5"/>
    <w:rsid w:val="001D4A4A"/>
    <w:rsid w:val="001D4EC2"/>
    <w:rsid w:val="001D5CFB"/>
    <w:rsid w:val="001D629F"/>
    <w:rsid w:val="001D6F2F"/>
    <w:rsid w:val="001D7541"/>
    <w:rsid w:val="001D7778"/>
    <w:rsid w:val="001E1518"/>
    <w:rsid w:val="001E19C2"/>
    <w:rsid w:val="001E1E08"/>
    <w:rsid w:val="001E41BF"/>
    <w:rsid w:val="001E4710"/>
    <w:rsid w:val="001E4BA5"/>
    <w:rsid w:val="001E5373"/>
    <w:rsid w:val="001E58D0"/>
    <w:rsid w:val="001E5A9A"/>
    <w:rsid w:val="001E5F9C"/>
    <w:rsid w:val="001E773E"/>
    <w:rsid w:val="001E7ADE"/>
    <w:rsid w:val="001F0676"/>
    <w:rsid w:val="001F0ECD"/>
    <w:rsid w:val="001F28C3"/>
    <w:rsid w:val="001F28E7"/>
    <w:rsid w:val="001F3810"/>
    <w:rsid w:val="001F3E84"/>
    <w:rsid w:val="001F4281"/>
    <w:rsid w:val="001F5E87"/>
    <w:rsid w:val="001F6203"/>
    <w:rsid w:val="001F7C68"/>
    <w:rsid w:val="001F7D7C"/>
    <w:rsid w:val="00201339"/>
    <w:rsid w:val="0020137F"/>
    <w:rsid w:val="00201643"/>
    <w:rsid w:val="00201AC3"/>
    <w:rsid w:val="002023F9"/>
    <w:rsid w:val="0020297E"/>
    <w:rsid w:val="002042A7"/>
    <w:rsid w:val="00204A81"/>
    <w:rsid w:val="00205B21"/>
    <w:rsid w:val="00206A85"/>
    <w:rsid w:val="00207482"/>
    <w:rsid w:val="00207901"/>
    <w:rsid w:val="002132E8"/>
    <w:rsid w:val="002143BB"/>
    <w:rsid w:val="00214915"/>
    <w:rsid w:val="002149E4"/>
    <w:rsid w:val="00214D62"/>
    <w:rsid w:val="002161E2"/>
    <w:rsid w:val="002162B5"/>
    <w:rsid w:val="002172CC"/>
    <w:rsid w:val="00217B44"/>
    <w:rsid w:val="00217D1F"/>
    <w:rsid w:val="00220AA0"/>
    <w:rsid w:val="00222753"/>
    <w:rsid w:val="0022283C"/>
    <w:rsid w:val="00222CA0"/>
    <w:rsid w:val="0022597B"/>
    <w:rsid w:val="002262E5"/>
    <w:rsid w:val="00227BD1"/>
    <w:rsid w:val="002304E0"/>
    <w:rsid w:val="00231EBE"/>
    <w:rsid w:val="002323A0"/>
    <w:rsid w:val="00233A74"/>
    <w:rsid w:val="00235FBA"/>
    <w:rsid w:val="00237588"/>
    <w:rsid w:val="0023791C"/>
    <w:rsid w:val="00237DD1"/>
    <w:rsid w:val="0024092A"/>
    <w:rsid w:val="00240BF0"/>
    <w:rsid w:val="0024218B"/>
    <w:rsid w:val="00242493"/>
    <w:rsid w:val="00242D31"/>
    <w:rsid w:val="00243937"/>
    <w:rsid w:val="0024434F"/>
    <w:rsid w:val="00244966"/>
    <w:rsid w:val="0024511B"/>
    <w:rsid w:val="00245B16"/>
    <w:rsid w:val="00245CB1"/>
    <w:rsid w:val="00245EE3"/>
    <w:rsid w:val="002461BA"/>
    <w:rsid w:val="00246A51"/>
    <w:rsid w:val="00246CF2"/>
    <w:rsid w:val="00247954"/>
    <w:rsid w:val="002509B1"/>
    <w:rsid w:val="00252527"/>
    <w:rsid w:val="00252F75"/>
    <w:rsid w:val="00253D80"/>
    <w:rsid w:val="0025493F"/>
    <w:rsid w:val="00254983"/>
    <w:rsid w:val="00255202"/>
    <w:rsid w:val="0025615F"/>
    <w:rsid w:val="002573FC"/>
    <w:rsid w:val="002576E1"/>
    <w:rsid w:val="00260D4F"/>
    <w:rsid w:val="00261E81"/>
    <w:rsid w:val="00261FE6"/>
    <w:rsid w:val="0026270F"/>
    <w:rsid w:val="00262895"/>
    <w:rsid w:val="0026336E"/>
    <w:rsid w:val="00264409"/>
    <w:rsid w:val="002662F0"/>
    <w:rsid w:val="002706B3"/>
    <w:rsid w:val="00270DBA"/>
    <w:rsid w:val="002710BE"/>
    <w:rsid w:val="0027138F"/>
    <w:rsid w:val="00272017"/>
    <w:rsid w:val="00272210"/>
    <w:rsid w:val="00272715"/>
    <w:rsid w:val="00272BDB"/>
    <w:rsid w:val="0027305C"/>
    <w:rsid w:val="0027308B"/>
    <w:rsid w:val="002736E3"/>
    <w:rsid w:val="00275254"/>
    <w:rsid w:val="00275423"/>
    <w:rsid w:val="00275435"/>
    <w:rsid w:val="0027548E"/>
    <w:rsid w:val="00276087"/>
    <w:rsid w:val="002769F1"/>
    <w:rsid w:val="00276DB0"/>
    <w:rsid w:val="00280AF8"/>
    <w:rsid w:val="00281660"/>
    <w:rsid w:val="0028217E"/>
    <w:rsid w:val="00286279"/>
    <w:rsid w:val="00287297"/>
    <w:rsid w:val="00287E34"/>
    <w:rsid w:val="002909B6"/>
    <w:rsid w:val="00291B93"/>
    <w:rsid w:val="002925F0"/>
    <w:rsid w:val="00292FC3"/>
    <w:rsid w:val="0029415C"/>
    <w:rsid w:val="002946C4"/>
    <w:rsid w:val="00294990"/>
    <w:rsid w:val="00295D7B"/>
    <w:rsid w:val="00297715"/>
    <w:rsid w:val="00297BC1"/>
    <w:rsid w:val="002A07A2"/>
    <w:rsid w:val="002A2841"/>
    <w:rsid w:val="002A28A2"/>
    <w:rsid w:val="002A29B1"/>
    <w:rsid w:val="002A3521"/>
    <w:rsid w:val="002A3F7D"/>
    <w:rsid w:val="002A536D"/>
    <w:rsid w:val="002A54FF"/>
    <w:rsid w:val="002A6712"/>
    <w:rsid w:val="002A6ADE"/>
    <w:rsid w:val="002A6B55"/>
    <w:rsid w:val="002B009A"/>
    <w:rsid w:val="002B071B"/>
    <w:rsid w:val="002B0879"/>
    <w:rsid w:val="002B0936"/>
    <w:rsid w:val="002B0A4B"/>
    <w:rsid w:val="002B0AAC"/>
    <w:rsid w:val="002B2DA6"/>
    <w:rsid w:val="002B34A4"/>
    <w:rsid w:val="002B3BEC"/>
    <w:rsid w:val="002B3FF4"/>
    <w:rsid w:val="002B70BC"/>
    <w:rsid w:val="002B7189"/>
    <w:rsid w:val="002B74C8"/>
    <w:rsid w:val="002C07EA"/>
    <w:rsid w:val="002C169A"/>
    <w:rsid w:val="002C1F24"/>
    <w:rsid w:val="002C4B54"/>
    <w:rsid w:val="002C5729"/>
    <w:rsid w:val="002C5782"/>
    <w:rsid w:val="002C5EF2"/>
    <w:rsid w:val="002C6238"/>
    <w:rsid w:val="002C6479"/>
    <w:rsid w:val="002C6D46"/>
    <w:rsid w:val="002C72C2"/>
    <w:rsid w:val="002D0276"/>
    <w:rsid w:val="002D1CE8"/>
    <w:rsid w:val="002D2944"/>
    <w:rsid w:val="002D3764"/>
    <w:rsid w:val="002D378E"/>
    <w:rsid w:val="002D7E94"/>
    <w:rsid w:val="002E044A"/>
    <w:rsid w:val="002E1083"/>
    <w:rsid w:val="002E3728"/>
    <w:rsid w:val="002E3ED1"/>
    <w:rsid w:val="002E3FD6"/>
    <w:rsid w:val="002E6BDF"/>
    <w:rsid w:val="002E6BEF"/>
    <w:rsid w:val="002E721E"/>
    <w:rsid w:val="002F2179"/>
    <w:rsid w:val="002F3BA4"/>
    <w:rsid w:val="00300AA7"/>
    <w:rsid w:val="00300E22"/>
    <w:rsid w:val="0030136E"/>
    <w:rsid w:val="00301469"/>
    <w:rsid w:val="00301BEE"/>
    <w:rsid w:val="00302398"/>
    <w:rsid w:val="003027FE"/>
    <w:rsid w:val="00302FB6"/>
    <w:rsid w:val="003032DF"/>
    <w:rsid w:val="0030524E"/>
    <w:rsid w:val="0030642D"/>
    <w:rsid w:val="00307448"/>
    <w:rsid w:val="00307B4B"/>
    <w:rsid w:val="00310A8D"/>
    <w:rsid w:val="003113EE"/>
    <w:rsid w:val="00314129"/>
    <w:rsid w:val="00314716"/>
    <w:rsid w:val="00315160"/>
    <w:rsid w:val="00316050"/>
    <w:rsid w:val="00316309"/>
    <w:rsid w:val="003164FD"/>
    <w:rsid w:val="003167BD"/>
    <w:rsid w:val="00316905"/>
    <w:rsid w:val="00317861"/>
    <w:rsid w:val="00317BCB"/>
    <w:rsid w:val="00321B6C"/>
    <w:rsid w:val="00321D7D"/>
    <w:rsid w:val="00322183"/>
    <w:rsid w:val="003231FC"/>
    <w:rsid w:val="0032369D"/>
    <w:rsid w:val="003236C2"/>
    <w:rsid w:val="00324840"/>
    <w:rsid w:val="00324993"/>
    <w:rsid w:val="003260D7"/>
    <w:rsid w:val="003264FC"/>
    <w:rsid w:val="0032786A"/>
    <w:rsid w:val="0032789D"/>
    <w:rsid w:val="003310AE"/>
    <w:rsid w:val="00332838"/>
    <w:rsid w:val="003335A9"/>
    <w:rsid w:val="00334535"/>
    <w:rsid w:val="0033504B"/>
    <w:rsid w:val="003353A9"/>
    <w:rsid w:val="003355CE"/>
    <w:rsid w:val="003358B6"/>
    <w:rsid w:val="0033601F"/>
    <w:rsid w:val="00336123"/>
    <w:rsid w:val="0033642B"/>
    <w:rsid w:val="003371AF"/>
    <w:rsid w:val="003405E7"/>
    <w:rsid w:val="00340711"/>
    <w:rsid w:val="003411F8"/>
    <w:rsid w:val="00341560"/>
    <w:rsid w:val="003418AD"/>
    <w:rsid w:val="0034348F"/>
    <w:rsid w:val="00344611"/>
    <w:rsid w:val="00345499"/>
    <w:rsid w:val="003475AF"/>
    <w:rsid w:val="00350419"/>
    <w:rsid w:val="00350D74"/>
    <w:rsid w:val="00352D4B"/>
    <w:rsid w:val="00354188"/>
    <w:rsid w:val="003546F2"/>
    <w:rsid w:val="0036007F"/>
    <w:rsid w:val="00360553"/>
    <w:rsid w:val="00360A3D"/>
    <w:rsid w:val="00361101"/>
    <w:rsid w:val="00363381"/>
    <w:rsid w:val="00364DD5"/>
    <w:rsid w:val="0037059A"/>
    <w:rsid w:val="003706AB"/>
    <w:rsid w:val="00371745"/>
    <w:rsid w:val="003718C7"/>
    <w:rsid w:val="0037239B"/>
    <w:rsid w:val="003723CD"/>
    <w:rsid w:val="003729D7"/>
    <w:rsid w:val="003732F8"/>
    <w:rsid w:val="00373CFA"/>
    <w:rsid w:val="00374A53"/>
    <w:rsid w:val="003758DF"/>
    <w:rsid w:val="00376911"/>
    <w:rsid w:val="0037735D"/>
    <w:rsid w:val="00381146"/>
    <w:rsid w:val="00381582"/>
    <w:rsid w:val="00384B0B"/>
    <w:rsid w:val="00384D30"/>
    <w:rsid w:val="00385061"/>
    <w:rsid w:val="003869D4"/>
    <w:rsid w:val="00386CDA"/>
    <w:rsid w:val="00387DC5"/>
    <w:rsid w:val="00390B64"/>
    <w:rsid w:val="00390B6B"/>
    <w:rsid w:val="00390B7F"/>
    <w:rsid w:val="00391EF9"/>
    <w:rsid w:val="00392036"/>
    <w:rsid w:val="00392B44"/>
    <w:rsid w:val="003937EE"/>
    <w:rsid w:val="00393D7A"/>
    <w:rsid w:val="00394D11"/>
    <w:rsid w:val="00395FEB"/>
    <w:rsid w:val="0039655E"/>
    <w:rsid w:val="00397188"/>
    <w:rsid w:val="00397B00"/>
    <w:rsid w:val="003A13D1"/>
    <w:rsid w:val="003A35DF"/>
    <w:rsid w:val="003A3804"/>
    <w:rsid w:val="003A3F9E"/>
    <w:rsid w:val="003A5995"/>
    <w:rsid w:val="003A5B2A"/>
    <w:rsid w:val="003A5EB5"/>
    <w:rsid w:val="003A6DAC"/>
    <w:rsid w:val="003B054D"/>
    <w:rsid w:val="003B0870"/>
    <w:rsid w:val="003B08DC"/>
    <w:rsid w:val="003B0909"/>
    <w:rsid w:val="003B09C0"/>
    <w:rsid w:val="003B1279"/>
    <w:rsid w:val="003B1611"/>
    <w:rsid w:val="003B23B9"/>
    <w:rsid w:val="003B2DDA"/>
    <w:rsid w:val="003B2E88"/>
    <w:rsid w:val="003B3015"/>
    <w:rsid w:val="003B3824"/>
    <w:rsid w:val="003B4192"/>
    <w:rsid w:val="003B472A"/>
    <w:rsid w:val="003B51A8"/>
    <w:rsid w:val="003B555D"/>
    <w:rsid w:val="003B5CD9"/>
    <w:rsid w:val="003B61F5"/>
    <w:rsid w:val="003B79B4"/>
    <w:rsid w:val="003B7BEC"/>
    <w:rsid w:val="003B7E48"/>
    <w:rsid w:val="003C0524"/>
    <w:rsid w:val="003C076E"/>
    <w:rsid w:val="003C0937"/>
    <w:rsid w:val="003C2251"/>
    <w:rsid w:val="003C4CC8"/>
    <w:rsid w:val="003C544C"/>
    <w:rsid w:val="003C6064"/>
    <w:rsid w:val="003C66FA"/>
    <w:rsid w:val="003C6829"/>
    <w:rsid w:val="003C7123"/>
    <w:rsid w:val="003C74D9"/>
    <w:rsid w:val="003C7E9B"/>
    <w:rsid w:val="003D04AD"/>
    <w:rsid w:val="003D0536"/>
    <w:rsid w:val="003D118F"/>
    <w:rsid w:val="003D12C1"/>
    <w:rsid w:val="003D2141"/>
    <w:rsid w:val="003D433B"/>
    <w:rsid w:val="003D54ED"/>
    <w:rsid w:val="003D7A5E"/>
    <w:rsid w:val="003E12AE"/>
    <w:rsid w:val="003E1D33"/>
    <w:rsid w:val="003E1E0E"/>
    <w:rsid w:val="003E23B1"/>
    <w:rsid w:val="003E3C45"/>
    <w:rsid w:val="003E4DEE"/>
    <w:rsid w:val="003E4F6D"/>
    <w:rsid w:val="003E56A4"/>
    <w:rsid w:val="003E624B"/>
    <w:rsid w:val="003E62FE"/>
    <w:rsid w:val="003F1BF6"/>
    <w:rsid w:val="003F37CB"/>
    <w:rsid w:val="003F51BD"/>
    <w:rsid w:val="003F598C"/>
    <w:rsid w:val="003F5D42"/>
    <w:rsid w:val="003F6C06"/>
    <w:rsid w:val="003F7733"/>
    <w:rsid w:val="003F7811"/>
    <w:rsid w:val="00400766"/>
    <w:rsid w:val="0040096C"/>
    <w:rsid w:val="0040194F"/>
    <w:rsid w:val="00401A21"/>
    <w:rsid w:val="00403798"/>
    <w:rsid w:val="00404AA3"/>
    <w:rsid w:val="004050A1"/>
    <w:rsid w:val="004052F0"/>
    <w:rsid w:val="004055B3"/>
    <w:rsid w:val="00406605"/>
    <w:rsid w:val="00406DB7"/>
    <w:rsid w:val="00407426"/>
    <w:rsid w:val="00407A0F"/>
    <w:rsid w:val="00410E47"/>
    <w:rsid w:val="004127BF"/>
    <w:rsid w:val="00412A18"/>
    <w:rsid w:val="00412D6E"/>
    <w:rsid w:val="00413A7F"/>
    <w:rsid w:val="004148B2"/>
    <w:rsid w:val="00414EB6"/>
    <w:rsid w:val="00415D69"/>
    <w:rsid w:val="00416245"/>
    <w:rsid w:val="0041676D"/>
    <w:rsid w:val="00416B4E"/>
    <w:rsid w:val="00417210"/>
    <w:rsid w:val="004178C8"/>
    <w:rsid w:val="00421540"/>
    <w:rsid w:val="004220C8"/>
    <w:rsid w:val="004229C1"/>
    <w:rsid w:val="00422C76"/>
    <w:rsid w:val="00423769"/>
    <w:rsid w:val="0042419F"/>
    <w:rsid w:val="004242B8"/>
    <w:rsid w:val="00424A0A"/>
    <w:rsid w:val="00424BB8"/>
    <w:rsid w:val="00424F61"/>
    <w:rsid w:val="004250C0"/>
    <w:rsid w:val="00426A00"/>
    <w:rsid w:val="00430CAC"/>
    <w:rsid w:val="004330CD"/>
    <w:rsid w:val="00433529"/>
    <w:rsid w:val="00433E1A"/>
    <w:rsid w:val="00434439"/>
    <w:rsid w:val="00436233"/>
    <w:rsid w:val="004379F7"/>
    <w:rsid w:val="00437E78"/>
    <w:rsid w:val="00440847"/>
    <w:rsid w:val="004446C2"/>
    <w:rsid w:val="004466D5"/>
    <w:rsid w:val="0044777F"/>
    <w:rsid w:val="00447EB1"/>
    <w:rsid w:val="00451BA1"/>
    <w:rsid w:val="00452A27"/>
    <w:rsid w:val="0045378E"/>
    <w:rsid w:val="00453BD6"/>
    <w:rsid w:val="0045405A"/>
    <w:rsid w:val="0045596E"/>
    <w:rsid w:val="00455A2F"/>
    <w:rsid w:val="00456832"/>
    <w:rsid w:val="004573B6"/>
    <w:rsid w:val="00460502"/>
    <w:rsid w:val="004612B9"/>
    <w:rsid w:val="004617AF"/>
    <w:rsid w:val="004618EC"/>
    <w:rsid w:val="00462168"/>
    <w:rsid w:val="0046231D"/>
    <w:rsid w:val="00462408"/>
    <w:rsid w:val="00463240"/>
    <w:rsid w:val="0046362B"/>
    <w:rsid w:val="004645D1"/>
    <w:rsid w:val="00465521"/>
    <w:rsid w:val="00467C7D"/>
    <w:rsid w:val="00467F98"/>
    <w:rsid w:val="00470082"/>
    <w:rsid w:val="00470C9E"/>
    <w:rsid w:val="00471639"/>
    <w:rsid w:val="004719F6"/>
    <w:rsid w:val="00472209"/>
    <w:rsid w:val="00472EC7"/>
    <w:rsid w:val="00473173"/>
    <w:rsid w:val="00474B43"/>
    <w:rsid w:val="00476394"/>
    <w:rsid w:val="00476B94"/>
    <w:rsid w:val="00477D43"/>
    <w:rsid w:val="004804A2"/>
    <w:rsid w:val="00481854"/>
    <w:rsid w:val="004818ED"/>
    <w:rsid w:val="00482670"/>
    <w:rsid w:val="00483334"/>
    <w:rsid w:val="004835BD"/>
    <w:rsid w:val="00484555"/>
    <w:rsid w:val="0048526F"/>
    <w:rsid w:val="00485706"/>
    <w:rsid w:val="00486D4C"/>
    <w:rsid w:val="0049025A"/>
    <w:rsid w:val="00491D9A"/>
    <w:rsid w:val="00491F2C"/>
    <w:rsid w:val="00492435"/>
    <w:rsid w:val="004924B2"/>
    <w:rsid w:val="0049459B"/>
    <w:rsid w:val="00494A67"/>
    <w:rsid w:val="0049578C"/>
    <w:rsid w:val="004968DF"/>
    <w:rsid w:val="00496A87"/>
    <w:rsid w:val="004A107B"/>
    <w:rsid w:val="004A15F0"/>
    <w:rsid w:val="004A18A4"/>
    <w:rsid w:val="004A1A27"/>
    <w:rsid w:val="004A296A"/>
    <w:rsid w:val="004A3009"/>
    <w:rsid w:val="004A347E"/>
    <w:rsid w:val="004A4633"/>
    <w:rsid w:val="004A4C19"/>
    <w:rsid w:val="004A4C67"/>
    <w:rsid w:val="004A5220"/>
    <w:rsid w:val="004A61B4"/>
    <w:rsid w:val="004A623C"/>
    <w:rsid w:val="004B064A"/>
    <w:rsid w:val="004B1181"/>
    <w:rsid w:val="004B1ADF"/>
    <w:rsid w:val="004B1D31"/>
    <w:rsid w:val="004B331D"/>
    <w:rsid w:val="004B44F1"/>
    <w:rsid w:val="004B5877"/>
    <w:rsid w:val="004B653A"/>
    <w:rsid w:val="004B6D3B"/>
    <w:rsid w:val="004B7616"/>
    <w:rsid w:val="004C0459"/>
    <w:rsid w:val="004C2916"/>
    <w:rsid w:val="004C2CFB"/>
    <w:rsid w:val="004C3157"/>
    <w:rsid w:val="004C3560"/>
    <w:rsid w:val="004C531C"/>
    <w:rsid w:val="004C56D9"/>
    <w:rsid w:val="004C587B"/>
    <w:rsid w:val="004C6361"/>
    <w:rsid w:val="004D0801"/>
    <w:rsid w:val="004D12DC"/>
    <w:rsid w:val="004D14B5"/>
    <w:rsid w:val="004D223F"/>
    <w:rsid w:val="004D2325"/>
    <w:rsid w:val="004D36F1"/>
    <w:rsid w:val="004D3E1E"/>
    <w:rsid w:val="004D47F0"/>
    <w:rsid w:val="004D53AC"/>
    <w:rsid w:val="004D54B0"/>
    <w:rsid w:val="004D62D4"/>
    <w:rsid w:val="004D70D0"/>
    <w:rsid w:val="004D7A7E"/>
    <w:rsid w:val="004D7C73"/>
    <w:rsid w:val="004D7FD7"/>
    <w:rsid w:val="004E0132"/>
    <w:rsid w:val="004E043C"/>
    <w:rsid w:val="004E0DC5"/>
    <w:rsid w:val="004E100C"/>
    <w:rsid w:val="004E1CC0"/>
    <w:rsid w:val="004E204E"/>
    <w:rsid w:val="004E26E2"/>
    <w:rsid w:val="004E36C4"/>
    <w:rsid w:val="004E437E"/>
    <w:rsid w:val="004E59DD"/>
    <w:rsid w:val="004E6744"/>
    <w:rsid w:val="004F0060"/>
    <w:rsid w:val="004F038C"/>
    <w:rsid w:val="004F0B0E"/>
    <w:rsid w:val="004F0BFB"/>
    <w:rsid w:val="004F0C5D"/>
    <w:rsid w:val="004F39F5"/>
    <w:rsid w:val="004F3BC0"/>
    <w:rsid w:val="004F4212"/>
    <w:rsid w:val="004F49F6"/>
    <w:rsid w:val="004F4B70"/>
    <w:rsid w:val="004F6AF8"/>
    <w:rsid w:val="004F782C"/>
    <w:rsid w:val="00500508"/>
    <w:rsid w:val="00505096"/>
    <w:rsid w:val="00505AEE"/>
    <w:rsid w:val="00505D21"/>
    <w:rsid w:val="0050602F"/>
    <w:rsid w:val="005063DE"/>
    <w:rsid w:val="00506444"/>
    <w:rsid w:val="00506596"/>
    <w:rsid w:val="00506C3D"/>
    <w:rsid w:val="00507878"/>
    <w:rsid w:val="00510FE5"/>
    <w:rsid w:val="00511672"/>
    <w:rsid w:val="00512342"/>
    <w:rsid w:val="00512B5A"/>
    <w:rsid w:val="00513244"/>
    <w:rsid w:val="00514EAE"/>
    <w:rsid w:val="00515841"/>
    <w:rsid w:val="005170CA"/>
    <w:rsid w:val="00520804"/>
    <w:rsid w:val="00520E26"/>
    <w:rsid w:val="00521326"/>
    <w:rsid w:val="005230DE"/>
    <w:rsid w:val="00523570"/>
    <w:rsid w:val="005254CB"/>
    <w:rsid w:val="00526EBD"/>
    <w:rsid w:val="0053018F"/>
    <w:rsid w:val="00530472"/>
    <w:rsid w:val="00530B7F"/>
    <w:rsid w:val="005315D3"/>
    <w:rsid w:val="00531A77"/>
    <w:rsid w:val="00532674"/>
    <w:rsid w:val="00532B92"/>
    <w:rsid w:val="0053335C"/>
    <w:rsid w:val="005334AA"/>
    <w:rsid w:val="00534FED"/>
    <w:rsid w:val="005357EF"/>
    <w:rsid w:val="00535F08"/>
    <w:rsid w:val="005403C7"/>
    <w:rsid w:val="00540765"/>
    <w:rsid w:val="00541DA7"/>
    <w:rsid w:val="00542529"/>
    <w:rsid w:val="005426F2"/>
    <w:rsid w:val="00542741"/>
    <w:rsid w:val="005441C9"/>
    <w:rsid w:val="0054423D"/>
    <w:rsid w:val="00544664"/>
    <w:rsid w:val="00546848"/>
    <w:rsid w:val="00546D9F"/>
    <w:rsid w:val="005478C5"/>
    <w:rsid w:val="00550D82"/>
    <w:rsid w:val="00553B13"/>
    <w:rsid w:val="00554069"/>
    <w:rsid w:val="0055482B"/>
    <w:rsid w:val="005550ED"/>
    <w:rsid w:val="005555FD"/>
    <w:rsid w:val="005556DC"/>
    <w:rsid w:val="00555B13"/>
    <w:rsid w:val="00556C46"/>
    <w:rsid w:val="00557776"/>
    <w:rsid w:val="005624BA"/>
    <w:rsid w:val="00562EE5"/>
    <w:rsid w:val="005637C9"/>
    <w:rsid w:val="00563970"/>
    <w:rsid w:val="00564147"/>
    <w:rsid w:val="00564469"/>
    <w:rsid w:val="0056452F"/>
    <w:rsid w:val="00565261"/>
    <w:rsid w:val="005677F5"/>
    <w:rsid w:val="005706FB"/>
    <w:rsid w:val="00572698"/>
    <w:rsid w:val="00573517"/>
    <w:rsid w:val="0057423E"/>
    <w:rsid w:val="00574827"/>
    <w:rsid w:val="00575A17"/>
    <w:rsid w:val="0057624C"/>
    <w:rsid w:val="0057643F"/>
    <w:rsid w:val="00576B1D"/>
    <w:rsid w:val="00577108"/>
    <w:rsid w:val="00580256"/>
    <w:rsid w:val="005810D1"/>
    <w:rsid w:val="0058174D"/>
    <w:rsid w:val="00581888"/>
    <w:rsid w:val="0058289F"/>
    <w:rsid w:val="00583DD0"/>
    <w:rsid w:val="00590FFA"/>
    <w:rsid w:val="00592197"/>
    <w:rsid w:val="00594532"/>
    <w:rsid w:val="0059457E"/>
    <w:rsid w:val="00594C10"/>
    <w:rsid w:val="00594D94"/>
    <w:rsid w:val="005954BF"/>
    <w:rsid w:val="005959BF"/>
    <w:rsid w:val="00595A81"/>
    <w:rsid w:val="005962EA"/>
    <w:rsid w:val="005A052D"/>
    <w:rsid w:val="005A0FE7"/>
    <w:rsid w:val="005A1569"/>
    <w:rsid w:val="005A1732"/>
    <w:rsid w:val="005A1D6D"/>
    <w:rsid w:val="005A23B9"/>
    <w:rsid w:val="005A28BE"/>
    <w:rsid w:val="005A5B50"/>
    <w:rsid w:val="005A5E25"/>
    <w:rsid w:val="005B1C10"/>
    <w:rsid w:val="005B26E3"/>
    <w:rsid w:val="005B7B00"/>
    <w:rsid w:val="005C0209"/>
    <w:rsid w:val="005C09F7"/>
    <w:rsid w:val="005C1136"/>
    <w:rsid w:val="005C1691"/>
    <w:rsid w:val="005C3639"/>
    <w:rsid w:val="005C3647"/>
    <w:rsid w:val="005C5A30"/>
    <w:rsid w:val="005C5DE5"/>
    <w:rsid w:val="005C5E78"/>
    <w:rsid w:val="005C624B"/>
    <w:rsid w:val="005C69DE"/>
    <w:rsid w:val="005C6F27"/>
    <w:rsid w:val="005D0068"/>
    <w:rsid w:val="005D0B67"/>
    <w:rsid w:val="005D0BA3"/>
    <w:rsid w:val="005D0D88"/>
    <w:rsid w:val="005D135B"/>
    <w:rsid w:val="005D1F91"/>
    <w:rsid w:val="005D5E9E"/>
    <w:rsid w:val="005D66B3"/>
    <w:rsid w:val="005D6C28"/>
    <w:rsid w:val="005D7EDA"/>
    <w:rsid w:val="005E0567"/>
    <w:rsid w:val="005E0E4A"/>
    <w:rsid w:val="005E11D1"/>
    <w:rsid w:val="005E14DF"/>
    <w:rsid w:val="005E1C85"/>
    <w:rsid w:val="005E2F5D"/>
    <w:rsid w:val="005E3C4A"/>
    <w:rsid w:val="005E3DFA"/>
    <w:rsid w:val="005E3E56"/>
    <w:rsid w:val="005E4C56"/>
    <w:rsid w:val="005E5BB9"/>
    <w:rsid w:val="005E615B"/>
    <w:rsid w:val="005E73EB"/>
    <w:rsid w:val="005E7489"/>
    <w:rsid w:val="005E7B71"/>
    <w:rsid w:val="005F210E"/>
    <w:rsid w:val="005F2987"/>
    <w:rsid w:val="005F3AC8"/>
    <w:rsid w:val="005F4574"/>
    <w:rsid w:val="005F45A9"/>
    <w:rsid w:val="005F5504"/>
    <w:rsid w:val="005F557E"/>
    <w:rsid w:val="005F6E30"/>
    <w:rsid w:val="005F704F"/>
    <w:rsid w:val="006033AB"/>
    <w:rsid w:val="00603579"/>
    <w:rsid w:val="00603F44"/>
    <w:rsid w:val="00603F66"/>
    <w:rsid w:val="00605108"/>
    <w:rsid w:val="0060741B"/>
    <w:rsid w:val="0060766D"/>
    <w:rsid w:val="00607A1B"/>
    <w:rsid w:val="0061104D"/>
    <w:rsid w:val="0061109E"/>
    <w:rsid w:val="0061403A"/>
    <w:rsid w:val="00614CD5"/>
    <w:rsid w:val="006162F0"/>
    <w:rsid w:val="0061658B"/>
    <w:rsid w:val="006171B4"/>
    <w:rsid w:val="0062069D"/>
    <w:rsid w:val="00620866"/>
    <w:rsid w:val="00621B0F"/>
    <w:rsid w:val="00623E45"/>
    <w:rsid w:val="0062501E"/>
    <w:rsid w:val="00625DC4"/>
    <w:rsid w:val="0062777A"/>
    <w:rsid w:val="00627E07"/>
    <w:rsid w:val="0063002A"/>
    <w:rsid w:val="0063109A"/>
    <w:rsid w:val="006316AD"/>
    <w:rsid w:val="0063223E"/>
    <w:rsid w:val="00633D3F"/>
    <w:rsid w:val="00634086"/>
    <w:rsid w:val="00634337"/>
    <w:rsid w:val="00636093"/>
    <w:rsid w:val="00636D9B"/>
    <w:rsid w:val="00637945"/>
    <w:rsid w:val="0064027F"/>
    <w:rsid w:val="00640D9C"/>
    <w:rsid w:val="00641C67"/>
    <w:rsid w:val="00642285"/>
    <w:rsid w:val="006423CC"/>
    <w:rsid w:val="0064368C"/>
    <w:rsid w:val="00643B49"/>
    <w:rsid w:val="006463CA"/>
    <w:rsid w:val="006470A6"/>
    <w:rsid w:val="00650723"/>
    <w:rsid w:val="00651CD1"/>
    <w:rsid w:val="00652361"/>
    <w:rsid w:val="006537BB"/>
    <w:rsid w:val="00655C0D"/>
    <w:rsid w:val="00655EC7"/>
    <w:rsid w:val="00656442"/>
    <w:rsid w:val="00657F8D"/>
    <w:rsid w:val="006604D8"/>
    <w:rsid w:val="006608A9"/>
    <w:rsid w:val="00661667"/>
    <w:rsid w:val="006622A7"/>
    <w:rsid w:val="0066353E"/>
    <w:rsid w:val="00663F8B"/>
    <w:rsid w:val="00663F9A"/>
    <w:rsid w:val="00664684"/>
    <w:rsid w:val="006646F1"/>
    <w:rsid w:val="00665AE3"/>
    <w:rsid w:val="00665BBB"/>
    <w:rsid w:val="006675A1"/>
    <w:rsid w:val="0067137A"/>
    <w:rsid w:val="00672131"/>
    <w:rsid w:val="006726FB"/>
    <w:rsid w:val="00673A97"/>
    <w:rsid w:val="00674AC7"/>
    <w:rsid w:val="00675587"/>
    <w:rsid w:val="00675B54"/>
    <w:rsid w:val="00676352"/>
    <w:rsid w:val="00676811"/>
    <w:rsid w:val="00677250"/>
    <w:rsid w:val="0068073E"/>
    <w:rsid w:val="00680E03"/>
    <w:rsid w:val="0068104A"/>
    <w:rsid w:val="006825D8"/>
    <w:rsid w:val="00682A11"/>
    <w:rsid w:val="00684733"/>
    <w:rsid w:val="00684A92"/>
    <w:rsid w:val="00687851"/>
    <w:rsid w:val="006914A2"/>
    <w:rsid w:val="006918E9"/>
    <w:rsid w:val="00691A5C"/>
    <w:rsid w:val="00691DAA"/>
    <w:rsid w:val="0069203D"/>
    <w:rsid w:val="00694498"/>
    <w:rsid w:val="006944D1"/>
    <w:rsid w:val="00694982"/>
    <w:rsid w:val="00697252"/>
    <w:rsid w:val="00697380"/>
    <w:rsid w:val="006A0010"/>
    <w:rsid w:val="006A0DFB"/>
    <w:rsid w:val="006A2D2A"/>
    <w:rsid w:val="006A32F5"/>
    <w:rsid w:val="006A3C49"/>
    <w:rsid w:val="006A4045"/>
    <w:rsid w:val="006A4991"/>
    <w:rsid w:val="006A4EA8"/>
    <w:rsid w:val="006A5A49"/>
    <w:rsid w:val="006A5B7D"/>
    <w:rsid w:val="006A5CC4"/>
    <w:rsid w:val="006A5E20"/>
    <w:rsid w:val="006A70F4"/>
    <w:rsid w:val="006A79D4"/>
    <w:rsid w:val="006B0848"/>
    <w:rsid w:val="006B0C51"/>
    <w:rsid w:val="006B3B83"/>
    <w:rsid w:val="006B3F16"/>
    <w:rsid w:val="006B5730"/>
    <w:rsid w:val="006B5E42"/>
    <w:rsid w:val="006B5EBA"/>
    <w:rsid w:val="006B71C3"/>
    <w:rsid w:val="006B78F4"/>
    <w:rsid w:val="006C011A"/>
    <w:rsid w:val="006C030C"/>
    <w:rsid w:val="006C0659"/>
    <w:rsid w:val="006C07C1"/>
    <w:rsid w:val="006C0C0A"/>
    <w:rsid w:val="006C1A7F"/>
    <w:rsid w:val="006C3615"/>
    <w:rsid w:val="006C40B3"/>
    <w:rsid w:val="006C69BD"/>
    <w:rsid w:val="006C7AC2"/>
    <w:rsid w:val="006D0623"/>
    <w:rsid w:val="006D1BFE"/>
    <w:rsid w:val="006D1C09"/>
    <w:rsid w:val="006D3F98"/>
    <w:rsid w:val="006D5CF9"/>
    <w:rsid w:val="006D6827"/>
    <w:rsid w:val="006D7886"/>
    <w:rsid w:val="006D78A0"/>
    <w:rsid w:val="006D7B47"/>
    <w:rsid w:val="006E0322"/>
    <w:rsid w:val="006E1E69"/>
    <w:rsid w:val="006E259E"/>
    <w:rsid w:val="006E26BD"/>
    <w:rsid w:val="006E2997"/>
    <w:rsid w:val="006E3FAB"/>
    <w:rsid w:val="006E4EE7"/>
    <w:rsid w:val="006E4F4E"/>
    <w:rsid w:val="006E5CAA"/>
    <w:rsid w:val="006E657C"/>
    <w:rsid w:val="006E721B"/>
    <w:rsid w:val="006E7944"/>
    <w:rsid w:val="006F0266"/>
    <w:rsid w:val="006F0A76"/>
    <w:rsid w:val="006F112E"/>
    <w:rsid w:val="006F1FAC"/>
    <w:rsid w:val="006F3775"/>
    <w:rsid w:val="006F4457"/>
    <w:rsid w:val="006F44FE"/>
    <w:rsid w:val="006F46E7"/>
    <w:rsid w:val="006F4788"/>
    <w:rsid w:val="006F4938"/>
    <w:rsid w:val="006F51AD"/>
    <w:rsid w:val="006F588E"/>
    <w:rsid w:val="006F5E81"/>
    <w:rsid w:val="006F5F1F"/>
    <w:rsid w:val="006F63EA"/>
    <w:rsid w:val="006F6797"/>
    <w:rsid w:val="006F6CC7"/>
    <w:rsid w:val="006F6EA7"/>
    <w:rsid w:val="006F7168"/>
    <w:rsid w:val="006F7AAD"/>
    <w:rsid w:val="006F7D8B"/>
    <w:rsid w:val="00700DA6"/>
    <w:rsid w:val="00700DB7"/>
    <w:rsid w:val="00701CFD"/>
    <w:rsid w:val="007020BF"/>
    <w:rsid w:val="007022DC"/>
    <w:rsid w:val="00702510"/>
    <w:rsid w:val="0070279B"/>
    <w:rsid w:val="00703CC2"/>
    <w:rsid w:val="00703D5A"/>
    <w:rsid w:val="0070569C"/>
    <w:rsid w:val="007057EB"/>
    <w:rsid w:val="0070583C"/>
    <w:rsid w:val="00705BC1"/>
    <w:rsid w:val="00706750"/>
    <w:rsid w:val="007075CE"/>
    <w:rsid w:val="007100CC"/>
    <w:rsid w:val="00711173"/>
    <w:rsid w:val="00711488"/>
    <w:rsid w:val="00711599"/>
    <w:rsid w:val="007129B2"/>
    <w:rsid w:val="00712ECA"/>
    <w:rsid w:val="007134F6"/>
    <w:rsid w:val="00713ABC"/>
    <w:rsid w:val="00714306"/>
    <w:rsid w:val="00714673"/>
    <w:rsid w:val="00714E9C"/>
    <w:rsid w:val="007157C8"/>
    <w:rsid w:val="007161DB"/>
    <w:rsid w:val="00716F26"/>
    <w:rsid w:val="00717454"/>
    <w:rsid w:val="007200D9"/>
    <w:rsid w:val="00720503"/>
    <w:rsid w:val="00720943"/>
    <w:rsid w:val="00721D6C"/>
    <w:rsid w:val="00723994"/>
    <w:rsid w:val="007250D0"/>
    <w:rsid w:val="00725978"/>
    <w:rsid w:val="007260A0"/>
    <w:rsid w:val="007264E7"/>
    <w:rsid w:val="00727D79"/>
    <w:rsid w:val="00727F02"/>
    <w:rsid w:val="007307B3"/>
    <w:rsid w:val="00731216"/>
    <w:rsid w:val="0073197F"/>
    <w:rsid w:val="00731C96"/>
    <w:rsid w:val="00732A34"/>
    <w:rsid w:val="00732A8A"/>
    <w:rsid w:val="00732FC0"/>
    <w:rsid w:val="0073358A"/>
    <w:rsid w:val="00733FD9"/>
    <w:rsid w:val="007348B9"/>
    <w:rsid w:val="00735D76"/>
    <w:rsid w:val="00736CA8"/>
    <w:rsid w:val="00743C1E"/>
    <w:rsid w:val="00743C77"/>
    <w:rsid w:val="0074473F"/>
    <w:rsid w:val="007449D7"/>
    <w:rsid w:val="007451BE"/>
    <w:rsid w:val="00746D86"/>
    <w:rsid w:val="00750606"/>
    <w:rsid w:val="00750C66"/>
    <w:rsid w:val="00751355"/>
    <w:rsid w:val="00751DEF"/>
    <w:rsid w:val="00754246"/>
    <w:rsid w:val="00754943"/>
    <w:rsid w:val="00754D85"/>
    <w:rsid w:val="00754E86"/>
    <w:rsid w:val="0075510E"/>
    <w:rsid w:val="007573D4"/>
    <w:rsid w:val="007611CF"/>
    <w:rsid w:val="007625FE"/>
    <w:rsid w:val="00762C69"/>
    <w:rsid w:val="00764219"/>
    <w:rsid w:val="00765105"/>
    <w:rsid w:val="00765E8F"/>
    <w:rsid w:val="00766E97"/>
    <w:rsid w:val="007673B7"/>
    <w:rsid w:val="00767FB7"/>
    <w:rsid w:val="0077078C"/>
    <w:rsid w:val="00770AF5"/>
    <w:rsid w:val="0077269C"/>
    <w:rsid w:val="00772B95"/>
    <w:rsid w:val="007737A3"/>
    <w:rsid w:val="00773BB8"/>
    <w:rsid w:val="007748A3"/>
    <w:rsid w:val="007749D9"/>
    <w:rsid w:val="0077517E"/>
    <w:rsid w:val="00775637"/>
    <w:rsid w:val="0077565E"/>
    <w:rsid w:val="00775A75"/>
    <w:rsid w:val="00776491"/>
    <w:rsid w:val="007765A0"/>
    <w:rsid w:val="00776650"/>
    <w:rsid w:val="007772F8"/>
    <w:rsid w:val="0077762D"/>
    <w:rsid w:val="00777CB5"/>
    <w:rsid w:val="00777EDA"/>
    <w:rsid w:val="00780634"/>
    <w:rsid w:val="0078115E"/>
    <w:rsid w:val="0078134B"/>
    <w:rsid w:val="007817BA"/>
    <w:rsid w:val="00781E1E"/>
    <w:rsid w:val="00782B6B"/>
    <w:rsid w:val="007833AC"/>
    <w:rsid w:val="00783CC3"/>
    <w:rsid w:val="007840A3"/>
    <w:rsid w:val="00785F3B"/>
    <w:rsid w:val="007863CD"/>
    <w:rsid w:val="00790554"/>
    <w:rsid w:val="0079137A"/>
    <w:rsid w:val="00791A7B"/>
    <w:rsid w:val="00791FF9"/>
    <w:rsid w:val="007934F7"/>
    <w:rsid w:val="00793EE3"/>
    <w:rsid w:val="0079404A"/>
    <w:rsid w:val="007942E0"/>
    <w:rsid w:val="00794935"/>
    <w:rsid w:val="007952BA"/>
    <w:rsid w:val="007961CB"/>
    <w:rsid w:val="007A001B"/>
    <w:rsid w:val="007A0B0D"/>
    <w:rsid w:val="007A0E3A"/>
    <w:rsid w:val="007A1271"/>
    <w:rsid w:val="007A4D96"/>
    <w:rsid w:val="007A5EF2"/>
    <w:rsid w:val="007B0654"/>
    <w:rsid w:val="007B1CF9"/>
    <w:rsid w:val="007B2AB2"/>
    <w:rsid w:val="007B37F0"/>
    <w:rsid w:val="007B65AA"/>
    <w:rsid w:val="007B7393"/>
    <w:rsid w:val="007B7914"/>
    <w:rsid w:val="007C0838"/>
    <w:rsid w:val="007C09C7"/>
    <w:rsid w:val="007C0FC8"/>
    <w:rsid w:val="007C178B"/>
    <w:rsid w:val="007C27EF"/>
    <w:rsid w:val="007C2D57"/>
    <w:rsid w:val="007C3DF7"/>
    <w:rsid w:val="007C68B3"/>
    <w:rsid w:val="007C74A8"/>
    <w:rsid w:val="007D227C"/>
    <w:rsid w:val="007D264E"/>
    <w:rsid w:val="007D2D5E"/>
    <w:rsid w:val="007D4040"/>
    <w:rsid w:val="007D4A1E"/>
    <w:rsid w:val="007D4B43"/>
    <w:rsid w:val="007D5470"/>
    <w:rsid w:val="007D62B0"/>
    <w:rsid w:val="007D6824"/>
    <w:rsid w:val="007E15B2"/>
    <w:rsid w:val="007E1F46"/>
    <w:rsid w:val="007E2989"/>
    <w:rsid w:val="007E2A41"/>
    <w:rsid w:val="007E3631"/>
    <w:rsid w:val="007E52B2"/>
    <w:rsid w:val="007E64C7"/>
    <w:rsid w:val="007E65E8"/>
    <w:rsid w:val="007E7E36"/>
    <w:rsid w:val="007F21FC"/>
    <w:rsid w:val="007F3838"/>
    <w:rsid w:val="007F3CC5"/>
    <w:rsid w:val="007F4863"/>
    <w:rsid w:val="007F4D50"/>
    <w:rsid w:val="007F58C1"/>
    <w:rsid w:val="007F5C5C"/>
    <w:rsid w:val="007F617B"/>
    <w:rsid w:val="007F737A"/>
    <w:rsid w:val="007F789D"/>
    <w:rsid w:val="007F78A7"/>
    <w:rsid w:val="007F7E5F"/>
    <w:rsid w:val="00800FD8"/>
    <w:rsid w:val="00801179"/>
    <w:rsid w:val="008011A3"/>
    <w:rsid w:val="00803EDD"/>
    <w:rsid w:val="008043B3"/>
    <w:rsid w:val="00804D98"/>
    <w:rsid w:val="00805D12"/>
    <w:rsid w:val="00805DD8"/>
    <w:rsid w:val="00806216"/>
    <w:rsid w:val="00806A26"/>
    <w:rsid w:val="00810EDB"/>
    <w:rsid w:val="00811D20"/>
    <w:rsid w:val="0081485B"/>
    <w:rsid w:val="008153CE"/>
    <w:rsid w:val="008156CE"/>
    <w:rsid w:val="00817D32"/>
    <w:rsid w:val="0082289C"/>
    <w:rsid w:val="00822B8F"/>
    <w:rsid w:val="00823913"/>
    <w:rsid w:val="0082401E"/>
    <w:rsid w:val="0082480F"/>
    <w:rsid w:val="008252BC"/>
    <w:rsid w:val="00825312"/>
    <w:rsid w:val="00825376"/>
    <w:rsid w:val="0082585A"/>
    <w:rsid w:val="00826E34"/>
    <w:rsid w:val="00826FA0"/>
    <w:rsid w:val="008272B2"/>
    <w:rsid w:val="00827426"/>
    <w:rsid w:val="00830B78"/>
    <w:rsid w:val="00830E69"/>
    <w:rsid w:val="0083234B"/>
    <w:rsid w:val="008345C8"/>
    <w:rsid w:val="0083515B"/>
    <w:rsid w:val="00835E98"/>
    <w:rsid w:val="00836521"/>
    <w:rsid w:val="0083687A"/>
    <w:rsid w:val="00836A89"/>
    <w:rsid w:val="00837EA8"/>
    <w:rsid w:val="00837F1A"/>
    <w:rsid w:val="0084062C"/>
    <w:rsid w:val="00840B52"/>
    <w:rsid w:val="00840C29"/>
    <w:rsid w:val="008416A0"/>
    <w:rsid w:val="00842AA5"/>
    <w:rsid w:val="008434F0"/>
    <w:rsid w:val="00843C83"/>
    <w:rsid w:val="00843D9B"/>
    <w:rsid w:val="00844127"/>
    <w:rsid w:val="0084432A"/>
    <w:rsid w:val="00844A35"/>
    <w:rsid w:val="0084699F"/>
    <w:rsid w:val="00846CCB"/>
    <w:rsid w:val="0084728D"/>
    <w:rsid w:val="00847EDD"/>
    <w:rsid w:val="00850E5E"/>
    <w:rsid w:val="008517F7"/>
    <w:rsid w:val="0085372E"/>
    <w:rsid w:val="00853E35"/>
    <w:rsid w:val="00854D51"/>
    <w:rsid w:val="008551A7"/>
    <w:rsid w:val="008552F5"/>
    <w:rsid w:val="00855566"/>
    <w:rsid w:val="0085686D"/>
    <w:rsid w:val="00856EFC"/>
    <w:rsid w:val="00857EEA"/>
    <w:rsid w:val="00860608"/>
    <w:rsid w:val="00860FBF"/>
    <w:rsid w:val="008619C3"/>
    <w:rsid w:val="00861FEC"/>
    <w:rsid w:val="00862A5A"/>
    <w:rsid w:val="00863FA6"/>
    <w:rsid w:val="008646BB"/>
    <w:rsid w:val="0086471C"/>
    <w:rsid w:val="00864866"/>
    <w:rsid w:val="00865326"/>
    <w:rsid w:val="00865F2E"/>
    <w:rsid w:val="00867B43"/>
    <w:rsid w:val="008717E3"/>
    <w:rsid w:val="008725D5"/>
    <w:rsid w:val="00872B4A"/>
    <w:rsid w:val="00873845"/>
    <w:rsid w:val="0087430D"/>
    <w:rsid w:val="00875832"/>
    <w:rsid w:val="008765F7"/>
    <w:rsid w:val="00877186"/>
    <w:rsid w:val="00877421"/>
    <w:rsid w:val="00881AE2"/>
    <w:rsid w:val="00882BCA"/>
    <w:rsid w:val="0088389E"/>
    <w:rsid w:val="008838B4"/>
    <w:rsid w:val="008838D5"/>
    <w:rsid w:val="00883C1E"/>
    <w:rsid w:val="00884D28"/>
    <w:rsid w:val="00884E41"/>
    <w:rsid w:val="00886704"/>
    <w:rsid w:val="00886AC4"/>
    <w:rsid w:val="00891072"/>
    <w:rsid w:val="00891776"/>
    <w:rsid w:val="00891B6F"/>
    <w:rsid w:val="008934A4"/>
    <w:rsid w:val="008934D6"/>
    <w:rsid w:val="008936E9"/>
    <w:rsid w:val="00893B15"/>
    <w:rsid w:val="0089458B"/>
    <w:rsid w:val="00894C36"/>
    <w:rsid w:val="008979D2"/>
    <w:rsid w:val="00897B7D"/>
    <w:rsid w:val="008A01A8"/>
    <w:rsid w:val="008A04BA"/>
    <w:rsid w:val="008A0524"/>
    <w:rsid w:val="008A36F8"/>
    <w:rsid w:val="008A5C87"/>
    <w:rsid w:val="008A6888"/>
    <w:rsid w:val="008B0457"/>
    <w:rsid w:val="008B096D"/>
    <w:rsid w:val="008B2084"/>
    <w:rsid w:val="008B30C0"/>
    <w:rsid w:val="008B3855"/>
    <w:rsid w:val="008B3A2D"/>
    <w:rsid w:val="008B4142"/>
    <w:rsid w:val="008B4710"/>
    <w:rsid w:val="008B509E"/>
    <w:rsid w:val="008B54AB"/>
    <w:rsid w:val="008B54D5"/>
    <w:rsid w:val="008B570C"/>
    <w:rsid w:val="008B5EF0"/>
    <w:rsid w:val="008C04F9"/>
    <w:rsid w:val="008C2320"/>
    <w:rsid w:val="008C24B6"/>
    <w:rsid w:val="008C27F4"/>
    <w:rsid w:val="008C451E"/>
    <w:rsid w:val="008C4E32"/>
    <w:rsid w:val="008C5950"/>
    <w:rsid w:val="008C5D3D"/>
    <w:rsid w:val="008C7B98"/>
    <w:rsid w:val="008D076A"/>
    <w:rsid w:val="008D23C0"/>
    <w:rsid w:val="008D2727"/>
    <w:rsid w:val="008D5977"/>
    <w:rsid w:val="008D70E9"/>
    <w:rsid w:val="008D78CD"/>
    <w:rsid w:val="008E0A50"/>
    <w:rsid w:val="008E1038"/>
    <w:rsid w:val="008E21B3"/>
    <w:rsid w:val="008E267D"/>
    <w:rsid w:val="008E3B69"/>
    <w:rsid w:val="008E57C0"/>
    <w:rsid w:val="008E5B2E"/>
    <w:rsid w:val="008E5E14"/>
    <w:rsid w:val="008E5E99"/>
    <w:rsid w:val="008E5EFD"/>
    <w:rsid w:val="008E6E25"/>
    <w:rsid w:val="008E7068"/>
    <w:rsid w:val="008F0D15"/>
    <w:rsid w:val="008F3B6F"/>
    <w:rsid w:val="008F3C25"/>
    <w:rsid w:val="008F3E64"/>
    <w:rsid w:val="008F431B"/>
    <w:rsid w:val="008F4A14"/>
    <w:rsid w:val="008F5AFD"/>
    <w:rsid w:val="008F6658"/>
    <w:rsid w:val="008F7723"/>
    <w:rsid w:val="008F79EC"/>
    <w:rsid w:val="00901759"/>
    <w:rsid w:val="00902868"/>
    <w:rsid w:val="00902B05"/>
    <w:rsid w:val="009031A0"/>
    <w:rsid w:val="0090331B"/>
    <w:rsid w:val="0090360B"/>
    <w:rsid w:val="00904AD1"/>
    <w:rsid w:val="009063C7"/>
    <w:rsid w:val="00910D99"/>
    <w:rsid w:val="009112BB"/>
    <w:rsid w:val="00913141"/>
    <w:rsid w:val="009140DC"/>
    <w:rsid w:val="00914255"/>
    <w:rsid w:val="0091485A"/>
    <w:rsid w:val="00916C6C"/>
    <w:rsid w:val="009201F5"/>
    <w:rsid w:val="00920B86"/>
    <w:rsid w:val="00920DD9"/>
    <w:rsid w:val="0092237F"/>
    <w:rsid w:val="0092250A"/>
    <w:rsid w:val="00922719"/>
    <w:rsid w:val="00922F82"/>
    <w:rsid w:val="009235D8"/>
    <w:rsid w:val="00924955"/>
    <w:rsid w:val="00924DD1"/>
    <w:rsid w:val="0092607B"/>
    <w:rsid w:val="009264ED"/>
    <w:rsid w:val="00926849"/>
    <w:rsid w:val="009310D6"/>
    <w:rsid w:val="0093277B"/>
    <w:rsid w:val="00932AE8"/>
    <w:rsid w:val="00932CC4"/>
    <w:rsid w:val="009339A2"/>
    <w:rsid w:val="009339D1"/>
    <w:rsid w:val="00936AEC"/>
    <w:rsid w:val="009370D9"/>
    <w:rsid w:val="00937161"/>
    <w:rsid w:val="00937EE2"/>
    <w:rsid w:val="00941780"/>
    <w:rsid w:val="00941862"/>
    <w:rsid w:val="009433A7"/>
    <w:rsid w:val="009436BE"/>
    <w:rsid w:val="00943D4A"/>
    <w:rsid w:val="00943EEE"/>
    <w:rsid w:val="009449FE"/>
    <w:rsid w:val="00944D36"/>
    <w:rsid w:val="00945030"/>
    <w:rsid w:val="00946138"/>
    <w:rsid w:val="00946540"/>
    <w:rsid w:val="009479A1"/>
    <w:rsid w:val="0095041F"/>
    <w:rsid w:val="00950BE9"/>
    <w:rsid w:val="0095144F"/>
    <w:rsid w:val="00951CDE"/>
    <w:rsid w:val="00952538"/>
    <w:rsid w:val="009544FF"/>
    <w:rsid w:val="00954A86"/>
    <w:rsid w:val="00955105"/>
    <w:rsid w:val="009564BF"/>
    <w:rsid w:val="009573B2"/>
    <w:rsid w:val="009622D7"/>
    <w:rsid w:val="00962812"/>
    <w:rsid w:val="00962BDA"/>
    <w:rsid w:val="00962F92"/>
    <w:rsid w:val="00965236"/>
    <w:rsid w:val="009657F4"/>
    <w:rsid w:val="009663E2"/>
    <w:rsid w:val="00966AFA"/>
    <w:rsid w:val="00967213"/>
    <w:rsid w:val="00970990"/>
    <w:rsid w:val="00970A0D"/>
    <w:rsid w:val="0097168A"/>
    <w:rsid w:val="0097367A"/>
    <w:rsid w:val="00974BCC"/>
    <w:rsid w:val="009751DA"/>
    <w:rsid w:val="00975FC6"/>
    <w:rsid w:val="00976466"/>
    <w:rsid w:val="00976643"/>
    <w:rsid w:val="009832C9"/>
    <w:rsid w:val="009837F5"/>
    <w:rsid w:val="00983E8C"/>
    <w:rsid w:val="00984DE4"/>
    <w:rsid w:val="009850CF"/>
    <w:rsid w:val="00985356"/>
    <w:rsid w:val="0098545C"/>
    <w:rsid w:val="009865E6"/>
    <w:rsid w:val="00987CEF"/>
    <w:rsid w:val="0099040F"/>
    <w:rsid w:val="00990AB2"/>
    <w:rsid w:val="00991498"/>
    <w:rsid w:val="00993549"/>
    <w:rsid w:val="0099406F"/>
    <w:rsid w:val="00994DCE"/>
    <w:rsid w:val="009958C0"/>
    <w:rsid w:val="00995F8D"/>
    <w:rsid w:val="009A1D61"/>
    <w:rsid w:val="009A298D"/>
    <w:rsid w:val="009A32AB"/>
    <w:rsid w:val="009A3377"/>
    <w:rsid w:val="009A78F0"/>
    <w:rsid w:val="009B2324"/>
    <w:rsid w:val="009B28C9"/>
    <w:rsid w:val="009B296B"/>
    <w:rsid w:val="009B57DC"/>
    <w:rsid w:val="009B66E6"/>
    <w:rsid w:val="009B69A0"/>
    <w:rsid w:val="009B6F6B"/>
    <w:rsid w:val="009B7CCB"/>
    <w:rsid w:val="009B7D2C"/>
    <w:rsid w:val="009C086F"/>
    <w:rsid w:val="009C2536"/>
    <w:rsid w:val="009C4705"/>
    <w:rsid w:val="009C4D9B"/>
    <w:rsid w:val="009C4E79"/>
    <w:rsid w:val="009C513C"/>
    <w:rsid w:val="009C6B06"/>
    <w:rsid w:val="009C7FE7"/>
    <w:rsid w:val="009D0C2D"/>
    <w:rsid w:val="009D1E48"/>
    <w:rsid w:val="009D26A9"/>
    <w:rsid w:val="009D46F6"/>
    <w:rsid w:val="009D4E52"/>
    <w:rsid w:val="009D5E42"/>
    <w:rsid w:val="009D7791"/>
    <w:rsid w:val="009E0542"/>
    <w:rsid w:val="009E077F"/>
    <w:rsid w:val="009E0B68"/>
    <w:rsid w:val="009E1365"/>
    <w:rsid w:val="009E28D4"/>
    <w:rsid w:val="009E3A9F"/>
    <w:rsid w:val="009E6F32"/>
    <w:rsid w:val="009E74C1"/>
    <w:rsid w:val="009E7F70"/>
    <w:rsid w:val="009F3379"/>
    <w:rsid w:val="009F40E2"/>
    <w:rsid w:val="009F54CD"/>
    <w:rsid w:val="009F64CC"/>
    <w:rsid w:val="009F67E9"/>
    <w:rsid w:val="009F6A59"/>
    <w:rsid w:val="00A007CB"/>
    <w:rsid w:val="00A00BA8"/>
    <w:rsid w:val="00A02A68"/>
    <w:rsid w:val="00A04558"/>
    <w:rsid w:val="00A05126"/>
    <w:rsid w:val="00A05165"/>
    <w:rsid w:val="00A057A8"/>
    <w:rsid w:val="00A05B9C"/>
    <w:rsid w:val="00A0709E"/>
    <w:rsid w:val="00A11F42"/>
    <w:rsid w:val="00A12EA5"/>
    <w:rsid w:val="00A13791"/>
    <w:rsid w:val="00A13E9D"/>
    <w:rsid w:val="00A13F81"/>
    <w:rsid w:val="00A141DB"/>
    <w:rsid w:val="00A14836"/>
    <w:rsid w:val="00A14C6C"/>
    <w:rsid w:val="00A14F42"/>
    <w:rsid w:val="00A15D28"/>
    <w:rsid w:val="00A16F39"/>
    <w:rsid w:val="00A17302"/>
    <w:rsid w:val="00A177F0"/>
    <w:rsid w:val="00A20586"/>
    <w:rsid w:val="00A210F0"/>
    <w:rsid w:val="00A22131"/>
    <w:rsid w:val="00A2267A"/>
    <w:rsid w:val="00A235A7"/>
    <w:rsid w:val="00A23AD5"/>
    <w:rsid w:val="00A2529A"/>
    <w:rsid w:val="00A270ED"/>
    <w:rsid w:val="00A273DC"/>
    <w:rsid w:val="00A276D6"/>
    <w:rsid w:val="00A3054F"/>
    <w:rsid w:val="00A30899"/>
    <w:rsid w:val="00A32213"/>
    <w:rsid w:val="00A332EF"/>
    <w:rsid w:val="00A334A3"/>
    <w:rsid w:val="00A33BC4"/>
    <w:rsid w:val="00A33F46"/>
    <w:rsid w:val="00A340C7"/>
    <w:rsid w:val="00A352C2"/>
    <w:rsid w:val="00A35F23"/>
    <w:rsid w:val="00A3608A"/>
    <w:rsid w:val="00A36A43"/>
    <w:rsid w:val="00A36AD7"/>
    <w:rsid w:val="00A40786"/>
    <w:rsid w:val="00A42B1A"/>
    <w:rsid w:val="00A43FFC"/>
    <w:rsid w:val="00A442D0"/>
    <w:rsid w:val="00A446E2"/>
    <w:rsid w:val="00A450A6"/>
    <w:rsid w:val="00A45762"/>
    <w:rsid w:val="00A45B87"/>
    <w:rsid w:val="00A46D40"/>
    <w:rsid w:val="00A46F6B"/>
    <w:rsid w:val="00A47578"/>
    <w:rsid w:val="00A478D1"/>
    <w:rsid w:val="00A47B2A"/>
    <w:rsid w:val="00A5038E"/>
    <w:rsid w:val="00A50489"/>
    <w:rsid w:val="00A514CD"/>
    <w:rsid w:val="00A51BD1"/>
    <w:rsid w:val="00A5222F"/>
    <w:rsid w:val="00A5254F"/>
    <w:rsid w:val="00A52AE9"/>
    <w:rsid w:val="00A5375E"/>
    <w:rsid w:val="00A538C3"/>
    <w:rsid w:val="00A5392D"/>
    <w:rsid w:val="00A54449"/>
    <w:rsid w:val="00A54499"/>
    <w:rsid w:val="00A5467D"/>
    <w:rsid w:val="00A55C01"/>
    <w:rsid w:val="00A57D1B"/>
    <w:rsid w:val="00A60C43"/>
    <w:rsid w:val="00A60C77"/>
    <w:rsid w:val="00A6148A"/>
    <w:rsid w:val="00A615BA"/>
    <w:rsid w:val="00A61F33"/>
    <w:rsid w:val="00A62293"/>
    <w:rsid w:val="00A64697"/>
    <w:rsid w:val="00A6512A"/>
    <w:rsid w:val="00A663D7"/>
    <w:rsid w:val="00A6673B"/>
    <w:rsid w:val="00A66B6F"/>
    <w:rsid w:val="00A66F29"/>
    <w:rsid w:val="00A67C2D"/>
    <w:rsid w:val="00A70014"/>
    <w:rsid w:val="00A7136D"/>
    <w:rsid w:val="00A743BD"/>
    <w:rsid w:val="00A753F2"/>
    <w:rsid w:val="00A7572B"/>
    <w:rsid w:val="00A759BF"/>
    <w:rsid w:val="00A77381"/>
    <w:rsid w:val="00A77A1A"/>
    <w:rsid w:val="00A80007"/>
    <w:rsid w:val="00A81A47"/>
    <w:rsid w:val="00A81E17"/>
    <w:rsid w:val="00A8295E"/>
    <w:rsid w:val="00A83AF9"/>
    <w:rsid w:val="00A84D67"/>
    <w:rsid w:val="00A8587C"/>
    <w:rsid w:val="00A85E7C"/>
    <w:rsid w:val="00A860E1"/>
    <w:rsid w:val="00A86175"/>
    <w:rsid w:val="00A867EB"/>
    <w:rsid w:val="00A86BA8"/>
    <w:rsid w:val="00A87263"/>
    <w:rsid w:val="00A901E0"/>
    <w:rsid w:val="00A918C7"/>
    <w:rsid w:val="00A930B0"/>
    <w:rsid w:val="00A95282"/>
    <w:rsid w:val="00A963A5"/>
    <w:rsid w:val="00A97513"/>
    <w:rsid w:val="00A97A21"/>
    <w:rsid w:val="00AA005C"/>
    <w:rsid w:val="00AA0445"/>
    <w:rsid w:val="00AA2D36"/>
    <w:rsid w:val="00AA395E"/>
    <w:rsid w:val="00AA4004"/>
    <w:rsid w:val="00AA40B0"/>
    <w:rsid w:val="00AA44E1"/>
    <w:rsid w:val="00AA473C"/>
    <w:rsid w:val="00AA4BCF"/>
    <w:rsid w:val="00AA6293"/>
    <w:rsid w:val="00AA64ED"/>
    <w:rsid w:val="00AA6D35"/>
    <w:rsid w:val="00AA709C"/>
    <w:rsid w:val="00AA7A07"/>
    <w:rsid w:val="00AA7B04"/>
    <w:rsid w:val="00AB1695"/>
    <w:rsid w:val="00AB1B33"/>
    <w:rsid w:val="00AB1EC7"/>
    <w:rsid w:val="00AB28E5"/>
    <w:rsid w:val="00AB2B09"/>
    <w:rsid w:val="00AB2BDD"/>
    <w:rsid w:val="00AB4BC0"/>
    <w:rsid w:val="00AB5052"/>
    <w:rsid w:val="00AB52F3"/>
    <w:rsid w:val="00AB69EE"/>
    <w:rsid w:val="00AC1954"/>
    <w:rsid w:val="00AC2CA3"/>
    <w:rsid w:val="00AC3257"/>
    <w:rsid w:val="00AC406C"/>
    <w:rsid w:val="00AC4CDD"/>
    <w:rsid w:val="00AC500E"/>
    <w:rsid w:val="00AC7454"/>
    <w:rsid w:val="00AC7D16"/>
    <w:rsid w:val="00AC7D2C"/>
    <w:rsid w:val="00AD0941"/>
    <w:rsid w:val="00AD1CB9"/>
    <w:rsid w:val="00AD319D"/>
    <w:rsid w:val="00AD3649"/>
    <w:rsid w:val="00AD49F3"/>
    <w:rsid w:val="00AD5AB0"/>
    <w:rsid w:val="00AD6150"/>
    <w:rsid w:val="00AD77C1"/>
    <w:rsid w:val="00AE10DE"/>
    <w:rsid w:val="00AE2798"/>
    <w:rsid w:val="00AE3142"/>
    <w:rsid w:val="00AE3214"/>
    <w:rsid w:val="00AE3377"/>
    <w:rsid w:val="00AE3A4A"/>
    <w:rsid w:val="00AE3BD5"/>
    <w:rsid w:val="00AE424D"/>
    <w:rsid w:val="00AE4A88"/>
    <w:rsid w:val="00AE70B4"/>
    <w:rsid w:val="00AF0071"/>
    <w:rsid w:val="00AF007D"/>
    <w:rsid w:val="00AF11F1"/>
    <w:rsid w:val="00AF2D89"/>
    <w:rsid w:val="00AF6C6D"/>
    <w:rsid w:val="00AF70A5"/>
    <w:rsid w:val="00AF7A0B"/>
    <w:rsid w:val="00B0001B"/>
    <w:rsid w:val="00B011A0"/>
    <w:rsid w:val="00B02080"/>
    <w:rsid w:val="00B02419"/>
    <w:rsid w:val="00B030B3"/>
    <w:rsid w:val="00B04987"/>
    <w:rsid w:val="00B04A5F"/>
    <w:rsid w:val="00B0685A"/>
    <w:rsid w:val="00B068FE"/>
    <w:rsid w:val="00B07342"/>
    <w:rsid w:val="00B07D82"/>
    <w:rsid w:val="00B07F02"/>
    <w:rsid w:val="00B10107"/>
    <w:rsid w:val="00B1010B"/>
    <w:rsid w:val="00B10AFE"/>
    <w:rsid w:val="00B11C43"/>
    <w:rsid w:val="00B12373"/>
    <w:rsid w:val="00B132DC"/>
    <w:rsid w:val="00B13B66"/>
    <w:rsid w:val="00B145BB"/>
    <w:rsid w:val="00B14A33"/>
    <w:rsid w:val="00B14E1C"/>
    <w:rsid w:val="00B16CF0"/>
    <w:rsid w:val="00B21BB2"/>
    <w:rsid w:val="00B224F2"/>
    <w:rsid w:val="00B25881"/>
    <w:rsid w:val="00B266E8"/>
    <w:rsid w:val="00B3014E"/>
    <w:rsid w:val="00B307B3"/>
    <w:rsid w:val="00B311F0"/>
    <w:rsid w:val="00B318A9"/>
    <w:rsid w:val="00B328C3"/>
    <w:rsid w:val="00B329C6"/>
    <w:rsid w:val="00B33C3B"/>
    <w:rsid w:val="00B33D65"/>
    <w:rsid w:val="00B34328"/>
    <w:rsid w:val="00B343F4"/>
    <w:rsid w:val="00B34A73"/>
    <w:rsid w:val="00B3549C"/>
    <w:rsid w:val="00B35D9E"/>
    <w:rsid w:val="00B36FA6"/>
    <w:rsid w:val="00B416F0"/>
    <w:rsid w:val="00B41FD3"/>
    <w:rsid w:val="00B42046"/>
    <w:rsid w:val="00B43466"/>
    <w:rsid w:val="00B451A5"/>
    <w:rsid w:val="00B45EE1"/>
    <w:rsid w:val="00B46733"/>
    <w:rsid w:val="00B5120B"/>
    <w:rsid w:val="00B54024"/>
    <w:rsid w:val="00B54E92"/>
    <w:rsid w:val="00B572B5"/>
    <w:rsid w:val="00B60297"/>
    <w:rsid w:val="00B60E64"/>
    <w:rsid w:val="00B617F9"/>
    <w:rsid w:val="00B63250"/>
    <w:rsid w:val="00B64C27"/>
    <w:rsid w:val="00B64E88"/>
    <w:rsid w:val="00B66A92"/>
    <w:rsid w:val="00B66BD0"/>
    <w:rsid w:val="00B67376"/>
    <w:rsid w:val="00B70EBF"/>
    <w:rsid w:val="00B72700"/>
    <w:rsid w:val="00B73746"/>
    <w:rsid w:val="00B749EA"/>
    <w:rsid w:val="00B7631C"/>
    <w:rsid w:val="00B76BB7"/>
    <w:rsid w:val="00B80059"/>
    <w:rsid w:val="00B80288"/>
    <w:rsid w:val="00B80594"/>
    <w:rsid w:val="00B80609"/>
    <w:rsid w:val="00B80B7C"/>
    <w:rsid w:val="00B82D1A"/>
    <w:rsid w:val="00B83F3F"/>
    <w:rsid w:val="00B8400B"/>
    <w:rsid w:val="00B8416D"/>
    <w:rsid w:val="00B84DC3"/>
    <w:rsid w:val="00B85438"/>
    <w:rsid w:val="00B86834"/>
    <w:rsid w:val="00B86FAE"/>
    <w:rsid w:val="00B90346"/>
    <w:rsid w:val="00B90C20"/>
    <w:rsid w:val="00B90CB5"/>
    <w:rsid w:val="00B9185D"/>
    <w:rsid w:val="00B92777"/>
    <w:rsid w:val="00B92BB0"/>
    <w:rsid w:val="00B93D0F"/>
    <w:rsid w:val="00B95087"/>
    <w:rsid w:val="00B95789"/>
    <w:rsid w:val="00B96F9D"/>
    <w:rsid w:val="00B9736E"/>
    <w:rsid w:val="00BA0C4C"/>
    <w:rsid w:val="00BA0EBB"/>
    <w:rsid w:val="00BA35F8"/>
    <w:rsid w:val="00BA422E"/>
    <w:rsid w:val="00BA46B1"/>
    <w:rsid w:val="00BA4907"/>
    <w:rsid w:val="00BA59EB"/>
    <w:rsid w:val="00BA5B5B"/>
    <w:rsid w:val="00BA69D3"/>
    <w:rsid w:val="00BB0971"/>
    <w:rsid w:val="00BB0B64"/>
    <w:rsid w:val="00BB1A8F"/>
    <w:rsid w:val="00BB26C9"/>
    <w:rsid w:val="00BB31BD"/>
    <w:rsid w:val="00BB388D"/>
    <w:rsid w:val="00BB3F0F"/>
    <w:rsid w:val="00BB3FA1"/>
    <w:rsid w:val="00BB4B8A"/>
    <w:rsid w:val="00BB4F8E"/>
    <w:rsid w:val="00BB5324"/>
    <w:rsid w:val="00BB55DC"/>
    <w:rsid w:val="00BB5E84"/>
    <w:rsid w:val="00BB71B3"/>
    <w:rsid w:val="00BB7DB0"/>
    <w:rsid w:val="00BC107F"/>
    <w:rsid w:val="00BC1513"/>
    <w:rsid w:val="00BC1EDC"/>
    <w:rsid w:val="00BC2711"/>
    <w:rsid w:val="00BC33FD"/>
    <w:rsid w:val="00BC3DCA"/>
    <w:rsid w:val="00BC49E8"/>
    <w:rsid w:val="00BC4A62"/>
    <w:rsid w:val="00BC5B54"/>
    <w:rsid w:val="00BC5BAA"/>
    <w:rsid w:val="00BD10A7"/>
    <w:rsid w:val="00BD1584"/>
    <w:rsid w:val="00BD1CFF"/>
    <w:rsid w:val="00BD24F1"/>
    <w:rsid w:val="00BD3534"/>
    <w:rsid w:val="00BD608A"/>
    <w:rsid w:val="00BD793A"/>
    <w:rsid w:val="00BD7A36"/>
    <w:rsid w:val="00BD7E00"/>
    <w:rsid w:val="00BE473C"/>
    <w:rsid w:val="00BE4B9E"/>
    <w:rsid w:val="00BE6AC4"/>
    <w:rsid w:val="00BE6E00"/>
    <w:rsid w:val="00BF0C32"/>
    <w:rsid w:val="00BF0F25"/>
    <w:rsid w:val="00BF230D"/>
    <w:rsid w:val="00BF2CB9"/>
    <w:rsid w:val="00BF30BD"/>
    <w:rsid w:val="00BF36E0"/>
    <w:rsid w:val="00BF3FBC"/>
    <w:rsid w:val="00BF58A3"/>
    <w:rsid w:val="00BF5AE5"/>
    <w:rsid w:val="00BF6F73"/>
    <w:rsid w:val="00C00AF2"/>
    <w:rsid w:val="00C03080"/>
    <w:rsid w:val="00C0429A"/>
    <w:rsid w:val="00C048A0"/>
    <w:rsid w:val="00C04A4C"/>
    <w:rsid w:val="00C04E9D"/>
    <w:rsid w:val="00C0500B"/>
    <w:rsid w:val="00C05653"/>
    <w:rsid w:val="00C06D24"/>
    <w:rsid w:val="00C0722B"/>
    <w:rsid w:val="00C07802"/>
    <w:rsid w:val="00C07EA0"/>
    <w:rsid w:val="00C100AC"/>
    <w:rsid w:val="00C106CB"/>
    <w:rsid w:val="00C1091E"/>
    <w:rsid w:val="00C12B9B"/>
    <w:rsid w:val="00C12F0F"/>
    <w:rsid w:val="00C131E4"/>
    <w:rsid w:val="00C13FE9"/>
    <w:rsid w:val="00C14323"/>
    <w:rsid w:val="00C14807"/>
    <w:rsid w:val="00C150A9"/>
    <w:rsid w:val="00C151ED"/>
    <w:rsid w:val="00C156F7"/>
    <w:rsid w:val="00C167E9"/>
    <w:rsid w:val="00C1708E"/>
    <w:rsid w:val="00C170A1"/>
    <w:rsid w:val="00C173D4"/>
    <w:rsid w:val="00C17BEA"/>
    <w:rsid w:val="00C2008B"/>
    <w:rsid w:val="00C20E3C"/>
    <w:rsid w:val="00C2142A"/>
    <w:rsid w:val="00C21642"/>
    <w:rsid w:val="00C21DB4"/>
    <w:rsid w:val="00C223C7"/>
    <w:rsid w:val="00C22792"/>
    <w:rsid w:val="00C23186"/>
    <w:rsid w:val="00C23B6D"/>
    <w:rsid w:val="00C23CB8"/>
    <w:rsid w:val="00C23F6D"/>
    <w:rsid w:val="00C24459"/>
    <w:rsid w:val="00C24984"/>
    <w:rsid w:val="00C263AA"/>
    <w:rsid w:val="00C30164"/>
    <w:rsid w:val="00C30968"/>
    <w:rsid w:val="00C3241C"/>
    <w:rsid w:val="00C33245"/>
    <w:rsid w:val="00C3388C"/>
    <w:rsid w:val="00C3404B"/>
    <w:rsid w:val="00C34DB3"/>
    <w:rsid w:val="00C3587A"/>
    <w:rsid w:val="00C368B6"/>
    <w:rsid w:val="00C368E3"/>
    <w:rsid w:val="00C36AC0"/>
    <w:rsid w:val="00C41835"/>
    <w:rsid w:val="00C432E8"/>
    <w:rsid w:val="00C43568"/>
    <w:rsid w:val="00C44497"/>
    <w:rsid w:val="00C446D8"/>
    <w:rsid w:val="00C46DA4"/>
    <w:rsid w:val="00C501B1"/>
    <w:rsid w:val="00C51086"/>
    <w:rsid w:val="00C51C1B"/>
    <w:rsid w:val="00C53D72"/>
    <w:rsid w:val="00C54069"/>
    <w:rsid w:val="00C57A31"/>
    <w:rsid w:val="00C60D60"/>
    <w:rsid w:val="00C613F3"/>
    <w:rsid w:val="00C61779"/>
    <w:rsid w:val="00C620FD"/>
    <w:rsid w:val="00C622B3"/>
    <w:rsid w:val="00C62C1B"/>
    <w:rsid w:val="00C62E9A"/>
    <w:rsid w:val="00C644A4"/>
    <w:rsid w:val="00C700A2"/>
    <w:rsid w:val="00C702BB"/>
    <w:rsid w:val="00C71C58"/>
    <w:rsid w:val="00C7202A"/>
    <w:rsid w:val="00C72591"/>
    <w:rsid w:val="00C72632"/>
    <w:rsid w:val="00C7343B"/>
    <w:rsid w:val="00C73AE8"/>
    <w:rsid w:val="00C73CFF"/>
    <w:rsid w:val="00C743F2"/>
    <w:rsid w:val="00C75F43"/>
    <w:rsid w:val="00C7701D"/>
    <w:rsid w:val="00C80164"/>
    <w:rsid w:val="00C8023D"/>
    <w:rsid w:val="00C80D86"/>
    <w:rsid w:val="00C81710"/>
    <w:rsid w:val="00C817CB"/>
    <w:rsid w:val="00C847AC"/>
    <w:rsid w:val="00C8493C"/>
    <w:rsid w:val="00C85958"/>
    <w:rsid w:val="00C86D33"/>
    <w:rsid w:val="00C87044"/>
    <w:rsid w:val="00C9026A"/>
    <w:rsid w:val="00C9062C"/>
    <w:rsid w:val="00C9084A"/>
    <w:rsid w:val="00C90B14"/>
    <w:rsid w:val="00C9293B"/>
    <w:rsid w:val="00C92CF4"/>
    <w:rsid w:val="00C93876"/>
    <w:rsid w:val="00C94ABE"/>
    <w:rsid w:val="00C94DC2"/>
    <w:rsid w:val="00C950C3"/>
    <w:rsid w:val="00C95D0B"/>
    <w:rsid w:val="00C970CE"/>
    <w:rsid w:val="00C97698"/>
    <w:rsid w:val="00CA0F6B"/>
    <w:rsid w:val="00CA1693"/>
    <w:rsid w:val="00CA219F"/>
    <w:rsid w:val="00CA3196"/>
    <w:rsid w:val="00CA3F4F"/>
    <w:rsid w:val="00CA50C7"/>
    <w:rsid w:val="00CA5142"/>
    <w:rsid w:val="00CA5546"/>
    <w:rsid w:val="00CA58B0"/>
    <w:rsid w:val="00CA5F6E"/>
    <w:rsid w:val="00CA6A32"/>
    <w:rsid w:val="00CA6BB3"/>
    <w:rsid w:val="00CB0249"/>
    <w:rsid w:val="00CB1B74"/>
    <w:rsid w:val="00CB2F77"/>
    <w:rsid w:val="00CB32B5"/>
    <w:rsid w:val="00CB35C1"/>
    <w:rsid w:val="00CB45C5"/>
    <w:rsid w:val="00CB48CC"/>
    <w:rsid w:val="00CB48F7"/>
    <w:rsid w:val="00CB7D2F"/>
    <w:rsid w:val="00CB7EB1"/>
    <w:rsid w:val="00CC02D6"/>
    <w:rsid w:val="00CC11CA"/>
    <w:rsid w:val="00CC1CDF"/>
    <w:rsid w:val="00CC39E9"/>
    <w:rsid w:val="00CC3D39"/>
    <w:rsid w:val="00CC4C32"/>
    <w:rsid w:val="00CC60E6"/>
    <w:rsid w:val="00CC73FC"/>
    <w:rsid w:val="00CC74D1"/>
    <w:rsid w:val="00CD0CA5"/>
    <w:rsid w:val="00CD183A"/>
    <w:rsid w:val="00CD1904"/>
    <w:rsid w:val="00CD1DA1"/>
    <w:rsid w:val="00CD3444"/>
    <w:rsid w:val="00CD3873"/>
    <w:rsid w:val="00CD3BDC"/>
    <w:rsid w:val="00CD3CAD"/>
    <w:rsid w:val="00CD6982"/>
    <w:rsid w:val="00CD7C54"/>
    <w:rsid w:val="00CE0003"/>
    <w:rsid w:val="00CE2E03"/>
    <w:rsid w:val="00CE32D9"/>
    <w:rsid w:val="00CE3FB5"/>
    <w:rsid w:val="00CE4259"/>
    <w:rsid w:val="00CE4421"/>
    <w:rsid w:val="00CE448E"/>
    <w:rsid w:val="00CE4DFD"/>
    <w:rsid w:val="00CE5508"/>
    <w:rsid w:val="00CE594E"/>
    <w:rsid w:val="00CF0037"/>
    <w:rsid w:val="00CF17D7"/>
    <w:rsid w:val="00CF29D2"/>
    <w:rsid w:val="00CF2C30"/>
    <w:rsid w:val="00CF306A"/>
    <w:rsid w:val="00CF31A7"/>
    <w:rsid w:val="00CF3C75"/>
    <w:rsid w:val="00CF46B2"/>
    <w:rsid w:val="00CF4BD1"/>
    <w:rsid w:val="00CF66B5"/>
    <w:rsid w:val="00CF7F1C"/>
    <w:rsid w:val="00D00B5A"/>
    <w:rsid w:val="00D01084"/>
    <w:rsid w:val="00D01712"/>
    <w:rsid w:val="00D01FB9"/>
    <w:rsid w:val="00D0274E"/>
    <w:rsid w:val="00D03534"/>
    <w:rsid w:val="00D0488C"/>
    <w:rsid w:val="00D0594D"/>
    <w:rsid w:val="00D06296"/>
    <w:rsid w:val="00D06A7C"/>
    <w:rsid w:val="00D06CB2"/>
    <w:rsid w:val="00D07F77"/>
    <w:rsid w:val="00D121CF"/>
    <w:rsid w:val="00D126C3"/>
    <w:rsid w:val="00D12AB6"/>
    <w:rsid w:val="00D12AD3"/>
    <w:rsid w:val="00D12DAF"/>
    <w:rsid w:val="00D1314A"/>
    <w:rsid w:val="00D1326E"/>
    <w:rsid w:val="00D1379B"/>
    <w:rsid w:val="00D15CF3"/>
    <w:rsid w:val="00D162AB"/>
    <w:rsid w:val="00D1728E"/>
    <w:rsid w:val="00D2098D"/>
    <w:rsid w:val="00D217E1"/>
    <w:rsid w:val="00D218E5"/>
    <w:rsid w:val="00D22033"/>
    <w:rsid w:val="00D2248D"/>
    <w:rsid w:val="00D22A7D"/>
    <w:rsid w:val="00D22E11"/>
    <w:rsid w:val="00D23044"/>
    <w:rsid w:val="00D23658"/>
    <w:rsid w:val="00D23B3B"/>
    <w:rsid w:val="00D25150"/>
    <w:rsid w:val="00D25252"/>
    <w:rsid w:val="00D25AB2"/>
    <w:rsid w:val="00D26C77"/>
    <w:rsid w:val="00D27261"/>
    <w:rsid w:val="00D27375"/>
    <w:rsid w:val="00D3062A"/>
    <w:rsid w:val="00D31203"/>
    <w:rsid w:val="00D32471"/>
    <w:rsid w:val="00D34DD6"/>
    <w:rsid w:val="00D34E3B"/>
    <w:rsid w:val="00D35851"/>
    <w:rsid w:val="00D36C61"/>
    <w:rsid w:val="00D37876"/>
    <w:rsid w:val="00D37F32"/>
    <w:rsid w:val="00D40E57"/>
    <w:rsid w:val="00D41D29"/>
    <w:rsid w:val="00D439DF"/>
    <w:rsid w:val="00D43C67"/>
    <w:rsid w:val="00D453EB"/>
    <w:rsid w:val="00D45B27"/>
    <w:rsid w:val="00D4622E"/>
    <w:rsid w:val="00D46D80"/>
    <w:rsid w:val="00D471EF"/>
    <w:rsid w:val="00D50683"/>
    <w:rsid w:val="00D509F4"/>
    <w:rsid w:val="00D50BF9"/>
    <w:rsid w:val="00D51F9E"/>
    <w:rsid w:val="00D52702"/>
    <w:rsid w:val="00D5274A"/>
    <w:rsid w:val="00D527FA"/>
    <w:rsid w:val="00D53454"/>
    <w:rsid w:val="00D53A53"/>
    <w:rsid w:val="00D55DF4"/>
    <w:rsid w:val="00D5649D"/>
    <w:rsid w:val="00D603D3"/>
    <w:rsid w:val="00D6096D"/>
    <w:rsid w:val="00D60F06"/>
    <w:rsid w:val="00D61481"/>
    <w:rsid w:val="00D6268C"/>
    <w:rsid w:val="00D63B0D"/>
    <w:rsid w:val="00D64669"/>
    <w:rsid w:val="00D648F5"/>
    <w:rsid w:val="00D658A1"/>
    <w:rsid w:val="00D6607E"/>
    <w:rsid w:val="00D66716"/>
    <w:rsid w:val="00D667AA"/>
    <w:rsid w:val="00D66A5D"/>
    <w:rsid w:val="00D700FC"/>
    <w:rsid w:val="00D70263"/>
    <w:rsid w:val="00D744FF"/>
    <w:rsid w:val="00D755C5"/>
    <w:rsid w:val="00D76974"/>
    <w:rsid w:val="00D81003"/>
    <w:rsid w:val="00D810C3"/>
    <w:rsid w:val="00D82695"/>
    <w:rsid w:val="00D82828"/>
    <w:rsid w:val="00D82BE4"/>
    <w:rsid w:val="00D8333C"/>
    <w:rsid w:val="00D84468"/>
    <w:rsid w:val="00D8468F"/>
    <w:rsid w:val="00D84B96"/>
    <w:rsid w:val="00D85101"/>
    <w:rsid w:val="00D85B72"/>
    <w:rsid w:val="00D86445"/>
    <w:rsid w:val="00D86519"/>
    <w:rsid w:val="00D86A52"/>
    <w:rsid w:val="00D86A70"/>
    <w:rsid w:val="00D878CB"/>
    <w:rsid w:val="00D87F26"/>
    <w:rsid w:val="00D9004F"/>
    <w:rsid w:val="00D905E0"/>
    <w:rsid w:val="00D91BC3"/>
    <w:rsid w:val="00D923E9"/>
    <w:rsid w:val="00D9327B"/>
    <w:rsid w:val="00D94D86"/>
    <w:rsid w:val="00D95693"/>
    <w:rsid w:val="00D965D3"/>
    <w:rsid w:val="00D96E24"/>
    <w:rsid w:val="00D97C06"/>
    <w:rsid w:val="00DA1771"/>
    <w:rsid w:val="00DA248E"/>
    <w:rsid w:val="00DA2D19"/>
    <w:rsid w:val="00DA32B4"/>
    <w:rsid w:val="00DA38BF"/>
    <w:rsid w:val="00DA48CE"/>
    <w:rsid w:val="00DA5C34"/>
    <w:rsid w:val="00DB01EC"/>
    <w:rsid w:val="00DB033A"/>
    <w:rsid w:val="00DB2944"/>
    <w:rsid w:val="00DB2CC7"/>
    <w:rsid w:val="00DB38A5"/>
    <w:rsid w:val="00DB42CE"/>
    <w:rsid w:val="00DB61A5"/>
    <w:rsid w:val="00DB7DDB"/>
    <w:rsid w:val="00DC1AFB"/>
    <w:rsid w:val="00DC235A"/>
    <w:rsid w:val="00DC2C28"/>
    <w:rsid w:val="00DC3476"/>
    <w:rsid w:val="00DC423C"/>
    <w:rsid w:val="00DC493F"/>
    <w:rsid w:val="00DC5C08"/>
    <w:rsid w:val="00DD0923"/>
    <w:rsid w:val="00DD0B71"/>
    <w:rsid w:val="00DD0B97"/>
    <w:rsid w:val="00DD20E4"/>
    <w:rsid w:val="00DD51E7"/>
    <w:rsid w:val="00DD6D69"/>
    <w:rsid w:val="00DE0D29"/>
    <w:rsid w:val="00DE0F90"/>
    <w:rsid w:val="00DE1455"/>
    <w:rsid w:val="00DE182E"/>
    <w:rsid w:val="00DE1AED"/>
    <w:rsid w:val="00DE1B03"/>
    <w:rsid w:val="00DE1CC9"/>
    <w:rsid w:val="00DE1EB5"/>
    <w:rsid w:val="00DE2482"/>
    <w:rsid w:val="00DE2D37"/>
    <w:rsid w:val="00DE3017"/>
    <w:rsid w:val="00DE3A39"/>
    <w:rsid w:val="00DE3B51"/>
    <w:rsid w:val="00DE4426"/>
    <w:rsid w:val="00DE522A"/>
    <w:rsid w:val="00DE586C"/>
    <w:rsid w:val="00DE604F"/>
    <w:rsid w:val="00DE60C3"/>
    <w:rsid w:val="00DE64B2"/>
    <w:rsid w:val="00DE7355"/>
    <w:rsid w:val="00DE7D0C"/>
    <w:rsid w:val="00DF04F7"/>
    <w:rsid w:val="00DF0DF3"/>
    <w:rsid w:val="00DF20D1"/>
    <w:rsid w:val="00DF32A9"/>
    <w:rsid w:val="00DF379D"/>
    <w:rsid w:val="00DF3ABA"/>
    <w:rsid w:val="00DF3E85"/>
    <w:rsid w:val="00DF53AC"/>
    <w:rsid w:val="00DF58DD"/>
    <w:rsid w:val="00DF5A86"/>
    <w:rsid w:val="00DF6990"/>
    <w:rsid w:val="00DF6DB9"/>
    <w:rsid w:val="00DF7649"/>
    <w:rsid w:val="00DF7A39"/>
    <w:rsid w:val="00DF7B01"/>
    <w:rsid w:val="00E016A2"/>
    <w:rsid w:val="00E01821"/>
    <w:rsid w:val="00E0206C"/>
    <w:rsid w:val="00E03538"/>
    <w:rsid w:val="00E03C20"/>
    <w:rsid w:val="00E0409F"/>
    <w:rsid w:val="00E04821"/>
    <w:rsid w:val="00E052C6"/>
    <w:rsid w:val="00E068F8"/>
    <w:rsid w:val="00E1045E"/>
    <w:rsid w:val="00E10A87"/>
    <w:rsid w:val="00E1344C"/>
    <w:rsid w:val="00E153DB"/>
    <w:rsid w:val="00E1595A"/>
    <w:rsid w:val="00E16C9F"/>
    <w:rsid w:val="00E176E7"/>
    <w:rsid w:val="00E17E52"/>
    <w:rsid w:val="00E202B1"/>
    <w:rsid w:val="00E20CD8"/>
    <w:rsid w:val="00E227A1"/>
    <w:rsid w:val="00E22856"/>
    <w:rsid w:val="00E234C7"/>
    <w:rsid w:val="00E24137"/>
    <w:rsid w:val="00E24E43"/>
    <w:rsid w:val="00E2603D"/>
    <w:rsid w:val="00E30095"/>
    <w:rsid w:val="00E30607"/>
    <w:rsid w:val="00E319F5"/>
    <w:rsid w:val="00E31D0D"/>
    <w:rsid w:val="00E32E4A"/>
    <w:rsid w:val="00E335A2"/>
    <w:rsid w:val="00E3420D"/>
    <w:rsid w:val="00E34F87"/>
    <w:rsid w:val="00E364AC"/>
    <w:rsid w:val="00E36559"/>
    <w:rsid w:val="00E36E71"/>
    <w:rsid w:val="00E40713"/>
    <w:rsid w:val="00E40D66"/>
    <w:rsid w:val="00E40E0D"/>
    <w:rsid w:val="00E41CDC"/>
    <w:rsid w:val="00E43085"/>
    <w:rsid w:val="00E441A8"/>
    <w:rsid w:val="00E44ED7"/>
    <w:rsid w:val="00E45650"/>
    <w:rsid w:val="00E464D4"/>
    <w:rsid w:val="00E46E7D"/>
    <w:rsid w:val="00E47748"/>
    <w:rsid w:val="00E4788C"/>
    <w:rsid w:val="00E51573"/>
    <w:rsid w:val="00E5168C"/>
    <w:rsid w:val="00E51F94"/>
    <w:rsid w:val="00E5248C"/>
    <w:rsid w:val="00E524FC"/>
    <w:rsid w:val="00E53044"/>
    <w:rsid w:val="00E53091"/>
    <w:rsid w:val="00E536FF"/>
    <w:rsid w:val="00E5591F"/>
    <w:rsid w:val="00E56D4B"/>
    <w:rsid w:val="00E611A7"/>
    <w:rsid w:val="00E61562"/>
    <w:rsid w:val="00E62134"/>
    <w:rsid w:val="00E62451"/>
    <w:rsid w:val="00E631B4"/>
    <w:rsid w:val="00E63D63"/>
    <w:rsid w:val="00E65541"/>
    <w:rsid w:val="00E665C9"/>
    <w:rsid w:val="00E66F02"/>
    <w:rsid w:val="00E677C7"/>
    <w:rsid w:val="00E71E2E"/>
    <w:rsid w:val="00E74AE9"/>
    <w:rsid w:val="00E75BB8"/>
    <w:rsid w:val="00E761A1"/>
    <w:rsid w:val="00E77839"/>
    <w:rsid w:val="00E77D62"/>
    <w:rsid w:val="00E80DEB"/>
    <w:rsid w:val="00E818E9"/>
    <w:rsid w:val="00E8206D"/>
    <w:rsid w:val="00E82218"/>
    <w:rsid w:val="00E830AC"/>
    <w:rsid w:val="00E84813"/>
    <w:rsid w:val="00E849C2"/>
    <w:rsid w:val="00E84E7B"/>
    <w:rsid w:val="00E860EA"/>
    <w:rsid w:val="00E86315"/>
    <w:rsid w:val="00E86340"/>
    <w:rsid w:val="00E90379"/>
    <w:rsid w:val="00E909E2"/>
    <w:rsid w:val="00E9143E"/>
    <w:rsid w:val="00E91440"/>
    <w:rsid w:val="00E91D94"/>
    <w:rsid w:val="00E92E3E"/>
    <w:rsid w:val="00E93854"/>
    <w:rsid w:val="00E940DF"/>
    <w:rsid w:val="00E94154"/>
    <w:rsid w:val="00E947DE"/>
    <w:rsid w:val="00E97ACF"/>
    <w:rsid w:val="00EA2EE1"/>
    <w:rsid w:val="00EA339B"/>
    <w:rsid w:val="00EA3F3F"/>
    <w:rsid w:val="00EA3F88"/>
    <w:rsid w:val="00EA630C"/>
    <w:rsid w:val="00EA6568"/>
    <w:rsid w:val="00EA77B0"/>
    <w:rsid w:val="00EB0C28"/>
    <w:rsid w:val="00EB2785"/>
    <w:rsid w:val="00EB5ECF"/>
    <w:rsid w:val="00EB60CD"/>
    <w:rsid w:val="00EB6A20"/>
    <w:rsid w:val="00EB7F64"/>
    <w:rsid w:val="00EC030F"/>
    <w:rsid w:val="00EC1B93"/>
    <w:rsid w:val="00EC2827"/>
    <w:rsid w:val="00EC2C14"/>
    <w:rsid w:val="00EC2C30"/>
    <w:rsid w:val="00EC3422"/>
    <w:rsid w:val="00EC3FCB"/>
    <w:rsid w:val="00EC45E9"/>
    <w:rsid w:val="00EC4CF2"/>
    <w:rsid w:val="00EC4D93"/>
    <w:rsid w:val="00EC4E6F"/>
    <w:rsid w:val="00EC6544"/>
    <w:rsid w:val="00EC6F1E"/>
    <w:rsid w:val="00ED009A"/>
    <w:rsid w:val="00ED09F6"/>
    <w:rsid w:val="00ED1434"/>
    <w:rsid w:val="00ED1F3E"/>
    <w:rsid w:val="00ED6277"/>
    <w:rsid w:val="00ED6D08"/>
    <w:rsid w:val="00ED6FE2"/>
    <w:rsid w:val="00ED7412"/>
    <w:rsid w:val="00ED7455"/>
    <w:rsid w:val="00ED76D2"/>
    <w:rsid w:val="00EE00B8"/>
    <w:rsid w:val="00EE2696"/>
    <w:rsid w:val="00EE5727"/>
    <w:rsid w:val="00EE5B34"/>
    <w:rsid w:val="00EE6CA0"/>
    <w:rsid w:val="00EE76BD"/>
    <w:rsid w:val="00EE771E"/>
    <w:rsid w:val="00EF2098"/>
    <w:rsid w:val="00EF31F8"/>
    <w:rsid w:val="00EF662C"/>
    <w:rsid w:val="00EF6BC2"/>
    <w:rsid w:val="00EF77D5"/>
    <w:rsid w:val="00EF77D7"/>
    <w:rsid w:val="00EF7B4B"/>
    <w:rsid w:val="00F02AF4"/>
    <w:rsid w:val="00F033FF"/>
    <w:rsid w:val="00F054BF"/>
    <w:rsid w:val="00F05E14"/>
    <w:rsid w:val="00F063BE"/>
    <w:rsid w:val="00F06923"/>
    <w:rsid w:val="00F06CBE"/>
    <w:rsid w:val="00F06DE0"/>
    <w:rsid w:val="00F0756A"/>
    <w:rsid w:val="00F101E3"/>
    <w:rsid w:val="00F10F54"/>
    <w:rsid w:val="00F124B4"/>
    <w:rsid w:val="00F13DB0"/>
    <w:rsid w:val="00F1460A"/>
    <w:rsid w:val="00F148E9"/>
    <w:rsid w:val="00F1522F"/>
    <w:rsid w:val="00F1797F"/>
    <w:rsid w:val="00F20010"/>
    <w:rsid w:val="00F20681"/>
    <w:rsid w:val="00F21015"/>
    <w:rsid w:val="00F21A85"/>
    <w:rsid w:val="00F229D3"/>
    <w:rsid w:val="00F231BC"/>
    <w:rsid w:val="00F232E7"/>
    <w:rsid w:val="00F2347A"/>
    <w:rsid w:val="00F23C45"/>
    <w:rsid w:val="00F2424E"/>
    <w:rsid w:val="00F25D8A"/>
    <w:rsid w:val="00F26F4A"/>
    <w:rsid w:val="00F273FF"/>
    <w:rsid w:val="00F27448"/>
    <w:rsid w:val="00F30358"/>
    <w:rsid w:val="00F30F33"/>
    <w:rsid w:val="00F31806"/>
    <w:rsid w:val="00F32DD2"/>
    <w:rsid w:val="00F33C09"/>
    <w:rsid w:val="00F350C0"/>
    <w:rsid w:val="00F356A6"/>
    <w:rsid w:val="00F35FA2"/>
    <w:rsid w:val="00F360A2"/>
    <w:rsid w:val="00F36D5B"/>
    <w:rsid w:val="00F37CE3"/>
    <w:rsid w:val="00F37DEF"/>
    <w:rsid w:val="00F413E1"/>
    <w:rsid w:val="00F41CCE"/>
    <w:rsid w:val="00F420BF"/>
    <w:rsid w:val="00F43BE7"/>
    <w:rsid w:val="00F45CD9"/>
    <w:rsid w:val="00F46A1B"/>
    <w:rsid w:val="00F4754B"/>
    <w:rsid w:val="00F477BE"/>
    <w:rsid w:val="00F50951"/>
    <w:rsid w:val="00F50AD6"/>
    <w:rsid w:val="00F522ED"/>
    <w:rsid w:val="00F56B61"/>
    <w:rsid w:val="00F573EA"/>
    <w:rsid w:val="00F57807"/>
    <w:rsid w:val="00F60270"/>
    <w:rsid w:val="00F624B0"/>
    <w:rsid w:val="00F62568"/>
    <w:rsid w:val="00F62C28"/>
    <w:rsid w:val="00F62ED1"/>
    <w:rsid w:val="00F64257"/>
    <w:rsid w:val="00F64530"/>
    <w:rsid w:val="00F662DC"/>
    <w:rsid w:val="00F671B2"/>
    <w:rsid w:val="00F67941"/>
    <w:rsid w:val="00F67A47"/>
    <w:rsid w:val="00F67B96"/>
    <w:rsid w:val="00F70A83"/>
    <w:rsid w:val="00F70E9A"/>
    <w:rsid w:val="00F71081"/>
    <w:rsid w:val="00F71479"/>
    <w:rsid w:val="00F71FE6"/>
    <w:rsid w:val="00F7244B"/>
    <w:rsid w:val="00F75CB4"/>
    <w:rsid w:val="00F760F4"/>
    <w:rsid w:val="00F76339"/>
    <w:rsid w:val="00F77BCC"/>
    <w:rsid w:val="00F77F20"/>
    <w:rsid w:val="00F8199C"/>
    <w:rsid w:val="00F8212C"/>
    <w:rsid w:val="00F82681"/>
    <w:rsid w:val="00F82A48"/>
    <w:rsid w:val="00F82D6D"/>
    <w:rsid w:val="00F83EAF"/>
    <w:rsid w:val="00F86377"/>
    <w:rsid w:val="00F86A1F"/>
    <w:rsid w:val="00F86BA8"/>
    <w:rsid w:val="00F873CC"/>
    <w:rsid w:val="00F878FF"/>
    <w:rsid w:val="00F90BC8"/>
    <w:rsid w:val="00F91CE8"/>
    <w:rsid w:val="00F922EC"/>
    <w:rsid w:val="00F93012"/>
    <w:rsid w:val="00F95821"/>
    <w:rsid w:val="00F966CA"/>
    <w:rsid w:val="00F96ECE"/>
    <w:rsid w:val="00FA0C1C"/>
    <w:rsid w:val="00FA1055"/>
    <w:rsid w:val="00FA1A9C"/>
    <w:rsid w:val="00FA1C7B"/>
    <w:rsid w:val="00FA2451"/>
    <w:rsid w:val="00FA2520"/>
    <w:rsid w:val="00FA475C"/>
    <w:rsid w:val="00FA578F"/>
    <w:rsid w:val="00FA71DB"/>
    <w:rsid w:val="00FB04A6"/>
    <w:rsid w:val="00FB0537"/>
    <w:rsid w:val="00FB0896"/>
    <w:rsid w:val="00FB26DB"/>
    <w:rsid w:val="00FB2738"/>
    <w:rsid w:val="00FB3007"/>
    <w:rsid w:val="00FB31D6"/>
    <w:rsid w:val="00FB436C"/>
    <w:rsid w:val="00FB43CF"/>
    <w:rsid w:val="00FB45D7"/>
    <w:rsid w:val="00FB5801"/>
    <w:rsid w:val="00FC0528"/>
    <w:rsid w:val="00FC0600"/>
    <w:rsid w:val="00FC11C1"/>
    <w:rsid w:val="00FC2664"/>
    <w:rsid w:val="00FC2E96"/>
    <w:rsid w:val="00FC35B5"/>
    <w:rsid w:val="00FC43EA"/>
    <w:rsid w:val="00FC5086"/>
    <w:rsid w:val="00FC5FB0"/>
    <w:rsid w:val="00FC6D06"/>
    <w:rsid w:val="00FC7AB0"/>
    <w:rsid w:val="00FD0E5B"/>
    <w:rsid w:val="00FD16FC"/>
    <w:rsid w:val="00FD1C7A"/>
    <w:rsid w:val="00FD2C06"/>
    <w:rsid w:val="00FD350F"/>
    <w:rsid w:val="00FD430C"/>
    <w:rsid w:val="00FD4F10"/>
    <w:rsid w:val="00FD551E"/>
    <w:rsid w:val="00FD5C02"/>
    <w:rsid w:val="00FD6667"/>
    <w:rsid w:val="00FD7AB0"/>
    <w:rsid w:val="00FE002E"/>
    <w:rsid w:val="00FE04FF"/>
    <w:rsid w:val="00FE0FF1"/>
    <w:rsid w:val="00FE2C90"/>
    <w:rsid w:val="00FE3696"/>
    <w:rsid w:val="00FE3A1B"/>
    <w:rsid w:val="00FE476F"/>
    <w:rsid w:val="00FE4F22"/>
    <w:rsid w:val="00FE5A45"/>
    <w:rsid w:val="00FE69A6"/>
    <w:rsid w:val="00FE78CD"/>
    <w:rsid w:val="00FF01D7"/>
    <w:rsid w:val="00FF0397"/>
    <w:rsid w:val="00FF096F"/>
    <w:rsid w:val="00FF0D9E"/>
    <w:rsid w:val="00FF2091"/>
    <w:rsid w:val="00FF27C2"/>
    <w:rsid w:val="00FF306D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."/>
  <w:listSeparator w:val=","/>
  <w14:docId w14:val="36CC07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t-M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 w:val="0"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numPr>
        <w:numId w:val="21"/>
      </w:numPr>
      <w:spacing w:after="24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mt-MT" w:eastAsia="en-US"/>
    </w:rPr>
  </w:style>
  <w:style w:type="paragraph" w:customStyle="1" w:styleId="numberedparagraph">
    <w:name w:val="numbered paragraph"/>
    <w:basedOn w:val="Normal"/>
    <w:qFormat/>
    <w:rsid w:val="00C46DA4"/>
    <w:pPr>
      <w:numPr>
        <w:numId w:val="41"/>
      </w:numPr>
      <w:spacing w:before="240" w:after="120" w:line="276" w:lineRule="auto"/>
      <w:jc w:val="both"/>
    </w:pPr>
    <w:rPr>
      <w:rFonts w:asciiTheme="minorHAnsi" w:eastAsiaTheme="minorEastAsia" w:hAnsiTheme="minorHAnsi" w:cstheme="minorBidi"/>
      <w:color w:val="auto"/>
      <w:sz w:val="22"/>
      <w:szCs w:val="24"/>
    </w:rPr>
  </w:style>
  <w:style w:type="character" w:customStyle="1" w:styleId="ui-provider">
    <w:name w:val="ui-provider"/>
    <w:basedOn w:val="DefaultParagraphFont"/>
    <w:rsid w:val="00B14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7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8750D-20FD-479F-A75B-241E813E6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121338-5B27-4588-8ADC-122A90401779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82E38025-4FD0-4278-87FD-11F2FDCC06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FB1D3A-7F75-429B-AB78-772553DAF9B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CE63309-9C33-43A3-B40C-F645D01CCBE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FADC29D-0898-40FE-B6DD-88505240456F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18542</Words>
  <Characters>143810</Characters>
  <Application>Microsoft Office Word</Application>
  <DocSecurity>0</DocSecurity>
  <Lines>3059</Lines>
  <Paragraphs>1462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160890</CharactersWithSpaces>
  <SharedDoc>false</SharedDoc>
  <HLinks>
    <vt:vector size="96" baseType="variant">
      <vt:variant>
        <vt:i4>1835061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_Toc52461758</vt:lpwstr>
      </vt:variant>
      <vt:variant>
        <vt:i4>1245237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_Toc52461757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_Toc52461756</vt:lpwstr>
      </vt:variant>
      <vt:variant>
        <vt:i4>1114165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_Toc52461755</vt:lpwstr>
      </vt:variant>
      <vt:variant>
        <vt:i4>1048629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_Toc52461754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_Toc52461753</vt:lpwstr>
      </vt:variant>
      <vt:variant>
        <vt:i4>1441845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_Toc52461752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_Toc52461751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_Toc52461750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_Toc52461749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_Toc52461748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_Toc52461747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_Toc52461746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_Toc52461745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_Toc52461744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_Toc52461743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2024-06-19T19:55:00Z</dcterms:created>
  <dcterms:modified xsi:type="dcterms:W3CDTF">2024-11-12T13:06:00Z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41badce7,1d2f1552,1dc33b2e,10f4dfb6,50263a1b,373719cd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EBA Regular Use</vt:lpwstr>
  </property>
  <property fmtid="{D5CDD505-2E9C-101B-9397-08002B2CF9AE}" pid="5" name="ContentTypeId">
    <vt:lpwstr>0x010100A640DC13EB184F4EBE5AA21BE9F247DB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2024-11-12T11:01:02Z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da50eef0-e6f1-4e26-8ab3-32767dff465c</vt:lpwstr>
  </property>
  <property fmtid="{D5CDD505-2E9C-101B-9397-08002B2CF9AE}" pid="12" name="MSIP_Label_6bd9ddd1-4d20-43f6-abfa-fc3c07406f94_ContentBits">
    <vt:lpwstr>0</vt:lpwstr>
  </property>
</Properties>
</file>