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377" w14:textId="77777777" w:rsidR="00D117E0" w:rsidRDefault="00D117E0" w:rsidP="00D117E0">
      <w:pPr>
        <w:jc w:val="center"/>
        <w:rPr>
          <w:rFonts w:ascii="Times New Roman" w:hAnsi="Times New Roman"/>
          <w:sz w:val="24"/>
          <w:szCs w:val="22"/>
        </w:rPr>
      </w:pPr>
      <w:r>
        <w:rPr>
          <w:rFonts w:ascii="Times New Roman" w:hAnsi="Times New Roman"/>
          <w:sz w:val="24"/>
        </w:rPr>
        <w:t>IT</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rFonts w:ascii="Times New Roman" w:hAnsi="Times New Roman"/>
          <w:sz w:val="24"/>
        </w:rPr>
      </w:pPr>
      <w:r>
        <w:rPr>
          <w:rFonts w:ascii="Times New Roman" w:hAnsi="Times New Roman"/>
          <w:sz w:val="24"/>
        </w:rPr>
        <w:t>ALLEGATO II</w:t>
      </w:r>
    </w:p>
    <w:p w14:paraId="57A833DE" w14:textId="6EB0B6EA" w:rsidR="00C4175A" w:rsidRPr="00037E7B" w:rsidRDefault="00521D0B" w:rsidP="00C4175A">
      <w:pPr>
        <w:jc w:val="center"/>
        <w:rPr>
          <w:rFonts w:ascii="Times New Roman" w:hAnsi="Times New Roman"/>
          <w:sz w:val="24"/>
        </w:rPr>
      </w:pPr>
      <w:r>
        <w:rPr>
          <w:rFonts w:ascii="Times New Roman" w:hAnsi="Times New Roman"/>
          <w:sz w:val="24"/>
        </w:rPr>
        <w:t>"</w:t>
      </w:r>
      <w:r w:rsidR="00C4175A">
        <w:rPr>
          <w:rFonts w:ascii="Times New Roman" w:hAnsi="Times New Roman"/>
          <w:sz w:val="24"/>
        </w:rPr>
        <w:t>ALLEGATO II</w:t>
      </w:r>
    </w:p>
    <w:p w14:paraId="6ADAC0C2" w14:textId="77777777" w:rsidR="00C4175A" w:rsidRPr="00037E7B" w:rsidRDefault="00C4175A" w:rsidP="00C4175A">
      <w:pPr>
        <w:jc w:val="center"/>
        <w:rPr>
          <w:rFonts w:ascii="Times New Roman" w:hAnsi="Times New Roman"/>
          <w:b/>
          <w:sz w:val="24"/>
        </w:rPr>
      </w:pPr>
      <w:r>
        <w:rPr>
          <w:rFonts w:ascii="Times New Roman" w:hAnsi="Times New Roman"/>
          <w:b/>
          <w:sz w:val="24"/>
        </w:rPr>
        <w:t>ISTRUZIONI PER LE SEGNALAZIONI RIGUARDANTI I FONDI PROPRI E I REQUISITI DI FONDI PROPRI</w:t>
      </w:r>
    </w:p>
    <w:p w14:paraId="6521CF01" w14:textId="77777777" w:rsidR="00C4175A" w:rsidRDefault="00C4175A" w:rsidP="00C4175A"/>
    <w:p w14:paraId="5D0F555E" w14:textId="77777777" w:rsidR="00C4175A" w:rsidRDefault="00C4175A" w:rsidP="00C4175A">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ISTRUZIONI RELATIVE AI MODELLI</w:t>
      </w:r>
    </w:p>
    <w:p w14:paraId="304AE897" w14:textId="77777777" w:rsidR="00C4175A"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4C9C2D8" w14:textId="77777777" w:rsidR="00C4175A" w:rsidRPr="00736637"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13.01 - Rischio di credito – Cartolarizzazioni (CR SEC)</w:t>
      </w:r>
    </w:p>
    <w:p w14:paraId="26EBF6BF"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0" w:name="_Toc522019828"/>
      <w:bookmarkStart w:id="1" w:name="_Toc151714434"/>
      <w:r>
        <w:rPr>
          <w:rFonts w:ascii="Times New Roman" w:hAnsi="Times New Roman"/>
          <w:sz w:val="24"/>
          <w:u w:val="none"/>
        </w:rPr>
        <w:t>3.7.1.</w:t>
      </w:r>
      <w:r w:rsidRPr="00521D0B">
        <w:rPr>
          <w:u w:val="none"/>
        </w:rPr>
        <w:tab/>
      </w:r>
      <w:r>
        <w:rPr>
          <w:rFonts w:ascii="Times New Roman" w:hAnsi="Times New Roman"/>
          <w:sz w:val="24"/>
        </w:rPr>
        <w:t>Osservazioni di carattere generale</w:t>
      </w:r>
      <w:bookmarkEnd w:id="0"/>
      <w:bookmarkEnd w:id="1"/>
    </w:p>
    <w:p w14:paraId="4565BDE6" w14:textId="0B21C5F1"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106</w:t>
      </w:r>
      <w:r>
        <w:fldChar w:fldCharType="end"/>
      </w:r>
      <w:r>
        <w:t>. Quando l</w:t>
      </w:r>
      <w:r w:rsidR="00521D0B">
        <w:t>'</w:t>
      </w:r>
      <w:r>
        <w:t>ente agisce in qualità di cedente, le informazioni contenute in questo modello sono richieste per tutte le cartolarizzazioni per le quali è riconosciuto un trasferimento significativo del rischio. Se l</w:t>
      </w:r>
      <w:r w:rsidR="00521D0B">
        <w:t>'</w:t>
      </w:r>
      <w:r>
        <w:t xml:space="preserve">ente agisce in qualità di investitore, devono essere segnalate tutte le esposizioni. </w:t>
      </w:r>
    </w:p>
    <w:p w14:paraId="6B330974" w14:textId="608E062E"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107</w:t>
      </w:r>
      <w:r>
        <w:fldChar w:fldCharType="end"/>
      </w:r>
      <w:r>
        <w:t>.</w:t>
      </w:r>
      <w:r>
        <w:tab/>
        <w:t xml:space="preserve"> Le informazioni da segnalare sono condizionate dal ruolo svolto dall</w:t>
      </w:r>
      <w:r w:rsidR="00521D0B">
        <w:t>'</w:t>
      </w:r>
      <w:r>
        <w:t xml:space="preserve">ente nel contesto della </w:t>
      </w:r>
      <w:proofErr w:type="gramStart"/>
      <w:r>
        <w:t>cartolarizzazione, pertanto</w:t>
      </w:r>
      <w:proofErr w:type="gramEnd"/>
      <w:r>
        <w:t xml:space="preserve"> si utilizzano elementi di segnalazione specifici per i cedenti, i promotori e gli investitori.</w:t>
      </w:r>
    </w:p>
    <w:p w14:paraId="1FFE8C5F" w14:textId="0A242D56"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108</w:t>
      </w:r>
      <w:r>
        <w:fldChar w:fldCharType="end"/>
      </w:r>
      <w:r>
        <w:t xml:space="preserve">. Questo modello contiene informazioni comuni sulle cartolarizzazioni tradizionali e sintetiche contenute nel portafoglio bancario. </w:t>
      </w:r>
    </w:p>
    <w:p w14:paraId="035BDB47"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 w:name="_Toc522019829"/>
      <w:bookmarkStart w:id="3" w:name="_Toc151714435"/>
      <w:r>
        <w:rPr>
          <w:rFonts w:ascii="Times New Roman" w:hAnsi="Times New Roman"/>
          <w:sz w:val="24"/>
          <w:u w:val="none"/>
        </w:rPr>
        <w:t>3.7.2.</w:t>
      </w:r>
      <w:r w:rsidRPr="00521D0B">
        <w:rPr>
          <w:u w:val="none"/>
        </w:rPr>
        <w:tab/>
      </w:r>
      <w:r>
        <w:rPr>
          <w:rFonts w:ascii="Times New Roman" w:hAnsi="Times New Roman"/>
          <w:sz w:val="24"/>
        </w:rPr>
        <w:t>Istruzioni relative a posizioni specifiche</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Colonne</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43CDF3AA"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IMPORTO COMPLESSIVO DELLE ESPOSIZIONI VERSO LA CARTOLARIZZAZIONE CREATE</w:t>
            </w:r>
          </w:p>
          <w:p w14:paraId="4F099FD7" w14:textId="77777777" w:rsidR="00933ADA" w:rsidRPr="002A677E" w:rsidRDefault="00933ADA" w:rsidP="00822842">
            <w:pPr>
              <w:spacing w:before="0" w:after="0"/>
              <w:jc w:val="left"/>
              <w:rPr>
                <w:rFonts w:ascii="Times New Roman" w:hAnsi="Times New Roman"/>
                <w:sz w:val="24"/>
              </w:rPr>
            </w:pPr>
          </w:p>
          <w:p w14:paraId="3F45E834" w14:textId="3D54B72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w:t>
            </w:r>
            <w:r w:rsidR="00521D0B">
              <w:rPr>
                <w:rFonts w:ascii="Times New Roman" w:hAnsi="Times New Roman"/>
                <w:sz w:val="24"/>
              </w:rPr>
              <w:t>'</w:t>
            </w:r>
            <w:r>
              <w:rPr>
                <w:rFonts w:ascii="Times New Roman" w:hAnsi="Times New Roman"/>
                <w:sz w:val="24"/>
              </w:rPr>
              <w:t>ente cedente segnala l</w:t>
            </w:r>
            <w:r w:rsidR="00521D0B">
              <w:rPr>
                <w:rFonts w:ascii="Times New Roman" w:hAnsi="Times New Roman"/>
                <w:sz w:val="24"/>
              </w:rPr>
              <w:t>'</w:t>
            </w:r>
            <w:r>
              <w:rPr>
                <w:rFonts w:ascii="Times New Roman" w:hAnsi="Times New Roman"/>
                <w:sz w:val="24"/>
              </w:rPr>
              <w:t>importo in essere, alla data di riferimento per le segnalazioni, di tutte le esposizioni correnti verso la cartolarizzazione create nell</w:t>
            </w:r>
            <w:r w:rsidR="00521D0B">
              <w:rPr>
                <w:rFonts w:ascii="Times New Roman" w:hAnsi="Times New Roman"/>
                <w:sz w:val="24"/>
              </w:rPr>
              <w:t>'</w:t>
            </w:r>
            <w:r>
              <w:rPr>
                <w:rFonts w:ascii="Times New Roman" w:hAnsi="Times New Roman"/>
                <w:sz w:val="24"/>
              </w:rPr>
              <w:t>operazione di cartolarizzazione, a prescindere dal soggetto che detiene le posizioni. Sono pertanto segnalate le esposizioni verso la cartolarizzazione in bilancio (ad esempio obbligazioni, prestiti subordinati) nonché le esposizioni fuori bilancio e i derivati (ad esempio linee di credito subordinate, linee di liquidità, contratti swap su tassi d</w:t>
            </w:r>
            <w:r w:rsidR="00521D0B">
              <w:rPr>
                <w:rFonts w:ascii="Times New Roman" w:hAnsi="Times New Roman"/>
                <w:sz w:val="24"/>
              </w:rPr>
              <w:t>'</w:t>
            </w:r>
            <w:r>
              <w:rPr>
                <w:rFonts w:ascii="Times New Roman" w:hAnsi="Times New Roman"/>
                <w:sz w:val="24"/>
              </w:rPr>
              <w:t xml:space="preserve">interesse, credit default swap, eccetera) creati dalla cartolarizzazione.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6BF4AE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Il cedente non segnala in questo modello le cartolarizzazioni tradizionali nelle quali non detiene alcuna posizione. A tal fine le posizioni verso la cartolarizzazione detenute dal cedente includono clausole di rimborso </w:t>
            </w:r>
            <w:r>
              <w:rPr>
                <w:rFonts w:ascii="Times New Roman" w:hAnsi="Times New Roman"/>
                <w:sz w:val="24"/>
              </w:rPr>
              <w:lastRenderedPageBreak/>
              <w:t>anticipato ai sensi dell</w:t>
            </w:r>
            <w:r w:rsidR="00521D0B">
              <w:rPr>
                <w:rFonts w:ascii="Times New Roman" w:hAnsi="Times New Roman"/>
                <w:sz w:val="24"/>
              </w:rPr>
              <w:t>'</w:t>
            </w:r>
            <w:r>
              <w:rPr>
                <w:rFonts w:ascii="Times New Roman" w:hAnsi="Times New Roman"/>
                <w:sz w:val="24"/>
              </w:rPr>
              <w:t>articolo 242, punto 16, del regolamento (UE) n.</w:t>
            </w:r>
            <w:r w:rsidR="00521D0B">
              <w:rPr>
                <w:rFonts w:ascii="Times New Roman" w:hAnsi="Times New Roman"/>
                <w:sz w:val="24"/>
              </w:rPr>
              <w:t> </w:t>
            </w:r>
            <w:r>
              <w:rPr>
                <w:rFonts w:ascii="Times New Roman" w:hAnsi="Times New Roman"/>
                <w:sz w:val="24"/>
              </w:rPr>
              <w:t>575/2013 nella cartolarizzazione di esposizioni rotative.</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0020-0040</w:t>
            </w:r>
          </w:p>
        </w:tc>
        <w:tc>
          <w:tcPr>
            <w:tcW w:w="7436" w:type="dxa"/>
          </w:tcPr>
          <w:p w14:paraId="26D0FB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CARTOLARIZZAZIONI SINTETICHE: PROTEZIONE DEL CREDITO PER LE ESPOSIZIONI CARTOLARIZZATE</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Articoli 251 e 252 del regolamento (UE) n. 575/2013.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Il valore corretto delle tecniche di attenuazione del rischio di credito utilizzate nella struttura di cartolarizzazione non tiene conto dei disallineamenti di durata.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436" w:type="dxa"/>
          </w:tcPr>
          <w:p w14:paraId="60CF4FFE" w14:textId="77777777" w:rsidR="00933ADA" w:rsidRPr="002A677E" w:rsidRDefault="00933ADA" w:rsidP="00822842">
            <w:pPr>
              <w:spacing w:before="0" w:after="0"/>
              <w:jc w:val="left"/>
              <w:rPr>
                <w:rFonts w:ascii="Times New Roman" w:hAnsi="Times New Roman"/>
                <w:b/>
                <w:strike/>
                <w:sz w:val="24"/>
                <w:u w:val="single"/>
              </w:rPr>
            </w:pPr>
            <w:r>
              <w:rPr>
                <w:rFonts w:ascii="Times New Roman" w:hAnsi="Times New Roman"/>
                <w:b/>
                <w:sz w:val="24"/>
                <w:u w:val="single"/>
              </w:rPr>
              <w:t>(-) PROTEZIONE DEL CREDITO DI TIPO REALE (C</w:t>
            </w:r>
            <w:r>
              <w:rPr>
                <w:rFonts w:ascii="Times New Roman" w:hAnsi="Times New Roman"/>
                <w:b/>
                <w:sz w:val="24"/>
                <w:u w:val="single"/>
                <w:vertAlign w:val="subscript"/>
              </w:rPr>
              <w:t>VA</w:t>
            </w:r>
            <w:r>
              <w:rPr>
                <w:rFonts w:ascii="Times New Roman" w:hAnsi="Times New Roman"/>
                <w:b/>
                <w:sz w:val="24"/>
                <w:u w:val="single"/>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3E9E3235"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 procedura dettagliata per il calcolo del valore della garanzia corretto per la volatilità (C</w:t>
            </w:r>
            <w:r>
              <w:rPr>
                <w:rFonts w:ascii="Times New Roman" w:hAnsi="Times New Roman"/>
                <w:sz w:val="24"/>
                <w:vertAlign w:val="subscript"/>
              </w:rPr>
              <w:t>VA</w:t>
            </w:r>
            <w:r>
              <w:rPr>
                <w:rFonts w:ascii="Times New Roman" w:hAnsi="Times New Roman"/>
                <w:sz w:val="24"/>
              </w:rPr>
              <w:t>) da segnalare in questa colonna è esposta nell</w:t>
            </w:r>
            <w:r w:rsidR="00521D0B">
              <w:rPr>
                <w:rFonts w:ascii="Times New Roman" w:hAnsi="Times New Roman"/>
                <w:sz w:val="24"/>
              </w:rPr>
              <w:t>'</w:t>
            </w:r>
            <w:r>
              <w:rPr>
                <w:rFonts w:ascii="Times New Roman" w:hAnsi="Times New Roman"/>
                <w:sz w:val="24"/>
              </w:rPr>
              <w:t>articolo 223, paragrafo 2, del regolamento (UE) n. 575/2013.</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7051CB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DEFLUSSI TOTALI (-) VALORI CORRETTI DELLA PROTEZIONE DEL CREDITO DI TIPO PERSONALE (G*)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2B5CBDC2" w:rsidR="00933ADA" w:rsidRPr="002A677E" w:rsidRDefault="00933ADA" w:rsidP="00822842">
            <w:pPr>
              <w:spacing w:before="0" w:after="0"/>
              <w:rPr>
                <w:rFonts w:ascii="Times New Roman" w:hAnsi="Times New Roman"/>
                <w:sz w:val="24"/>
              </w:rPr>
            </w:pPr>
            <w:r>
              <w:rPr>
                <w:rFonts w:ascii="Times New Roman" w:hAnsi="Times New Roman"/>
                <w:sz w:val="24"/>
              </w:rPr>
              <w:t xml:space="preserve">Conformemente alla regola generale per gli </w:t>
            </w:r>
            <w:r w:rsidR="00521D0B">
              <w:rPr>
                <w:rFonts w:ascii="Times New Roman" w:hAnsi="Times New Roman"/>
                <w:sz w:val="24"/>
              </w:rPr>
              <w:t>"</w:t>
            </w:r>
            <w:r>
              <w:rPr>
                <w:rFonts w:ascii="Times New Roman" w:hAnsi="Times New Roman"/>
                <w:sz w:val="24"/>
              </w:rPr>
              <w:t>afflussi</w:t>
            </w:r>
            <w:r w:rsidR="00521D0B">
              <w:rPr>
                <w:rFonts w:ascii="Times New Roman" w:hAnsi="Times New Roman"/>
                <w:sz w:val="24"/>
              </w:rPr>
              <w:t>"</w:t>
            </w:r>
            <w:r>
              <w:rPr>
                <w:rFonts w:ascii="Times New Roman" w:hAnsi="Times New Roman"/>
                <w:sz w:val="24"/>
              </w:rPr>
              <w:t xml:space="preserve"> e i </w:t>
            </w:r>
            <w:r w:rsidR="00521D0B">
              <w:rPr>
                <w:rFonts w:ascii="Times New Roman" w:hAnsi="Times New Roman"/>
                <w:sz w:val="24"/>
              </w:rPr>
              <w:t>"</w:t>
            </w:r>
            <w:r>
              <w:rPr>
                <w:rFonts w:ascii="Times New Roman" w:hAnsi="Times New Roman"/>
                <w:sz w:val="24"/>
              </w:rPr>
              <w:t>deflussi</w:t>
            </w:r>
            <w:r w:rsidR="00521D0B">
              <w:rPr>
                <w:rFonts w:ascii="Times New Roman" w:hAnsi="Times New Roman"/>
                <w:sz w:val="24"/>
              </w:rPr>
              <w:t>"</w:t>
            </w:r>
            <w:r>
              <w:rPr>
                <w:rFonts w:ascii="Times New Roman" w:hAnsi="Times New Roman"/>
                <w:sz w:val="24"/>
              </w:rPr>
              <w:t xml:space="preserve">, gli importi segnalati in questa colonna figurano come </w:t>
            </w:r>
            <w:r w:rsidR="00521D0B">
              <w:rPr>
                <w:rFonts w:ascii="Times New Roman" w:hAnsi="Times New Roman"/>
                <w:sz w:val="24"/>
              </w:rPr>
              <w:t>"</w:t>
            </w:r>
            <w:r>
              <w:rPr>
                <w:rFonts w:ascii="Times New Roman" w:hAnsi="Times New Roman"/>
                <w:sz w:val="24"/>
              </w:rPr>
              <w:t>afflussi</w:t>
            </w:r>
            <w:r w:rsidR="00521D0B">
              <w:rPr>
                <w:rFonts w:ascii="Times New Roman" w:hAnsi="Times New Roman"/>
                <w:sz w:val="24"/>
              </w:rPr>
              <w:t>"</w:t>
            </w:r>
            <w:r>
              <w:rPr>
                <w:rFonts w:ascii="Times New Roman" w:hAnsi="Times New Roman"/>
                <w:sz w:val="24"/>
              </w:rPr>
              <w:t xml:space="preserve"> nel corrispondente modello relativo al rischio di credito (CR SA o CR IRB) e nella classe di esposizioni alla quale il soggetto segnalante assegna il fornitore della protezione (ovvero il terzo al quale il segmento è trasferito mediante protezione del credito di tipo personale).</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4A94374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 procedura di calcolo dell</w:t>
            </w:r>
            <w:r w:rsidR="00521D0B">
              <w:rPr>
                <w:rFonts w:ascii="Times New Roman" w:hAnsi="Times New Roman"/>
                <w:sz w:val="24"/>
              </w:rPr>
              <w:t>'</w:t>
            </w:r>
            <w:r>
              <w:rPr>
                <w:rFonts w:ascii="Times New Roman" w:hAnsi="Times New Roman"/>
                <w:sz w:val="24"/>
              </w:rPr>
              <w:t xml:space="preserve">importo nominale corretto per il </w:t>
            </w:r>
            <w:r w:rsidR="00521D0B">
              <w:rPr>
                <w:rFonts w:ascii="Times New Roman" w:hAnsi="Times New Roman"/>
                <w:sz w:val="24"/>
              </w:rPr>
              <w:t>"</w:t>
            </w:r>
            <w:r>
              <w:rPr>
                <w:rFonts w:ascii="Times New Roman" w:hAnsi="Times New Roman"/>
                <w:sz w:val="24"/>
              </w:rPr>
              <w:t>rischio di cambio</w:t>
            </w:r>
            <w:r w:rsidR="00521D0B">
              <w:rPr>
                <w:rFonts w:ascii="Times New Roman" w:hAnsi="Times New Roman"/>
                <w:sz w:val="24"/>
              </w:rPr>
              <w:t>"</w:t>
            </w:r>
            <w:r>
              <w:rPr>
                <w:rFonts w:ascii="Times New Roman" w:hAnsi="Times New Roman"/>
                <w:sz w:val="24"/>
              </w:rPr>
              <w:t xml:space="preserve"> della protezione del credito (G*) è indicata nell</w:t>
            </w:r>
            <w:r w:rsidR="00521D0B">
              <w:rPr>
                <w:rFonts w:ascii="Times New Roman" w:hAnsi="Times New Roman"/>
                <w:sz w:val="24"/>
              </w:rPr>
              <w:t>'</w:t>
            </w:r>
            <w:r>
              <w:rPr>
                <w:rFonts w:ascii="Times New Roman" w:hAnsi="Times New Roman"/>
                <w:sz w:val="24"/>
              </w:rPr>
              <w:t>articolo 233, paragrafo 3, del regolamento (UE) n. 575/2013.</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01A64F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IMPORTO NOZIONALE MANTENUTO O RIACQUISTATO DELLA PROTEZIONE DEL CREDITO</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Tutti i segmenti mantenuti o riacquistati, ad esempio le posizioni che coprono le prime perdite non traslate, sono segnalati al rispettivo valore nominale.</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58AB1E8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Nel calcolo dell</w:t>
            </w:r>
            <w:r w:rsidR="00521D0B">
              <w:rPr>
                <w:rFonts w:ascii="Times New Roman" w:hAnsi="Times New Roman"/>
                <w:sz w:val="24"/>
              </w:rPr>
              <w:t>'</w:t>
            </w:r>
            <w:r>
              <w:rPr>
                <w:rFonts w:ascii="Times New Roman" w:hAnsi="Times New Roman"/>
                <w:sz w:val="24"/>
              </w:rPr>
              <w:t>importo mantenuto o riacquistato della protezione del credito non si tiene conto dell</w:t>
            </w:r>
            <w:r w:rsidR="00521D0B">
              <w:rPr>
                <w:rFonts w:ascii="Times New Roman" w:hAnsi="Times New Roman"/>
                <w:sz w:val="24"/>
              </w:rPr>
              <w:t>'</w:t>
            </w:r>
            <w:r>
              <w:rPr>
                <w:rFonts w:ascii="Times New Roman" w:hAnsi="Times New Roman"/>
                <w:sz w:val="24"/>
              </w:rPr>
              <w:t>effetto dei coefficienti di scarto (haircut) di vigilanza sulla protezione del credito.</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3061323C" w14:textId="36AE0AA0"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POSIZIONI VERSO LA CARTOLARIZZAZIONE: ESPOSIZIONE ORIGINARIA PRIMA DELL</w:t>
            </w:r>
            <w:r w:rsidR="00521D0B">
              <w:rPr>
                <w:rFonts w:ascii="Times New Roman" w:hAnsi="Times New Roman"/>
                <w:b/>
                <w:sz w:val="24"/>
                <w:u w:val="single"/>
              </w:rPr>
              <w:t>'</w:t>
            </w:r>
            <w:r>
              <w:rPr>
                <w:rFonts w:ascii="Times New Roman" w:hAnsi="Times New Roman"/>
                <w:b/>
                <w:sz w:val="24"/>
                <w:u w:val="single"/>
              </w:rPr>
              <w:t xml:space="preserve">APPLICAZIONE DEI FATTORI DI CONVERSIONE </w:t>
            </w:r>
          </w:p>
          <w:p w14:paraId="1BD0E65D" w14:textId="77777777" w:rsidR="00933ADA" w:rsidRPr="002A677E" w:rsidRDefault="00933ADA" w:rsidP="00822842">
            <w:pPr>
              <w:spacing w:before="0" w:after="0"/>
              <w:jc w:val="left"/>
              <w:rPr>
                <w:rFonts w:ascii="Times New Roman" w:hAnsi="Times New Roman"/>
                <w:sz w:val="24"/>
              </w:rPr>
            </w:pPr>
          </w:p>
          <w:p w14:paraId="38224AF6" w14:textId="213AFE4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Questa colonna comprende i valori delle esposizioni delle posizioni verso la cartolarizzazione detenute dall</w:t>
            </w:r>
            <w:r w:rsidR="00521D0B">
              <w:rPr>
                <w:rFonts w:ascii="Times New Roman" w:hAnsi="Times New Roman"/>
                <w:sz w:val="24"/>
              </w:rPr>
              <w:t>'</w:t>
            </w:r>
            <w:r>
              <w:rPr>
                <w:rFonts w:ascii="Times New Roman" w:hAnsi="Times New Roman"/>
                <w:sz w:val="24"/>
              </w:rPr>
              <w:t>ente segnalante, calcolate in conformità dell</w:t>
            </w:r>
            <w:r w:rsidR="00521D0B">
              <w:rPr>
                <w:rFonts w:ascii="Times New Roman" w:hAnsi="Times New Roman"/>
                <w:sz w:val="24"/>
              </w:rPr>
              <w:t>'</w:t>
            </w:r>
            <w:r>
              <w:rPr>
                <w:rFonts w:ascii="Times New Roman" w:hAnsi="Times New Roman"/>
                <w:sz w:val="24"/>
              </w:rPr>
              <w:t xml:space="preserve">articolo 248, paragrafi 1 e 2, del regolamento (UE) n. 575/2013, senza </w:t>
            </w:r>
            <w:r>
              <w:rPr>
                <w:rFonts w:ascii="Times New Roman" w:hAnsi="Times New Roman"/>
                <w:sz w:val="24"/>
              </w:rPr>
              <w:lastRenderedPageBreak/>
              <w:t>applicare i fattori di conversione del credito, al lordo delle rettifiche di valore e degli accantonamenti, e degli eventuali sconti su prezzi d</w:t>
            </w:r>
            <w:r w:rsidR="00521D0B">
              <w:rPr>
                <w:rFonts w:ascii="Times New Roman" w:hAnsi="Times New Roman"/>
                <w:sz w:val="24"/>
              </w:rPr>
              <w:t>'</w:t>
            </w:r>
            <w:r>
              <w:rPr>
                <w:rFonts w:ascii="Times New Roman" w:hAnsi="Times New Roman"/>
                <w:sz w:val="24"/>
              </w:rPr>
              <w:t>acquisto non rimborsabili sulle esposizioni cartolarizzate di cui all</w:t>
            </w:r>
            <w:r w:rsidR="00521D0B">
              <w:rPr>
                <w:rFonts w:ascii="Times New Roman" w:hAnsi="Times New Roman"/>
                <w:sz w:val="24"/>
              </w:rPr>
              <w:t>'</w:t>
            </w:r>
            <w:r>
              <w:rPr>
                <w:rFonts w:ascii="Times New Roman" w:hAnsi="Times New Roman"/>
                <w:sz w:val="24"/>
              </w:rPr>
              <w:t>articolo 248, paragrafo 1, lettera d), del regolamento (UE) n. 575/2013, e al lordo delle rettifiche di valore e degli accantonamenti relativi alla posizione verso la cartolarizzazione.</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La compensazione è rilevante unicamente per i derivati multipli forniti alla stessa società veicolo per la cartolarizzazione (SSPE) coperti da accordi di compensazione ammissibili.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2DFD81A3"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Nelle cartolarizzazioni sintetiche le posizioni detenute dal cedente sotto forma di elementi in bilancio e/o ragioni di credito dell</w:t>
            </w:r>
            <w:r w:rsidR="00521D0B">
              <w:rPr>
                <w:rFonts w:ascii="Times New Roman" w:hAnsi="Times New Roman"/>
                <w:sz w:val="24"/>
              </w:rPr>
              <w:t>'</w:t>
            </w:r>
            <w:r>
              <w:rPr>
                <w:rFonts w:ascii="Times New Roman" w:hAnsi="Times New Roman"/>
                <w:sz w:val="24"/>
              </w:rPr>
              <w:t>investitore derivano dall</w:t>
            </w:r>
            <w:r w:rsidR="00521D0B">
              <w:rPr>
                <w:rFonts w:ascii="Times New Roman" w:hAnsi="Times New Roman"/>
                <w:sz w:val="24"/>
              </w:rPr>
              <w:t>'</w:t>
            </w:r>
            <w:r>
              <w:rPr>
                <w:rFonts w:ascii="Times New Roman" w:hAnsi="Times New Roman"/>
                <w:sz w:val="24"/>
              </w:rPr>
              <w:t>aggregazione delle colonne da 0010 a 0040.</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D82E37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RETTIFICHE DI VALORE E ACCANTONAMENTI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Articolo 248 del regolamento (UE) n. 575/2013. Le rettifiche di valore e gli accantonamenti da segnalare in questa colonna si riferiscono soltanto alle posizioni verso la cartolarizzazione; non sono considerate le rettifiche di valore delle esposizioni cartolarizzate.</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2F67DB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ESPOSIZIONE AL NETTO DELLE RETTIFICHE DI VALORE E DEGLI ACCANTONAMENTI</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6B70EC1C"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Questa colonna comprende i valori delle esposizioni delle posizioni verso la cartolarizzazione, calcolate in conformità dell</w:t>
            </w:r>
            <w:r w:rsidR="00521D0B">
              <w:rPr>
                <w:rFonts w:ascii="Times New Roman" w:hAnsi="Times New Roman"/>
                <w:sz w:val="24"/>
              </w:rPr>
              <w:t>'</w:t>
            </w:r>
            <w:r>
              <w:rPr>
                <w:rFonts w:ascii="Times New Roman" w:hAnsi="Times New Roman"/>
                <w:sz w:val="24"/>
              </w:rPr>
              <w:t>articolo 248, paragrafi 1 e 2, del regolamento (UE) n. 575/2013, al netto delle rettifiche di valore e degli accantonamenti, senza applicare i fattori di conversione, e al lordo degli eventuali sconti su prezzi d</w:t>
            </w:r>
            <w:r w:rsidR="00521D0B">
              <w:rPr>
                <w:rFonts w:ascii="Times New Roman" w:hAnsi="Times New Roman"/>
                <w:sz w:val="24"/>
              </w:rPr>
              <w:t>'</w:t>
            </w:r>
            <w:r>
              <w:rPr>
                <w:rFonts w:ascii="Times New Roman" w:hAnsi="Times New Roman"/>
                <w:sz w:val="24"/>
              </w:rPr>
              <w:t>acquisto non rimborsabili sulle esposizioni cartolarizzate di cui all</w:t>
            </w:r>
            <w:r w:rsidR="00521D0B">
              <w:rPr>
                <w:rFonts w:ascii="Times New Roman" w:hAnsi="Times New Roman"/>
                <w:sz w:val="24"/>
              </w:rPr>
              <w:t>'</w:t>
            </w:r>
            <w:r>
              <w:rPr>
                <w:rFonts w:ascii="Times New Roman" w:hAnsi="Times New Roman"/>
                <w:sz w:val="24"/>
              </w:rPr>
              <w:t>articolo 248, paragrafo 1, lettera d), del regolamento (UE) n. 575/2013, e al netto delle rettifiche di valore e degli accantonamenti relativi alla posizione verso la cartolarizzazione.</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2E58F44" w14:textId="48D74B36"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TECNICHE DI ATTENUAZIONE DEL RISCHIO DI CREDITO (CRM) CON EFFETTI DI SOSTITUZIONE SULL</w:t>
            </w:r>
            <w:r w:rsidR="00521D0B">
              <w:rPr>
                <w:rFonts w:ascii="Times New Roman" w:hAnsi="Times New Roman"/>
                <w:b/>
                <w:sz w:val="24"/>
                <w:u w:val="single"/>
              </w:rPr>
              <w:t>'</w:t>
            </w:r>
            <w:r>
              <w:rPr>
                <w:rFonts w:ascii="Times New Roman" w:hAnsi="Times New Roman"/>
                <w:b/>
                <w:sz w:val="24"/>
                <w:u w:val="single"/>
              </w:rPr>
              <w:t>ESPOSIZIONE</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rFonts w:ascii="Times New Roman" w:hAnsi="Times New Roman"/>
                <w:sz w:val="24"/>
              </w:rPr>
            </w:pPr>
            <w:r>
              <w:rPr>
                <w:rFonts w:ascii="Times New Roman" w:hAnsi="Times New Roman"/>
                <w:sz w:val="24"/>
              </w:rPr>
              <w:t>Articolo 4, paragrafo 1, punto 57, parte tre, titolo II, capo 4, e articolo 249 del regolamento (UE) n. 575/2013</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rFonts w:ascii="Times New Roman" w:hAnsi="Times New Roman"/>
                <w:sz w:val="24"/>
              </w:rPr>
            </w:pPr>
            <w:r>
              <w:rPr>
                <w:rFonts w:ascii="Times New Roman" w:hAnsi="Times New Roman"/>
                <w:sz w:val="24"/>
              </w:rPr>
              <w:t>Gli enti forniscono in queste colonne informazioni sulle tecniche di attenuazione del rischio di credito che riducono il rischio di credito di una o più esposizioni mediante sostituzione di esposizioni (come indicato sotto in riferimento agli afflussi e ai deflussi).</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6DAFE2D0" w:rsidR="00933ADA" w:rsidRPr="002A677E" w:rsidRDefault="00933ADA" w:rsidP="00822842">
            <w:pPr>
              <w:pStyle w:val="InstructionsText"/>
            </w:pPr>
            <w:r>
              <w:t>Se una garanzia reale influisce sul valore dell</w:t>
            </w:r>
            <w:r w:rsidR="00521D0B">
              <w:t>'</w:t>
            </w:r>
            <w:r>
              <w:t>esposizione (ad esempio se è utilizzata per le tecniche di attenuazione del rischio di credito con effetti di sostituzione sull</w:t>
            </w:r>
            <w:r w:rsidR="00521D0B">
              <w:t>'</w:t>
            </w:r>
            <w:r>
              <w:t>esposizione), il suo importo è limitato al valore dell</w:t>
            </w:r>
            <w:r w:rsidR="00521D0B">
              <w:t>'</w:t>
            </w:r>
            <w:r>
              <w:t>esposizione.</w:t>
            </w:r>
          </w:p>
          <w:p w14:paraId="3EDD5442" w14:textId="77777777" w:rsidR="00933ADA" w:rsidRPr="002A677E" w:rsidRDefault="00933ADA" w:rsidP="00822842">
            <w:pPr>
              <w:pStyle w:val="InstructionsText"/>
            </w:pPr>
            <w:r>
              <w:lastRenderedPageBreak/>
              <w:t>Gli elementi da segnalare qui sono:</w:t>
            </w:r>
          </w:p>
          <w:p w14:paraId="4BF643C3" w14:textId="1AE1578C"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garanzie reali, costituite a norma dell</w:t>
            </w:r>
            <w:r w:rsidR="00521D0B">
              <w:rPr>
                <w:rFonts w:ascii="Times New Roman" w:hAnsi="Times New Roman"/>
                <w:sz w:val="24"/>
              </w:rPr>
              <w:t>'</w:t>
            </w:r>
            <w:r>
              <w:rPr>
                <w:rFonts w:ascii="Times New Roman" w:hAnsi="Times New Roman"/>
                <w:sz w:val="24"/>
              </w:rPr>
              <w:t>articolo 222 del regolamento (UE) n. 575/2013 (metodo semplificato per il trattamento delle garanzie reali finanziarie);</w:t>
            </w:r>
          </w:p>
          <w:p w14:paraId="41927D3C"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la protezione del credito ammissibile di tipo personale.</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7436" w:type="dxa"/>
          </w:tcPr>
          <w:p w14:paraId="301D2B10" w14:textId="77777777" w:rsidR="00933ADA" w:rsidRPr="002A677E" w:rsidRDefault="00933ADA" w:rsidP="00521D0B">
            <w:pPr>
              <w:spacing w:before="80" w:after="0"/>
              <w:jc w:val="left"/>
              <w:rPr>
                <w:rFonts w:ascii="Times New Roman" w:hAnsi="Times New Roman"/>
                <w:b/>
                <w:sz w:val="24"/>
                <w:u w:val="single"/>
              </w:rPr>
            </w:pPr>
            <w:r>
              <w:rPr>
                <w:rFonts w:ascii="Times New Roman" w:hAnsi="Times New Roman"/>
                <w:b/>
                <w:sz w:val="24"/>
                <w:u w:val="single"/>
              </w:rPr>
              <w:t>(-) PROTEZIONE DEL CREDITO DI TIPO PERSONALE: VALORI CORRETTI (G</w:t>
            </w:r>
            <w:r>
              <w:rPr>
                <w:rFonts w:ascii="Times New Roman" w:hAnsi="Times New Roman"/>
                <w:b/>
                <w:sz w:val="24"/>
                <w:u w:val="single"/>
                <w:vertAlign w:val="subscript"/>
              </w:rPr>
              <w:t>A</w:t>
            </w:r>
            <w:r>
              <w:rPr>
                <w:rFonts w:ascii="Times New Roman" w:hAnsi="Times New Roman"/>
                <w:b/>
                <w:sz w:val="24"/>
                <w:u w:val="single"/>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5A96B44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Protezione del credito di tipo personale ai sensi dell</w:t>
            </w:r>
            <w:r w:rsidR="00521D0B">
              <w:rPr>
                <w:rFonts w:ascii="Times New Roman" w:hAnsi="Times New Roman"/>
                <w:sz w:val="24"/>
              </w:rPr>
              <w:t>'</w:t>
            </w:r>
            <w:r>
              <w:rPr>
                <w:rFonts w:ascii="Times New Roman" w:hAnsi="Times New Roman"/>
                <w:sz w:val="24"/>
              </w:rPr>
              <w:t>articolo 4, paragrafo 1, punto 59, degli articoli da 234 a 236 del regolamento (UE) 575/2013.</w:t>
            </w:r>
          </w:p>
          <w:p w14:paraId="258AD79C" w14:textId="77777777" w:rsidR="00933ADA" w:rsidRPr="002A677E" w:rsidRDefault="00933ADA" w:rsidP="00521D0B">
            <w:pPr>
              <w:autoSpaceDE w:val="0"/>
              <w:autoSpaceDN w:val="0"/>
              <w:adjustRightInd w:val="0"/>
              <w:spacing w:before="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AA8BCE" w14:textId="77777777" w:rsidR="00933ADA" w:rsidRPr="002A677E" w:rsidRDefault="00933ADA" w:rsidP="00521D0B">
            <w:pPr>
              <w:spacing w:before="80" w:after="0"/>
              <w:rPr>
                <w:rFonts w:ascii="Times New Roman" w:hAnsi="Times New Roman"/>
                <w:b/>
                <w:sz w:val="24"/>
                <w:u w:val="single"/>
              </w:rPr>
            </w:pPr>
            <w:r>
              <w:rPr>
                <w:rFonts w:ascii="Times New Roman" w:hAnsi="Times New Roman"/>
                <w:b/>
                <w:sz w:val="24"/>
                <w:u w:val="single"/>
              </w:rPr>
              <w:t>(-) PROTEZIONE DEL CREDITO DI TIPO REALE</w:t>
            </w:r>
          </w:p>
          <w:p w14:paraId="2DC24B4F" w14:textId="77777777" w:rsidR="00933ADA" w:rsidRPr="002A677E" w:rsidRDefault="00933ADA" w:rsidP="00822842">
            <w:pPr>
              <w:spacing w:before="0" w:after="0"/>
              <w:rPr>
                <w:rFonts w:ascii="Times New Roman" w:hAnsi="Times New Roman"/>
                <w:sz w:val="24"/>
              </w:rPr>
            </w:pPr>
          </w:p>
          <w:p w14:paraId="11CFD7A4" w14:textId="41F50F65"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Protezione del credito di tipo reale ai sensi dell</w:t>
            </w:r>
            <w:r w:rsidR="00521D0B">
              <w:rPr>
                <w:rFonts w:ascii="Times New Roman" w:hAnsi="Times New Roman"/>
                <w:sz w:val="24"/>
              </w:rPr>
              <w:t>'</w:t>
            </w:r>
            <w:r>
              <w:rPr>
                <w:rFonts w:ascii="Times New Roman" w:hAnsi="Times New Roman"/>
                <w:sz w:val="24"/>
              </w:rPr>
              <w:t>articolo 4, paragrafo 1, punto</w:t>
            </w:r>
            <w:r w:rsidR="00521D0B">
              <w:rPr>
                <w:rFonts w:ascii="Times New Roman" w:hAnsi="Times New Roman"/>
                <w:sz w:val="24"/>
              </w:rPr>
              <w:t> </w:t>
            </w:r>
            <w:r>
              <w:rPr>
                <w:rFonts w:ascii="Times New Roman" w:hAnsi="Times New Roman"/>
                <w:sz w:val="24"/>
              </w:rPr>
              <w:t>58, del regolamento (UE) n. 575/2013, di cui all</w:t>
            </w:r>
            <w:r w:rsidR="00521D0B">
              <w:rPr>
                <w:rFonts w:ascii="Times New Roman" w:hAnsi="Times New Roman"/>
                <w:sz w:val="24"/>
              </w:rPr>
              <w:t>'</w:t>
            </w:r>
            <w:r>
              <w:rPr>
                <w:rFonts w:ascii="Times New Roman" w:hAnsi="Times New Roman"/>
                <w:sz w:val="24"/>
              </w:rPr>
              <w:t>articolo 249, paragrafo 2, primo comma, di tale regolamento e come disciplinata agli articoli 195, 197 e 200 di tale regolamento.</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Le credit </w:t>
            </w:r>
            <w:proofErr w:type="spellStart"/>
            <w:r>
              <w:rPr>
                <w:rFonts w:ascii="Times New Roman" w:hAnsi="Times New Roman"/>
                <w:sz w:val="24"/>
              </w:rPr>
              <w:t>linked</w:t>
            </w:r>
            <w:proofErr w:type="spellEnd"/>
            <w:r>
              <w:rPr>
                <w:rFonts w:ascii="Times New Roman" w:hAnsi="Times New Roman"/>
                <w:sz w:val="24"/>
              </w:rPr>
              <w:t xml:space="preserve"> note e la compensazione in bilancio di cui agli articoli 218 e 219 del regolamento (UE) n. 575/2013 sono trattate come garanzie in contante.</w:t>
            </w:r>
          </w:p>
          <w:p w14:paraId="6D06C8C3" w14:textId="77777777" w:rsidR="00933ADA" w:rsidRPr="002A677E" w:rsidRDefault="00933ADA" w:rsidP="00521D0B">
            <w:pPr>
              <w:autoSpaceDE w:val="0"/>
              <w:autoSpaceDN w:val="0"/>
              <w:adjustRightInd w:val="0"/>
              <w:spacing w:before="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6E367B98" w14:textId="282381E3" w:rsidR="00933ADA" w:rsidRPr="002A677E" w:rsidRDefault="00933ADA" w:rsidP="00521D0B">
            <w:pPr>
              <w:autoSpaceDE w:val="0"/>
              <w:autoSpaceDN w:val="0"/>
              <w:adjustRightInd w:val="0"/>
              <w:spacing w:before="80" w:after="0"/>
              <w:jc w:val="left"/>
              <w:rPr>
                <w:rFonts w:ascii="Times New Roman" w:hAnsi="Times New Roman"/>
                <w:b/>
                <w:sz w:val="24"/>
                <w:u w:val="single"/>
              </w:rPr>
            </w:pPr>
            <w:r>
              <w:rPr>
                <w:rFonts w:ascii="Times New Roman" w:hAnsi="Times New Roman"/>
                <w:b/>
                <w:sz w:val="24"/>
                <w:u w:val="single"/>
              </w:rPr>
              <w:t>SOSTITUZIONE DELL</w:t>
            </w:r>
            <w:r w:rsidR="00521D0B">
              <w:rPr>
                <w:rFonts w:ascii="Times New Roman" w:hAnsi="Times New Roman"/>
                <w:b/>
                <w:sz w:val="24"/>
                <w:u w:val="single"/>
              </w:rPr>
              <w:t>'</w:t>
            </w:r>
            <w:r>
              <w:rPr>
                <w:rFonts w:ascii="Times New Roman" w:hAnsi="Times New Roman"/>
                <w:b/>
                <w:sz w:val="24"/>
                <w:u w:val="single"/>
              </w:rPr>
              <w:t>ESPOSIZIONE DOVUTA ALL</w:t>
            </w:r>
            <w:r w:rsidR="00521D0B">
              <w:rPr>
                <w:rFonts w:ascii="Times New Roman" w:hAnsi="Times New Roman"/>
                <w:b/>
                <w:sz w:val="24"/>
                <w:u w:val="single"/>
              </w:rPr>
              <w:t>'</w:t>
            </w:r>
            <w:r>
              <w:rPr>
                <w:rFonts w:ascii="Times New Roman" w:hAnsi="Times New Roman"/>
                <w:b/>
                <w:sz w:val="24"/>
                <w:u w:val="single"/>
              </w:rPr>
              <w:t>ATTENUAZIONE DEL RISCHIO DI CREDITO</w:t>
            </w:r>
          </w:p>
          <w:p w14:paraId="3B3071C7" w14:textId="77777777" w:rsidR="00933ADA" w:rsidRPr="002A677E" w:rsidRDefault="00933ADA" w:rsidP="00822842">
            <w:pPr>
              <w:spacing w:before="0" w:after="0"/>
              <w:rPr>
                <w:rFonts w:ascii="Times New Roman" w:hAnsi="Times New Roman"/>
                <w:b/>
                <w:sz w:val="24"/>
                <w:u w:val="single"/>
              </w:rPr>
            </w:pPr>
          </w:p>
          <w:p w14:paraId="4C89A700" w14:textId="63DDEE4E"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Sono segnalati gli afflussi e i deflussi all</w:t>
            </w:r>
            <w:r w:rsidR="00521D0B">
              <w:rPr>
                <w:rFonts w:ascii="Times New Roman" w:hAnsi="Times New Roman"/>
                <w:sz w:val="24"/>
              </w:rPr>
              <w:t>'</w:t>
            </w:r>
            <w:r>
              <w:rPr>
                <w:rFonts w:ascii="Times New Roman" w:hAnsi="Times New Roman"/>
                <w:sz w:val="24"/>
              </w:rPr>
              <w:t>interno delle stesse classi di esposizioni e, ove rilevanti, i fattori di ponderazione del rischio o le classi di debitori.</w:t>
            </w:r>
          </w:p>
          <w:p w14:paraId="57D87E52" w14:textId="77777777" w:rsidR="00933ADA" w:rsidRPr="002A677E" w:rsidRDefault="00933ADA" w:rsidP="00521D0B">
            <w:pPr>
              <w:spacing w:before="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27758A29" w14:textId="77777777" w:rsidR="00933ADA" w:rsidRPr="002A677E" w:rsidRDefault="00933ADA" w:rsidP="00521D0B">
            <w:pPr>
              <w:autoSpaceDE w:val="0"/>
              <w:autoSpaceDN w:val="0"/>
              <w:adjustRightInd w:val="0"/>
              <w:spacing w:before="80" w:after="0"/>
              <w:jc w:val="left"/>
              <w:rPr>
                <w:rFonts w:ascii="Times New Roman" w:hAnsi="Times New Roman"/>
                <w:b/>
                <w:sz w:val="24"/>
                <w:u w:val="single"/>
              </w:rPr>
            </w:pPr>
            <w:r>
              <w:rPr>
                <w:rFonts w:ascii="Times New Roman" w:hAnsi="Times New Roman"/>
                <w:b/>
                <w:sz w:val="24"/>
                <w:u w:val="single"/>
              </w:rPr>
              <w:t>(-) DEFLUSSI TOTALI</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Articolo 222, paragrafo 3, articolo 235, paragrafi 1 e 2, e articolo 236 del regolamento (UE) n. 575/2013.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0A5540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 deflussi corrispondono alla parte garantita dell</w:t>
            </w:r>
            <w:r w:rsidR="00521D0B">
              <w:rPr>
                <w:rFonts w:ascii="Times New Roman" w:hAnsi="Times New Roman"/>
                <w:sz w:val="24"/>
              </w:rPr>
              <w:t>'"</w:t>
            </w:r>
            <w:r>
              <w:rPr>
                <w:rFonts w:ascii="Times New Roman" w:hAnsi="Times New Roman"/>
                <w:sz w:val="24"/>
              </w:rPr>
              <w:t>esposizione al netto delle rettifiche di valore e degli accantonamenti</w:t>
            </w:r>
            <w:r w:rsidR="00521D0B">
              <w:rPr>
                <w:rFonts w:ascii="Times New Roman" w:hAnsi="Times New Roman"/>
                <w:sz w:val="24"/>
              </w:rPr>
              <w:t>"</w:t>
            </w:r>
            <w:r>
              <w:rPr>
                <w:rFonts w:ascii="Times New Roman" w:hAnsi="Times New Roman"/>
                <w:sz w:val="24"/>
              </w:rPr>
              <w:t xml:space="preserve"> che è dedotta dalla classe di esposizioni del debitore e, ove rilevante, dalla relativa ponderazione del rischio o classe di debitori, e successivamente assegnata alla classe di esposizioni del fornitore della protezione e, ove rilevante, alla relativa ponderazione del rischio o classe di debitori.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Tale importo è considerato un afflusso nella classe di esposizioni del fornitore della protezione e, ove rilevanti, nelle relative ponderazioni del rischio o classi di debitori.</w:t>
            </w:r>
          </w:p>
          <w:p w14:paraId="271FACD8" w14:textId="77777777" w:rsidR="00933ADA" w:rsidRPr="002A677E" w:rsidRDefault="00933ADA" w:rsidP="00521D0B">
            <w:pPr>
              <w:autoSpaceDE w:val="0"/>
              <w:autoSpaceDN w:val="0"/>
              <w:adjustRightInd w:val="0"/>
              <w:spacing w:before="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AFFLUSSI TOTALI</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15F4C2A4" w:rsidR="00933ADA" w:rsidRPr="002A677E" w:rsidRDefault="00933ADA" w:rsidP="00822842">
            <w:pPr>
              <w:spacing w:before="0" w:after="0"/>
              <w:rPr>
                <w:rFonts w:ascii="Times New Roman" w:hAnsi="Times New Roman"/>
                <w:sz w:val="24"/>
              </w:rPr>
            </w:pPr>
            <w:r>
              <w:rPr>
                <w:rFonts w:ascii="Times New Roman" w:hAnsi="Times New Roman"/>
                <w:sz w:val="24"/>
              </w:rPr>
              <w:t>In questa colonna sono segnalate come afflussi le posizioni verso la cartolarizzazione che costituiscono titoli di debito e sono utilizzate come garanzie reali finanziarie ammissibili conformemente all</w:t>
            </w:r>
            <w:r w:rsidR="00521D0B">
              <w:rPr>
                <w:rFonts w:ascii="Times New Roman" w:hAnsi="Times New Roman"/>
                <w:sz w:val="24"/>
              </w:rPr>
              <w:t>'</w:t>
            </w:r>
            <w:r>
              <w:rPr>
                <w:rFonts w:ascii="Times New Roman" w:hAnsi="Times New Roman"/>
                <w:sz w:val="24"/>
              </w:rPr>
              <w:t>articolo 197, paragrafo 1, del regolamento (UE) n. 575/2013 se è utilizzato il metodo semplificato per il trattamento delle garanzie reali finanziarie.</w:t>
            </w:r>
          </w:p>
          <w:p w14:paraId="53C3CF1F" w14:textId="77777777" w:rsidR="00933ADA" w:rsidRPr="002A677E" w:rsidRDefault="00933ADA" w:rsidP="00521D0B">
            <w:pPr>
              <w:autoSpaceDE w:val="0"/>
              <w:autoSpaceDN w:val="0"/>
              <w:adjustRightInd w:val="0"/>
              <w:spacing w:before="0" w:after="8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7CED71BA" w14:textId="518457C9"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ESPOSIZIONE NETTA DOPO GLI EFFETTI DI SOSTITUZIONE DELL</w:t>
            </w:r>
            <w:r w:rsidR="00521D0B">
              <w:rPr>
                <w:rStyle w:val="InstructionsTabelleberschrift"/>
                <w:rFonts w:ascii="Times New Roman" w:hAnsi="Times New Roman"/>
                <w:sz w:val="24"/>
              </w:rPr>
              <w:t>'</w:t>
            </w:r>
            <w:r>
              <w:rPr>
                <w:rStyle w:val="InstructionsTabelleberschrift"/>
                <w:rFonts w:ascii="Times New Roman" w:hAnsi="Times New Roman"/>
                <w:sz w:val="24"/>
              </w:rPr>
              <w:t>ATTENUAZIONE DEL RISCHIO DI CREDITO PRIMA DELL</w:t>
            </w:r>
            <w:r w:rsidR="00521D0B">
              <w:rPr>
                <w:rStyle w:val="InstructionsTabelleberschrift"/>
                <w:rFonts w:ascii="Times New Roman" w:hAnsi="Times New Roman"/>
                <w:sz w:val="24"/>
              </w:rPr>
              <w:t>'</w:t>
            </w:r>
            <w:r>
              <w:rPr>
                <w:rStyle w:val="InstructionsTabelleberschrift"/>
                <w:rFonts w:ascii="Times New Roman" w:hAnsi="Times New Roman"/>
                <w:sz w:val="24"/>
              </w:rPr>
              <w:t>APPLICAZIONE DEI FATTORI DI CONVERSIONE</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A3B7F64"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 xml:space="preserve">Questa colonna include le esposizioni assegnate alla ponderazione del rischio e alla classe di esposizioni corrispondenti dopo aver tenuto conto dei deflussi e degli afflussi dovuti a </w:t>
            </w:r>
            <w:r w:rsidR="00521D0B">
              <w:rPr>
                <w:rStyle w:val="FormatvorlageInstructionsTabelleText"/>
                <w:rFonts w:ascii="Times New Roman" w:hAnsi="Times New Roman"/>
                <w:sz w:val="24"/>
              </w:rPr>
              <w:t>"</w:t>
            </w:r>
            <w:r>
              <w:rPr>
                <w:rStyle w:val="FormatvorlageInstructionsTabelleText"/>
                <w:rFonts w:ascii="Times New Roman" w:hAnsi="Times New Roman"/>
                <w:sz w:val="24"/>
              </w:rPr>
              <w:t>tecniche di attenuazione del rischio di credito (CRM) con effetti di sostituzione sull</w:t>
            </w:r>
            <w:r w:rsidR="00521D0B">
              <w:rPr>
                <w:rStyle w:val="FormatvorlageInstructionsTabelleText"/>
                <w:rFonts w:ascii="Times New Roman" w:hAnsi="Times New Roman"/>
                <w:sz w:val="24"/>
              </w:rPr>
              <w:t>'</w:t>
            </w:r>
            <w:r>
              <w:rPr>
                <w:rStyle w:val="FormatvorlageInstructionsTabelleText"/>
                <w:rFonts w:ascii="Times New Roman" w:hAnsi="Times New Roman"/>
                <w:sz w:val="24"/>
              </w:rPr>
              <w:t>esposizione</w:t>
            </w:r>
            <w:r w:rsidR="00521D0B">
              <w:rPr>
                <w:rStyle w:val="FormatvorlageInstructionsTabelleText"/>
                <w:rFonts w:ascii="Times New Roman" w:hAnsi="Times New Roman"/>
                <w:sz w:val="24"/>
              </w:rPr>
              <w:t>"</w:t>
            </w:r>
            <w:r>
              <w:rPr>
                <w:rStyle w:val="FormatvorlageInstructionsTabelleText"/>
                <w:rFonts w:ascii="Times New Roman" w:hAnsi="Times New Roman"/>
                <w:sz w:val="24"/>
              </w:rPr>
              <w:t>.</w:t>
            </w:r>
          </w:p>
          <w:p w14:paraId="607AE8A3" w14:textId="77777777" w:rsidR="00933ADA" w:rsidRPr="002A677E" w:rsidRDefault="00933ADA" w:rsidP="00521D0B">
            <w:pPr>
              <w:autoSpaceDE w:val="0"/>
              <w:autoSpaceDN w:val="0"/>
              <w:adjustRightInd w:val="0"/>
              <w:spacing w:before="0" w:after="8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B02E807" w14:textId="3DB7FE04"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TECNICHE DI ATTENUAZIONE DEL RISCHIO DI CREDITO CHE INFLUISCONO SULL</w:t>
            </w:r>
            <w:r w:rsidR="00521D0B">
              <w:rPr>
                <w:rStyle w:val="InstructionsTabelleberschrift"/>
                <w:rFonts w:ascii="Times New Roman" w:hAnsi="Times New Roman"/>
                <w:sz w:val="24"/>
              </w:rPr>
              <w:t>'</w:t>
            </w:r>
            <w:r>
              <w:rPr>
                <w:rStyle w:val="InstructionsTabelleberschrift"/>
                <w:rFonts w:ascii="Times New Roman" w:hAnsi="Times New Roman"/>
                <w:sz w:val="24"/>
              </w:rPr>
              <w:t>IMPORTO DELL</w:t>
            </w:r>
            <w:r w:rsidR="00521D0B">
              <w:rPr>
                <w:rStyle w:val="InstructionsTabelleberschrift"/>
                <w:rFonts w:ascii="Times New Roman" w:hAnsi="Times New Roman"/>
                <w:sz w:val="24"/>
              </w:rPr>
              <w:t>'</w:t>
            </w:r>
            <w:r>
              <w:rPr>
                <w:rStyle w:val="InstructionsTabelleberschrift"/>
                <w:rFonts w:ascii="Times New Roman" w:hAnsi="Times New Roman"/>
                <w:sz w:val="24"/>
              </w:rPr>
              <w:t>ESPOSIZIONE: VALORE CORRETTO IN BASE AL METODO INTEGRALE PER IL TRATTAMENTO DELLE GARANZIE REALI FINANZIARIE PER LA PROTEZIONE DEL CREDITO DI TIPO REALE (CVAM)</w:t>
            </w:r>
          </w:p>
          <w:p w14:paraId="698C3619" w14:textId="77777777" w:rsidR="00933ADA" w:rsidRPr="002A677E" w:rsidRDefault="00933ADA" w:rsidP="00521D0B">
            <w:pPr>
              <w:autoSpaceDE w:val="0"/>
              <w:autoSpaceDN w:val="0"/>
              <w:adjustRightInd w:val="0"/>
              <w:spacing w:before="0" w:after="8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t xml:space="preserve">Articoli da 223 a 228 del regolamento (UE) n. 575/2013 </w:t>
            </w:r>
          </w:p>
          <w:p w14:paraId="169BAC4D" w14:textId="3A4E97D6" w:rsidR="00933ADA" w:rsidRPr="002A677E" w:rsidRDefault="00933ADA" w:rsidP="00822842">
            <w:pPr>
              <w:pStyle w:val="InstructionsText"/>
            </w:pPr>
            <w:r>
              <w:t>L</w:t>
            </w:r>
            <w:r w:rsidR="00521D0B">
              <w:t>'</w:t>
            </w:r>
            <w:r>
              <w:t xml:space="preserve">importo segnalato comprende anche le credit </w:t>
            </w:r>
            <w:proofErr w:type="spellStart"/>
            <w:r>
              <w:t>linked</w:t>
            </w:r>
            <w:proofErr w:type="spellEnd"/>
            <w:r>
              <w:t xml:space="preserve"> note (articolo 218 del regolamento (UE) n. 575/2013)</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743058A" w14:textId="18D432D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VALORE DELL</w:t>
            </w:r>
            <w:r w:rsidR="00521D0B">
              <w:rPr>
                <w:rFonts w:ascii="Times New Roman" w:hAnsi="Times New Roman"/>
                <w:b/>
                <w:sz w:val="24"/>
                <w:u w:val="single"/>
              </w:rPr>
              <w:t>'</w:t>
            </w:r>
            <w:r>
              <w:rPr>
                <w:rFonts w:ascii="Times New Roman" w:hAnsi="Times New Roman"/>
                <w:b/>
                <w:sz w:val="24"/>
                <w:u w:val="single"/>
              </w:rPr>
              <w:t>ESPOSIZIONE CORRETTO INTEGRALMENTE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44C1DAE6"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Valore dell</w:t>
            </w:r>
            <w:r w:rsidR="00521D0B">
              <w:rPr>
                <w:rFonts w:ascii="Times New Roman" w:hAnsi="Times New Roman"/>
                <w:sz w:val="24"/>
              </w:rPr>
              <w:t>'</w:t>
            </w:r>
            <w:r>
              <w:rPr>
                <w:rFonts w:ascii="Times New Roman" w:hAnsi="Times New Roman"/>
                <w:sz w:val="24"/>
              </w:rPr>
              <w:t>esposizione delle posizioni verso la cartolarizzazione calcolato conformemente all</w:t>
            </w:r>
            <w:r w:rsidR="00521D0B">
              <w:rPr>
                <w:rFonts w:ascii="Times New Roman" w:hAnsi="Times New Roman"/>
                <w:sz w:val="24"/>
              </w:rPr>
              <w:t>'</w:t>
            </w:r>
            <w:r>
              <w:rPr>
                <w:rFonts w:ascii="Times New Roman" w:hAnsi="Times New Roman"/>
                <w:sz w:val="24"/>
              </w:rPr>
              <w:t>articolo 248 del regolamento (UE) n. 575/2013, ma senza applicare i fattori di conversione di cui all</w:t>
            </w:r>
            <w:r w:rsidR="00521D0B">
              <w:rPr>
                <w:rFonts w:ascii="Times New Roman" w:hAnsi="Times New Roman"/>
                <w:sz w:val="24"/>
              </w:rPr>
              <w:t>'</w:t>
            </w:r>
            <w:r>
              <w:rPr>
                <w:rFonts w:ascii="Times New Roman" w:hAnsi="Times New Roman"/>
                <w:sz w:val="24"/>
              </w:rPr>
              <w:t xml:space="preserve">articolo 248, paragrafo 1, lettera b), di tale regolamento. </w:t>
            </w:r>
          </w:p>
          <w:p w14:paraId="2AFA3B18" w14:textId="77777777" w:rsidR="00933ADA" w:rsidRPr="002A677E" w:rsidRDefault="00933ADA" w:rsidP="00521D0B">
            <w:pPr>
              <w:autoSpaceDE w:val="0"/>
              <w:autoSpaceDN w:val="0"/>
              <w:adjustRightInd w:val="0"/>
              <w:spacing w:before="0" w:after="8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3FAB429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DI CUI: CON UN FATTORE DI CONVERSIONE DEL CREDITO (CCF) DELLO 0%</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Articolo 248, paragrafo 1, lettera b), del regolamento (UE) n. 575/2013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3EB56B2E"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Ai fini di questa colonna il fattore di conversione è definito all</w:t>
            </w:r>
            <w:r w:rsidR="00521D0B">
              <w:rPr>
                <w:rFonts w:ascii="Times New Roman" w:hAnsi="Times New Roman"/>
                <w:sz w:val="24"/>
              </w:rPr>
              <w:t>'</w:t>
            </w:r>
            <w:r>
              <w:rPr>
                <w:rFonts w:ascii="Times New Roman" w:hAnsi="Times New Roman"/>
                <w:sz w:val="24"/>
              </w:rPr>
              <w:t>articolo 4, paragrafo 1, punto 56, del regolamento (UE) n. 575/2013.</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5D93A2B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Ai fini della segnalazione, i valori dell</w:t>
            </w:r>
            <w:r w:rsidR="00521D0B">
              <w:rPr>
                <w:rFonts w:ascii="Times New Roman" w:hAnsi="Times New Roman"/>
                <w:sz w:val="24"/>
              </w:rPr>
              <w:t>'</w:t>
            </w:r>
            <w:r>
              <w:rPr>
                <w:rFonts w:ascii="Times New Roman" w:hAnsi="Times New Roman"/>
                <w:sz w:val="24"/>
              </w:rPr>
              <w:t>esposizione corretti integralmente (E*) sono segnalati per il fattore di conversione 0 %.</w:t>
            </w:r>
          </w:p>
          <w:p w14:paraId="37D794E0" w14:textId="77777777" w:rsidR="00933ADA" w:rsidRPr="002A677E" w:rsidRDefault="00933ADA" w:rsidP="00521D0B">
            <w:pPr>
              <w:spacing w:before="0" w:after="8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521D0B">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0160</w:t>
            </w:r>
          </w:p>
        </w:tc>
        <w:tc>
          <w:tcPr>
            <w:tcW w:w="7436" w:type="dxa"/>
          </w:tcPr>
          <w:p w14:paraId="413AAAEB" w14:textId="27607A87" w:rsidR="00933ADA" w:rsidRPr="002A677E" w:rsidRDefault="00933ADA" w:rsidP="00521D0B">
            <w:pPr>
              <w:keepNext/>
              <w:spacing w:before="80" w:after="80"/>
              <w:jc w:val="left"/>
              <w:rPr>
                <w:rFonts w:ascii="Times New Roman" w:hAnsi="Times New Roman"/>
                <w:b/>
                <w:sz w:val="24"/>
                <w:u w:val="single"/>
              </w:rPr>
            </w:pPr>
            <w:r>
              <w:rPr>
                <w:rFonts w:ascii="Times New Roman" w:hAnsi="Times New Roman"/>
                <w:b/>
                <w:sz w:val="24"/>
                <w:u w:val="single"/>
              </w:rPr>
              <w:t>(−) SCONTI SU PREZZI D</w:t>
            </w:r>
            <w:r w:rsidR="00521D0B">
              <w:rPr>
                <w:rFonts w:ascii="Times New Roman" w:hAnsi="Times New Roman"/>
                <w:b/>
                <w:sz w:val="24"/>
                <w:u w:val="single"/>
              </w:rPr>
              <w:t>'</w:t>
            </w:r>
            <w:r>
              <w:rPr>
                <w:rFonts w:ascii="Times New Roman" w:hAnsi="Times New Roman"/>
                <w:b/>
                <w:sz w:val="24"/>
                <w:u w:val="single"/>
              </w:rPr>
              <w:t>ACQUISTO NON RIMBORSABILI</w:t>
            </w:r>
          </w:p>
          <w:p w14:paraId="02BBD935" w14:textId="77777777" w:rsidR="00933ADA" w:rsidRPr="002A677E" w:rsidRDefault="00933ADA" w:rsidP="00521D0B">
            <w:pPr>
              <w:keepNext/>
              <w:spacing w:before="0" w:after="0"/>
              <w:jc w:val="left"/>
              <w:rPr>
                <w:rFonts w:ascii="Times New Roman" w:hAnsi="Times New Roman"/>
                <w:b/>
                <w:sz w:val="24"/>
                <w:u w:val="single"/>
              </w:rPr>
            </w:pPr>
          </w:p>
          <w:p w14:paraId="7B8885F1" w14:textId="44DDF80B" w:rsidR="00933ADA" w:rsidRPr="002A677E" w:rsidRDefault="00933ADA" w:rsidP="00521D0B">
            <w:pPr>
              <w:keepNext/>
              <w:spacing w:before="0" w:after="0"/>
              <w:jc w:val="left"/>
              <w:rPr>
                <w:rFonts w:ascii="Times New Roman" w:hAnsi="Times New Roman"/>
                <w:sz w:val="24"/>
              </w:rPr>
            </w:pPr>
            <w:r>
              <w:rPr>
                <w:rFonts w:ascii="Times New Roman" w:hAnsi="Times New Roman"/>
                <w:sz w:val="24"/>
              </w:rPr>
              <w:t>Conformemente all</w:t>
            </w:r>
            <w:r w:rsidR="00521D0B">
              <w:rPr>
                <w:rFonts w:ascii="Times New Roman" w:hAnsi="Times New Roman"/>
                <w:sz w:val="24"/>
              </w:rPr>
              <w:t>'</w:t>
            </w:r>
            <w:r>
              <w:rPr>
                <w:rFonts w:ascii="Times New Roman" w:hAnsi="Times New Roman"/>
                <w:sz w:val="24"/>
              </w:rPr>
              <w:t>articolo 248, paragrafo 1, lettera d), del regolamento (UE) n. 575/2013, un ente cedente può dedurre dal valore dell</w:t>
            </w:r>
            <w:r w:rsidR="00521D0B">
              <w:rPr>
                <w:rFonts w:ascii="Times New Roman" w:hAnsi="Times New Roman"/>
                <w:sz w:val="24"/>
              </w:rPr>
              <w:t>'</w:t>
            </w:r>
            <w:r>
              <w:rPr>
                <w:rFonts w:ascii="Times New Roman" w:hAnsi="Times New Roman"/>
                <w:sz w:val="24"/>
              </w:rPr>
              <w:t>esposizione di una posizione verso la cartolarizzazione cui è attribuito un fattore di ponderazione del rischio del 1 250 % eventuali sconti sul prezzo di acquisto non rimborsabili connessi a tali esposizioni sottostanti nella misura in cui tali sconti abbiano determinato la riduzione dei fondi propri.</w:t>
            </w:r>
          </w:p>
          <w:p w14:paraId="3F875787" w14:textId="77777777" w:rsidR="00933ADA" w:rsidRPr="002A677E" w:rsidRDefault="00933ADA" w:rsidP="00521D0B">
            <w:pPr>
              <w:keepNext/>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77740A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RETTIFICHE DI VALORE SU CREDITI SPECIFICHE PER ESPOSIZIONI SOTTOSTANTI</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337C693C" w:rsidR="00933ADA" w:rsidRPr="002A677E" w:rsidRDefault="00933ADA" w:rsidP="00822842">
            <w:pPr>
              <w:spacing w:before="0" w:after="0"/>
              <w:jc w:val="left"/>
              <w:rPr>
                <w:rFonts w:ascii="Times New Roman" w:hAnsi="Times New Roman"/>
                <w:sz w:val="24"/>
              </w:rPr>
            </w:pPr>
            <w:r>
              <w:rPr>
                <w:rFonts w:ascii="Times New Roman" w:hAnsi="Times New Roman"/>
                <w:sz w:val="24"/>
              </w:rPr>
              <w:t>Conformemente all</w:t>
            </w:r>
            <w:r w:rsidR="00521D0B">
              <w:rPr>
                <w:rFonts w:ascii="Times New Roman" w:hAnsi="Times New Roman"/>
                <w:sz w:val="24"/>
              </w:rPr>
              <w:t>'</w:t>
            </w:r>
            <w:r>
              <w:rPr>
                <w:rFonts w:ascii="Times New Roman" w:hAnsi="Times New Roman"/>
                <w:sz w:val="24"/>
              </w:rPr>
              <w:t>articolo 248, paragrafo 1, lettera d), del regolamento (UE) n. 575/2013, un ente cedente può dedurre dal valore dell</w:t>
            </w:r>
            <w:r w:rsidR="00521D0B">
              <w:rPr>
                <w:rFonts w:ascii="Times New Roman" w:hAnsi="Times New Roman"/>
                <w:sz w:val="24"/>
              </w:rPr>
              <w:t>'</w:t>
            </w:r>
            <w:r>
              <w:rPr>
                <w:rFonts w:ascii="Times New Roman" w:hAnsi="Times New Roman"/>
                <w:sz w:val="24"/>
              </w:rPr>
              <w:t>esposizione della posizione verso la cartolarizzazione a cui è attribuito un fattore di ponderazione del rischio del 1 250 % o che è dedotta dal capitale primario di classe 1 l</w:t>
            </w:r>
            <w:r w:rsidR="00521D0B">
              <w:rPr>
                <w:rFonts w:ascii="Times New Roman" w:hAnsi="Times New Roman"/>
                <w:sz w:val="24"/>
              </w:rPr>
              <w:t>'</w:t>
            </w:r>
            <w:r>
              <w:rPr>
                <w:rFonts w:ascii="Times New Roman" w:hAnsi="Times New Roman"/>
                <w:sz w:val="24"/>
              </w:rPr>
              <w:t>importo delle rettifiche di valore su crediti specifiche delle esposizioni sottostanti determinato conformemente all</w:t>
            </w:r>
            <w:r w:rsidR="00521D0B">
              <w:rPr>
                <w:rFonts w:ascii="Times New Roman" w:hAnsi="Times New Roman"/>
                <w:sz w:val="24"/>
              </w:rPr>
              <w:t>'</w:t>
            </w:r>
            <w:r>
              <w:rPr>
                <w:rFonts w:ascii="Times New Roman" w:hAnsi="Times New Roman"/>
                <w:sz w:val="24"/>
              </w:rPr>
              <w:t xml:space="preserve">articolo 110 del regolamento (UE) n. 575/2013.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344AF979" w14:textId="4D150C2E"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VALORE DELL</w:t>
            </w:r>
            <w:r w:rsidR="00521D0B">
              <w:rPr>
                <w:rFonts w:ascii="Times New Roman" w:hAnsi="Times New Roman"/>
                <w:b/>
                <w:sz w:val="24"/>
                <w:u w:val="single"/>
              </w:rPr>
              <w:t>'</w:t>
            </w:r>
            <w:r>
              <w:rPr>
                <w:rFonts w:ascii="Times New Roman" w:hAnsi="Times New Roman"/>
                <w:b/>
                <w:sz w:val="24"/>
                <w:u w:val="single"/>
              </w:rPr>
              <w:t>ESPOSIZIONE</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4431EED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Valore dell</w:t>
            </w:r>
            <w:r w:rsidR="00521D0B">
              <w:rPr>
                <w:rFonts w:ascii="Times New Roman" w:hAnsi="Times New Roman"/>
                <w:sz w:val="24"/>
              </w:rPr>
              <w:t>'</w:t>
            </w:r>
            <w:r>
              <w:rPr>
                <w:rFonts w:ascii="Times New Roman" w:hAnsi="Times New Roman"/>
                <w:sz w:val="24"/>
              </w:rPr>
              <w:t>esposizione delle posizioni verso la cartolarizzazione calcolato conformemente all</w:t>
            </w:r>
            <w:r w:rsidR="00521D0B">
              <w:rPr>
                <w:rFonts w:ascii="Times New Roman" w:hAnsi="Times New Roman"/>
                <w:sz w:val="24"/>
              </w:rPr>
              <w:t>'</w:t>
            </w:r>
            <w:r>
              <w:rPr>
                <w:rFonts w:ascii="Times New Roman" w:hAnsi="Times New Roman"/>
                <w:sz w:val="24"/>
              </w:rPr>
              <w:t>articolo 248 del regolamento (UE) n. 575/2013</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669E5885" w14:textId="28FF728C"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VALORE DELL</w:t>
            </w:r>
            <w:r w:rsidR="00521D0B">
              <w:rPr>
                <w:rFonts w:ascii="Times New Roman" w:hAnsi="Times New Roman"/>
                <w:b/>
                <w:sz w:val="24"/>
                <w:u w:val="single"/>
              </w:rPr>
              <w:t>'</w:t>
            </w:r>
            <w:r>
              <w:rPr>
                <w:rFonts w:ascii="Times New Roman" w:hAnsi="Times New Roman"/>
                <w:b/>
                <w:sz w:val="24"/>
                <w:u w:val="single"/>
              </w:rPr>
              <w:t>ESPOSIZIONE DEDOTTO DAI FONDI PROPRI</w:t>
            </w:r>
          </w:p>
          <w:p w14:paraId="63B6DB34" w14:textId="77777777" w:rsidR="00933ADA" w:rsidRPr="002A677E" w:rsidRDefault="00933ADA" w:rsidP="00822842">
            <w:pPr>
              <w:spacing w:before="0" w:after="0"/>
              <w:jc w:val="left"/>
              <w:rPr>
                <w:rFonts w:ascii="Times New Roman" w:hAnsi="Times New Roman"/>
                <w:sz w:val="24"/>
              </w:rPr>
            </w:pPr>
          </w:p>
          <w:p w14:paraId="79044183" w14:textId="5DBABF16" w:rsidR="00933ADA" w:rsidRPr="002A677E" w:rsidRDefault="00933ADA" w:rsidP="00822842">
            <w:pPr>
              <w:spacing w:before="0" w:after="0"/>
              <w:rPr>
                <w:rFonts w:ascii="Times New Roman" w:hAnsi="Times New Roman"/>
                <w:sz w:val="24"/>
              </w:rPr>
            </w:pPr>
            <w:r>
              <w:rPr>
                <w:rFonts w:ascii="Times New Roman" w:hAnsi="Times New Roman"/>
                <w:sz w:val="24"/>
              </w:rPr>
              <w:t>Conformemente all</w:t>
            </w:r>
            <w:r w:rsidR="00521D0B">
              <w:rPr>
                <w:rFonts w:ascii="Times New Roman" w:hAnsi="Times New Roman"/>
                <w:sz w:val="24"/>
              </w:rPr>
              <w:t>'</w:t>
            </w:r>
            <w:r>
              <w:rPr>
                <w:rFonts w:ascii="Times New Roman" w:hAnsi="Times New Roman"/>
                <w:sz w:val="24"/>
              </w:rPr>
              <w:t>articolo 244, paragrafo 1, lettera b), all</w:t>
            </w:r>
            <w:r w:rsidR="00521D0B">
              <w:rPr>
                <w:rFonts w:ascii="Times New Roman" w:hAnsi="Times New Roman"/>
                <w:sz w:val="24"/>
              </w:rPr>
              <w:t>'</w:t>
            </w:r>
            <w:r>
              <w:rPr>
                <w:rFonts w:ascii="Times New Roman" w:hAnsi="Times New Roman"/>
                <w:sz w:val="24"/>
              </w:rPr>
              <w:t>articolo 245, paragrafo 1, lettera b), e all</w:t>
            </w:r>
            <w:r w:rsidR="00521D0B">
              <w:rPr>
                <w:rFonts w:ascii="Times New Roman" w:hAnsi="Times New Roman"/>
                <w:sz w:val="24"/>
              </w:rPr>
              <w:t>'</w:t>
            </w:r>
            <w:r>
              <w:rPr>
                <w:rFonts w:ascii="Times New Roman" w:hAnsi="Times New Roman"/>
                <w:sz w:val="24"/>
              </w:rPr>
              <w:t>articolo 253, paragrafo 1, del regolamento (UE) n.</w:t>
            </w:r>
            <w:r w:rsidR="00521D0B">
              <w:rPr>
                <w:rFonts w:ascii="Times New Roman" w:hAnsi="Times New Roman"/>
                <w:sz w:val="24"/>
              </w:rPr>
              <w:t> </w:t>
            </w:r>
            <w:r>
              <w:rPr>
                <w:rFonts w:ascii="Times New Roman" w:hAnsi="Times New Roman"/>
                <w:sz w:val="24"/>
              </w:rPr>
              <w:t>575/2013, nel caso di una posizione verso la cartolarizzazione alla quale si applica un fattore di ponderazione del rischio del 1 250 %, gli enti possono dedurre dai fondi propri il valore dell</w:t>
            </w:r>
            <w:r w:rsidR="00521D0B">
              <w:rPr>
                <w:rFonts w:ascii="Times New Roman" w:hAnsi="Times New Roman"/>
                <w:sz w:val="24"/>
              </w:rPr>
              <w:t>'</w:t>
            </w:r>
            <w:r>
              <w:rPr>
                <w:rFonts w:ascii="Times New Roman" w:hAnsi="Times New Roman"/>
                <w:sz w:val="24"/>
              </w:rPr>
              <w:t>esposizione della posizione, in alternativa alla sua inclusione nel calcolo degli importi delle esposizioni ponderati per il rischio.</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1A9A6732" w14:textId="4D3C6446"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VALORE DELL</w:t>
            </w:r>
            <w:r w:rsidR="00521D0B">
              <w:rPr>
                <w:rFonts w:ascii="Times New Roman" w:hAnsi="Times New Roman"/>
                <w:b/>
                <w:sz w:val="24"/>
                <w:u w:val="single"/>
              </w:rPr>
              <w:t>'</w:t>
            </w:r>
            <w:r>
              <w:rPr>
                <w:rFonts w:ascii="Times New Roman" w:hAnsi="Times New Roman"/>
                <w:b/>
                <w:sz w:val="24"/>
                <w:u w:val="single"/>
              </w:rPr>
              <w:t>ESPOSIZIONE SOGGETTO A FATTORI DI PONDERAZIONE DEL RISCHIO</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62AF9FA2" w:rsidR="00933ADA" w:rsidRPr="002A677E" w:rsidRDefault="00933ADA" w:rsidP="00822842">
            <w:pPr>
              <w:spacing w:before="0" w:after="0"/>
              <w:rPr>
                <w:rFonts w:ascii="Times New Roman" w:hAnsi="Times New Roman"/>
                <w:sz w:val="24"/>
              </w:rPr>
            </w:pPr>
            <w:r>
              <w:rPr>
                <w:rFonts w:ascii="Times New Roman" w:hAnsi="Times New Roman"/>
                <w:sz w:val="24"/>
              </w:rPr>
              <w:t>Valore dell</w:t>
            </w:r>
            <w:r w:rsidR="00521D0B">
              <w:rPr>
                <w:rFonts w:ascii="Times New Roman" w:hAnsi="Times New Roman"/>
                <w:sz w:val="24"/>
              </w:rPr>
              <w:t>'</w:t>
            </w:r>
            <w:r>
              <w:rPr>
                <w:rFonts w:ascii="Times New Roman" w:hAnsi="Times New Roman"/>
                <w:sz w:val="24"/>
              </w:rPr>
              <w:t>esposizione meno il valore dell</w:t>
            </w:r>
            <w:r w:rsidR="00521D0B">
              <w:rPr>
                <w:rFonts w:ascii="Times New Roman" w:hAnsi="Times New Roman"/>
                <w:sz w:val="24"/>
              </w:rPr>
              <w:t>'</w:t>
            </w:r>
            <w:r>
              <w:rPr>
                <w:rFonts w:ascii="Times New Roman" w:hAnsi="Times New Roman"/>
                <w:sz w:val="24"/>
              </w:rPr>
              <w:t>esposizione dedotto dai fondi propri.</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344D287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Articolo 254, paragrafo 1, lettera a), del regolamento (UE) n. 575/2013</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521D0B">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0220-0260</w:t>
            </w:r>
          </w:p>
        </w:tc>
        <w:tc>
          <w:tcPr>
            <w:tcW w:w="7436" w:type="dxa"/>
          </w:tcPr>
          <w:p w14:paraId="58174263" w14:textId="77777777" w:rsidR="00933ADA" w:rsidRPr="002A677E" w:rsidRDefault="00933ADA" w:rsidP="00521D0B">
            <w:pPr>
              <w:keepNext/>
              <w:spacing w:before="0" w:after="0"/>
              <w:jc w:val="left"/>
              <w:rPr>
                <w:rFonts w:ascii="Times New Roman" w:hAnsi="Times New Roman"/>
                <w:b/>
                <w:sz w:val="24"/>
                <w:u w:val="single"/>
              </w:rPr>
            </w:pPr>
            <w:r>
              <w:rPr>
                <w:rFonts w:ascii="Times New Roman" w:hAnsi="Times New Roman"/>
                <w:b/>
                <w:sz w:val="24"/>
                <w:u w:val="single"/>
              </w:rPr>
              <w:t>RIPARTIZIONE PER FASCIA DI RW</w:t>
            </w:r>
          </w:p>
          <w:p w14:paraId="0F5AA769" w14:textId="77777777" w:rsidR="00933ADA" w:rsidRPr="002A677E" w:rsidRDefault="00933ADA" w:rsidP="00521D0B">
            <w:pPr>
              <w:keepNext/>
              <w:spacing w:before="0" w:after="0"/>
              <w:jc w:val="left"/>
              <w:rPr>
                <w:rFonts w:ascii="Times New Roman" w:hAnsi="Times New Roman"/>
                <w:sz w:val="24"/>
              </w:rPr>
            </w:pPr>
          </w:p>
          <w:p w14:paraId="23D519A6" w14:textId="77777777" w:rsidR="00933ADA" w:rsidRPr="002A677E" w:rsidRDefault="00933ADA" w:rsidP="00521D0B">
            <w:pPr>
              <w:keepNext/>
              <w:spacing w:before="0" w:after="0"/>
              <w:jc w:val="left"/>
              <w:rPr>
                <w:rFonts w:ascii="Times New Roman" w:hAnsi="Times New Roman"/>
                <w:sz w:val="24"/>
              </w:rPr>
            </w:pPr>
            <w:r>
              <w:rPr>
                <w:rFonts w:ascii="Times New Roman" w:hAnsi="Times New Roman"/>
                <w:sz w:val="24"/>
              </w:rPr>
              <w:t>Esposizioni cui è applicato il SEC-IRBA ripartite per fasce di ponderazione del rischio.</w:t>
            </w:r>
          </w:p>
          <w:p w14:paraId="4145B91D" w14:textId="77777777" w:rsidR="00933ADA" w:rsidRPr="002A677E" w:rsidRDefault="00933ADA" w:rsidP="00521D0B">
            <w:pPr>
              <w:keepNext/>
              <w:spacing w:before="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543A13B5" w14:textId="42682F6B"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DI CUI: CALCOLATE A NORMA DELL</w:t>
            </w:r>
            <w:r w:rsidR="00521D0B">
              <w:rPr>
                <w:rFonts w:ascii="Times New Roman" w:hAnsi="Times New Roman"/>
                <w:b/>
                <w:sz w:val="24"/>
                <w:u w:val="single"/>
              </w:rPr>
              <w:t>'</w:t>
            </w:r>
            <w:r>
              <w:rPr>
                <w:rFonts w:ascii="Times New Roman" w:hAnsi="Times New Roman"/>
                <w:b/>
                <w:sz w:val="24"/>
                <w:u w:val="single"/>
              </w:rPr>
              <w:t xml:space="preserve">ARTICOLO 255, PARAGRAFO 4 (CREDITI COMMERCIALI ACQUISTATI)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Articolo 255, paragrafo 4, del regolamento (UE) n. 575/2013</w:t>
            </w:r>
          </w:p>
          <w:p w14:paraId="0456A57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0B15FF0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Ai fini di questa colonna le esposizioni al dettaglio sono trattate come crediti al dettaglio acquistati e le esposizioni verso imprese come crediti verso imprese acquistati.</w:t>
            </w:r>
          </w:p>
          <w:p w14:paraId="65E65A21" w14:textId="77777777" w:rsidR="00933ADA" w:rsidRPr="002A677E" w:rsidRDefault="00933ADA" w:rsidP="00521D0B">
            <w:pPr>
              <w:spacing w:before="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5F444F6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SEC-SA</w:t>
            </w:r>
          </w:p>
          <w:p w14:paraId="5AA7B7BA" w14:textId="77777777" w:rsidR="00933ADA" w:rsidRPr="00521D0B" w:rsidRDefault="00933ADA" w:rsidP="00822842">
            <w:pPr>
              <w:spacing w:before="0" w:after="0"/>
              <w:jc w:val="left"/>
              <w:rPr>
                <w:rFonts w:ascii="Times New Roman" w:hAnsi="Times New Roman"/>
                <w:b/>
                <w:sz w:val="24"/>
                <w:u w:val="single"/>
              </w:rPr>
            </w:pPr>
          </w:p>
          <w:p w14:paraId="6F403E1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Articolo 254, paragrafo 1, lettera b), del regolamento (UE) n. 575/2013</w:t>
            </w:r>
          </w:p>
          <w:p w14:paraId="0E9A4123" w14:textId="77777777" w:rsidR="00933ADA" w:rsidRPr="00521D0B" w:rsidRDefault="00933ADA" w:rsidP="00521D0B">
            <w:pPr>
              <w:spacing w:before="0"/>
              <w:jc w:val="left"/>
              <w:rPr>
                <w:rFonts w:ascii="Times New Roman" w:hAnsi="Times New Roman"/>
                <w:sz w:val="24"/>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27C847E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RIPARTIZIONE PER FASCIA DI RW</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Esposizioni cui è applicato il SEC-SA ripartite per fasce di ponderazione del rischio.</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5CD9810A" w:rsidR="00933ADA" w:rsidRPr="002A677E" w:rsidRDefault="00933ADA" w:rsidP="00822842">
            <w:pPr>
              <w:spacing w:before="0" w:after="0"/>
              <w:jc w:val="left"/>
              <w:rPr>
                <w:rFonts w:ascii="Times New Roman" w:hAnsi="Times New Roman"/>
                <w:sz w:val="24"/>
              </w:rPr>
            </w:pPr>
            <w:r>
              <w:rPr>
                <w:rFonts w:ascii="Times New Roman" w:hAnsi="Times New Roman"/>
                <w:sz w:val="24"/>
              </w:rPr>
              <w:t>Per RW = 1 250 % (W ignoto), l</w:t>
            </w:r>
            <w:r w:rsidR="00521D0B">
              <w:rPr>
                <w:rFonts w:ascii="Times New Roman" w:hAnsi="Times New Roman"/>
                <w:sz w:val="24"/>
              </w:rPr>
              <w:t>'</w:t>
            </w:r>
            <w:r>
              <w:rPr>
                <w:rFonts w:ascii="Times New Roman" w:hAnsi="Times New Roman"/>
                <w:sz w:val="24"/>
              </w:rPr>
              <w:t>articolo 261, paragrafo 2, lettera b), quarto comma, del regolamento (UE) n. 575/2013 prevede che la posizione nella cartolarizzazione sia ponderata per il 1 250 % laddove l</w:t>
            </w:r>
            <w:r w:rsidR="00521D0B">
              <w:rPr>
                <w:rFonts w:ascii="Times New Roman" w:hAnsi="Times New Roman"/>
                <w:sz w:val="24"/>
              </w:rPr>
              <w:t>'</w:t>
            </w:r>
            <w:r>
              <w:rPr>
                <w:rFonts w:ascii="Times New Roman" w:hAnsi="Times New Roman"/>
                <w:sz w:val="24"/>
              </w:rPr>
              <w:t>ente non conosca lo status di morosità per più del 5 % delle esposizioni sottostanti nel portafoglio.</w:t>
            </w:r>
          </w:p>
          <w:p w14:paraId="734BD190" w14:textId="77777777" w:rsidR="00933ADA" w:rsidRPr="002A677E" w:rsidRDefault="00933ADA" w:rsidP="00521D0B">
            <w:pPr>
              <w:spacing w:before="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25BDDA47"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Articolo 254, paragrafo 1, lettera c), del regolamento (UE) n. 575/2013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7C1D69BB"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RIPARTIZIONE PER CLASSE DI MERITO DI CREDITO (CLASSI DI MERITO DI CREDITO A BREVE/LUNGO TERMINE)</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rFonts w:ascii="Times New Roman" w:hAnsi="Times New Roman"/>
                <w:sz w:val="24"/>
              </w:rPr>
            </w:pPr>
            <w:r>
              <w:rPr>
                <w:rFonts w:ascii="Times New Roman" w:hAnsi="Times New Roman"/>
                <w:sz w:val="24"/>
              </w:rPr>
              <w:t>Articolo 263 del regolamento (UE) n. 575/2013</w:t>
            </w:r>
          </w:p>
          <w:p w14:paraId="56E45578" w14:textId="77777777" w:rsidR="00933ADA" w:rsidRPr="002A677E" w:rsidRDefault="00933ADA" w:rsidP="00822842">
            <w:pPr>
              <w:spacing w:before="0" w:after="0"/>
              <w:rPr>
                <w:rFonts w:ascii="Times New Roman" w:hAnsi="Times New Roman"/>
                <w:sz w:val="24"/>
              </w:rPr>
            </w:pPr>
          </w:p>
          <w:p w14:paraId="10AFB17E" w14:textId="4B240AE7" w:rsidR="00933ADA" w:rsidRPr="002A677E" w:rsidRDefault="00933ADA" w:rsidP="00822842">
            <w:pPr>
              <w:spacing w:before="0" w:after="0"/>
              <w:rPr>
                <w:rFonts w:ascii="Times New Roman" w:hAnsi="Times New Roman"/>
                <w:sz w:val="24"/>
              </w:rPr>
            </w:pPr>
            <w:r>
              <w:rPr>
                <w:rFonts w:ascii="Times New Roman" w:hAnsi="Times New Roman"/>
                <w:sz w:val="24"/>
              </w:rPr>
              <w:t>Le posizioni verso la cartolarizzazione cui è applicato il SEC-ERBA con un rating desunto di cui all</w:t>
            </w:r>
            <w:r w:rsidR="00521D0B">
              <w:rPr>
                <w:rFonts w:ascii="Times New Roman" w:hAnsi="Times New Roman"/>
                <w:sz w:val="24"/>
              </w:rPr>
              <w:t>'</w:t>
            </w:r>
            <w:r>
              <w:rPr>
                <w:rFonts w:ascii="Times New Roman" w:hAnsi="Times New Roman"/>
                <w:sz w:val="24"/>
              </w:rPr>
              <w:t>articolo 254, paragrafo 2, del regolamento (UE) n.</w:t>
            </w:r>
            <w:r w:rsidR="00521D0B">
              <w:rPr>
                <w:rFonts w:ascii="Times New Roman" w:hAnsi="Times New Roman"/>
                <w:sz w:val="24"/>
              </w:rPr>
              <w:t> </w:t>
            </w:r>
            <w:r>
              <w:rPr>
                <w:rFonts w:ascii="Times New Roman" w:hAnsi="Times New Roman"/>
                <w:sz w:val="24"/>
              </w:rPr>
              <w:t>575/2013 sono segnalate come posizioni provviste di rating.</w:t>
            </w:r>
          </w:p>
          <w:p w14:paraId="3F38DA88" w14:textId="77777777" w:rsidR="00933ADA" w:rsidRPr="002A677E" w:rsidRDefault="00933ADA" w:rsidP="00822842">
            <w:pPr>
              <w:spacing w:before="0" w:after="0"/>
              <w:rPr>
                <w:rFonts w:ascii="Times New Roman" w:hAnsi="Times New Roman"/>
                <w:sz w:val="24"/>
              </w:rPr>
            </w:pPr>
          </w:p>
          <w:p w14:paraId="0324703F" w14:textId="006AD62A"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 valori delle esposizioni soggetti a ponderazione del rischio sono ripartiti in funzione del termine breve o lungo e delle classi di merito di credito come previsto alle tabelle 1 e 2 dell</w:t>
            </w:r>
            <w:r w:rsidR="00521D0B">
              <w:rPr>
                <w:rFonts w:ascii="Times New Roman" w:hAnsi="Times New Roman"/>
                <w:sz w:val="24"/>
              </w:rPr>
              <w:t>'</w:t>
            </w:r>
            <w:r>
              <w:rPr>
                <w:rFonts w:ascii="Times New Roman" w:hAnsi="Times New Roman"/>
                <w:sz w:val="24"/>
              </w:rPr>
              <w:t>articolo 263 e alle tabelle 3 e 4 dell</w:t>
            </w:r>
            <w:r w:rsidR="00521D0B">
              <w:rPr>
                <w:rFonts w:ascii="Times New Roman" w:hAnsi="Times New Roman"/>
                <w:sz w:val="24"/>
              </w:rPr>
              <w:t>'</w:t>
            </w:r>
            <w:r>
              <w:rPr>
                <w:rFonts w:ascii="Times New Roman" w:hAnsi="Times New Roman"/>
                <w:sz w:val="24"/>
              </w:rPr>
              <w:t>articolo</w:t>
            </w:r>
            <w:r w:rsidR="00521D0B">
              <w:rPr>
                <w:rFonts w:ascii="Times New Roman" w:hAnsi="Times New Roman"/>
                <w:sz w:val="24"/>
              </w:rPr>
              <w:t> </w:t>
            </w:r>
            <w:r>
              <w:rPr>
                <w:rFonts w:ascii="Times New Roman" w:hAnsi="Times New Roman"/>
                <w:sz w:val="24"/>
              </w:rPr>
              <w:t xml:space="preserve">264 del regolamento (UE) n. 575/2013.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0580-0630</w:t>
            </w:r>
          </w:p>
        </w:tc>
        <w:tc>
          <w:tcPr>
            <w:tcW w:w="7436" w:type="dxa"/>
          </w:tcPr>
          <w:p w14:paraId="14F9F73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RIPARTIZIONE PER MOTIVO DI APPLICAZIONE DEL SEC-ERBA</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rFonts w:ascii="Times New Roman" w:hAnsi="Times New Roman"/>
                <w:sz w:val="24"/>
              </w:rPr>
            </w:pPr>
            <w:r>
              <w:rPr>
                <w:rFonts w:ascii="Times New Roman" w:hAnsi="Times New Roman"/>
                <w:sz w:val="24"/>
              </w:rPr>
              <w:t>Per ciascuna posizione verso la cartolarizzazione gli enti considerano una delle opzioni seguenti nelle colonne 0580-0620.</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44812E5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PRESTITI PER VEICOLI, LEASING AUTO E STRUMENTALI</w:t>
            </w:r>
          </w:p>
          <w:p w14:paraId="2ADAA315" w14:textId="77777777" w:rsidR="00933ADA" w:rsidRPr="002A677E" w:rsidRDefault="00933ADA" w:rsidP="00822842">
            <w:pPr>
              <w:spacing w:before="0" w:after="0"/>
              <w:rPr>
                <w:rFonts w:ascii="Times New Roman" w:hAnsi="Times New Roman"/>
                <w:b/>
                <w:sz w:val="24"/>
                <w:u w:val="single"/>
              </w:rPr>
            </w:pPr>
          </w:p>
          <w:p w14:paraId="20AF2550" w14:textId="639AE480" w:rsidR="00933ADA" w:rsidRPr="002A677E" w:rsidRDefault="00933ADA" w:rsidP="00822842">
            <w:pPr>
              <w:spacing w:before="0" w:after="0"/>
              <w:rPr>
                <w:rFonts w:ascii="Times New Roman" w:hAnsi="Times New Roman"/>
                <w:sz w:val="24"/>
              </w:rPr>
            </w:pPr>
            <w:r>
              <w:rPr>
                <w:rFonts w:ascii="Times New Roman" w:hAnsi="Times New Roman"/>
                <w:sz w:val="24"/>
              </w:rPr>
              <w:t xml:space="preserve">Articolo 254, paragrafo 2, lettera c), del regolamento (UE) n. 575/2013 </w:t>
            </w:r>
          </w:p>
          <w:p w14:paraId="7A3728E1" w14:textId="77777777" w:rsidR="00933ADA" w:rsidRPr="002A677E" w:rsidRDefault="00933ADA" w:rsidP="00822842">
            <w:pPr>
              <w:spacing w:before="0" w:after="0"/>
              <w:rPr>
                <w:rFonts w:ascii="Times New Roman" w:hAnsi="Times New Roman"/>
                <w:sz w:val="24"/>
              </w:rPr>
            </w:pPr>
          </w:p>
          <w:p w14:paraId="31283022" w14:textId="40D32B09" w:rsidR="00933ADA" w:rsidRPr="002A677E" w:rsidRDefault="00933ADA" w:rsidP="00822842">
            <w:pPr>
              <w:spacing w:before="0" w:after="0"/>
              <w:rPr>
                <w:rFonts w:ascii="Times New Roman" w:hAnsi="Times New Roman"/>
                <w:b/>
                <w:sz w:val="24"/>
                <w:u w:val="single"/>
              </w:rPr>
            </w:pPr>
            <w:r>
              <w:rPr>
                <w:rFonts w:ascii="Times New Roman" w:hAnsi="Times New Roman"/>
                <w:sz w:val="24"/>
              </w:rPr>
              <w:t>Tutti i prestiti per veicoli, leasing auto e strumentali sono segnalati in questa colonna, anche se rientrano nell</w:t>
            </w:r>
            <w:r w:rsidR="00521D0B">
              <w:rPr>
                <w:rFonts w:ascii="Times New Roman" w:hAnsi="Times New Roman"/>
                <w:sz w:val="24"/>
              </w:rPr>
              <w:t>'</w:t>
            </w:r>
            <w:r>
              <w:rPr>
                <w:rFonts w:ascii="Times New Roman" w:hAnsi="Times New Roman"/>
                <w:sz w:val="24"/>
              </w:rPr>
              <w:t>ambito di applicazione dell</w:t>
            </w:r>
            <w:r w:rsidR="00521D0B">
              <w:rPr>
                <w:rFonts w:ascii="Times New Roman" w:hAnsi="Times New Roman"/>
                <w:sz w:val="24"/>
              </w:rPr>
              <w:t>'</w:t>
            </w:r>
            <w:r>
              <w:rPr>
                <w:rFonts w:ascii="Times New Roman" w:hAnsi="Times New Roman"/>
                <w:sz w:val="24"/>
              </w:rPr>
              <w:t>articolo 254, paragrafo 2, lettera a) o b), del regolamento (UE) n. 575/2013.</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5A7A8AD" w14:textId="77777777" w:rsidR="00933ADA" w:rsidRPr="00B44FD0" w:rsidRDefault="00933ADA" w:rsidP="00822842">
            <w:pPr>
              <w:spacing w:before="0" w:after="0"/>
              <w:rPr>
                <w:rFonts w:ascii="Times New Roman" w:hAnsi="Times New Roman"/>
                <w:b/>
                <w:sz w:val="24"/>
                <w:u w:val="single"/>
              </w:rPr>
            </w:pPr>
            <w:r>
              <w:rPr>
                <w:rFonts w:ascii="Times New Roman" w:hAnsi="Times New Roman"/>
                <w:b/>
                <w:sz w:val="24"/>
                <w:u w:val="single"/>
              </w:rPr>
              <w:t>OPZIONE SEC-ERBA</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rFonts w:ascii="Times New Roman" w:hAnsi="Times New Roman"/>
                <w:sz w:val="24"/>
              </w:rPr>
            </w:pPr>
            <w:r>
              <w:rPr>
                <w:rFonts w:ascii="Times New Roman" w:hAnsi="Times New Roman"/>
                <w:sz w:val="24"/>
              </w:rPr>
              <w:t>Articolo 254, paragrafo 3, del regolamento (UE) n. 575/2013</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59D79D59" w14:textId="696ECF56"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POSIZIONI SOGGETTE ALL</w:t>
            </w:r>
            <w:r w:rsidR="00521D0B">
              <w:rPr>
                <w:rFonts w:ascii="Times New Roman" w:hAnsi="Times New Roman"/>
                <w:b/>
                <w:sz w:val="24"/>
                <w:u w:val="single"/>
              </w:rPr>
              <w:t>'</w:t>
            </w:r>
            <w:r>
              <w:rPr>
                <w:rFonts w:ascii="Times New Roman" w:hAnsi="Times New Roman"/>
                <w:b/>
                <w:sz w:val="24"/>
                <w:u w:val="single"/>
              </w:rPr>
              <w:t>ARTICOLO 254, PARAGRAFO 2, LETTERA A), DEL REGOLAMENTO (UE) N. 575/2013</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rFonts w:ascii="Times New Roman" w:hAnsi="Times New Roman"/>
                <w:sz w:val="24"/>
              </w:rPr>
            </w:pPr>
            <w:r>
              <w:rPr>
                <w:rFonts w:ascii="Times New Roman" w:hAnsi="Times New Roman"/>
                <w:sz w:val="24"/>
              </w:rPr>
              <w:t>Articolo 254, paragrafo 2, lettera a), del regolamento (UE) n. 575/2013</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28D146AD" w14:textId="51F42004"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POSIZIONI SOGGETTE ALL</w:t>
            </w:r>
            <w:r w:rsidR="00521D0B">
              <w:rPr>
                <w:rFonts w:ascii="Times New Roman" w:hAnsi="Times New Roman"/>
                <w:b/>
                <w:sz w:val="24"/>
                <w:u w:val="single"/>
              </w:rPr>
              <w:t>'</w:t>
            </w:r>
            <w:r>
              <w:rPr>
                <w:rFonts w:ascii="Times New Roman" w:hAnsi="Times New Roman"/>
                <w:b/>
                <w:sz w:val="24"/>
                <w:u w:val="single"/>
              </w:rPr>
              <w:t xml:space="preserve">ARTICOLO 254, PARAGRAFO 2, LETTERA B), DEL REGOLAMENTO (UE) N. 575/2013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rFonts w:ascii="Times New Roman" w:hAnsi="Times New Roman"/>
                <w:sz w:val="24"/>
              </w:rPr>
            </w:pPr>
            <w:r>
              <w:rPr>
                <w:rFonts w:ascii="Times New Roman" w:hAnsi="Times New Roman"/>
                <w:sz w:val="24"/>
              </w:rPr>
              <w:t>Articolo 254, paragrafo 2, lettera b), del regolamento (UE) n. 575/2013</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1F4F1B35" w14:textId="69BBA1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POSIZIONI SOGGETTE ALL</w:t>
            </w:r>
            <w:r w:rsidR="00521D0B">
              <w:rPr>
                <w:rFonts w:ascii="Times New Roman" w:hAnsi="Times New Roman"/>
                <w:b/>
                <w:sz w:val="24"/>
                <w:u w:val="single"/>
              </w:rPr>
              <w:t>'</w:t>
            </w:r>
            <w:r>
              <w:rPr>
                <w:rFonts w:ascii="Times New Roman" w:hAnsi="Times New Roman"/>
                <w:b/>
                <w:sz w:val="24"/>
                <w:u w:val="single"/>
              </w:rPr>
              <w:t>ARTICOLO 254, PARAGRAFO 4, O ALL</w:t>
            </w:r>
            <w:r w:rsidR="00521D0B">
              <w:rPr>
                <w:rFonts w:ascii="Times New Roman" w:hAnsi="Times New Roman"/>
                <w:b/>
                <w:sz w:val="24"/>
                <w:u w:val="single"/>
              </w:rPr>
              <w:t>'</w:t>
            </w:r>
            <w:r>
              <w:rPr>
                <w:rFonts w:ascii="Times New Roman" w:hAnsi="Times New Roman"/>
                <w:b/>
                <w:sz w:val="24"/>
                <w:u w:val="single"/>
              </w:rPr>
              <w:t>ARTICOLO 258, PARAGRAFO 2, DEL REGOLAMENTO (UE) N. 575/2013</w:t>
            </w:r>
          </w:p>
          <w:p w14:paraId="38D391A0" w14:textId="77777777" w:rsidR="00933ADA" w:rsidRPr="002A677E" w:rsidRDefault="00933ADA" w:rsidP="00822842">
            <w:pPr>
              <w:spacing w:before="0" w:after="0"/>
              <w:rPr>
                <w:rFonts w:ascii="Times New Roman" w:hAnsi="Times New Roman"/>
                <w:sz w:val="24"/>
              </w:rPr>
            </w:pPr>
          </w:p>
          <w:p w14:paraId="27868B02" w14:textId="269D193C" w:rsidR="00933ADA" w:rsidRPr="002A677E" w:rsidRDefault="00933ADA" w:rsidP="00822842">
            <w:pPr>
              <w:spacing w:before="0" w:after="0"/>
              <w:rPr>
                <w:rFonts w:ascii="Times New Roman" w:hAnsi="Times New Roman"/>
                <w:sz w:val="24"/>
              </w:rPr>
            </w:pPr>
            <w:r>
              <w:rPr>
                <w:rFonts w:ascii="Times New Roman" w:hAnsi="Times New Roman"/>
                <w:sz w:val="24"/>
              </w:rPr>
              <w:t>Le posizioni verso la cartolarizzazione soggette al SEC-ERBA, quando l</w:t>
            </w:r>
            <w:r w:rsidR="00521D0B">
              <w:rPr>
                <w:rFonts w:ascii="Times New Roman" w:hAnsi="Times New Roman"/>
                <w:sz w:val="24"/>
              </w:rPr>
              <w:t>'</w:t>
            </w:r>
            <w:r>
              <w:rPr>
                <w:rFonts w:ascii="Times New Roman" w:hAnsi="Times New Roman"/>
                <w:sz w:val="24"/>
              </w:rPr>
              <w:t>applicazione del SEC-IRBA o del SEC-SA è stata esclusa dalle autorità competenti a norma dell</w:t>
            </w:r>
            <w:r w:rsidR="00521D0B">
              <w:rPr>
                <w:rFonts w:ascii="Times New Roman" w:hAnsi="Times New Roman"/>
                <w:sz w:val="24"/>
              </w:rPr>
              <w:t>'</w:t>
            </w:r>
            <w:r>
              <w:rPr>
                <w:rFonts w:ascii="Times New Roman" w:hAnsi="Times New Roman"/>
                <w:sz w:val="24"/>
              </w:rPr>
              <w:t>articolo 254, paragrafo 4, o dell</w:t>
            </w:r>
            <w:r w:rsidR="00521D0B">
              <w:rPr>
                <w:rFonts w:ascii="Times New Roman" w:hAnsi="Times New Roman"/>
                <w:sz w:val="24"/>
              </w:rPr>
              <w:t>'</w:t>
            </w:r>
            <w:r>
              <w:rPr>
                <w:rFonts w:ascii="Times New Roman" w:hAnsi="Times New Roman"/>
                <w:sz w:val="24"/>
              </w:rPr>
              <w:t>articolo 258, paragrafo 2, del regolamento (UE) n. 575/2013</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3D9A94B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IN BASE ALLA GERARCHIA DEI METODI </w:t>
            </w:r>
          </w:p>
          <w:p w14:paraId="6E490CE5" w14:textId="77777777" w:rsidR="00933ADA" w:rsidRPr="002A677E" w:rsidRDefault="00933ADA" w:rsidP="00822842">
            <w:pPr>
              <w:spacing w:before="0" w:after="0"/>
              <w:rPr>
                <w:rFonts w:ascii="Times New Roman" w:hAnsi="Times New Roman"/>
                <w:b/>
                <w:sz w:val="24"/>
                <w:u w:val="single"/>
              </w:rPr>
            </w:pPr>
          </w:p>
          <w:p w14:paraId="03809F29" w14:textId="1F6DCD32" w:rsidR="00933ADA" w:rsidRPr="002A677E" w:rsidRDefault="00933ADA" w:rsidP="00822842">
            <w:pPr>
              <w:spacing w:before="0" w:after="0"/>
              <w:rPr>
                <w:rFonts w:ascii="Times New Roman" w:hAnsi="Times New Roman"/>
                <w:sz w:val="24"/>
              </w:rPr>
            </w:pPr>
            <w:r>
              <w:rPr>
                <w:rFonts w:ascii="Times New Roman" w:hAnsi="Times New Roman"/>
                <w:sz w:val="24"/>
              </w:rPr>
              <w:t>Posizioni verso la cartolarizzazione cui è applicato il SEC-ERBA secondo la gerarchia dei metodi di cui all</w:t>
            </w:r>
            <w:r w:rsidR="00521D0B">
              <w:rPr>
                <w:rFonts w:ascii="Times New Roman" w:hAnsi="Times New Roman"/>
                <w:sz w:val="24"/>
              </w:rPr>
              <w:t>'</w:t>
            </w:r>
            <w:r>
              <w:rPr>
                <w:rFonts w:ascii="Times New Roman" w:hAnsi="Times New Roman"/>
                <w:sz w:val="24"/>
              </w:rPr>
              <w:t>articolo 254, paragrafo 1, del regolamento (UE) n. 575/2013</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131F94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METODO DELLA VALUTAZIONE INTERNA</w:t>
            </w:r>
          </w:p>
          <w:p w14:paraId="6533D6A7" w14:textId="77777777" w:rsidR="00933ADA" w:rsidRPr="002A677E" w:rsidRDefault="00933ADA" w:rsidP="00822842">
            <w:pPr>
              <w:spacing w:before="0" w:after="0"/>
              <w:jc w:val="left"/>
              <w:rPr>
                <w:rFonts w:ascii="Times New Roman" w:hAnsi="Times New Roman"/>
                <w:sz w:val="24"/>
              </w:rPr>
            </w:pPr>
          </w:p>
          <w:p w14:paraId="10BEACAC" w14:textId="25C833C8" w:rsidR="00933ADA" w:rsidRPr="002A677E" w:rsidRDefault="00933ADA" w:rsidP="00822842">
            <w:pPr>
              <w:spacing w:before="0" w:after="0"/>
              <w:rPr>
                <w:rFonts w:ascii="Times New Roman" w:hAnsi="Times New Roman"/>
                <w:sz w:val="24"/>
              </w:rPr>
            </w:pPr>
            <w:r>
              <w:rPr>
                <w:rFonts w:ascii="Times New Roman" w:hAnsi="Times New Roman"/>
                <w:sz w:val="24"/>
              </w:rPr>
              <w:t xml:space="preserve">Articolo 254, paragrafo 5, </w:t>
            </w:r>
            <w:bookmarkStart w:id="4" w:name="_Hlk73564575"/>
            <w:r>
              <w:rPr>
                <w:rFonts w:ascii="Times New Roman" w:hAnsi="Times New Roman"/>
                <w:sz w:val="24"/>
              </w:rPr>
              <w:t>del regolamento (UE) n. 575/2013</w:t>
            </w:r>
            <w:bookmarkEnd w:id="4"/>
            <w:r>
              <w:rPr>
                <w:rFonts w:ascii="Times New Roman" w:hAnsi="Times New Roman"/>
                <w:sz w:val="24"/>
              </w:rPr>
              <w:t xml:space="preserve"> riguardante l</w:t>
            </w:r>
            <w:r w:rsidR="00521D0B">
              <w:rPr>
                <w:rFonts w:ascii="Times New Roman" w:hAnsi="Times New Roman"/>
                <w:sz w:val="24"/>
              </w:rPr>
              <w:t>'</w:t>
            </w:r>
            <w:r>
              <w:rPr>
                <w:rFonts w:ascii="Times New Roman" w:hAnsi="Times New Roman"/>
                <w:sz w:val="24"/>
              </w:rPr>
              <w:t>applicazione del metodo della valutazione interna (IAA) per le posizioni in programmi ABCP</w:t>
            </w:r>
            <w:r>
              <w:t>.</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521D0B">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0650-0690</w:t>
            </w:r>
          </w:p>
        </w:tc>
        <w:tc>
          <w:tcPr>
            <w:tcW w:w="7436" w:type="dxa"/>
          </w:tcPr>
          <w:p w14:paraId="23BEC564" w14:textId="77777777" w:rsidR="00933ADA" w:rsidRPr="002A677E" w:rsidRDefault="00933ADA" w:rsidP="00521D0B">
            <w:pPr>
              <w:keepNext/>
              <w:spacing w:before="0" w:after="0"/>
              <w:jc w:val="left"/>
              <w:rPr>
                <w:rFonts w:ascii="Times New Roman" w:hAnsi="Times New Roman"/>
                <w:b/>
                <w:sz w:val="24"/>
                <w:u w:val="single"/>
              </w:rPr>
            </w:pPr>
            <w:r>
              <w:rPr>
                <w:rFonts w:ascii="Times New Roman" w:hAnsi="Times New Roman"/>
                <w:b/>
                <w:sz w:val="24"/>
                <w:u w:val="single"/>
              </w:rPr>
              <w:t>RIPARTIZIONE PER FASCIA DI RW</w:t>
            </w:r>
          </w:p>
          <w:p w14:paraId="68A74453" w14:textId="77777777" w:rsidR="00933ADA" w:rsidRPr="002A677E" w:rsidRDefault="00933ADA" w:rsidP="00521D0B">
            <w:pPr>
              <w:keepNext/>
              <w:spacing w:before="0" w:after="0"/>
              <w:jc w:val="left"/>
              <w:rPr>
                <w:rFonts w:ascii="Times New Roman" w:hAnsi="Times New Roman"/>
                <w:sz w:val="24"/>
              </w:rPr>
            </w:pPr>
          </w:p>
          <w:p w14:paraId="73F50A6D" w14:textId="77777777" w:rsidR="00933ADA" w:rsidRPr="002A677E" w:rsidRDefault="00933ADA" w:rsidP="00521D0B">
            <w:pPr>
              <w:keepNext/>
              <w:spacing w:before="0" w:after="0"/>
              <w:jc w:val="left"/>
              <w:rPr>
                <w:rFonts w:ascii="Times New Roman" w:hAnsi="Times New Roman"/>
                <w:sz w:val="24"/>
              </w:rPr>
            </w:pPr>
            <w:r>
              <w:rPr>
                <w:rFonts w:ascii="Times New Roman" w:hAnsi="Times New Roman"/>
                <w:sz w:val="24"/>
              </w:rPr>
              <w:t>Esposizioni cui è applicato il metodo della valutazione interna ripartite per fasce di ponderazione del rischio</w:t>
            </w:r>
          </w:p>
          <w:p w14:paraId="1A9DF57B" w14:textId="77777777" w:rsidR="00933ADA" w:rsidRPr="00521D0B" w:rsidRDefault="00933ADA" w:rsidP="00521D0B">
            <w:pPr>
              <w:keepNext/>
              <w:spacing w:before="0" w:after="0"/>
              <w:jc w:val="left"/>
              <w:rPr>
                <w:rFonts w:ascii="Times New Roman" w:hAnsi="Times New Roman"/>
                <w:b/>
                <w:szCs w:val="20"/>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3894845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TRATTAMENTO SPECIFICO PER I SEGMENTI SENIOR DELLE CARTOLARIZZAZIONI AMMISSIBILI DI ESPOSIZIONI DETERIORATE </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Articolo 269 bis, paragrafo 3, del regolamento (UE) n. 575/2013</w:t>
            </w:r>
          </w:p>
          <w:p w14:paraId="5094867A" w14:textId="77777777" w:rsidR="00933ADA" w:rsidRPr="00521D0B" w:rsidRDefault="00933ADA" w:rsidP="00822842">
            <w:pPr>
              <w:spacing w:before="0" w:after="0"/>
              <w:jc w:val="left"/>
              <w:rPr>
                <w:rFonts w:ascii="Times New Roman" w:hAnsi="Times New Roman"/>
                <w:b/>
                <w:sz w:val="22"/>
                <w:szCs w:val="22"/>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4553490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ALTRO (RW = 1 250 %)</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554A6181" w:rsidR="00933ADA" w:rsidRPr="002A677E" w:rsidRDefault="00933ADA" w:rsidP="00822842">
            <w:pPr>
              <w:spacing w:before="0" w:after="0"/>
              <w:jc w:val="left"/>
              <w:rPr>
                <w:rFonts w:ascii="Times New Roman" w:hAnsi="Times New Roman"/>
                <w:sz w:val="24"/>
              </w:rPr>
            </w:pPr>
            <w:r>
              <w:rPr>
                <w:rFonts w:ascii="Times New Roman" w:hAnsi="Times New Roman"/>
                <w:sz w:val="24"/>
              </w:rPr>
              <w:t>Se non viene applicato nessuno dei metodi precedenti, alle posizioni verso la cartolarizzazione è attribuito un fattore di ponderazione del rischio del 1 250 % conformemente all</w:t>
            </w:r>
            <w:r w:rsidR="00521D0B">
              <w:rPr>
                <w:rFonts w:ascii="Times New Roman" w:hAnsi="Times New Roman"/>
                <w:sz w:val="24"/>
              </w:rPr>
              <w:t>'</w:t>
            </w:r>
            <w:r>
              <w:rPr>
                <w:rFonts w:ascii="Times New Roman" w:hAnsi="Times New Roman"/>
                <w:sz w:val="24"/>
              </w:rPr>
              <w:t>articolo 254, paragrafo 7, del regolamento (UE) n. 575/2013.</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7A263DB4" w14:textId="7D3F6398"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IMPORTO DELL</w:t>
            </w:r>
            <w:r w:rsidR="00521D0B">
              <w:rPr>
                <w:rFonts w:ascii="Times New Roman" w:hAnsi="Times New Roman"/>
                <w:b/>
                <w:sz w:val="24"/>
                <w:u w:val="single"/>
              </w:rPr>
              <w:t>'</w:t>
            </w:r>
            <w:r>
              <w:rPr>
                <w:rFonts w:ascii="Times New Roman" w:hAnsi="Times New Roman"/>
                <w:b/>
                <w:sz w:val="24"/>
                <w:u w:val="single"/>
              </w:rPr>
              <w:t>ESPOSIZIONE PONDERATO PER IL RISCHIO</w:t>
            </w:r>
          </w:p>
          <w:p w14:paraId="281A1F00" w14:textId="77777777" w:rsidR="00933ADA" w:rsidRPr="002A677E" w:rsidRDefault="00933ADA" w:rsidP="00822842">
            <w:pPr>
              <w:spacing w:before="0" w:after="0"/>
              <w:jc w:val="left"/>
              <w:rPr>
                <w:rFonts w:ascii="Times New Roman" w:hAnsi="Times New Roman"/>
                <w:sz w:val="24"/>
              </w:rPr>
            </w:pPr>
          </w:p>
          <w:p w14:paraId="0D23F92D" w14:textId="491E55DC" w:rsidR="00933ADA" w:rsidRPr="002A677E" w:rsidRDefault="00933ADA" w:rsidP="00822842">
            <w:pPr>
              <w:spacing w:before="0" w:after="0"/>
              <w:rPr>
                <w:rFonts w:ascii="Times New Roman" w:hAnsi="Times New Roman"/>
                <w:sz w:val="24"/>
              </w:rPr>
            </w:pPr>
            <w:r>
              <w:rPr>
                <w:rFonts w:ascii="Times New Roman" w:hAnsi="Times New Roman"/>
                <w:sz w:val="24"/>
              </w:rPr>
              <w:t>Importo totale dell</w:t>
            </w:r>
            <w:r w:rsidR="00521D0B">
              <w:rPr>
                <w:rFonts w:ascii="Times New Roman" w:hAnsi="Times New Roman"/>
                <w:sz w:val="24"/>
              </w:rPr>
              <w:t>'</w:t>
            </w:r>
            <w:r>
              <w:rPr>
                <w:rFonts w:ascii="Times New Roman" w:hAnsi="Times New Roman"/>
                <w:sz w:val="24"/>
              </w:rPr>
              <w:t>esposizione ponderato per il rischio calcolato conformemente alla parte tre, titolo II, capo 5, sezione 3, del regolamento (UE) n. 575/2013, prima delle rettifiche dovute a disallineamenti di durata o violazioni delle disposizioni in materia di due diligence, escluso qualsiasi importo dell</w:t>
            </w:r>
            <w:r w:rsidR="00521D0B">
              <w:rPr>
                <w:rFonts w:ascii="Times New Roman" w:hAnsi="Times New Roman"/>
                <w:sz w:val="24"/>
              </w:rPr>
              <w:t>'</w:t>
            </w:r>
            <w:r>
              <w:rPr>
                <w:rFonts w:ascii="Times New Roman" w:hAnsi="Times New Roman"/>
                <w:sz w:val="24"/>
              </w:rPr>
              <w:t xml:space="preserve">esposizione ponderato per il rischio riguardante esposizioni riassegnate a un altro modello mediante deflussi.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DB9E79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IAA: FATTORE DI PONDERAZIONE DEL RISCHIO MEDIO (%)</w:t>
            </w:r>
          </w:p>
          <w:p w14:paraId="1FF62496" w14:textId="77777777" w:rsidR="00933ADA" w:rsidRPr="002A677E" w:rsidRDefault="00933ADA" w:rsidP="00822842">
            <w:pPr>
              <w:spacing w:before="0" w:after="0"/>
              <w:rPr>
                <w:rFonts w:ascii="Times New Roman" w:hAnsi="Times New Roman"/>
                <w:sz w:val="24"/>
              </w:rPr>
            </w:pPr>
          </w:p>
          <w:p w14:paraId="40E63FB8" w14:textId="7E4D2CB1" w:rsidR="00933ADA" w:rsidRPr="002A677E" w:rsidRDefault="00933ADA" w:rsidP="00822842">
            <w:pPr>
              <w:spacing w:before="0" w:after="0"/>
              <w:jc w:val="left"/>
              <w:rPr>
                <w:rFonts w:ascii="Times New Roman" w:hAnsi="Times New Roman"/>
                <w:sz w:val="24"/>
              </w:rPr>
            </w:pPr>
            <w:r>
              <w:rPr>
                <w:rFonts w:ascii="Times New Roman" w:hAnsi="Times New Roman"/>
                <w:sz w:val="24"/>
              </w:rPr>
              <w:t>In questa colonna deve essere indicata la media ponderata per l</w:t>
            </w:r>
            <w:r w:rsidR="00521D0B">
              <w:rPr>
                <w:rFonts w:ascii="Times New Roman" w:hAnsi="Times New Roman"/>
                <w:sz w:val="24"/>
              </w:rPr>
              <w:t>'</w:t>
            </w:r>
            <w:r>
              <w:rPr>
                <w:rFonts w:ascii="Times New Roman" w:hAnsi="Times New Roman"/>
                <w:sz w:val="24"/>
              </w:rPr>
              <w:t>esposizione dei fattori di ponderazione del rischio delle posizioni verso la cartolarizzazione.</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7501B53E" w14:textId="4EE37BA4"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IMPORTO DELL</w:t>
            </w:r>
            <w:r w:rsidR="00521D0B">
              <w:rPr>
                <w:rFonts w:ascii="Times New Roman" w:hAnsi="Times New Roman"/>
                <w:b/>
                <w:sz w:val="24"/>
                <w:u w:val="single"/>
              </w:rPr>
              <w:t>'</w:t>
            </w:r>
            <w:r>
              <w:rPr>
                <w:rFonts w:ascii="Times New Roman" w:hAnsi="Times New Roman"/>
                <w:b/>
                <w:sz w:val="24"/>
                <w:u w:val="single"/>
              </w:rPr>
              <w:t>ESPOSIZIONE PONDERATO PER IL RISCHIO, DI CUI: CARTOLARIZZAZIONI SINTETICHE</w:t>
            </w:r>
          </w:p>
          <w:p w14:paraId="5D931025" w14:textId="77777777" w:rsidR="00933ADA" w:rsidRPr="002A677E" w:rsidRDefault="00933ADA" w:rsidP="00822842">
            <w:pPr>
              <w:spacing w:before="0" w:after="0"/>
              <w:jc w:val="left"/>
              <w:rPr>
                <w:rFonts w:ascii="Times New Roman" w:hAnsi="Times New Roman"/>
                <w:sz w:val="24"/>
              </w:rPr>
            </w:pPr>
          </w:p>
          <w:p w14:paraId="6DDF48C2" w14:textId="2E3F7BAE" w:rsidR="00933ADA" w:rsidRPr="002A677E" w:rsidRDefault="00933ADA" w:rsidP="00822842">
            <w:pPr>
              <w:spacing w:before="0" w:after="0"/>
              <w:rPr>
                <w:rFonts w:ascii="Times New Roman" w:hAnsi="Times New Roman"/>
                <w:sz w:val="24"/>
              </w:rPr>
            </w:pPr>
            <w:r>
              <w:rPr>
                <w:rFonts w:ascii="Times New Roman" w:hAnsi="Times New Roman"/>
                <w:sz w:val="24"/>
              </w:rPr>
              <w:t>Per le cartolarizzazioni sintetiche con disallineamenti di durata, l</w:t>
            </w:r>
            <w:r w:rsidR="00521D0B">
              <w:rPr>
                <w:rFonts w:ascii="Times New Roman" w:hAnsi="Times New Roman"/>
                <w:sz w:val="24"/>
              </w:rPr>
              <w:t>'</w:t>
            </w:r>
            <w:r>
              <w:rPr>
                <w:rFonts w:ascii="Times New Roman" w:hAnsi="Times New Roman"/>
                <w:sz w:val="24"/>
              </w:rPr>
              <w:t>importo da segnalare in questa colonna non tiene conto dei disallineamenti di durata.</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E65633" w14:textId="31D3B2B9"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RETTIFICA DELL</w:t>
            </w:r>
            <w:r w:rsidR="00521D0B">
              <w:rPr>
                <w:rFonts w:ascii="Times New Roman" w:hAnsi="Times New Roman"/>
                <w:b/>
                <w:sz w:val="24"/>
                <w:u w:val="single"/>
              </w:rPr>
              <w:t>'</w:t>
            </w:r>
            <w:r>
              <w:rPr>
                <w:rFonts w:ascii="Times New Roman" w:hAnsi="Times New Roman"/>
                <w:b/>
                <w:sz w:val="24"/>
                <w:u w:val="single"/>
              </w:rPr>
              <w:t>IMPORTO DELLE ESPOSIZIONI PONDERATO PER IL RISCHIO DOVUTA A DISALLINEAMENTI DI DURATA</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3920B659" w14:textId="7ED6F727" w:rsidR="00933ADA" w:rsidRPr="002A677E" w:rsidRDefault="00933ADA" w:rsidP="00822842">
            <w:pPr>
              <w:spacing w:before="0" w:after="0"/>
              <w:rPr>
                <w:rFonts w:ascii="Times New Roman" w:hAnsi="Times New Roman"/>
                <w:sz w:val="24"/>
              </w:rPr>
            </w:pPr>
            <w:r>
              <w:rPr>
                <w:rFonts w:ascii="Times New Roman" w:hAnsi="Times New Roman"/>
                <w:sz w:val="24"/>
              </w:rPr>
              <w:t>Per i disallineamenti di durata nelle cartolarizzazioni sintetiche è incluso RW*-RW(SP), calcolato a norma dell</w:t>
            </w:r>
            <w:r w:rsidR="00521D0B">
              <w:rPr>
                <w:rFonts w:ascii="Times New Roman" w:hAnsi="Times New Roman"/>
                <w:sz w:val="24"/>
              </w:rPr>
              <w:t>'</w:t>
            </w:r>
            <w:r>
              <w:rPr>
                <w:rFonts w:ascii="Times New Roman" w:hAnsi="Times New Roman"/>
                <w:sz w:val="24"/>
              </w:rPr>
              <w:t>articolo 252 del regolamento (UE) n.</w:t>
            </w:r>
            <w:r w:rsidR="00521D0B">
              <w:rPr>
                <w:rFonts w:ascii="Times New Roman" w:hAnsi="Times New Roman"/>
                <w:sz w:val="24"/>
              </w:rPr>
              <w:t> </w:t>
            </w:r>
            <w:r>
              <w:rPr>
                <w:rFonts w:ascii="Times New Roman" w:hAnsi="Times New Roman"/>
                <w:sz w:val="24"/>
              </w:rPr>
              <w:t>575/2013, tranne per i segmenti con una ponderazione del rischio del 1</w:t>
            </w:r>
            <w:r w:rsidR="00521D0B">
              <w:rPr>
                <w:rFonts w:ascii="Times New Roman" w:hAnsi="Times New Roman"/>
                <w:sz w:val="24"/>
              </w:rPr>
              <w:t> </w:t>
            </w:r>
            <w:r>
              <w:rPr>
                <w:rFonts w:ascii="Times New Roman" w:hAnsi="Times New Roman"/>
                <w:sz w:val="24"/>
              </w:rPr>
              <w:t>250 %, dove l</w:t>
            </w:r>
            <w:r w:rsidR="00521D0B">
              <w:rPr>
                <w:rFonts w:ascii="Times New Roman" w:hAnsi="Times New Roman"/>
                <w:sz w:val="24"/>
              </w:rPr>
              <w:t>'</w:t>
            </w:r>
            <w:r>
              <w:rPr>
                <w:rFonts w:ascii="Times New Roman" w:hAnsi="Times New Roman"/>
                <w:sz w:val="24"/>
              </w:rPr>
              <w:t>importo da segnalare è zero. L</w:t>
            </w:r>
            <w:r w:rsidR="00521D0B">
              <w:rPr>
                <w:rFonts w:ascii="Times New Roman" w:hAnsi="Times New Roman"/>
                <w:sz w:val="24"/>
              </w:rPr>
              <w:t>'</w:t>
            </w:r>
            <w:r>
              <w:rPr>
                <w:rFonts w:ascii="Times New Roman" w:hAnsi="Times New Roman"/>
                <w:sz w:val="24"/>
              </w:rPr>
              <w:t xml:space="preserve">importo RW(SP) comprende non solo gli importi delle esposizioni ponderati per il rischio indicati nella colonna 0650 ma anche gli importi ponderati per il rischio delle esposizioni riassegnate </w:t>
            </w:r>
            <w:proofErr w:type="gramStart"/>
            <w:r>
              <w:rPr>
                <w:rFonts w:ascii="Times New Roman" w:hAnsi="Times New Roman"/>
                <w:sz w:val="24"/>
              </w:rPr>
              <w:t>a</w:t>
            </w:r>
            <w:proofErr w:type="gramEnd"/>
            <w:r>
              <w:rPr>
                <w:rFonts w:ascii="Times New Roman" w:hAnsi="Times New Roman"/>
                <w:sz w:val="24"/>
              </w:rPr>
              <w:t xml:space="preserve"> altri modelli mediante deflussi.</w:t>
            </w: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14:paraId="5E84660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EFFETTO GENERALE (RETTIFICA) DOVUTO ALLA VIOLAZIONE DEL CAPO 2 DEL REGOLAMENTO (UE) 2017/2402</w:t>
            </w:r>
            <w:r>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46335085"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Conformemente all</w:t>
            </w:r>
            <w:r w:rsidR="00521D0B">
              <w:rPr>
                <w:rFonts w:ascii="Times New Roman" w:hAnsi="Times New Roman"/>
                <w:sz w:val="24"/>
              </w:rPr>
              <w:t>'</w:t>
            </w:r>
            <w:r>
              <w:rPr>
                <w:rFonts w:ascii="Times New Roman" w:hAnsi="Times New Roman"/>
                <w:sz w:val="24"/>
              </w:rPr>
              <w:t>articolo 270 bis del regolamento (UE) n. 575/2013, se l</w:t>
            </w:r>
            <w:r w:rsidR="00521D0B">
              <w:rPr>
                <w:rFonts w:ascii="Times New Roman" w:hAnsi="Times New Roman"/>
                <w:sz w:val="24"/>
              </w:rPr>
              <w:t>'</w:t>
            </w:r>
            <w:r>
              <w:rPr>
                <w:rFonts w:ascii="Times New Roman" w:hAnsi="Times New Roman"/>
                <w:sz w:val="24"/>
              </w:rPr>
              <w:t xml:space="preserve">ente non rispetta determinati requisiti, le autorità competenti impongono un fattore aggiuntivo di ponderazione del rischio proporzionato non inferiore al 250 % del fattore di ponderazione del rischio (limitato al 1 250 %) che si applicherebbe alle pertinenti posizioni verso la cartolarizzazione a norma della parte tre, titolo II, capo 5, sezione 3, del regolamento (UE) n. 575/2013.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0890-0920</w:t>
            </w:r>
          </w:p>
        </w:tc>
        <w:tc>
          <w:tcPr>
            <w:tcW w:w="7436" w:type="dxa"/>
          </w:tcPr>
          <w:p w14:paraId="1EAD793A" w14:textId="02E0156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IMPORTO COMPLESSIVO DELL</w:t>
            </w:r>
            <w:r w:rsidR="00521D0B">
              <w:rPr>
                <w:rFonts w:ascii="Times New Roman" w:hAnsi="Times New Roman"/>
                <w:b/>
                <w:sz w:val="24"/>
                <w:u w:val="single"/>
              </w:rPr>
              <w:t>'</w:t>
            </w:r>
            <w:r>
              <w:rPr>
                <w:rFonts w:ascii="Times New Roman" w:hAnsi="Times New Roman"/>
                <w:b/>
                <w:sz w:val="24"/>
                <w:u w:val="single"/>
              </w:rPr>
              <w:t>ESPOSIZIONE PONDERATO PER IL RISCHIO</w:t>
            </w:r>
          </w:p>
          <w:p w14:paraId="00106670" w14:textId="77777777" w:rsidR="00933ADA" w:rsidRDefault="00933ADA" w:rsidP="00822842">
            <w:pPr>
              <w:spacing w:before="0" w:after="0"/>
              <w:jc w:val="left"/>
              <w:rPr>
                <w:rFonts w:ascii="Times New Roman" w:hAnsi="Times New Roman"/>
                <w:sz w:val="24"/>
              </w:rPr>
            </w:pPr>
          </w:p>
          <w:p w14:paraId="10368B4A" w14:textId="77D4BFB3"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Importo totale dell</w:t>
            </w:r>
            <w:r w:rsidR="00521D0B">
              <w:rPr>
                <w:rFonts w:ascii="Times New Roman" w:hAnsi="Times New Roman"/>
                <w:sz w:val="24"/>
              </w:rPr>
              <w:t>'</w:t>
            </w:r>
            <w:r>
              <w:rPr>
                <w:rFonts w:ascii="Times New Roman" w:hAnsi="Times New Roman"/>
                <w:sz w:val="24"/>
              </w:rPr>
              <w:t>esposizione ponderato per il rischio calcolato conformemente alla parte tre, titolo II, capo 5, sezione 3, del regolamento (UE) n. 575/2013.</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4F5151E4" w14:textId="079941E1"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PRIMA DELL</w:t>
            </w:r>
            <w:r w:rsidR="00521D0B">
              <w:rPr>
                <w:rFonts w:ascii="Times New Roman" w:hAnsi="Times New Roman"/>
                <w:b/>
                <w:sz w:val="24"/>
                <w:u w:val="single"/>
              </w:rPr>
              <w:t>'</w:t>
            </w:r>
            <w:r>
              <w:rPr>
                <w:rFonts w:ascii="Times New Roman" w:hAnsi="Times New Roman"/>
                <w:b/>
                <w:sz w:val="24"/>
                <w:u w:val="single"/>
              </w:rPr>
              <w:t>APPLICAZIONE DEL MASSIMALE</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58D36F3A"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Importo totale dell</w:t>
            </w:r>
            <w:r w:rsidR="00521D0B">
              <w:rPr>
                <w:rFonts w:ascii="Times New Roman" w:hAnsi="Times New Roman"/>
                <w:sz w:val="24"/>
              </w:rPr>
              <w:t>'</w:t>
            </w:r>
            <w:r>
              <w:rPr>
                <w:rFonts w:ascii="Times New Roman" w:hAnsi="Times New Roman"/>
                <w:sz w:val="24"/>
              </w:rPr>
              <w:t>esposizione ponderato per il rischio calcolato conformemente alla parte tre, titolo II, capo 5, sezione 3, del regolamento (UE) n. 575/2013, prima dell</w:t>
            </w:r>
            <w:r w:rsidR="00521D0B">
              <w:rPr>
                <w:rFonts w:ascii="Times New Roman" w:hAnsi="Times New Roman"/>
                <w:sz w:val="24"/>
              </w:rPr>
              <w:t>'</w:t>
            </w:r>
            <w:r>
              <w:rPr>
                <w:rFonts w:ascii="Times New Roman" w:hAnsi="Times New Roman"/>
                <w:sz w:val="24"/>
              </w:rPr>
              <w:t>applicazione dei limiti di cui agli articoli 267 e 268 di tale regolamento o in caso di cartolarizzazioni ammissibili di esposizioni deteriorate tradizionali prima dell</w:t>
            </w:r>
            <w:r w:rsidR="00521D0B">
              <w:rPr>
                <w:rFonts w:ascii="Times New Roman" w:hAnsi="Times New Roman"/>
                <w:sz w:val="24"/>
              </w:rPr>
              <w:t>'</w:t>
            </w:r>
            <w:r>
              <w:rPr>
                <w:rFonts w:ascii="Times New Roman" w:hAnsi="Times New Roman"/>
                <w:sz w:val="24"/>
              </w:rPr>
              <w:t>applicazione dell</w:t>
            </w:r>
            <w:r w:rsidR="00521D0B">
              <w:rPr>
                <w:rFonts w:ascii="Times New Roman" w:hAnsi="Times New Roman"/>
                <w:sz w:val="24"/>
              </w:rPr>
              <w:t>'</w:t>
            </w:r>
            <w:r>
              <w:rPr>
                <w:rFonts w:ascii="Times New Roman" w:hAnsi="Times New Roman"/>
                <w:sz w:val="24"/>
              </w:rPr>
              <w:t>articolo 269 bis del regolamento (UE) n. 575/2013.</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7F13510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RIDUZIONE DOVUTA AL MASSIMALE DI PONDERAZIONE DEL RISCHIO</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106FFAFF" w:rsidR="00933ADA" w:rsidRPr="002A677E" w:rsidRDefault="00933ADA" w:rsidP="00822842">
            <w:pPr>
              <w:spacing w:before="0" w:after="0"/>
              <w:jc w:val="left"/>
              <w:rPr>
                <w:rFonts w:ascii="Times New Roman" w:hAnsi="Times New Roman"/>
                <w:sz w:val="24"/>
              </w:rPr>
            </w:pPr>
            <w:r>
              <w:rPr>
                <w:rFonts w:ascii="Times New Roman" w:hAnsi="Times New Roman"/>
                <w:sz w:val="24"/>
              </w:rPr>
              <w:t>Conformemente all</w:t>
            </w:r>
            <w:r w:rsidR="00521D0B">
              <w:rPr>
                <w:rFonts w:ascii="Times New Roman" w:hAnsi="Times New Roman"/>
                <w:sz w:val="24"/>
              </w:rPr>
              <w:t>'</w:t>
            </w:r>
            <w:r>
              <w:rPr>
                <w:rFonts w:ascii="Times New Roman" w:hAnsi="Times New Roman"/>
                <w:sz w:val="24"/>
              </w:rPr>
              <w:t>articolo 267 del regolamento (UE) n. 575/2013 l</w:t>
            </w:r>
            <w:r w:rsidR="00521D0B">
              <w:rPr>
                <w:rFonts w:ascii="Times New Roman" w:hAnsi="Times New Roman"/>
                <w:sz w:val="24"/>
              </w:rPr>
              <w:t>'</w:t>
            </w:r>
            <w:r>
              <w:rPr>
                <w:rFonts w:ascii="Times New Roman" w:hAnsi="Times New Roman"/>
                <w:sz w:val="24"/>
              </w:rPr>
              <w:t>ente che conosce in ogni momento la composizione delle esposizioni sottostanti può assegnare alla posizione verso la cartolarizzazione senior un fattore massimo di ponderazione del rischio pari al fattore di ponderazione del rischio medio ponderato per l</w:t>
            </w:r>
            <w:r w:rsidR="00521D0B">
              <w:rPr>
                <w:rFonts w:ascii="Times New Roman" w:hAnsi="Times New Roman"/>
                <w:sz w:val="24"/>
              </w:rPr>
              <w:t>'</w:t>
            </w:r>
            <w:r>
              <w:rPr>
                <w:rFonts w:ascii="Times New Roman" w:hAnsi="Times New Roman"/>
                <w:sz w:val="24"/>
              </w:rPr>
              <w:t>esposizione che si applicherebbe alle esposizioni sottostanti se queste ultime non fossero state cartolarizzate. Per</w:t>
            </w:r>
            <w:r w:rsidR="00521D0B">
              <w:rPr>
                <w:rFonts w:ascii="Times New Roman" w:hAnsi="Times New Roman"/>
                <w:sz w:val="24"/>
              </w:rPr>
              <w:t> </w:t>
            </w:r>
            <w:r>
              <w:rPr>
                <w:rFonts w:ascii="Times New Roman" w:hAnsi="Times New Roman"/>
                <w:sz w:val="24"/>
              </w:rPr>
              <w:t>le cartolarizzazioni ammissibili di esposizioni deteriorate tradizionali si applica l</w:t>
            </w:r>
            <w:r w:rsidR="00521D0B">
              <w:rPr>
                <w:rFonts w:ascii="Times New Roman" w:hAnsi="Times New Roman"/>
                <w:sz w:val="24"/>
              </w:rPr>
              <w:t>'</w:t>
            </w:r>
            <w:r>
              <w:rPr>
                <w:rFonts w:ascii="Times New Roman" w:hAnsi="Times New Roman"/>
                <w:sz w:val="24"/>
              </w:rPr>
              <w:t>articolo 269 bis del regolamento (UE) n. 575/2013, in particolare i paragrafi 6 e 7.</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1EC56F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RIDUZIONE DOVUTA AL MASSIMALE GENERALE</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4B28825C" w:rsidR="00933ADA" w:rsidRPr="002A677E" w:rsidRDefault="00933ADA" w:rsidP="00822842">
            <w:pPr>
              <w:spacing w:before="0" w:after="0"/>
              <w:jc w:val="left"/>
              <w:rPr>
                <w:rFonts w:ascii="Times New Roman" w:hAnsi="Times New Roman"/>
                <w:sz w:val="24"/>
              </w:rPr>
            </w:pPr>
            <w:r>
              <w:rPr>
                <w:rFonts w:ascii="Times New Roman" w:hAnsi="Times New Roman"/>
                <w:sz w:val="24"/>
              </w:rPr>
              <w:t>Conformemente all</w:t>
            </w:r>
            <w:r w:rsidR="00521D0B">
              <w:rPr>
                <w:rFonts w:ascii="Times New Roman" w:hAnsi="Times New Roman"/>
                <w:sz w:val="24"/>
              </w:rPr>
              <w:t>'</w:t>
            </w:r>
            <w:r>
              <w:rPr>
                <w:rFonts w:ascii="Times New Roman" w:hAnsi="Times New Roman"/>
                <w:sz w:val="24"/>
              </w:rPr>
              <w:t xml:space="preserve">articolo 268 del regolamento (UE) n. 575/2013 gli enti cedenti, gli enti promotori o altri enti che usano il SEC-IRBA oppure gli enti cedenti o gli enti promotori che usano il SEC-SA o il SEC-ERBA </w:t>
            </w:r>
            <w:r>
              <w:rPr>
                <w:rFonts w:ascii="Times New Roman" w:hAnsi="Times New Roman"/>
                <w:sz w:val="24"/>
              </w:rPr>
              <w:lastRenderedPageBreak/>
              <w:t>possono applicare un requisito patrimoniale massimo per la posizione verso la cartolarizzazione che detengono pari ai requisiti patrimoniali che sarebbero calcolati conformemente alla parte tre, titolo II, capo 2 o 3, del regolamento (UE) n. 575/2013 in relazione alle esposizioni sottostanti se queste ultime non fossero state cartolarizzate. Per le cartolarizzazioni ammissibili di esposizioni deteriorate tradizionali si applica l</w:t>
            </w:r>
            <w:r w:rsidR="00521D0B">
              <w:rPr>
                <w:rFonts w:ascii="Times New Roman" w:hAnsi="Times New Roman"/>
                <w:sz w:val="24"/>
              </w:rPr>
              <w:t>'</w:t>
            </w:r>
            <w:r>
              <w:rPr>
                <w:rFonts w:ascii="Times New Roman" w:hAnsi="Times New Roman"/>
                <w:sz w:val="24"/>
              </w:rPr>
              <w:t>articolo 269 bis del regolamento (UE) n. 575/2013, in particolare i paragrafi 5 e 7.</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0920</w:t>
            </w:r>
          </w:p>
        </w:tc>
        <w:tc>
          <w:tcPr>
            <w:tcW w:w="7436" w:type="dxa"/>
          </w:tcPr>
          <w:p w14:paraId="585B35DB" w14:textId="5178FC9B"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IMPORTO COMPLESSIVO DELL</w:t>
            </w:r>
            <w:r w:rsidR="00521D0B">
              <w:rPr>
                <w:rFonts w:ascii="Times New Roman" w:hAnsi="Times New Roman"/>
                <w:b/>
                <w:sz w:val="24"/>
                <w:u w:val="single"/>
              </w:rPr>
              <w:t>'</w:t>
            </w:r>
            <w:r>
              <w:rPr>
                <w:rFonts w:ascii="Times New Roman" w:hAnsi="Times New Roman"/>
                <w:b/>
                <w:sz w:val="24"/>
                <w:u w:val="single"/>
              </w:rPr>
              <w:t>ESPOSIZIONE PONDERATO PER IL RISCHIO</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2F4C4D28"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Importo totale dell</w:t>
            </w:r>
            <w:r w:rsidR="00521D0B">
              <w:rPr>
                <w:rFonts w:ascii="Times New Roman" w:hAnsi="Times New Roman"/>
                <w:sz w:val="24"/>
              </w:rPr>
              <w:t>'</w:t>
            </w:r>
            <w:r>
              <w:rPr>
                <w:rFonts w:ascii="Times New Roman" w:hAnsi="Times New Roman"/>
                <w:sz w:val="24"/>
              </w:rPr>
              <w:t>esposizione ponderato per il rischio calcolato conformemente alla parte tre, titolo II, capo 5, sezione 3, del regolamento (UE) n. 575/2013, considerando la ponderazione del rischio totale come indicato all</w:t>
            </w:r>
            <w:r w:rsidR="00521D0B">
              <w:rPr>
                <w:rFonts w:ascii="Times New Roman" w:hAnsi="Times New Roman"/>
                <w:sz w:val="24"/>
              </w:rPr>
              <w:t>'</w:t>
            </w:r>
            <w:r>
              <w:rPr>
                <w:rFonts w:ascii="Times New Roman" w:hAnsi="Times New Roman"/>
                <w:sz w:val="24"/>
              </w:rPr>
              <w:t>articolo 247, paragrafo 6, di tale regolamento.</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0921-0924</w:t>
            </w:r>
          </w:p>
        </w:tc>
        <w:tc>
          <w:tcPr>
            <w:tcW w:w="7436" w:type="dxa"/>
          </w:tcPr>
          <w:p w14:paraId="2831B093" w14:textId="77777777" w:rsidR="00933ADA" w:rsidRPr="00521D0B" w:rsidRDefault="00933ADA" w:rsidP="00822842">
            <w:pPr>
              <w:spacing w:before="0" w:after="0"/>
              <w:jc w:val="left"/>
              <w:rPr>
                <w:rFonts w:ascii="Times New Roman" w:hAnsi="Times New Roman"/>
                <w:b/>
                <w:sz w:val="24"/>
                <w:u w:val="single"/>
              </w:rPr>
            </w:pPr>
            <w:r w:rsidRPr="00521D0B">
              <w:rPr>
                <w:rFonts w:ascii="Times New Roman" w:hAnsi="Times New Roman"/>
                <w:b/>
                <w:sz w:val="24"/>
                <w:u w:val="single"/>
              </w:rPr>
              <w:t>OUTPUT FLOOR S-TREA</w:t>
            </w:r>
          </w:p>
          <w:p w14:paraId="154FBB11" w14:textId="77777777" w:rsidR="00933ADA" w:rsidRPr="00521D0B" w:rsidRDefault="00933ADA" w:rsidP="00822842">
            <w:pPr>
              <w:spacing w:before="0" w:after="0"/>
              <w:jc w:val="left"/>
              <w:rPr>
                <w:rFonts w:ascii="Times New Roman" w:hAnsi="Times New Roman"/>
                <w:sz w:val="24"/>
              </w:rPr>
            </w:pPr>
          </w:p>
          <w:p w14:paraId="2EC82F7A" w14:textId="384E7CAE" w:rsidR="00933ADA" w:rsidRPr="00521D0B" w:rsidRDefault="00933ADA" w:rsidP="00822842">
            <w:pPr>
              <w:spacing w:before="0" w:after="0"/>
              <w:jc w:val="left"/>
              <w:rPr>
                <w:rFonts w:ascii="Times New Roman" w:hAnsi="Times New Roman"/>
                <w:b/>
                <w:sz w:val="24"/>
                <w:u w:val="single"/>
              </w:rPr>
            </w:pPr>
            <w:r w:rsidRPr="00521D0B">
              <w:rPr>
                <w:rFonts w:ascii="Times New Roman" w:hAnsi="Times New Roman"/>
                <w:sz w:val="24"/>
              </w:rPr>
              <w:t>Per gli enti soggetti all</w:t>
            </w:r>
            <w:r w:rsidR="00521D0B">
              <w:rPr>
                <w:rFonts w:ascii="Times New Roman" w:hAnsi="Times New Roman"/>
                <w:sz w:val="24"/>
              </w:rPr>
              <w:t>'</w:t>
            </w:r>
            <w:r w:rsidRPr="00521D0B">
              <w:rPr>
                <w:rFonts w:ascii="Times New Roman" w:hAnsi="Times New Roman"/>
                <w:sz w:val="24"/>
              </w:rPr>
              <w:t xml:space="preserve">output </w:t>
            </w:r>
            <w:proofErr w:type="spellStart"/>
            <w:r w:rsidRPr="00521D0B">
              <w:rPr>
                <w:rFonts w:ascii="Times New Roman" w:hAnsi="Times New Roman"/>
                <w:sz w:val="24"/>
              </w:rPr>
              <w:t>floor</w:t>
            </w:r>
            <w:proofErr w:type="spellEnd"/>
            <w:r w:rsidRPr="00521D0B">
              <w:rPr>
                <w:rFonts w:ascii="Times New Roman" w:hAnsi="Times New Roman"/>
                <w:sz w:val="24"/>
              </w:rPr>
              <w:t xml:space="preserve"> ai sensi dell</w:t>
            </w:r>
            <w:r w:rsidR="00521D0B">
              <w:rPr>
                <w:rFonts w:ascii="Times New Roman" w:hAnsi="Times New Roman"/>
                <w:sz w:val="24"/>
              </w:rPr>
              <w:t>'</w:t>
            </w:r>
            <w:r w:rsidRPr="00521D0B">
              <w:rPr>
                <w:rFonts w:ascii="Times New Roman" w:hAnsi="Times New Roman"/>
                <w:sz w:val="24"/>
              </w:rPr>
              <w:t>articolo 92, paragrafo 3, del regolamento (UE) n. 575/2013, l</w:t>
            </w:r>
            <w:r w:rsidR="00521D0B">
              <w:rPr>
                <w:rFonts w:ascii="Times New Roman" w:hAnsi="Times New Roman"/>
                <w:sz w:val="24"/>
              </w:rPr>
              <w:t>'</w:t>
            </w:r>
            <w:r w:rsidRPr="00521D0B">
              <w:rPr>
                <w:rFonts w:ascii="Times New Roman" w:hAnsi="Times New Roman"/>
                <w:sz w:val="24"/>
              </w:rPr>
              <w:t>importo complessivo standardizzato dell</w:t>
            </w:r>
            <w:r w:rsidR="00521D0B">
              <w:rPr>
                <w:rFonts w:ascii="Times New Roman" w:hAnsi="Times New Roman"/>
                <w:sz w:val="24"/>
              </w:rPr>
              <w:t>'</w:t>
            </w:r>
            <w:r w:rsidRPr="00521D0B">
              <w:rPr>
                <w:rFonts w:ascii="Times New Roman" w:hAnsi="Times New Roman"/>
                <w:sz w:val="24"/>
              </w:rPr>
              <w:t>esposizione al rischio (S-TREA) calcolato conformemente all</w:t>
            </w:r>
            <w:r w:rsidR="00521D0B">
              <w:rPr>
                <w:rFonts w:ascii="Times New Roman" w:hAnsi="Times New Roman"/>
                <w:sz w:val="24"/>
              </w:rPr>
              <w:t>'</w:t>
            </w:r>
            <w:r w:rsidRPr="00521D0B">
              <w:rPr>
                <w:rFonts w:ascii="Times New Roman" w:hAnsi="Times New Roman"/>
                <w:sz w:val="24"/>
              </w:rPr>
              <w:t>articolo</w:t>
            </w:r>
            <w:r w:rsidR="00521D0B">
              <w:rPr>
                <w:rFonts w:ascii="Times New Roman" w:hAnsi="Times New Roman"/>
                <w:sz w:val="24"/>
              </w:rPr>
              <w:t> </w:t>
            </w:r>
            <w:r w:rsidRPr="00521D0B">
              <w:rPr>
                <w:rFonts w:ascii="Times New Roman" w:hAnsi="Times New Roman"/>
                <w:sz w:val="24"/>
              </w:rPr>
              <w:t>92, paragrafo 5.</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0921</w:t>
            </w:r>
          </w:p>
        </w:tc>
        <w:tc>
          <w:tcPr>
            <w:tcW w:w="7436" w:type="dxa"/>
          </w:tcPr>
          <w:p w14:paraId="10750F18" w14:textId="66DA83F1" w:rsidR="00933ADA" w:rsidRPr="00521D0B" w:rsidRDefault="00933ADA" w:rsidP="00822842">
            <w:pPr>
              <w:spacing w:before="0" w:after="0"/>
              <w:jc w:val="left"/>
              <w:rPr>
                <w:rFonts w:ascii="Times New Roman" w:hAnsi="Times New Roman"/>
                <w:b/>
                <w:sz w:val="24"/>
                <w:u w:val="single"/>
              </w:rPr>
            </w:pPr>
            <w:r w:rsidRPr="00521D0B">
              <w:rPr>
                <w:rFonts w:ascii="Times New Roman" w:hAnsi="Times New Roman"/>
                <w:b/>
                <w:sz w:val="24"/>
                <w:u w:val="single"/>
              </w:rPr>
              <w:t>PRIMA DELL</w:t>
            </w:r>
            <w:r w:rsidR="00521D0B">
              <w:rPr>
                <w:rFonts w:ascii="Times New Roman" w:hAnsi="Times New Roman"/>
                <w:b/>
                <w:sz w:val="24"/>
                <w:u w:val="single"/>
              </w:rPr>
              <w:t>'</w:t>
            </w:r>
            <w:r w:rsidRPr="00521D0B">
              <w:rPr>
                <w:rFonts w:ascii="Times New Roman" w:hAnsi="Times New Roman"/>
                <w:b/>
                <w:sz w:val="24"/>
                <w:u w:val="single"/>
              </w:rPr>
              <w:t>APPLICAZIONE DEL MASSIMALE</w:t>
            </w:r>
          </w:p>
          <w:p w14:paraId="75D0D718" w14:textId="77777777" w:rsidR="00933ADA" w:rsidRPr="00521D0B" w:rsidRDefault="00933ADA" w:rsidP="00822842">
            <w:pPr>
              <w:spacing w:before="0" w:after="0"/>
              <w:jc w:val="left"/>
              <w:rPr>
                <w:rFonts w:ascii="Times New Roman" w:hAnsi="Times New Roman"/>
                <w:sz w:val="24"/>
                <w:lang w:eastAsia="es-ES_tradnl"/>
              </w:rPr>
            </w:pPr>
          </w:p>
          <w:p w14:paraId="7DEE8853" w14:textId="274F15D3" w:rsidR="00933ADA" w:rsidRPr="00521D0B" w:rsidRDefault="00933ADA" w:rsidP="00822842">
            <w:pPr>
              <w:spacing w:before="0" w:after="0"/>
              <w:jc w:val="left"/>
              <w:rPr>
                <w:rFonts w:ascii="Times New Roman" w:hAnsi="Times New Roman"/>
                <w:b/>
                <w:sz w:val="24"/>
                <w:u w:val="single"/>
              </w:rPr>
            </w:pPr>
            <w:r w:rsidRPr="00521D0B">
              <w:rPr>
                <w:rFonts w:ascii="Times New Roman" w:hAnsi="Times New Roman"/>
                <w:sz w:val="24"/>
              </w:rPr>
              <w:t>S-TREA prima di applicare i limiti di cui agli articoli 267 e 268 di tale regolamento o in caso di cartolarizzazioni di esposizioni deteriorate tradizionali ammissibili prima dell</w:t>
            </w:r>
            <w:r w:rsidR="00521D0B">
              <w:rPr>
                <w:rFonts w:ascii="Times New Roman" w:hAnsi="Times New Roman"/>
                <w:sz w:val="24"/>
              </w:rPr>
              <w:t>'</w:t>
            </w:r>
            <w:r w:rsidRPr="00521D0B">
              <w:rPr>
                <w:rFonts w:ascii="Times New Roman" w:hAnsi="Times New Roman"/>
                <w:sz w:val="24"/>
              </w:rPr>
              <w:t>applicazione dell</w:t>
            </w:r>
            <w:r w:rsidR="00521D0B">
              <w:rPr>
                <w:rFonts w:ascii="Times New Roman" w:hAnsi="Times New Roman"/>
                <w:sz w:val="24"/>
              </w:rPr>
              <w:t>'</w:t>
            </w:r>
            <w:r w:rsidRPr="00521D0B">
              <w:rPr>
                <w:rFonts w:ascii="Times New Roman" w:hAnsi="Times New Roman"/>
                <w:sz w:val="24"/>
              </w:rPr>
              <w:t>articolo 269 bis del regolamento (UE) n. 575/2013.</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0922</w:t>
            </w:r>
          </w:p>
        </w:tc>
        <w:tc>
          <w:tcPr>
            <w:tcW w:w="7436" w:type="dxa"/>
          </w:tcPr>
          <w:p w14:paraId="1CBB5DA7" w14:textId="77777777" w:rsidR="00933ADA" w:rsidRPr="00521D0B" w:rsidRDefault="00933ADA" w:rsidP="00822842">
            <w:pPr>
              <w:spacing w:before="0" w:after="0"/>
              <w:jc w:val="left"/>
              <w:rPr>
                <w:rFonts w:ascii="Times New Roman" w:hAnsi="Times New Roman"/>
                <w:b/>
                <w:sz w:val="24"/>
                <w:u w:val="single"/>
              </w:rPr>
            </w:pPr>
            <w:r w:rsidRPr="00521D0B">
              <w:rPr>
                <w:rFonts w:ascii="Times New Roman" w:hAnsi="Times New Roman"/>
                <w:b/>
                <w:sz w:val="24"/>
                <w:u w:val="single"/>
              </w:rPr>
              <w:t>(−) RIDUZIONE DOVUTA AL MASSIMALE DI PONDERAZIONE DEL RISCHIO</w:t>
            </w:r>
          </w:p>
          <w:p w14:paraId="5B049CC5" w14:textId="77777777" w:rsidR="00933ADA" w:rsidRPr="00521D0B" w:rsidRDefault="00933ADA" w:rsidP="00822842">
            <w:pPr>
              <w:spacing w:before="0" w:after="0"/>
              <w:jc w:val="left"/>
              <w:rPr>
                <w:rFonts w:ascii="Times New Roman" w:hAnsi="Times New Roman"/>
                <w:bCs/>
                <w:sz w:val="24"/>
              </w:rPr>
            </w:pPr>
          </w:p>
          <w:p w14:paraId="5AFF07E2" w14:textId="0D99DFC4" w:rsidR="00933ADA" w:rsidRPr="00521D0B" w:rsidRDefault="00933ADA" w:rsidP="00822842">
            <w:pPr>
              <w:spacing w:before="0" w:after="0"/>
              <w:jc w:val="left"/>
              <w:rPr>
                <w:rFonts w:ascii="Times New Roman" w:hAnsi="Times New Roman"/>
                <w:b/>
                <w:sz w:val="24"/>
                <w:u w:val="single"/>
              </w:rPr>
            </w:pPr>
            <w:r w:rsidRPr="00521D0B">
              <w:rPr>
                <w:rFonts w:ascii="Times New Roman" w:hAnsi="Times New Roman"/>
                <w:sz w:val="24"/>
              </w:rPr>
              <w:t>Riduzione dello S-TREA dovuta al massimale del fattore di ponderazione del rischio conformemente all</w:t>
            </w:r>
            <w:r w:rsidR="00521D0B">
              <w:rPr>
                <w:rFonts w:ascii="Times New Roman" w:hAnsi="Times New Roman"/>
                <w:sz w:val="24"/>
              </w:rPr>
              <w:t>'</w:t>
            </w:r>
            <w:r w:rsidRPr="00521D0B">
              <w:rPr>
                <w:rFonts w:ascii="Times New Roman" w:hAnsi="Times New Roman"/>
                <w:sz w:val="24"/>
              </w:rPr>
              <w:t>articolo 267 del regolamento (UE) n.</w:t>
            </w:r>
            <w:r w:rsidR="00521D0B">
              <w:rPr>
                <w:rFonts w:ascii="Times New Roman" w:hAnsi="Times New Roman"/>
                <w:sz w:val="24"/>
              </w:rPr>
              <w:t> </w:t>
            </w:r>
            <w:r w:rsidRPr="00521D0B">
              <w:rPr>
                <w:rFonts w:ascii="Times New Roman" w:hAnsi="Times New Roman"/>
                <w:sz w:val="24"/>
              </w:rPr>
              <w:t>575/2013 e all</w:t>
            </w:r>
            <w:r w:rsidR="00521D0B">
              <w:rPr>
                <w:rFonts w:ascii="Times New Roman" w:hAnsi="Times New Roman"/>
                <w:sz w:val="24"/>
              </w:rPr>
              <w:t>'</w:t>
            </w:r>
            <w:r w:rsidRPr="00521D0B">
              <w:rPr>
                <w:rFonts w:ascii="Times New Roman" w:hAnsi="Times New Roman"/>
                <w:sz w:val="24"/>
              </w:rPr>
              <w:t>articolo 269 bis del regolamento (UE) n. 575/2013, in particolare i paragrafi 6 e 7.</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0923</w:t>
            </w:r>
          </w:p>
        </w:tc>
        <w:tc>
          <w:tcPr>
            <w:tcW w:w="7436" w:type="dxa"/>
          </w:tcPr>
          <w:p w14:paraId="09C6FB1B" w14:textId="77777777" w:rsidR="00933ADA" w:rsidRPr="00521D0B" w:rsidRDefault="00933ADA" w:rsidP="00822842">
            <w:pPr>
              <w:spacing w:before="0" w:after="0"/>
              <w:jc w:val="left"/>
              <w:rPr>
                <w:rFonts w:ascii="Times New Roman" w:hAnsi="Times New Roman"/>
                <w:b/>
                <w:sz w:val="24"/>
                <w:u w:val="single"/>
              </w:rPr>
            </w:pPr>
            <w:r w:rsidRPr="00521D0B">
              <w:rPr>
                <w:rFonts w:ascii="Times New Roman" w:hAnsi="Times New Roman"/>
                <w:b/>
                <w:sz w:val="24"/>
                <w:u w:val="single"/>
              </w:rPr>
              <w:t>(−) RIDUZIONE DOVUTA AL MASSIMALE GENERALE</w:t>
            </w:r>
          </w:p>
          <w:p w14:paraId="319BEC43" w14:textId="77777777" w:rsidR="00933ADA" w:rsidRPr="00521D0B" w:rsidRDefault="00933ADA" w:rsidP="00822842">
            <w:pPr>
              <w:spacing w:before="0" w:after="0"/>
              <w:jc w:val="left"/>
              <w:rPr>
                <w:rFonts w:ascii="Times New Roman" w:hAnsi="Times New Roman"/>
                <w:bCs/>
                <w:sz w:val="24"/>
              </w:rPr>
            </w:pPr>
          </w:p>
          <w:p w14:paraId="7C385E24" w14:textId="4E29815D" w:rsidR="00933ADA" w:rsidRPr="00521D0B" w:rsidRDefault="00933ADA" w:rsidP="00822842">
            <w:pPr>
              <w:spacing w:before="0" w:after="0"/>
              <w:jc w:val="left"/>
              <w:rPr>
                <w:rFonts w:ascii="Times New Roman" w:hAnsi="Times New Roman"/>
                <w:b/>
                <w:sz w:val="24"/>
                <w:u w:val="single"/>
              </w:rPr>
            </w:pPr>
            <w:r w:rsidRPr="00521D0B">
              <w:rPr>
                <w:rFonts w:ascii="Times New Roman" w:hAnsi="Times New Roman"/>
                <w:sz w:val="24"/>
              </w:rPr>
              <w:t>Riduzione dello S-TREA dovuta al massimale globale conformemente all</w:t>
            </w:r>
            <w:r w:rsidR="00521D0B">
              <w:rPr>
                <w:rFonts w:ascii="Times New Roman" w:hAnsi="Times New Roman"/>
                <w:sz w:val="24"/>
              </w:rPr>
              <w:t>'</w:t>
            </w:r>
            <w:r w:rsidRPr="00521D0B">
              <w:rPr>
                <w:rFonts w:ascii="Times New Roman" w:hAnsi="Times New Roman"/>
                <w:sz w:val="24"/>
              </w:rPr>
              <w:t>articolo 268 del regolamento (UE) n. 575/2013 e all</w:t>
            </w:r>
            <w:r w:rsidR="00521D0B">
              <w:rPr>
                <w:rFonts w:ascii="Times New Roman" w:hAnsi="Times New Roman"/>
                <w:sz w:val="24"/>
              </w:rPr>
              <w:t>'</w:t>
            </w:r>
            <w:r w:rsidRPr="00521D0B">
              <w:rPr>
                <w:rFonts w:ascii="Times New Roman" w:hAnsi="Times New Roman"/>
                <w:sz w:val="24"/>
              </w:rPr>
              <w:t>articolo 269 bis del regolamento (UE) n. 575/2013, in particolare i paragrafi 5 e 7.</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0924</w:t>
            </w:r>
          </w:p>
        </w:tc>
        <w:tc>
          <w:tcPr>
            <w:tcW w:w="7436" w:type="dxa"/>
          </w:tcPr>
          <w:p w14:paraId="298CFBFC" w14:textId="2EFF2001"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DOPO L</w:t>
            </w:r>
            <w:r w:rsidR="00521D0B">
              <w:rPr>
                <w:rFonts w:ascii="Times New Roman" w:hAnsi="Times New Roman"/>
                <w:b/>
                <w:sz w:val="24"/>
                <w:u w:val="single"/>
              </w:rPr>
              <w:t>'</w:t>
            </w:r>
            <w:r>
              <w:rPr>
                <w:rFonts w:ascii="Times New Roman" w:hAnsi="Times New Roman"/>
                <w:b/>
                <w:sz w:val="24"/>
                <w:u w:val="single"/>
              </w:rPr>
              <w:t>APPLICAZIONE DEL MASSIMALE</w:t>
            </w:r>
          </w:p>
          <w:p w14:paraId="20ABC319" w14:textId="77777777" w:rsidR="00933ADA" w:rsidRDefault="00933ADA" w:rsidP="00822842">
            <w:pPr>
              <w:spacing w:before="0" w:after="0"/>
              <w:jc w:val="left"/>
              <w:rPr>
                <w:rFonts w:ascii="Times New Roman" w:hAnsi="Times New Roman"/>
                <w:bCs/>
                <w:sz w:val="24"/>
              </w:rPr>
            </w:pPr>
          </w:p>
          <w:p w14:paraId="555ED329" w14:textId="7E9272FD"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Importo dello S-TREA dopo l</w:t>
            </w:r>
            <w:r w:rsidR="00521D0B">
              <w:rPr>
                <w:rFonts w:ascii="Times New Roman" w:hAnsi="Times New Roman"/>
                <w:sz w:val="24"/>
              </w:rPr>
              <w:t>'</w:t>
            </w:r>
            <w:r>
              <w:rPr>
                <w:rFonts w:ascii="Times New Roman" w:hAnsi="Times New Roman"/>
                <w:sz w:val="24"/>
              </w:rPr>
              <w:t>applicazione del massimale complessivo.</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0930-0960</w:t>
            </w:r>
          </w:p>
        </w:tc>
        <w:tc>
          <w:tcPr>
            <w:tcW w:w="7436" w:type="dxa"/>
          </w:tcPr>
          <w:p w14:paraId="3188E226" w14:textId="77777777" w:rsidR="00933ADA" w:rsidRPr="002A677E" w:rsidRDefault="00933ADA" w:rsidP="00521D0B">
            <w:pPr>
              <w:spacing w:before="0" w:after="80"/>
              <w:jc w:val="left"/>
              <w:rPr>
                <w:rFonts w:ascii="Times New Roman" w:hAnsi="Times New Roman"/>
                <w:b/>
                <w:sz w:val="24"/>
                <w:u w:val="single"/>
              </w:rPr>
            </w:pPr>
            <w:r>
              <w:rPr>
                <w:rFonts w:ascii="Times New Roman" w:hAnsi="Times New Roman"/>
                <w:b/>
                <w:sz w:val="24"/>
                <w:u w:val="single"/>
              </w:rPr>
              <w:t>VOCI PER MEMORIA</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755BCAB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IMPORTO DELLE ESPOSIZIONI PONDERATO PER IL RISCHIO CORRISPONDENTE AI DEFLUSSI DALLE CARTOLARIZZAZIONI VERSO ALTRE CLASSI DI ESPOSIZIONI</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rFonts w:ascii="Times New Roman" w:hAnsi="Times New Roman"/>
                <w:sz w:val="24"/>
              </w:rPr>
            </w:pPr>
            <w:r>
              <w:rPr>
                <w:rFonts w:ascii="Times New Roman" w:hAnsi="Times New Roman"/>
                <w:sz w:val="24"/>
              </w:rPr>
              <w:t>Importo delle esposizioni ponderato per il rischio derivante dalle esposizioni riassegnate al fornitore degli strumenti di attenuazione del rischio e pertanto computate nel modello corrispondente, che sono prese in considerazione nel calcolo del massimale delle posizioni verso la cartolarizzazione.</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0940-0960</w:t>
            </w:r>
          </w:p>
        </w:tc>
        <w:tc>
          <w:tcPr>
            <w:tcW w:w="7436" w:type="dxa"/>
          </w:tcPr>
          <w:p w14:paraId="0AC684DE" w14:textId="2DB01139"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OUTPUT FLOOR; RWEA RELATIVO ALL</w:t>
            </w:r>
            <w:r w:rsidR="00521D0B">
              <w:rPr>
                <w:rFonts w:ascii="Times New Roman" w:hAnsi="Times New Roman"/>
                <w:b/>
                <w:sz w:val="24"/>
                <w:u w:val="single"/>
              </w:rPr>
              <w:t>'</w:t>
            </w:r>
            <w:r>
              <w:rPr>
                <w:rFonts w:ascii="Times New Roman" w:hAnsi="Times New Roman"/>
                <w:b/>
                <w:sz w:val="24"/>
                <w:u w:val="single"/>
              </w:rPr>
              <w:t>IMPATTO DELL</w:t>
            </w:r>
            <w:r w:rsidR="00521D0B">
              <w:rPr>
                <w:rFonts w:ascii="Times New Roman" w:hAnsi="Times New Roman"/>
                <w:b/>
                <w:sz w:val="24"/>
                <w:u w:val="single"/>
              </w:rPr>
              <w:t>'</w:t>
            </w:r>
            <w:r>
              <w:rPr>
                <w:rFonts w:ascii="Times New Roman" w:hAnsi="Times New Roman"/>
                <w:b/>
                <w:sz w:val="24"/>
                <w:u w:val="single"/>
              </w:rPr>
              <w:t>APPLICAZIONE DELL</w:t>
            </w:r>
            <w:r w:rsidR="00521D0B">
              <w:rPr>
                <w:rFonts w:ascii="Times New Roman" w:hAnsi="Times New Roman"/>
                <w:b/>
                <w:sz w:val="24"/>
                <w:u w:val="single"/>
              </w:rPr>
              <w:t>'</w:t>
            </w:r>
            <w:r>
              <w:rPr>
                <w:rFonts w:ascii="Times New Roman" w:hAnsi="Times New Roman"/>
                <w:b/>
                <w:sz w:val="24"/>
                <w:u w:val="single"/>
              </w:rPr>
              <w:t>ARTICOLO 465, PARAGRAFO 7, DEL REGOLAMENTO (UE) N. 575/2013</w:t>
            </w:r>
          </w:p>
          <w:p w14:paraId="7CE3FACF" w14:textId="5A9BCCF6"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La differenza tra l</w:t>
            </w:r>
            <w:r w:rsidR="00521D0B">
              <w:rPr>
                <w:rFonts w:ascii="Times New Roman" w:hAnsi="Times New Roman"/>
                <w:sz w:val="24"/>
              </w:rPr>
              <w:t>'</w:t>
            </w:r>
            <w:r>
              <w:rPr>
                <w:rFonts w:ascii="Times New Roman" w:hAnsi="Times New Roman"/>
                <w:sz w:val="24"/>
              </w:rPr>
              <w:t>importo dell</w:t>
            </w:r>
            <w:r w:rsidR="00521D0B">
              <w:rPr>
                <w:rFonts w:ascii="Times New Roman" w:hAnsi="Times New Roman"/>
                <w:sz w:val="24"/>
              </w:rPr>
              <w:t>'</w:t>
            </w:r>
            <w:r>
              <w:rPr>
                <w:rFonts w:ascii="Times New Roman" w:hAnsi="Times New Roman"/>
                <w:sz w:val="24"/>
              </w:rPr>
              <w:t>RWEA calcolato senza applicare le disposizioni transitorie e l</w:t>
            </w:r>
            <w:r w:rsidR="00521D0B">
              <w:rPr>
                <w:rFonts w:ascii="Times New Roman" w:hAnsi="Times New Roman"/>
                <w:sz w:val="24"/>
              </w:rPr>
              <w:t>'</w:t>
            </w:r>
            <w:r>
              <w:rPr>
                <w:rFonts w:ascii="Times New Roman" w:hAnsi="Times New Roman"/>
                <w:sz w:val="24"/>
              </w:rPr>
              <w:t>importo dell</w:t>
            </w:r>
            <w:r w:rsidR="00521D0B">
              <w:rPr>
                <w:rFonts w:ascii="Times New Roman" w:hAnsi="Times New Roman"/>
                <w:sz w:val="24"/>
              </w:rPr>
              <w:t>'</w:t>
            </w:r>
            <w:r>
              <w:rPr>
                <w:rFonts w:ascii="Times New Roman" w:hAnsi="Times New Roman"/>
                <w:sz w:val="24"/>
              </w:rPr>
              <w:t>RWEA calcolato applicando le disposizioni transitorie è segnalata per ciascuno dei tre metodi: SEC</w:t>
            </w:r>
            <w:r w:rsidR="00521D0B">
              <w:rPr>
                <w:rFonts w:ascii="Times New Roman" w:hAnsi="Times New Roman"/>
                <w:sz w:val="24"/>
              </w:rPr>
              <w:noBreakHyphen/>
            </w:r>
            <w:r>
              <w:rPr>
                <w:rFonts w:ascii="Times New Roman" w:hAnsi="Times New Roman"/>
                <w:sz w:val="24"/>
              </w:rPr>
              <w:t>IRBA, metodo di valutazione interna e trattamento specifico dei segmenti senior nelle cartolarizzazioni SPE qualificate.</w:t>
            </w:r>
          </w:p>
        </w:tc>
      </w:tr>
    </w:tbl>
    <w:p w14:paraId="63E5A4B7" w14:textId="77777777" w:rsidR="00933ADA" w:rsidRPr="00521D0B" w:rsidRDefault="00933ADA" w:rsidP="00933ADA">
      <w:pPr>
        <w:spacing w:before="0" w:after="0"/>
        <w:rPr>
          <w:rFonts w:ascii="Times New Roman" w:hAnsi="Times New Roman"/>
          <w:sz w:val="22"/>
          <w:szCs w:val="22"/>
        </w:rPr>
      </w:pPr>
    </w:p>
    <w:p w14:paraId="7BECFFB5" w14:textId="77777777" w:rsidR="00933ADA" w:rsidRPr="00521D0B" w:rsidRDefault="00933ADA" w:rsidP="00933ADA">
      <w:pPr>
        <w:spacing w:before="0" w:after="0"/>
        <w:rPr>
          <w:rFonts w:ascii="Times New Roman" w:hAnsi="Times New Roman"/>
          <w:sz w:val="22"/>
          <w:szCs w:val="22"/>
        </w:rPr>
      </w:pPr>
    </w:p>
    <w:p w14:paraId="4E1AACED" w14:textId="3AB37022"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109</w:t>
      </w:r>
      <w:r>
        <w:fldChar w:fldCharType="end"/>
      </w:r>
      <w:r>
        <w:t>.</w:t>
      </w:r>
      <w:r>
        <w:tab/>
        <w:t xml:space="preserve"> Il modello è suddiviso in tre grandi blocchi di righe contenenti dati riguardanti le esposizioni create/promosse/mantenute o acquistate da cedenti, investitori e promotori. Per ciascuna di esse le informazioni sono ripartite per elementi in bilancio e fuori bilancio e derivati, nonché in base all</w:t>
      </w:r>
      <w:r w:rsidR="00521D0B">
        <w:t>'</w:t>
      </w:r>
      <w:r>
        <w:t>essere o meno soggette al trattamento differenziato ai fini patrimoniali.</w:t>
      </w:r>
    </w:p>
    <w:p w14:paraId="7068E8C5" w14:textId="3BECB9E7"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110</w:t>
      </w:r>
      <w:r>
        <w:fldChar w:fldCharType="end"/>
      </w:r>
      <w:r>
        <w:t>. Le posizioni trattate secondo il SEC-ERBA e le posizioni prive di rating (esposizioni alla data di riferimento per le segnalazioni) sono ripartite in base alle classi di merito di credito applicate all</w:t>
      </w:r>
      <w:r w:rsidR="00521D0B">
        <w:t>'</w:t>
      </w:r>
      <w:r>
        <w:t>avvio (ultimo blocco di righe). Questa</w:t>
      </w:r>
      <w:r w:rsidR="00521D0B">
        <w:t> </w:t>
      </w:r>
      <w:r>
        <w:t>informazione è segnalata dai cedenti, dai promotori e dagli investitori.</w:t>
      </w:r>
    </w:p>
    <w:p w14:paraId="03B6C442" w14:textId="77777777" w:rsidR="00933ADA" w:rsidRPr="00521D0B" w:rsidRDefault="00933ADA" w:rsidP="00933ADA">
      <w:pPr>
        <w:spacing w:before="0" w:after="0"/>
        <w:rPr>
          <w:rFonts w:ascii="Times New Roman" w:hAnsi="Times New Roman"/>
          <w:sz w:val="22"/>
          <w:szCs w:val="22"/>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521D0B" w:rsidRDefault="00933ADA" w:rsidP="00822842">
            <w:pPr>
              <w:autoSpaceDE w:val="0"/>
              <w:autoSpaceDN w:val="0"/>
              <w:adjustRightInd w:val="0"/>
              <w:spacing w:before="0" w:after="0"/>
              <w:rPr>
                <w:rFonts w:ascii="Times New Roman" w:hAnsi="Times New Roman"/>
                <w:bCs/>
                <w:szCs w:val="20"/>
                <w:lang w:eastAsia="nl-BE"/>
              </w:rPr>
            </w:pPr>
          </w:p>
          <w:p w14:paraId="6053056F"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Righe</w:t>
            </w:r>
          </w:p>
          <w:p w14:paraId="6C045EB2" w14:textId="77777777" w:rsidR="00933ADA" w:rsidRPr="00521D0B" w:rsidRDefault="00933ADA" w:rsidP="00822842">
            <w:pPr>
              <w:autoSpaceDE w:val="0"/>
              <w:autoSpaceDN w:val="0"/>
              <w:adjustRightInd w:val="0"/>
              <w:spacing w:before="0" w:after="0"/>
              <w:rPr>
                <w:rFonts w:ascii="Times New Roman" w:hAnsi="Times New Roman"/>
                <w:bCs/>
                <w:szCs w:val="20"/>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3EADC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ESPOSIZIONI TOTALI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5FBDDD8F"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 esposizioni totali fanno riferimento all</w:t>
            </w:r>
            <w:r w:rsidR="00521D0B">
              <w:rPr>
                <w:rFonts w:ascii="Times New Roman" w:hAnsi="Times New Roman"/>
                <w:sz w:val="24"/>
              </w:rPr>
              <w:t>'</w:t>
            </w:r>
            <w:r>
              <w:rPr>
                <w:rFonts w:ascii="Times New Roman" w:hAnsi="Times New Roman"/>
                <w:sz w:val="24"/>
              </w:rPr>
              <w:t xml:space="preserve">importo complessivo delle cartolarizzazioni e delle </w:t>
            </w:r>
            <w:proofErr w:type="spellStart"/>
            <w:r>
              <w:rPr>
                <w:rFonts w:ascii="Times New Roman" w:hAnsi="Times New Roman"/>
                <w:sz w:val="24"/>
              </w:rPr>
              <w:t>ricartolarizzazioni</w:t>
            </w:r>
            <w:proofErr w:type="spellEnd"/>
            <w:r>
              <w:rPr>
                <w:rFonts w:ascii="Times New Roman" w:hAnsi="Times New Roman"/>
                <w:sz w:val="24"/>
              </w:rPr>
              <w:t xml:space="preserve"> in essere. Questa riga riassume tutte le informazioni segnalate dai cedenti, dai promotori e dagli investitori nelle righe successive.</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3936DF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POSIZIONI VERSO LA CARTOLARIZZAZIONE</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018796BD"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in essere ai sensi dell</w:t>
            </w:r>
            <w:r w:rsidR="00521D0B">
              <w:rPr>
                <w:rFonts w:ascii="Times New Roman" w:hAnsi="Times New Roman"/>
                <w:sz w:val="24"/>
              </w:rPr>
              <w:t>'</w:t>
            </w:r>
            <w:r>
              <w:rPr>
                <w:rFonts w:ascii="Times New Roman" w:hAnsi="Times New Roman"/>
                <w:sz w:val="24"/>
              </w:rPr>
              <w:t xml:space="preserve">articolo 4, paragrafo 1, punto 62, del regolamento (UE) n. 575/2013, che non sono </w:t>
            </w:r>
            <w:proofErr w:type="spellStart"/>
            <w:r>
              <w:rPr>
                <w:rFonts w:ascii="Times New Roman" w:hAnsi="Times New Roman"/>
                <w:sz w:val="24"/>
              </w:rPr>
              <w:t>ricartolarizzazioni</w:t>
            </w:r>
            <w:proofErr w:type="spellEnd"/>
            <w:r>
              <w:rPr>
                <w:rFonts w:ascii="Times New Roman" w:hAnsi="Times New Roman"/>
                <w:sz w:val="24"/>
              </w:rPr>
              <w:t xml:space="preserve"> ai sensi dell</w:t>
            </w:r>
            <w:r w:rsidR="00521D0B">
              <w:rPr>
                <w:rFonts w:ascii="Times New Roman" w:hAnsi="Times New Roman"/>
                <w:sz w:val="24"/>
              </w:rPr>
              <w:t>'</w:t>
            </w:r>
            <w:r>
              <w:rPr>
                <w:rFonts w:ascii="Times New Roman" w:hAnsi="Times New Roman"/>
                <w:sz w:val="24"/>
              </w:rPr>
              <w:t>articolo 4, paragrafo 1, punto 63, di tale regolamento.</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5873AA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AMMISSIBILI AL TRATTAMENTO DIFFERENZIATO AI FINI PATRIMONIALI</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47FBB9C8"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che soddisfano i criteri di cui all</w:t>
            </w:r>
            <w:r w:rsidR="00521D0B">
              <w:rPr>
                <w:rFonts w:ascii="Times New Roman" w:hAnsi="Times New Roman"/>
                <w:sz w:val="24"/>
              </w:rPr>
              <w:t>'</w:t>
            </w:r>
            <w:r>
              <w:rPr>
                <w:rFonts w:ascii="Times New Roman" w:hAnsi="Times New Roman"/>
                <w:sz w:val="24"/>
              </w:rPr>
              <w:t xml:space="preserve">articolo 243, 270 o 494 quater del regolamento (UE) n. 575/2013 e </w:t>
            </w:r>
            <w:r>
              <w:rPr>
                <w:rFonts w:ascii="Times New Roman" w:hAnsi="Times New Roman"/>
                <w:sz w:val="24"/>
              </w:rPr>
              <w:lastRenderedPageBreak/>
              <w:t>possono pertanto essere soggette al trattamento differenziato ai fini patrimoniali.</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889" w:type="dxa"/>
          </w:tcPr>
          <w:p w14:paraId="3FC72F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ESPOSIZIONI VERSO CARTOLARIZZAZIONI TRADIZIONALI ABCP E NON ABCP STS</w:t>
            </w:r>
          </w:p>
          <w:p w14:paraId="57865F48" w14:textId="3AD3A520"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STS che soddisfano i requisiti di cui all</w:t>
            </w:r>
            <w:r w:rsidR="00521D0B">
              <w:rPr>
                <w:rFonts w:ascii="Times New Roman" w:hAnsi="Times New Roman"/>
                <w:sz w:val="24"/>
              </w:rPr>
              <w:t>'</w:t>
            </w:r>
            <w:r>
              <w:rPr>
                <w:rFonts w:ascii="Times New Roman" w:hAnsi="Times New Roman"/>
                <w:sz w:val="24"/>
              </w:rPr>
              <w:t>articolo 243 del regolamento (UE) n. 575/2013.</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1926625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POSIZIONE SENIOR SOGGETTA ALLA CLAUSOLA GRANDFATHERING VERSO CARTOLARIZZAZIONI SINTETICHE DI PMI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191D5AC3"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Importo totale delle posizioni senior soggette alla clausola </w:t>
            </w:r>
            <w:proofErr w:type="spellStart"/>
            <w:r>
              <w:rPr>
                <w:rFonts w:ascii="Times New Roman" w:hAnsi="Times New Roman"/>
                <w:sz w:val="24"/>
              </w:rPr>
              <w:t>grandfathering</w:t>
            </w:r>
            <w:proofErr w:type="spellEnd"/>
            <w:r>
              <w:rPr>
                <w:rFonts w:ascii="Times New Roman" w:hAnsi="Times New Roman"/>
                <w:sz w:val="24"/>
              </w:rPr>
              <w:t xml:space="preserve"> verso cartolarizzazioni sintetiche di PMI che soddisfano i requisiti di cui all</w:t>
            </w:r>
            <w:r w:rsidR="00521D0B">
              <w:rPr>
                <w:rFonts w:ascii="Times New Roman" w:hAnsi="Times New Roman"/>
                <w:sz w:val="24"/>
              </w:rPr>
              <w:t>'</w:t>
            </w:r>
            <w:r>
              <w:rPr>
                <w:rFonts w:ascii="Times New Roman" w:hAnsi="Times New Roman"/>
                <w:sz w:val="24"/>
              </w:rPr>
              <w:t>articolo</w:t>
            </w:r>
            <w:r w:rsidR="00521D0B">
              <w:rPr>
                <w:rFonts w:ascii="Times New Roman" w:hAnsi="Times New Roman"/>
                <w:sz w:val="24"/>
              </w:rPr>
              <w:t> </w:t>
            </w:r>
            <w:r>
              <w:rPr>
                <w:rFonts w:ascii="Times New Roman" w:hAnsi="Times New Roman"/>
                <w:sz w:val="24"/>
              </w:rPr>
              <w:t>494 quater del regolamento (UE) n. 575/2013.</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400EC6D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POSIZIONI SENIOR VERSO LA CARTOLARIZZAZIONE STS NEL BILANCIO</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3CAB31A8"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senior verso la cartolarizzazione STS nel bilancio che soddisfano i requisiti di cui all</w:t>
            </w:r>
            <w:r w:rsidR="00521D0B">
              <w:rPr>
                <w:rFonts w:ascii="Times New Roman" w:hAnsi="Times New Roman"/>
                <w:sz w:val="24"/>
              </w:rPr>
              <w:t>'</w:t>
            </w:r>
            <w:r>
              <w:rPr>
                <w:rFonts w:ascii="Times New Roman" w:hAnsi="Times New Roman"/>
                <w:sz w:val="24"/>
              </w:rPr>
              <w:t>articolo 270 del regolamento (UE) n.</w:t>
            </w:r>
            <w:r w:rsidR="00521D0B">
              <w:rPr>
                <w:rFonts w:ascii="Times New Roman" w:hAnsi="Times New Roman"/>
                <w:sz w:val="24"/>
              </w:rPr>
              <w:t> </w:t>
            </w:r>
            <w:r>
              <w:rPr>
                <w:rFonts w:ascii="Times New Roman" w:hAnsi="Times New Roman"/>
                <w:sz w:val="24"/>
              </w:rPr>
              <w:t>575/2013.</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e 0410</w:t>
            </w:r>
          </w:p>
        </w:tc>
        <w:tc>
          <w:tcPr>
            <w:tcW w:w="7889" w:type="dxa"/>
          </w:tcPr>
          <w:p w14:paraId="294FC0D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NON AMMISSIBILI AL TRATTAMENTO DIFFERENZIATO AI FINI PATRIMONIALI</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Articolo 254, paragrafi 1, 4, 5 e 6, e articoli 259, 261, 263, 265, 266 e 269 del regolamento (UE) n. 575/2013</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Importo totale delle posizioni verso la cartolarizzazione che non sono ammesse al trattamento differenziato ai fini patrimoniali.</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 0190, 0310 e 0430</w:t>
            </w:r>
          </w:p>
        </w:tc>
        <w:tc>
          <w:tcPr>
            <w:tcW w:w="7889" w:type="dxa"/>
          </w:tcPr>
          <w:p w14:paraId="2E57B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POSIZIONI VERSO LA RICARTOLARIZZAZIONE</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325079FC"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Importo totale delle posizioni verso la </w:t>
            </w:r>
            <w:proofErr w:type="spellStart"/>
            <w:r>
              <w:rPr>
                <w:rFonts w:ascii="Times New Roman" w:hAnsi="Times New Roman"/>
                <w:sz w:val="24"/>
              </w:rPr>
              <w:t>ricartolarizzazione</w:t>
            </w:r>
            <w:proofErr w:type="spellEnd"/>
            <w:r>
              <w:rPr>
                <w:rFonts w:ascii="Times New Roman" w:hAnsi="Times New Roman"/>
                <w:sz w:val="24"/>
              </w:rPr>
              <w:t xml:space="preserve"> in essere ai sensi dell</w:t>
            </w:r>
            <w:r w:rsidR="00521D0B">
              <w:rPr>
                <w:rFonts w:ascii="Times New Roman" w:hAnsi="Times New Roman"/>
                <w:sz w:val="24"/>
              </w:rPr>
              <w:t>'</w:t>
            </w:r>
            <w:r>
              <w:rPr>
                <w:rFonts w:ascii="Times New Roman" w:hAnsi="Times New Roman"/>
                <w:sz w:val="24"/>
              </w:rPr>
              <w:t>articolo 4, paragrafo 1, punto 64, del regolamento (UE) 575/2013.</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551C43E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CEDENTE: ESPOSIZIONI TOTALI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66AB786F"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Questa riga riassume le informazioni riguardanti gli elementi in bilancio, gli elementi fuori bilancio e i derivati delle posizioni verso la cartolarizzazione e la </w:t>
            </w:r>
            <w:proofErr w:type="spellStart"/>
            <w:r>
              <w:rPr>
                <w:rFonts w:ascii="Times New Roman" w:hAnsi="Times New Roman"/>
                <w:sz w:val="24"/>
              </w:rPr>
              <w:t>ricartolarizzazione</w:t>
            </w:r>
            <w:proofErr w:type="spellEnd"/>
            <w:r>
              <w:rPr>
                <w:rFonts w:ascii="Times New Roman" w:hAnsi="Times New Roman"/>
                <w:sz w:val="24"/>
              </w:rPr>
              <w:t xml:space="preserve"> nelle quali l</w:t>
            </w:r>
            <w:r w:rsidR="00521D0B">
              <w:rPr>
                <w:rFonts w:ascii="Times New Roman" w:hAnsi="Times New Roman"/>
                <w:sz w:val="24"/>
              </w:rPr>
              <w:t>'</w:t>
            </w:r>
            <w:r>
              <w:rPr>
                <w:rFonts w:ascii="Times New Roman" w:hAnsi="Times New Roman"/>
                <w:sz w:val="24"/>
              </w:rPr>
              <w:t>ente ha il ruolo di cedente ai sensi dell</w:t>
            </w:r>
            <w:r w:rsidR="00521D0B">
              <w:rPr>
                <w:rFonts w:ascii="Times New Roman" w:hAnsi="Times New Roman"/>
                <w:sz w:val="24"/>
              </w:rPr>
              <w:t>'</w:t>
            </w:r>
            <w:r>
              <w:rPr>
                <w:rFonts w:ascii="Times New Roman" w:hAnsi="Times New Roman"/>
                <w:sz w:val="24"/>
              </w:rPr>
              <w:t>articolo 4, paragrafo 1, punto 13, del regolamento (UE) n. 575/2013.</w:t>
            </w:r>
          </w:p>
          <w:p w14:paraId="1D1522A3" w14:textId="77777777" w:rsidR="00933ADA" w:rsidRPr="002A677E" w:rsidRDefault="00933ADA" w:rsidP="00822842">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0090-0136, 0210-0250 e 0330-0370</w:t>
            </w:r>
          </w:p>
        </w:tc>
        <w:tc>
          <w:tcPr>
            <w:tcW w:w="7889" w:type="dxa"/>
          </w:tcPr>
          <w:p w14:paraId="44A38D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POSIZIONI VERSO LA CARTOLARIZZAZIONE: ELEMENTI IN BILANCIO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3355F37B"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 conformità dell</w:t>
            </w:r>
            <w:r w:rsidR="00521D0B">
              <w:rPr>
                <w:rFonts w:ascii="Times New Roman" w:hAnsi="Times New Roman"/>
                <w:sz w:val="24"/>
              </w:rPr>
              <w:t>'</w:t>
            </w:r>
            <w:r>
              <w:rPr>
                <w:rFonts w:ascii="Times New Roman" w:hAnsi="Times New Roman"/>
                <w:sz w:val="24"/>
              </w:rPr>
              <w:t>articolo 248, paragrafo 1, lettera a), del regolamento (UE) n.</w:t>
            </w:r>
            <w:r w:rsidR="00521D0B">
              <w:rPr>
                <w:rFonts w:ascii="Times New Roman" w:hAnsi="Times New Roman"/>
                <w:sz w:val="24"/>
              </w:rPr>
              <w:t> </w:t>
            </w:r>
            <w:r>
              <w:rPr>
                <w:rFonts w:ascii="Times New Roman" w:hAnsi="Times New Roman"/>
                <w:sz w:val="24"/>
              </w:rPr>
              <w:t>575/2013, il valore dell</w:t>
            </w:r>
            <w:r w:rsidR="00521D0B">
              <w:rPr>
                <w:rFonts w:ascii="Times New Roman" w:hAnsi="Times New Roman"/>
                <w:sz w:val="24"/>
              </w:rPr>
              <w:t>'</w:t>
            </w:r>
            <w:r>
              <w:rPr>
                <w:rFonts w:ascii="Times New Roman" w:hAnsi="Times New Roman"/>
                <w:sz w:val="24"/>
              </w:rPr>
              <w:t>esposizione di una posizione verso la cartolarizzazione iscritta a bilancio è pari al valore contabile rimanente dopo l</w:t>
            </w:r>
            <w:r w:rsidR="00521D0B">
              <w:rPr>
                <w:rFonts w:ascii="Times New Roman" w:hAnsi="Times New Roman"/>
                <w:sz w:val="24"/>
              </w:rPr>
              <w:t>'</w:t>
            </w:r>
            <w:r>
              <w:rPr>
                <w:rFonts w:ascii="Times New Roman" w:hAnsi="Times New Roman"/>
                <w:sz w:val="24"/>
              </w:rPr>
              <w:t xml:space="preserve">applicazione di eventuali rettifiche di valore su crediti pertinenti specifiche alla posizione verso </w:t>
            </w:r>
            <w:r>
              <w:rPr>
                <w:rFonts w:ascii="Times New Roman" w:hAnsi="Times New Roman"/>
                <w:sz w:val="24"/>
              </w:rPr>
              <w:lastRenderedPageBreak/>
              <w:t>la cartolarizzazione in conformità dell</w:t>
            </w:r>
            <w:r w:rsidR="00521D0B">
              <w:rPr>
                <w:rFonts w:ascii="Times New Roman" w:hAnsi="Times New Roman"/>
                <w:sz w:val="24"/>
              </w:rPr>
              <w:t>'</w:t>
            </w:r>
            <w:r>
              <w:rPr>
                <w:rFonts w:ascii="Times New Roman" w:hAnsi="Times New Roman"/>
                <w:sz w:val="24"/>
              </w:rPr>
              <w:t>articolo 110 del regolamento (UE) n.</w:t>
            </w:r>
            <w:r w:rsidR="00521D0B">
              <w:rPr>
                <w:rFonts w:ascii="Times New Roman" w:hAnsi="Times New Roman"/>
                <w:sz w:val="24"/>
              </w:rPr>
              <w:t> </w:t>
            </w:r>
            <w:r>
              <w:rPr>
                <w:rFonts w:ascii="Times New Roman" w:hAnsi="Times New Roman"/>
                <w:sz w:val="24"/>
              </w:rPr>
              <w:t>575/2013.</w:t>
            </w:r>
          </w:p>
          <w:p w14:paraId="04329A93" w14:textId="2D9AB8E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Gli elementi in bilancio sono ripartiti in funzione delle informazioni relative all</w:t>
            </w:r>
            <w:r w:rsidR="00521D0B">
              <w:rPr>
                <w:rFonts w:ascii="Times New Roman" w:hAnsi="Times New Roman"/>
                <w:sz w:val="24"/>
              </w:rPr>
              <w:t>'</w:t>
            </w:r>
            <w:r>
              <w:rPr>
                <w:rFonts w:ascii="Times New Roman" w:hAnsi="Times New Roman"/>
                <w:sz w:val="24"/>
              </w:rPr>
              <w:t>applicazione del trattamento differenziato ai fini patrimoniali di cui all</w:t>
            </w:r>
            <w:r w:rsidR="00521D0B">
              <w:rPr>
                <w:rFonts w:ascii="Times New Roman" w:hAnsi="Times New Roman"/>
                <w:sz w:val="24"/>
              </w:rPr>
              <w:t>'</w:t>
            </w:r>
            <w:r>
              <w:rPr>
                <w:rFonts w:ascii="Times New Roman" w:hAnsi="Times New Roman"/>
                <w:sz w:val="24"/>
              </w:rPr>
              <w:t>articolo 243 del regolamento (UE) n. 575/2013 nelle righe 0100 e 0120 e sull</w:t>
            </w:r>
            <w:r w:rsidR="00521D0B">
              <w:rPr>
                <w:rFonts w:ascii="Times New Roman" w:hAnsi="Times New Roman"/>
                <w:sz w:val="24"/>
              </w:rPr>
              <w:t>'</w:t>
            </w:r>
            <w:r>
              <w:rPr>
                <w:rFonts w:ascii="Times New Roman" w:hAnsi="Times New Roman"/>
                <w:sz w:val="24"/>
              </w:rPr>
              <w:t>importo totale delle posizioni verso la cartolarizzazione senior ai sensi dell</w:t>
            </w:r>
            <w:r w:rsidR="00521D0B">
              <w:rPr>
                <w:rFonts w:ascii="Times New Roman" w:hAnsi="Times New Roman"/>
                <w:sz w:val="24"/>
              </w:rPr>
              <w:t>'</w:t>
            </w:r>
            <w:r>
              <w:rPr>
                <w:rFonts w:ascii="Times New Roman" w:hAnsi="Times New Roman"/>
                <w:sz w:val="24"/>
              </w:rPr>
              <w:t>articolo 242, punto 6, del regolamento (UE) n. 575/2013 nelle righe 0110 e 0130.</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 0220 e 0340</w:t>
            </w:r>
          </w:p>
        </w:tc>
        <w:tc>
          <w:tcPr>
            <w:tcW w:w="7889" w:type="dxa"/>
          </w:tcPr>
          <w:p w14:paraId="5DBE37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AMMISSIBILI AL TRATTAMENTO DIFFERENZIATO AI FINI PATRIMONIALI</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2A861BF0"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che soddisfano i criteri di cui all</w:t>
            </w:r>
            <w:r w:rsidR="00521D0B">
              <w:rPr>
                <w:rFonts w:ascii="Times New Roman" w:hAnsi="Times New Roman"/>
                <w:sz w:val="24"/>
              </w:rPr>
              <w:t>'</w:t>
            </w:r>
            <w:r>
              <w:rPr>
                <w:rFonts w:ascii="Times New Roman" w:hAnsi="Times New Roman"/>
                <w:sz w:val="24"/>
              </w:rPr>
              <w:t>articolo 243 del regolamento (UE) n. 575/2013 e possono pertanto essere soggette al trattamento differenziato ai fini patrimoniali.</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0110, 0131, 0134, 0160, 0180, 0230, 0251, 0254, 0280, 0300, 0350, 0371, 0374 0400 e 0420</w:t>
            </w:r>
          </w:p>
        </w:tc>
        <w:tc>
          <w:tcPr>
            <w:tcW w:w="7889" w:type="dxa"/>
          </w:tcPr>
          <w:p w14:paraId="0AA41DE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 CUI: ESPOSIZIONI DI PRIMO RANGO (SENIOR)</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40B47023"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senior ai sensi dell</w:t>
            </w:r>
            <w:r w:rsidR="00521D0B">
              <w:rPr>
                <w:rFonts w:ascii="Times New Roman" w:hAnsi="Times New Roman"/>
                <w:sz w:val="24"/>
              </w:rPr>
              <w:t>'</w:t>
            </w:r>
            <w:r>
              <w:rPr>
                <w:rFonts w:ascii="Times New Roman" w:hAnsi="Times New Roman"/>
                <w:sz w:val="24"/>
              </w:rPr>
              <w:t>articolo 242, punto 6, del regolamento (UE) n. 575/2013.</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0121, 0241 e 0361</w:t>
            </w:r>
          </w:p>
        </w:tc>
        <w:tc>
          <w:tcPr>
            <w:tcW w:w="7889" w:type="dxa"/>
          </w:tcPr>
          <w:p w14:paraId="72AD34E8" w14:textId="77777777" w:rsidR="00933ADA" w:rsidRPr="001235ED" w:rsidRDefault="00933ADA" w:rsidP="00822842">
            <w:pPr>
              <w:spacing w:before="0" w:after="0"/>
              <w:rPr>
                <w:rFonts w:ascii="Times New Roman" w:hAnsi="Times New Roman"/>
                <w:b/>
                <w:sz w:val="24"/>
                <w:u w:val="single"/>
              </w:rPr>
            </w:pPr>
            <w:r>
              <w:rPr>
                <w:rFonts w:ascii="Times New Roman" w:hAnsi="Times New Roman"/>
                <w:b/>
                <w:sz w:val="24"/>
                <w:u w:val="single"/>
              </w:rPr>
              <w:t>ESPOSIZIONI VERSO CARTOLARIZZAZIONI DI ESPOSIZIONI NON DETERIORATE</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317BE578"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Importo totale delle esposizioni che non soddisfano i requisiti di cui all</w:t>
            </w:r>
            <w:r w:rsidR="00521D0B">
              <w:rPr>
                <w:rFonts w:ascii="Times New Roman" w:hAnsi="Times New Roman"/>
                <w:sz w:val="24"/>
              </w:rPr>
              <w:t>'</w:t>
            </w:r>
            <w:r>
              <w:rPr>
                <w:rFonts w:ascii="Times New Roman" w:hAnsi="Times New Roman"/>
                <w:sz w:val="24"/>
              </w:rPr>
              <w:t>articolo</w:t>
            </w:r>
            <w:r w:rsidR="00521D0B">
              <w:rPr>
                <w:rFonts w:ascii="Times New Roman" w:hAnsi="Times New Roman"/>
                <w:sz w:val="24"/>
              </w:rPr>
              <w:t> </w:t>
            </w:r>
            <w:r>
              <w:rPr>
                <w:rFonts w:ascii="Times New Roman" w:hAnsi="Times New Roman"/>
                <w:sz w:val="24"/>
              </w:rPr>
              <w:t>269 bis, paragrafo 1, lettera a), del regolamento (UE) n. 575/2013.</w:t>
            </w:r>
          </w:p>
          <w:p w14:paraId="0A3257D4" w14:textId="77777777" w:rsidR="00933ADA" w:rsidRPr="00521D0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0133, 0253 e 0373</w:t>
            </w:r>
          </w:p>
        </w:tc>
        <w:tc>
          <w:tcPr>
            <w:tcW w:w="7889" w:type="dxa"/>
          </w:tcPr>
          <w:p w14:paraId="31FF072B" w14:textId="77777777" w:rsidR="00933ADA" w:rsidRPr="00CE797B" w:rsidRDefault="00933ADA" w:rsidP="00822842">
            <w:pPr>
              <w:spacing w:before="0" w:after="0"/>
              <w:rPr>
                <w:rFonts w:ascii="Times New Roman" w:hAnsi="Times New Roman"/>
                <w:b/>
                <w:sz w:val="24"/>
                <w:u w:val="single"/>
              </w:rPr>
            </w:pPr>
            <w:r>
              <w:rPr>
                <w:rFonts w:ascii="Times New Roman" w:hAnsi="Times New Roman"/>
                <w:b/>
                <w:sz w:val="24"/>
                <w:u w:val="single"/>
              </w:rPr>
              <w:t>ESPOSIZIONI VERSO CARTOLARIZZAZIONI DI ESPOSIZIONI DETERIORATE</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36A85D9A" w:rsidR="00933ADA" w:rsidRPr="002A677E" w:rsidRDefault="00933ADA" w:rsidP="00822842">
            <w:pPr>
              <w:spacing w:before="0" w:after="0"/>
              <w:rPr>
                <w:rFonts w:ascii="Times New Roman" w:hAnsi="Times New Roman"/>
                <w:sz w:val="24"/>
              </w:rPr>
            </w:pPr>
            <w:r>
              <w:rPr>
                <w:rFonts w:ascii="Times New Roman" w:hAnsi="Times New Roman"/>
                <w:sz w:val="24"/>
              </w:rPr>
              <w:t>Importo totale delle esposizioni che soddisfano i requisiti di cui all</w:t>
            </w:r>
            <w:r w:rsidR="00521D0B">
              <w:rPr>
                <w:rFonts w:ascii="Times New Roman" w:hAnsi="Times New Roman"/>
                <w:sz w:val="24"/>
              </w:rPr>
              <w:t>'</w:t>
            </w:r>
            <w:r>
              <w:rPr>
                <w:rFonts w:ascii="Times New Roman" w:hAnsi="Times New Roman"/>
                <w:sz w:val="24"/>
              </w:rPr>
              <w:t>articolo 269 bis, paragrafo 1, lettera a), del regolamento (UE) n. 575/2013.</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e 0374 </w:t>
            </w:r>
          </w:p>
        </w:tc>
        <w:tc>
          <w:tcPr>
            <w:tcW w:w="7889" w:type="dxa"/>
          </w:tcPr>
          <w:p w14:paraId="279BB3C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DI CUI: ESPOSIZIONI SENIOR VERSO CARTOLARIZZAZIONI AMMISSIBILI DI ESPOSIZIONI DETERIORATE TRADIZIONALI </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626EBAA9" w:rsidR="00933ADA" w:rsidRPr="002A677E" w:rsidRDefault="00933ADA" w:rsidP="00822842">
            <w:pPr>
              <w:spacing w:before="0" w:after="0"/>
              <w:rPr>
                <w:rFonts w:ascii="Times New Roman" w:hAnsi="Times New Roman"/>
                <w:sz w:val="24"/>
              </w:rPr>
            </w:pPr>
            <w:r>
              <w:rPr>
                <w:rFonts w:ascii="Times New Roman" w:hAnsi="Times New Roman"/>
                <w:sz w:val="24"/>
              </w:rPr>
              <w:t>Importo totale delle esposizioni che soddisfano i requisiti di cui all</w:t>
            </w:r>
            <w:r w:rsidR="00521D0B">
              <w:rPr>
                <w:rFonts w:ascii="Times New Roman" w:hAnsi="Times New Roman"/>
                <w:sz w:val="24"/>
              </w:rPr>
              <w:t>'</w:t>
            </w:r>
            <w:r>
              <w:rPr>
                <w:rFonts w:ascii="Times New Roman" w:hAnsi="Times New Roman"/>
                <w:sz w:val="24"/>
              </w:rPr>
              <w:t>articolo 269 bis, paragrafo 1, lettera b), del regolamento (UE) n. 575/2013.</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0135, 0255 e 0375</w:t>
            </w:r>
          </w:p>
        </w:tc>
        <w:tc>
          <w:tcPr>
            <w:tcW w:w="7889" w:type="dxa"/>
          </w:tcPr>
          <w:p w14:paraId="6ABE73B5"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DI CUI: ESPOSIZIONI SENIOR VERSO CARTOLARIZZAZIONI NON AMMISSIBILI DI ESPOSIZIONI DETERIORATE TRADIZIONALI </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3DB1053"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Importo totale delle esposizioni che non soddisfano i requisiti di cui all</w:t>
            </w:r>
            <w:r w:rsidR="00521D0B">
              <w:rPr>
                <w:rFonts w:ascii="Times New Roman" w:hAnsi="Times New Roman"/>
                <w:sz w:val="24"/>
              </w:rPr>
              <w:t>'</w:t>
            </w:r>
            <w:r>
              <w:rPr>
                <w:rFonts w:ascii="Times New Roman" w:hAnsi="Times New Roman"/>
                <w:sz w:val="24"/>
              </w:rPr>
              <w:t>articolo</w:t>
            </w:r>
            <w:r w:rsidR="00521D0B">
              <w:rPr>
                <w:rFonts w:ascii="Times New Roman" w:hAnsi="Times New Roman"/>
                <w:sz w:val="24"/>
              </w:rPr>
              <w:t> </w:t>
            </w:r>
            <w:r>
              <w:rPr>
                <w:rFonts w:ascii="Times New Roman" w:hAnsi="Times New Roman"/>
                <w:sz w:val="24"/>
              </w:rPr>
              <w:t>269 bis, paragrafo 1, lettera b), del regolamento (UE) n. 575/2013.</w:t>
            </w:r>
          </w:p>
          <w:p w14:paraId="0FBF377F" w14:textId="77777777" w:rsidR="00933ADA" w:rsidRPr="00521D0B" w:rsidRDefault="00933ADA" w:rsidP="00822842">
            <w:pPr>
              <w:spacing w:before="0" w:after="0"/>
              <w:rPr>
                <w:rFonts w:ascii="Times New Roman" w:hAnsi="Times New Roman"/>
                <w:b/>
                <w:sz w:val="24"/>
                <w:u w:val="single"/>
                <w:lang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0136, 0256 e 0376</w:t>
            </w:r>
          </w:p>
        </w:tc>
        <w:tc>
          <w:tcPr>
            <w:tcW w:w="7889" w:type="dxa"/>
          </w:tcPr>
          <w:p w14:paraId="7B42526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DI CUI: ESPOSIZIONI NON SENIOR VERSO CARTOLARIZZAZIONI AMMISSIBILI DI ESPOSIZIONI DETERIORATE TRADIZIONALI</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515F78BE" w:rsidR="00933ADA" w:rsidRPr="001235ED" w:rsidRDefault="00933ADA" w:rsidP="00822842">
            <w:pPr>
              <w:spacing w:before="0" w:after="0"/>
              <w:rPr>
                <w:rFonts w:ascii="Times New Roman" w:hAnsi="Times New Roman"/>
                <w:sz w:val="24"/>
              </w:rPr>
            </w:pPr>
            <w:r>
              <w:rPr>
                <w:rFonts w:ascii="Times New Roman" w:hAnsi="Times New Roman"/>
                <w:sz w:val="24"/>
              </w:rPr>
              <w:t>Importo totale delle esposizioni che soddisfano i requisiti di cui all</w:t>
            </w:r>
            <w:r w:rsidR="00521D0B">
              <w:rPr>
                <w:rFonts w:ascii="Times New Roman" w:hAnsi="Times New Roman"/>
                <w:sz w:val="24"/>
              </w:rPr>
              <w:t>'</w:t>
            </w:r>
            <w:r>
              <w:rPr>
                <w:rFonts w:ascii="Times New Roman" w:hAnsi="Times New Roman"/>
                <w:sz w:val="24"/>
              </w:rPr>
              <w:t>articolo 269 bis, paragrafo 1, lettera a), del regolamento (UE) n. 575/2013 e che non soddisfano i requisiti di cui all</w:t>
            </w:r>
            <w:r w:rsidR="00521D0B">
              <w:rPr>
                <w:rFonts w:ascii="Times New Roman" w:hAnsi="Times New Roman"/>
                <w:sz w:val="24"/>
              </w:rPr>
              <w:t>'</w:t>
            </w:r>
            <w:r>
              <w:rPr>
                <w:rFonts w:ascii="Times New Roman" w:hAnsi="Times New Roman"/>
                <w:sz w:val="24"/>
              </w:rPr>
              <w:t>articolo 269 bis, paragrafo 1, lettera b), del regolamento (UE) n. 575/2013.</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0140-0180, 0260-0300 e 0380-0420</w:t>
            </w:r>
          </w:p>
        </w:tc>
        <w:tc>
          <w:tcPr>
            <w:tcW w:w="7889" w:type="dxa"/>
          </w:tcPr>
          <w:p w14:paraId="652BA236"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POSIZIONI VERSO LA CARTOLARIZZAZIONE: ELEMENTI FUORI BILANCIO E DERIVATI</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34E9F2A3"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Queste righe contengono informazioni sulle posizioni verso la cartolarizzazione relative a elementi fuori bilancio e derivati soggette a un fattore di conversione nell</w:t>
            </w:r>
            <w:r w:rsidR="00521D0B">
              <w:rPr>
                <w:rFonts w:ascii="Times New Roman" w:hAnsi="Times New Roman"/>
                <w:sz w:val="24"/>
              </w:rPr>
              <w:t>'</w:t>
            </w:r>
            <w:r>
              <w:rPr>
                <w:rFonts w:ascii="Times New Roman" w:hAnsi="Times New Roman"/>
                <w:sz w:val="24"/>
              </w:rPr>
              <w:t>ambito del quadro in materia di cartolarizzazione. Ove non diversamente specificato, il valore dell</w:t>
            </w:r>
            <w:r w:rsidR="00521D0B">
              <w:rPr>
                <w:rFonts w:ascii="Times New Roman" w:hAnsi="Times New Roman"/>
                <w:sz w:val="24"/>
              </w:rPr>
              <w:t>'</w:t>
            </w:r>
            <w:r>
              <w:rPr>
                <w:rFonts w:ascii="Times New Roman" w:hAnsi="Times New Roman"/>
                <w:sz w:val="24"/>
              </w:rPr>
              <w:t>esposizione di una posizione verso la cartolarizzazione fuori bilancio è pari al suo valore nominale meno qualsiasi rettifica di valore su crediti specifica di tale posizione, moltiplicato per un fattore di conversione del 100 %</w:t>
            </w:r>
            <w:r>
              <w:t>.</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29B9930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 posizioni verso la cartolarizzazione fuori bilancio risultanti da uno degli strumenti derivati elencati nell</w:t>
            </w:r>
            <w:r w:rsidR="00521D0B">
              <w:rPr>
                <w:rFonts w:ascii="Times New Roman" w:hAnsi="Times New Roman"/>
                <w:sz w:val="24"/>
              </w:rPr>
              <w:t>'</w:t>
            </w:r>
            <w:r>
              <w:rPr>
                <w:rFonts w:ascii="Times New Roman" w:hAnsi="Times New Roman"/>
                <w:sz w:val="24"/>
              </w:rPr>
              <w:t>allegato II del regolamento (UE) n. 575/2013 sono determinate conformemente alla parte tre, titolo II, capo 6, di tale regolamento. Il valore dell</w:t>
            </w:r>
            <w:r w:rsidR="00521D0B">
              <w:rPr>
                <w:rFonts w:ascii="Times New Roman" w:hAnsi="Times New Roman"/>
                <w:sz w:val="24"/>
              </w:rPr>
              <w:t>'</w:t>
            </w:r>
            <w:r>
              <w:rPr>
                <w:rFonts w:ascii="Times New Roman" w:hAnsi="Times New Roman"/>
                <w:sz w:val="24"/>
              </w:rPr>
              <w:t>esposizione per il rischio di controparte di uno degli strumenti derivati elencati nell</w:t>
            </w:r>
            <w:r w:rsidR="00521D0B">
              <w:rPr>
                <w:rFonts w:ascii="Times New Roman" w:hAnsi="Times New Roman"/>
                <w:sz w:val="24"/>
              </w:rPr>
              <w:t>'</w:t>
            </w:r>
            <w:r>
              <w:rPr>
                <w:rFonts w:ascii="Times New Roman" w:hAnsi="Times New Roman"/>
                <w:sz w:val="24"/>
              </w:rPr>
              <w:t xml:space="preserve">allegato II del regolamento (UE) n. 575/2013 è determinato conformemente alla parte tre, titolo II, capo 6, di tale regolamento.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261C4EF"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Per le linee di liquidità, le linee di credito e gli anticipi per cassa del gestore gli enti segnalano l</w:t>
            </w:r>
            <w:r w:rsidR="00521D0B">
              <w:rPr>
                <w:rFonts w:ascii="Times New Roman" w:hAnsi="Times New Roman"/>
                <w:sz w:val="24"/>
              </w:rPr>
              <w:t>'</w:t>
            </w:r>
            <w:r>
              <w:rPr>
                <w:rFonts w:ascii="Times New Roman" w:hAnsi="Times New Roman"/>
                <w:sz w:val="24"/>
              </w:rPr>
              <w:t>importo non utilizzato.</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6D2BB46"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Per gli swap su tassi d</w:t>
            </w:r>
            <w:r w:rsidR="00521D0B">
              <w:rPr>
                <w:rFonts w:ascii="Times New Roman" w:hAnsi="Times New Roman"/>
                <w:sz w:val="24"/>
              </w:rPr>
              <w:t>'</w:t>
            </w:r>
            <w:r>
              <w:rPr>
                <w:rFonts w:ascii="Times New Roman" w:hAnsi="Times New Roman"/>
                <w:sz w:val="24"/>
              </w:rPr>
              <w:t>interesse e su valute è indicato il valore dell</w:t>
            </w:r>
            <w:r w:rsidR="00521D0B">
              <w:rPr>
                <w:rFonts w:ascii="Times New Roman" w:hAnsi="Times New Roman"/>
                <w:sz w:val="24"/>
              </w:rPr>
              <w:t>'</w:t>
            </w:r>
            <w:r>
              <w:rPr>
                <w:rFonts w:ascii="Times New Roman" w:hAnsi="Times New Roman"/>
                <w:sz w:val="24"/>
              </w:rPr>
              <w:t>esposizione (calcolato conformemente all</w:t>
            </w:r>
            <w:r w:rsidR="00521D0B">
              <w:rPr>
                <w:rFonts w:ascii="Times New Roman" w:hAnsi="Times New Roman"/>
                <w:sz w:val="24"/>
              </w:rPr>
              <w:t>'</w:t>
            </w:r>
            <w:r>
              <w:rPr>
                <w:rFonts w:ascii="Times New Roman" w:hAnsi="Times New Roman"/>
                <w:sz w:val="24"/>
              </w:rPr>
              <w:t>articolo 248, paragrafo 1, del regolamento (UE) n.</w:t>
            </w:r>
            <w:r w:rsidR="00521D0B">
              <w:rPr>
                <w:rFonts w:ascii="Times New Roman" w:hAnsi="Times New Roman"/>
                <w:sz w:val="24"/>
              </w:rPr>
              <w:t> </w:t>
            </w:r>
            <w:r>
              <w:rPr>
                <w:rFonts w:ascii="Times New Roman" w:hAnsi="Times New Roman"/>
                <w:sz w:val="24"/>
              </w:rPr>
              <w:t>575/2013).</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954E9C4"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Gli elementi fuori bilancio e i derivati sono ripartiti in funzione delle informazioni relative all</w:t>
            </w:r>
            <w:r w:rsidR="00521D0B">
              <w:rPr>
                <w:rFonts w:ascii="Times New Roman" w:hAnsi="Times New Roman"/>
                <w:sz w:val="24"/>
              </w:rPr>
              <w:t>'</w:t>
            </w:r>
            <w:r>
              <w:rPr>
                <w:rFonts w:ascii="Times New Roman" w:hAnsi="Times New Roman"/>
                <w:sz w:val="24"/>
              </w:rPr>
              <w:t>applicazione del trattamento differenziato ai fini patrimoniali di cui all</w:t>
            </w:r>
            <w:r w:rsidR="00521D0B">
              <w:rPr>
                <w:rFonts w:ascii="Times New Roman" w:hAnsi="Times New Roman"/>
                <w:sz w:val="24"/>
              </w:rPr>
              <w:t>'</w:t>
            </w:r>
            <w:r>
              <w:rPr>
                <w:rFonts w:ascii="Times New Roman" w:hAnsi="Times New Roman"/>
                <w:sz w:val="24"/>
              </w:rPr>
              <w:t>articolo 270 del regolamento (UE) n. 575/2013 nelle righe 0150 e 0170 e sull</w:t>
            </w:r>
            <w:r w:rsidR="00521D0B">
              <w:rPr>
                <w:rFonts w:ascii="Times New Roman" w:hAnsi="Times New Roman"/>
                <w:sz w:val="24"/>
              </w:rPr>
              <w:t>'</w:t>
            </w:r>
            <w:r>
              <w:rPr>
                <w:rFonts w:ascii="Times New Roman" w:hAnsi="Times New Roman"/>
                <w:sz w:val="24"/>
              </w:rPr>
              <w:t>importo totale delle posizioni verso la cartolarizzazione senior ai sensi dell</w:t>
            </w:r>
            <w:r w:rsidR="00521D0B">
              <w:rPr>
                <w:rFonts w:ascii="Times New Roman" w:hAnsi="Times New Roman"/>
                <w:sz w:val="24"/>
              </w:rPr>
              <w:t>'</w:t>
            </w:r>
            <w:r>
              <w:rPr>
                <w:rFonts w:ascii="Times New Roman" w:hAnsi="Times New Roman"/>
                <w:sz w:val="24"/>
              </w:rPr>
              <w:t>articolo 242, punto 6, del regolamento (UE) n. 575/2013 nelle righe 0160 e 0180. Si applicano gli stessi riferimenti giuridici previsti per le righe da 0100 a 0130.</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521D0B">
            <w:pPr>
              <w:keepNext/>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e 0390</w:t>
            </w:r>
          </w:p>
        </w:tc>
        <w:tc>
          <w:tcPr>
            <w:tcW w:w="7889" w:type="dxa"/>
          </w:tcPr>
          <w:p w14:paraId="29A63995" w14:textId="77777777" w:rsidR="00933ADA" w:rsidRPr="002A677E" w:rsidRDefault="00933ADA" w:rsidP="00521D0B">
            <w:pPr>
              <w:keepNext/>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AMMISSIBILI AL TRATTAMENTO DIFFERENZIATO AI FINI PATRIMONIALI</w:t>
            </w:r>
          </w:p>
          <w:p w14:paraId="68FBD03C" w14:textId="77777777" w:rsidR="00933ADA" w:rsidRPr="002A677E" w:rsidRDefault="00933ADA" w:rsidP="00521D0B">
            <w:pPr>
              <w:keepNext/>
              <w:autoSpaceDE w:val="0"/>
              <w:autoSpaceDN w:val="0"/>
              <w:adjustRightInd w:val="0"/>
              <w:spacing w:before="0" w:after="0"/>
              <w:jc w:val="left"/>
              <w:rPr>
                <w:rFonts w:ascii="Times New Roman" w:hAnsi="Times New Roman"/>
                <w:b/>
                <w:sz w:val="24"/>
                <w:u w:val="single"/>
                <w:lang w:eastAsia="es-ES_tradnl"/>
              </w:rPr>
            </w:pPr>
          </w:p>
          <w:p w14:paraId="1F707619" w14:textId="3B30FE80" w:rsidR="00933ADA" w:rsidRPr="001235ED" w:rsidRDefault="00933ADA" w:rsidP="00521D0B">
            <w:pPr>
              <w:keepNext/>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che soddisfano i criteri di cui all</w:t>
            </w:r>
            <w:r w:rsidR="00521D0B">
              <w:rPr>
                <w:rFonts w:ascii="Times New Roman" w:hAnsi="Times New Roman"/>
                <w:sz w:val="24"/>
              </w:rPr>
              <w:t>'</w:t>
            </w:r>
            <w:r>
              <w:rPr>
                <w:rFonts w:ascii="Times New Roman" w:hAnsi="Times New Roman"/>
                <w:sz w:val="24"/>
              </w:rPr>
              <w:t>articolo 243 del regolamento (UE) n. 575/2013 o, solo per i cedenti, all</w:t>
            </w:r>
            <w:r w:rsidR="00521D0B">
              <w:rPr>
                <w:rFonts w:ascii="Times New Roman" w:hAnsi="Times New Roman"/>
                <w:sz w:val="24"/>
              </w:rPr>
              <w:t>'</w:t>
            </w:r>
            <w:r>
              <w:rPr>
                <w:rFonts w:ascii="Times New Roman" w:hAnsi="Times New Roman"/>
                <w:sz w:val="24"/>
              </w:rPr>
              <w:t>articolo 270 o 494 quater del regolamento (UE) n. 575/2013 e possono pertanto essere soggette al trattamento differenziato ai fini patrimoniali.</w:t>
            </w:r>
          </w:p>
          <w:p w14:paraId="386F70ED" w14:textId="77777777" w:rsidR="00933ADA" w:rsidRPr="002A677E" w:rsidRDefault="00933ADA" w:rsidP="00521D0B">
            <w:pPr>
              <w:keepNext/>
              <w:spacing w:before="0" w:after="0"/>
              <w:rPr>
                <w:rFonts w:ascii="Times New Roman" w:hAnsi="Times New Roman"/>
                <w:sz w:val="24"/>
                <w:lang w:eastAsia="es-ES_tradnl"/>
              </w:rPr>
            </w:pPr>
          </w:p>
          <w:p w14:paraId="264C17C1" w14:textId="77777777" w:rsidR="00933ADA" w:rsidRPr="002A677E" w:rsidRDefault="00933ADA" w:rsidP="00521D0B">
            <w:pPr>
              <w:keepNext/>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6D6A0BD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INVESTITORE: ESPOSIZIONI TOTALI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5E0F8F98"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Questa riga riassume le informazioni riguardanti gli elementi in bilancio e gli elementi fuori bilancio e i derivati delle posizioni verso la cartolarizzazione</w:t>
            </w:r>
            <w:r>
              <w:rPr>
                <w:rFonts w:ascii="Times New Roman" w:hAnsi="Times New Roman"/>
                <w:sz w:val="24"/>
              </w:rPr>
              <w:t xml:space="preserve"> e la </w:t>
            </w:r>
            <w:proofErr w:type="spellStart"/>
            <w:r>
              <w:rPr>
                <w:rFonts w:ascii="Times New Roman" w:hAnsi="Times New Roman"/>
                <w:sz w:val="24"/>
              </w:rPr>
              <w:t>ricartolarizzazione</w:t>
            </w:r>
            <w:proofErr w:type="spellEnd"/>
            <w:r>
              <w:rPr>
                <w:rFonts w:ascii="Times New Roman" w:hAnsi="Times New Roman"/>
                <w:sz w:val="24"/>
              </w:rPr>
              <w:t xml:space="preserve"> </w:t>
            </w:r>
            <w:r>
              <w:rPr>
                <w:rStyle w:val="FormatvorlageInstructionsTabelleText"/>
                <w:rFonts w:ascii="Times New Roman" w:hAnsi="Times New Roman"/>
                <w:sz w:val="24"/>
              </w:rPr>
              <w:t>nelle quali l</w:t>
            </w:r>
            <w:r w:rsidR="00521D0B">
              <w:rPr>
                <w:rStyle w:val="FormatvorlageInstructionsTabelleText"/>
                <w:rFonts w:ascii="Times New Roman" w:hAnsi="Times New Roman"/>
                <w:sz w:val="24"/>
              </w:rPr>
              <w:t>'</w:t>
            </w:r>
            <w:r>
              <w:rPr>
                <w:rStyle w:val="FormatvorlageInstructionsTabelleText"/>
                <w:rFonts w:ascii="Times New Roman" w:hAnsi="Times New Roman"/>
                <w:sz w:val="24"/>
              </w:rPr>
              <w:t>ente ha il ruolo di investitore</w:t>
            </w:r>
            <w:r>
              <w:rPr>
                <w:rFonts w:ascii="Times New Roman" w:hAnsi="Times New Roman"/>
                <w:sz w:val="24"/>
              </w:rPr>
              <w:t>.</w:t>
            </w:r>
            <w:r>
              <w:rPr>
                <w:rStyle w:val="FormatvorlageInstructionsTabelleText"/>
                <w:rFonts w:ascii="Times New Roman" w:hAnsi="Times New Roman"/>
                <w:sz w:val="24"/>
              </w:rPr>
              <w:t xml:space="preserve">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B9FC554"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Ai fini di questo modello, per </w:t>
            </w:r>
            <w:r w:rsidR="00521D0B">
              <w:rPr>
                <w:rStyle w:val="FormatvorlageInstructionsTabelleText"/>
                <w:rFonts w:ascii="Times New Roman" w:hAnsi="Times New Roman"/>
                <w:sz w:val="24"/>
              </w:rPr>
              <w:t>"</w:t>
            </w:r>
            <w:r>
              <w:rPr>
                <w:rStyle w:val="FormatvorlageInstructionsTabelleText"/>
                <w:rFonts w:ascii="Times New Roman" w:hAnsi="Times New Roman"/>
                <w:sz w:val="24"/>
              </w:rPr>
              <w:t>investitore</w:t>
            </w:r>
            <w:r w:rsidR="00521D0B">
              <w:rPr>
                <w:rStyle w:val="FormatvorlageInstructionsTabelleText"/>
                <w:rFonts w:ascii="Times New Roman" w:hAnsi="Times New Roman"/>
                <w:sz w:val="24"/>
              </w:rPr>
              <w:t>"</w:t>
            </w:r>
            <w:r>
              <w:rPr>
                <w:rStyle w:val="FormatvorlageInstructionsTabelleText"/>
                <w:rFonts w:ascii="Times New Roman" w:hAnsi="Times New Roman"/>
                <w:sz w:val="24"/>
              </w:rPr>
              <w:t xml:space="preserve"> s</w:t>
            </w:r>
            <w:r w:rsidR="00521D0B">
              <w:rPr>
                <w:rStyle w:val="FormatvorlageInstructionsTabelleText"/>
                <w:rFonts w:ascii="Times New Roman" w:hAnsi="Times New Roman"/>
                <w:sz w:val="24"/>
              </w:rPr>
              <w:t>'</w:t>
            </w:r>
            <w:r>
              <w:rPr>
                <w:rStyle w:val="FormatvorlageInstructionsTabelleText"/>
                <w:rFonts w:ascii="Times New Roman" w:hAnsi="Times New Roman"/>
                <w:sz w:val="24"/>
              </w:rPr>
              <w:t>intende un ente che detiene una posizione verso la cartolarizzazione in un</w:t>
            </w:r>
            <w:r w:rsidR="00521D0B">
              <w:rPr>
                <w:rStyle w:val="FormatvorlageInstructionsTabelleText"/>
                <w:rFonts w:ascii="Times New Roman" w:hAnsi="Times New Roman"/>
                <w:sz w:val="24"/>
              </w:rPr>
              <w:t>'</w:t>
            </w:r>
            <w:r>
              <w:rPr>
                <w:rStyle w:val="FormatvorlageInstructionsTabelleText"/>
                <w:rFonts w:ascii="Times New Roman" w:hAnsi="Times New Roman"/>
                <w:sz w:val="24"/>
              </w:rPr>
              <w:t>operazione di cartolarizzazione nella quale non è né il cedente né il promotore.</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390D840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PROMOTORE: ESPOSIZIONI TOTALI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287BEA4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Questa riga riassume le informazioni riguardanti gli elementi in bilancio, gli elementi fuori bilancio e i derivati delle posizioni verso la cartolarizzazione e la </w:t>
            </w:r>
            <w:proofErr w:type="spellStart"/>
            <w:r>
              <w:rPr>
                <w:rFonts w:ascii="Times New Roman" w:hAnsi="Times New Roman"/>
                <w:sz w:val="24"/>
              </w:rPr>
              <w:t>ricartolarizzazione</w:t>
            </w:r>
            <w:proofErr w:type="spellEnd"/>
            <w:r>
              <w:rPr>
                <w:rFonts w:ascii="Times New Roman" w:hAnsi="Times New Roman"/>
                <w:sz w:val="24"/>
              </w:rPr>
              <w:t xml:space="preserve"> nelle quali l</w:t>
            </w:r>
            <w:r w:rsidR="00521D0B">
              <w:rPr>
                <w:rFonts w:ascii="Times New Roman" w:hAnsi="Times New Roman"/>
                <w:sz w:val="24"/>
              </w:rPr>
              <w:t>'</w:t>
            </w:r>
            <w:r>
              <w:rPr>
                <w:rFonts w:ascii="Times New Roman" w:hAnsi="Times New Roman"/>
                <w:sz w:val="24"/>
              </w:rPr>
              <w:t>ente ha il ruolo di promotore ai sensi dell</w:t>
            </w:r>
            <w:r w:rsidR="00521D0B">
              <w:rPr>
                <w:rFonts w:ascii="Times New Roman" w:hAnsi="Times New Roman"/>
                <w:sz w:val="24"/>
              </w:rPr>
              <w:t>'</w:t>
            </w:r>
            <w:r>
              <w:rPr>
                <w:rFonts w:ascii="Times New Roman" w:hAnsi="Times New Roman"/>
                <w:sz w:val="24"/>
              </w:rPr>
              <w:t>articolo</w:t>
            </w:r>
            <w:r w:rsidR="0096263E">
              <w:rPr>
                <w:rFonts w:ascii="Times New Roman" w:hAnsi="Times New Roman"/>
                <w:sz w:val="24"/>
              </w:rPr>
              <w:t> </w:t>
            </w:r>
            <w:r>
              <w:rPr>
                <w:rFonts w:ascii="Times New Roman" w:hAnsi="Times New Roman"/>
                <w:sz w:val="24"/>
              </w:rPr>
              <w:t>4, paragrafo 1, punto 14, del regolamento (UE) n. 575/2013. Se cartolarizza anche attività proprie, il promotore inserisce nelle righe dedicate al cedente le informazioni relative alle proprie attività cartolarizzate.</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0F8A1D3F" w14:textId="63913AC9"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RIPARTIZIONE DELLE POSIZIONI IN ESSERE PER CLASSE DI MERITO DI CREDITO (CQS) ALL</w:t>
            </w:r>
            <w:r w:rsidR="00521D0B">
              <w:rPr>
                <w:rFonts w:ascii="Times New Roman" w:hAnsi="Times New Roman"/>
                <w:b/>
                <w:sz w:val="24"/>
                <w:u w:val="single"/>
              </w:rPr>
              <w:t>'</w:t>
            </w:r>
            <w:r>
              <w:rPr>
                <w:rFonts w:ascii="Times New Roman" w:hAnsi="Times New Roman"/>
                <w:b/>
                <w:sz w:val="24"/>
                <w:u w:val="single"/>
              </w:rPr>
              <w:t>AVVIO</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3AFD805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Queste righe contengono informazioni sulle posizioni in essere (alla data di riferimento per le segnalazioni) per le quali è stata determinata la classe di merito di credito (come indicato nelle tabelle 1 e 2 dell</w:t>
            </w:r>
            <w:r w:rsidR="00521D0B">
              <w:rPr>
                <w:rFonts w:ascii="Times New Roman" w:hAnsi="Times New Roman"/>
                <w:sz w:val="24"/>
              </w:rPr>
              <w:t>'</w:t>
            </w:r>
            <w:r>
              <w:rPr>
                <w:rFonts w:ascii="Times New Roman" w:hAnsi="Times New Roman"/>
                <w:sz w:val="24"/>
              </w:rPr>
              <w:t>articolo 263 e nelle tabelle 3 e 4 dell</w:t>
            </w:r>
            <w:r w:rsidR="00521D0B">
              <w:rPr>
                <w:rFonts w:ascii="Times New Roman" w:hAnsi="Times New Roman"/>
                <w:sz w:val="24"/>
              </w:rPr>
              <w:t>'</w:t>
            </w:r>
            <w:r>
              <w:rPr>
                <w:rFonts w:ascii="Times New Roman" w:hAnsi="Times New Roman"/>
                <w:sz w:val="24"/>
              </w:rPr>
              <w:t>articolo 264 del regolamento (UE) n. 575/2013) alla data di creazione (avvio). Per le posizioni verso la cartolarizzazione trattate secondo l</w:t>
            </w:r>
            <w:r w:rsidR="00521D0B">
              <w:rPr>
                <w:rFonts w:ascii="Times New Roman" w:hAnsi="Times New Roman"/>
                <w:sz w:val="24"/>
              </w:rPr>
              <w:t>'</w:t>
            </w:r>
            <w:r>
              <w:rPr>
                <w:rFonts w:ascii="Times New Roman" w:hAnsi="Times New Roman"/>
                <w:sz w:val="24"/>
              </w:rPr>
              <w:t>IAA, la CQS è quella corrispondente alla prima assegnazione del rating IAA. In mancanza di questa informazione sono segnalati i dati disponibili equivalenti alle classi di merito di credito di più antica data.</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Queste righe devono essere compilate soltanto per le colonne 0180-0210, 0280, 0350-0640, 0700-0720, 0740, 0760-0830 e 0850.</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5" w:name="_Toc239157390"/>
      <w:bookmarkStart w:id="6" w:name="_Toc310415046"/>
      <w:bookmarkStart w:id="7" w:name="_Toc360188381"/>
      <w:bookmarkStart w:id="8" w:name="_Toc473560932"/>
      <w:bookmarkStart w:id="9" w:name="_Toc151714436"/>
      <w:r>
        <w:rPr>
          <w:rFonts w:ascii="Times New Roman" w:hAnsi="Times New Roman"/>
          <w:sz w:val="24"/>
          <w:u w:val="none"/>
        </w:rPr>
        <w:lastRenderedPageBreak/>
        <w:t>3.8.</w:t>
      </w:r>
      <w:r w:rsidRPr="00521D0B">
        <w:rPr>
          <w:u w:val="none"/>
        </w:rPr>
        <w:tab/>
      </w:r>
      <w:bookmarkEnd w:id="5"/>
      <w:r>
        <w:rPr>
          <w:rFonts w:ascii="Times New Roman" w:hAnsi="Times New Roman"/>
          <w:sz w:val="24"/>
        </w:rPr>
        <w:t>Informazioni dettagliate sulle cartolarizzazioni</w:t>
      </w:r>
      <w:bookmarkEnd w:id="6"/>
      <w:bookmarkEnd w:id="7"/>
      <w:r>
        <w:t xml:space="preserve"> </w:t>
      </w:r>
      <w:r>
        <w:rPr>
          <w:rFonts w:ascii="Times New Roman" w:hAnsi="Times New Roman"/>
          <w:sz w:val="24"/>
        </w:rPr>
        <w:t>(SEC DETAILS)</w:t>
      </w:r>
      <w:bookmarkEnd w:id="8"/>
      <w:bookmarkEnd w:id="9"/>
    </w:p>
    <w:p w14:paraId="50306AC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0" w:name="_Toc310415047"/>
      <w:bookmarkStart w:id="11" w:name="_Toc360188382"/>
      <w:bookmarkStart w:id="12" w:name="_Toc473560933"/>
      <w:bookmarkStart w:id="13" w:name="_Toc151714437"/>
      <w:r>
        <w:rPr>
          <w:rFonts w:ascii="Times New Roman" w:hAnsi="Times New Roman"/>
          <w:sz w:val="24"/>
          <w:u w:val="none"/>
        </w:rPr>
        <w:t>3.8.1.</w:t>
      </w:r>
      <w:r w:rsidRPr="00521D0B">
        <w:rPr>
          <w:u w:val="none"/>
        </w:rPr>
        <w:tab/>
      </w:r>
      <w:r>
        <w:rPr>
          <w:rFonts w:ascii="Times New Roman" w:hAnsi="Times New Roman"/>
          <w:sz w:val="24"/>
          <w:u w:val="none"/>
        </w:rPr>
        <w:t>Ambito di applicazione del modello SEC DETAILS</w:t>
      </w:r>
      <w:bookmarkEnd w:id="10"/>
      <w:bookmarkEnd w:id="11"/>
      <w:bookmarkEnd w:id="12"/>
      <w:bookmarkEnd w:id="13"/>
    </w:p>
    <w:bookmarkStart w:id="14" w:name="_Toc310415048"/>
    <w:bookmarkStart w:id="15" w:name="_Toc360188383"/>
    <w:bookmarkStart w:id="16" w:name="_Toc473560934"/>
    <w:p w14:paraId="6C7E4DDB" w14:textId="28A5D648" w:rsidR="00933ADA" w:rsidRPr="002A677E" w:rsidRDefault="00933ADA" w:rsidP="00933ADA">
      <w:pPr>
        <w:pStyle w:val="InstructionsText2"/>
        <w:numPr>
          <w:ilvl w:val="0"/>
          <w:numId w:val="0"/>
        </w:numPr>
        <w:ind w:left="993"/>
      </w:pPr>
      <w:r>
        <w:fldChar w:fldCharType="begin"/>
      </w:r>
      <w:r>
        <w:instrText xml:space="preserve"> seq paragraphs </w:instrText>
      </w:r>
      <w:r>
        <w:fldChar w:fldCharType="separate"/>
      </w:r>
      <w:r>
        <w:t>111</w:t>
      </w:r>
      <w:r>
        <w:fldChar w:fldCharType="end"/>
      </w:r>
      <w:r>
        <w:t>.</w:t>
      </w:r>
      <w:r>
        <w:tab/>
        <w:t xml:space="preserve"> Questi modelli contengono informazioni suddivise per singola operazione (a</w:t>
      </w:r>
      <w:r w:rsidR="00521D0B">
        <w:t> </w:t>
      </w:r>
      <w:r>
        <w:t>differenza delle informazioni aggregate segnalate nei modelli CR SEC, MKR SA SEC, MKR SA CTP, CA1 e CA2) riguardanti tutte le cartolarizzazioni alle quali l</w:t>
      </w:r>
      <w:r w:rsidR="00521D0B">
        <w:t>'</w:t>
      </w:r>
      <w:r>
        <w:t xml:space="preserve">ente segnalante partecipa. Sono indicate le caratteristiche principali di ciascuna cartolarizzazione, quali la natura del portafoglio sottostante e i requisiti di fondi propri. </w:t>
      </w:r>
    </w:p>
    <w:p w14:paraId="447DAF6A" w14:textId="27D596A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112</w:t>
      </w:r>
      <w:r>
        <w:fldChar w:fldCharType="end"/>
      </w:r>
      <w:r>
        <w:t>.</w:t>
      </w:r>
      <w:r>
        <w:tab/>
        <w:t xml:space="preserve"> Questi modelli devono essere compilati per:</w:t>
      </w:r>
    </w:p>
    <w:p w14:paraId="24BF3BDE" w14:textId="5CB56401" w:rsidR="00933ADA" w:rsidRPr="002A677E" w:rsidRDefault="00933ADA" w:rsidP="00933ADA">
      <w:pPr>
        <w:pStyle w:val="InstructionsText2"/>
        <w:numPr>
          <w:ilvl w:val="0"/>
          <w:numId w:val="0"/>
        </w:numPr>
        <w:ind w:left="993"/>
      </w:pPr>
      <w:r>
        <w:t>a.</w:t>
      </w:r>
      <w:r>
        <w:tab/>
        <w:t>le cartolarizzazioni create/promosse dall</w:t>
      </w:r>
      <w:r w:rsidR="00521D0B">
        <w:t>'</w:t>
      </w:r>
      <w:r>
        <w:t>ente segnalante, anche qualora esso non detenga alcuna posizione nella cartolarizzazione. Laddove l</w:t>
      </w:r>
      <w:r w:rsidR="00521D0B">
        <w:t>'</w:t>
      </w:r>
      <w:r>
        <w:t>ente detenga almeno una posizione nella cartolarizzazione, a prescindere dal fatto che vi sia o non vi sia stato un trasferimento significativo del rischio, l</w:t>
      </w:r>
      <w:r w:rsidR="00521D0B">
        <w:t>'</w:t>
      </w:r>
      <w:r>
        <w:t>ente segnala informazioni riguardanti tutte le posizioni da esso detenute (nel portafoglio bancario oppure nel portafoglio di negoziazione). Le posizioni detenute comprendono le posizioni mantenute a norma dell</w:t>
      </w:r>
      <w:r w:rsidR="00521D0B">
        <w:t>'</w:t>
      </w:r>
      <w:r>
        <w:t>articolo 6 del regolamento (UE) 2017/2402 e, in caso di applicazione dell</w:t>
      </w:r>
      <w:r w:rsidR="00521D0B">
        <w:t>'</w:t>
      </w:r>
      <w:r>
        <w:t>articolo 43, paragrafo 6, di detto regolamento, dell</w:t>
      </w:r>
      <w:r w:rsidR="00521D0B">
        <w:t>'</w:t>
      </w:r>
      <w:r>
        <w:t>articolo 405 del regolamento (UE) n. 575/2013 nella versione applicabile il 31 dicembre 2018;</w:t>
      </w:r>
    </w:p>
    <w:p w14:paraId="57687CA1" w14:textId="32FB07CA" w:rsidR="00933ADA" w:rsidRPr="002A677E" w:rsidRDefault="00933ADA" w:rsidP="00933ADA">
      <w:pPr>
        <w:pStyle w:val="InstructionsText2"/>
        <w:numPr>
          <w:ilvl w:val="0"/>
          <w:numId w:val="0"/>
        </w:numPr>
        <w:ind w:left="993"/>
      </w:pPr>
      <w:r>
        <w:t>b.</w:t>
      </w:r>
      <w:r>
        <w:tab/>
        <w:t>le cartolarizzazioni il cui sottostante finale è costituito da passività finanziarie emesse originariamente dall</w:t>
      </w:r>
      <w:r w:rsidR="00521D0B">
        <w:t>'</w:t>
      </w:r>
      <w:r>
        <w:t>ente segnalante e acquisite (parzialmente) da un veicolo per la cartolarizzazione. Tale sottostante potrebbe includere obbligazioni garantite o altre passività ed è identificato come tale nella colonna 0160;</w:t>
      </w:r>
    </w:p>
    <w:p w14:paraId="5E82032E" w14:textId="73A309A1" w:rsidR="00933ADA" w:rsidRPr="002A677E" w:rsidRDefault="00933ADA" w:rsidP="00933ADA">
      <w:pPr>
        <w:pStyle w:val="InstructionsText2"/>
        <w:numPr>
          <w:ilvl w:val="0"/>
          <w:numId w:val="0"/>
        </w:numPr>
        <w:ind w:left="993"/>
      </w:pPr>
      <w:r>
        <w:t>c.</w:t>
      </w:r>
      <w:r>
        <w:tab/>
        <w:t>le posizioni detenute nelle cartolarizzazioni quando l</w:t>
      </w:r>
      <w:r w:rsidR="00521D0B">
        <w:t>'</w:t>
      </w:r>
      <w:r>
        <w:t>ente segnalante non è né il cedente né il promotore (ossia è investitore e prestatore originario).</w:t>
      </w:r>
    </w:p>
    <w:p w14:paraId="3CC0DB9F" w14:textId="5636D539" w:rsidR="00933ADA" w:rsidRPr="002A677E" w:rsidRDefault="00933ADA" w:rsidP="00933ADA">
      <w:pPr>
        <w:pStyle w:val="InstructionsText2"/>
        <w:numPr>
          <w:ilvl w:val="0"/>
          <w:numId w:val="0"/>
        </w:numPr>
        <w:ind w:left="993"/>
      </w:pPr>
      <w:r>
        <w:t>Il modello C 14.01 è compilato solo per le posizioni verso la cartolarizzazione trattate nell</w:t>
      </w:r>
      <w:r w:rsidR="00521D0B">
        <w:t>'</w:t>
      </w:r>
      <w:r>
        <w:t>ambito del quadro sulle cartolarizzazioni.</w:t>
      </w:r>
    </w:p>
    <w:p w14:paraId="4DB6296B" w14:textId="0215247C" w:rsidR="00933ADA" w:rsidRPr="002A677E" w:rsidRDefault="00933ADA" w:rsidP="005B58D3">
      <w:pPr>
        <w:pStyle w:val="InstructionsText2"/>
        <w:numPr>
          <w:ilvl w:val="0"/>
          <w:numId w:val="0"/>
        </w:numPr>
        <w:ind w:left="993"/>
      </w:pPr>
      <w:r>
        <w:fldChar w:fldCharType="begin"/>
      </w:r>
      <w:r>
        <w:instrText>seq paragraphs</w:instrText>
      </w:r>
      <w:r>
        <w:fldChar w:fldCharType="separate"/>
      </w:r>
      <w:r>
        <w:t>113</w:t>
      </w:r>
      <w:r>
        <w:fldChar w:fldCharType="end"/>
      </w:r>
      <w:r>
        <w:t>.</w:t>
      </w:r>
      <w:r>
        <w:tab/>
        <w:t xml:space="preserve"> Questi modelli sono segnalati dai gruppi consolidati e dagli enti autonomi</w:t>
      </w:r>
      <w:r>
        <w:rPr>
          <w:rStyle w:val="FootnoteReference"/>
        </w:rPr>
        <w:footnoteReference w:id="2"/>
      </w:r>
      <w:r>
        <w:t xml:space="preserve"> situati nello stesso paese in cui sono soggetti ai requisiti di fondi propri; gli enti che fanno parte di un gruppo nello stesso paese in cui sono soggetti a requisiti di fondi propri sono esentati dalla compilazione di tali modelli. Nel caso di cartolarizzazioni che coinvolgono più di un soggetto del medesimo gruppo consolidato, è segnalata la ripartizione dettagliata per singolo soggetto. </w:t>
      </w:r>
    </w:p>
    <w:p w14:paraId="605FD2B9" w14:textId="7851A582"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114</w:t>
      </w:r>
      <w:r>
        <w:fldChar w:fldCharType="end"/>
      </w:r>
      <w:r>
        <w:t>.</w:t>
      </w:r>
      <w:r>
        <w:tab/>
        <w:t xml:space="preserve"> In considerazione dell</w:t>
      </w:r>
      <w:r w:rsidR="00521D0B">
        <w:t>'</w:t>
      </w:r>
      <w:r>
        <w:t>articolo 5 del regolamento (UE) 2017/2402, secondo il quale gli enti che investono in posizioni verso la cartolarizzazione devono acquisire molte informazioni sulle posizioni stesse per adempiere agli obblighi di due diligence, l</w:t>
      </w:r>
      <w:r w:rsidR="00521D0B">
        <w:t>'</w:t>
      </w:r>
      <w:r>
        <w:t>ambito di segnalazione del modello si applica agli investitori in misura ridotta. Essi compilano in particolare le colonne 0010-0040; 0070-0110; 0160; 0181; 0190; 0223; 0230-0285; 0290-0300; 0310-0470.</w:t>
      </w:r>
    </w:p>
    <w:p w14:paraId="5723EFC7" w14:textId="7296A582" w:rsidR="00933ADA" w:rsidRPr="002A677E" w:rsidRDefault="00933ADA" w:rsidP="00933ADA">
      <w:pPr>
        <w:pStyle w:val="InstructionsText2"/>
        <w:numPr>
          <w:ilvl w:val="0"/>
          <w:numId w:val="0"/>
        </w:numPr>
        <w:ind w:left="993"/>
      </w:pPr>
      <w:r>
        <w:lastRenderedPageBreak/>
        <w:fldChar w:fldCharType="begin"/>
      </w:r>
      <w:r>
        <w:instrText>seq paragraphs</w:instrText>
      </w:r>
      <w:r>
        <w:fldChar w:fldCharType="separate"/>
      </w:r>
      <w:r>
        <w:t>115</w:t>
      </w:r>
      <w:r>
        <w:fldChar w:fldCharType="end"/>
      </w:r>
      <w:r>
        <w:t>.</w:t>
      </w:r>
      <w:r>
        <w:tab/>
        <w:t xml:space="preserve"> Gli enti che hanno il ruolo di prestatori originari (e che non hanno anche il ruolo di cedente o promotore nella medesima cartolarizzazione) devono in linea di massima compilare il modello nella stessa misura degli investitori.</w:t>
      </w:r>
    </w:p>
    <w:p w14:paraId="18B286B4" w14:textId="77777777" w:rsidR="00933ADA" w:rsidRPr="002A677E" w:rsidRDefault="00933ADA" w:rsidP="00933ADA">
      <w:pPr>
        <w:pStyle w:val="Instructionsberschrift2"/>
        <w:numPr>
          <w:ilvl w:val="0"/>
          <w:numId w:val="0"/>
        </w:numPr>
        <w:rPr>
          <w:rFonts w:ascii="Times New Roman" w:hAnsi="Times New Roman" w:cs="Times New Roman"/>
          <w:sz w:val="24"/>
          <w:u w:val="none"/>
        </w:rPr>
      </w:pPr>
      <w:bookmarkStart w:id="17" w:name="_Toc522019892"/>
      <w:bookmarkStart w:id="18" w:name="_Toc151714438"/>
      <w:r>
        <w:rPr>
          <w:rFonts w:ascii="Times New Roman" w:hAnsi="Times New Roman"/>
          <w:sz w:val="24"/>
          <w:u w:val="none"/>
        </w:rPr>
        <w:t>3.8.2 Ripartizione del modello SEC DETAILS</w:t>
      </w:r>
      <w:bookmarkEnd w:id="17"/>
      <w:bookmarkEnd w:id="18"/>
    </w:p>
    <w:p w14:paraId="13E65FF7" w14:textId="68ACBB7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116</w:t>
      </w:r>
      <w:r>
        <w:fldChar w:fldCharType="end"/>
      </w:r>
      <w:r>
        <w:t xml:space="preserve">. Il SEC DETAILS consta di due modelli. Il SEC DETAILS fornisce una panoramica generale delle cartolarizzazioni. Il SEC DETAILS 2 fornisce una ripartizione per metodo applicato delle posizioni verso la cartolarizzazione soggette ai requisiti di fondi propri conformemente alla parte tre, titolo II, capo 5, sezione 3, del regolamento (UE) n. 575/2013. </w:t>
      </w:r>
    </w:p>
    <w:p w14:paraId="07FC3F88" w14:textId="1EFB4D9C"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117</w:t>
      </w:r>
      <w:r>
        <w:fldChar w:fldCharType="end"/>
      </w:r>
      <w:r>
        <w:t>. Le posizioni verso la cartolarizzazione nel portafoglio di negoziazione sono segnalate solo nelle colonne 0010-0020, 0420, 0430, 0431, 0432, 0440 e 0450-0470. Per le colonne 0420, 0430 e 0440 gli enti tengono conto dell</w:t>
      </w:r>
      <w:r w:rsidR="00521D0B">
        <w:t>'</w:t>
      </w:r>
      <w:r>
        <w:t xml:space="preserve">RW corrispondente al requisito di fondi propri della posizione netta. </w:t>
      </w:r>
    </w:p>
    <w:p w14:paraId="731DEBB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9" w:name="_Toc151714439"/>
      <w:r>
        <w:rPr>
          <w:rFonts w:ascii="Times New Roman" w:hAnsi="Times New Roman"/>
          <w:sz w:val="24"/>
          <w:u w:val="none"/>
        </w:rPr>
        <w:t>3.8.3 C 14.00 – Informazioni dettagliate sulle cartolarizzazioni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Colonne</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1CFD181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CODICE INTERNO</w:t>
            </w:r>
          </w:p>
          <w:p w14:paraId="349173E2" w14:textId="77777777" w:rsidR="00933ADA" w:rsidRPr="002A677E" w:rsidRDefault="00933ADA" w:rsidP="00822842">
            <w:pPr>
              <w:spacing w:before="0" w:after="0"/>
              <w:jc w:val="left"/>
              <w:rPr>
                <w:rFonts w:ascii="Times New Roman" w:hAnsi="Times New Roman"/>
                <w:sz w:val="24"/>
              </w:rPr>
            </w:pPr>
          </w:p>
          <w:p w14:paraId="4B177CEB" w14:textId="20EF353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Codice interno (alfanumerico) utilizzato dall</w:t>
            </w:r>
            <w:r w:rsidR="00521D0B">
              <w:rPr>
                <w:rFonts w:ascii="Times New Roman" w:hAnsi="Times New Roman"/>
                <w:sz w:val="24"/>
              </w:rPr>
              <w:t>'</w:t>
            </w:r>
            <w:r>
              <w:rPr>
                <w:rFonts w:ascii="Times New Roman" w:hAnsi="Times New Roman"/>
                <w:sz w:val="24"/>
              </w:rPr>
              <w:t>ente per identificare la cartolarizzazione.</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60DBABF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Il codice interno è associato all</w:t>
            </w:r>
            <w:r w:rsidR="00521D0B">
              <w:rPr>
                <w:rFonts w:ascii="Times New Roman" w:hAnsi="Times New Roman"/>
                <w:sz w:val="24"/>
              </w:rPr>
              <w:t>'</w:t>
            </w:r>
            <w:r>
              <w:rPr>
                <w:rFonts w:ascii="Times New Roman" w:hAnsi="Times New Roman"/>
                <w:sz w:val="24"/>
              </w:rPr>
              <w:t>identificativo dell</w:t>
            </w:r>
            <w:r w:rsidR="00521D0B">
              <w:rPr>
                <w:rFonts w:ascii="Times New Roman" w:hAnsi="Times New Roman"/>
                <w:sz w:val="24"/>
              </w:rPr>
              <w:t>'</w:t>
            </w:r>
            <w:r>
              <w:rPr>
                <w:rFonts w:ascii="Times New Roman" w:hAnsi="Times New Roman"/>
                <w:sz w:val="24"/>
              </w:rPr>
              <w:t>operazione di cartolarizzazione.</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0A8D6381"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IDENTIFICATIVO UNICO</w:t>
            </w:r>
          </w:p>
          <w:p w14:paraId="6D2F0987" w14:textId="77777777" w:rsidR="00933ADA" w:rsidRDefault="00933ADA" w:rsidP="00822842">
            <w:pPr>
              <w:spacing w:before="0" w:after="0"/>
              <w:jc w:val="left"/>
              <w:rPr>
                <w:rFonts w:ascii="Times New Roman" w:hAnsi="Times New Roman"/>
                <w:b/>
                <w:sz w:val="24"/>
                <w:u w:val="single"/>
              </w:rPr>
            </w:pPr>
          </w:p>
          <w:p w14:paraId="408D6CB0" w14:textId="20ABAB43" w:rsidR="00933ADA" w:rsidRPr="003A06D5" w:rsidRDefault="00933ADA" w:rsidP="00822842">
            <w:pPr>
              <w:spacing w:before="0" w:after="0"/>
              <w:jc w:val="left"/>
              <w:rPr>
                <w:rFonts w:ascii="Times New Roman" w:hAnsi="Times New Roman"/>
                <w:sz w:val="24"/>
              </w:rPr>
            </w:pPr>
            <w:r>
              <w:rPr>
                <w:rFonts w:ascii="Times New Roman" w:hAnsi="Times New Roman"/>
                <w:sz w:val="24"/>
              </w:rPr>
              <w:t>Per le cartolarizzazioni emesse a partire dal 1º gennaio 2019, gli enti segnalano l</w:t>
            </w:r>
            <w:r w:rsidR="00521D0B">
              <w:rPr>
                <w:rFonts w:ascii="Times New Roman" w:hAnsi="Times New Roman"/>
                <w:sz w:val="24"/>
              </w:rPr>
              <w:t>'</w:t>
            </w:r>
            <w:r>
              <w:rPr>
                <w:rFonts w:ascii="Times New Roman" w:hAnsi="Times New Roman"/>
                <w:sz w:val="24"/>
              </w:rPr>
              <w:t>identificativo unico di cui all</w:t>
            </w:r>
            <w:r w:rsidR="00521D0B">
              <w:rPr>
                <w:rFonts w:ascii="Times New Roman" w:hAnsi="Times New Roman"/>
                <w:sz w:val="24"/>
              </w:rPr>
              <w:t>'</w:t>
            </w:r>
            <w:r>
              <w:rPr>
                <w:rFonts w:ascii="Times New Roman" w:hAnsi="Times New Roman"/>
                <w:sz w:val="24"/>
              </w:rPr>
              <w:t>articolo 11, paragrafo 1, del regolamento delegato (UE) 2020/1224 della Commissione.</w:t>
            </w:r>
          </w:p>
          <w:p w14:paraId="2AED1FA3" w14:textId="0D718BFB" w:rsidR="003A06D5" w:rsidRPr="003A06D5" w:rsidRDefault="003A06D5" w:rsidP="00822842">
            <w:pPr>
              <w:spacing w:before="0" w:after="0"/>
              <w:jc w:val="left"/>
              <w:rPr>
                <w:rFonts w:ascii="Times New Roman" w:hAnsi="Times New Roman"/>
                <w:sz w:val="24"/>
              </w:rPr>
            </w:pPr>
            <w:r>
              <w:rPr>
                <w:rFonts w:ascii="Times New Roman" w:hAnsi="Times New Roman"/>
                <w:sz w:val="24"/>
              </w:rPr>
              <w:t>L</w:t>
            </w:r>
            <w:r w:rsidR="00521D0B">
              <w:rPr>
                <w:rFonts w:ascii="Times New Roman" w:hAnsi="Times New Roman"/>
                <w:sz w:val="24"/>
              </w:rPr>
              <w:t>'</w:t>
            </w:r>
            <w:r>
              <w:rPr>
                <w:rFonts w:ascii="Times New Roman" w:hAnsi="Times New Roman"/>
                <w:sz w:val="24"/>
              </w:rPr>
              <w:t>identificativo unico è segnalato sia per le posizioni del cedente/promotore sia per le posizioni degli investitori e non dovrebbe cambiare a seconda del livello della segnalazione (consolidato rispetto ai sottogruppi). Ai sensi dell</w:t>
            </w:r>
            <w:r w:rsidR="00521D0B">
              <w:rPr>
                <w:rFonts w:ascii="Times New Roman" w:hAnsi="Times New Roman"/>
                <w:sz w:val="24"/>
              </w:rPr>
              <w:t>'</w:t>
            </w:r>
            <w:r>
              <w:rPr>
                <w:rFonts w:ascii="Times New Roman" w:hAnsi="Times New Roman"/>
                <w:sz w:val="24"/>
              </w:rPr>
              <w:t>articolo</w:t>
            </w:r>
            <w:r w:rsidR="00521D0B">
              <w:rPr>
                <w:rFonts w:ascii="Times New Roman" w:hAnsi="Times New Roman"/>
                <w:sz w:val="24"/>
              </w:rPr>
              <w:t> </w:t>
            </w:r>
            <w:r>
              <w:rPr>
                <w:rFonts w:ascii="Times New Roman" w:hAnsi="Times New Roman"/>
                <w:sz w:val="24"/>
              </w:rPr>
              <w:t>11, paragrafo 1, lettera a), e dell</w:t>
            </w:r>
            <w:r w:rsidR="00521D0B">
              <w:rPr>
                <w:rFonts w:ascii="Times New Roman" w:hAnsi="Times New Roman"/>
                <w:sz w:val="24"/>
              </w:rPr>
              <w:t>'</w:t>
            </w:r>
            <w:r>
              <w:rPr>
                <w:rFonts w:ascii="Times New Roman" w:hAnsi="Times New Roman"/>
                <w:sz w:val="24"/>
              </w:rPr>
              <w:t>articolo 11, paragrafo 2, lettera a), il LEI (primo elemento dell</w:t>
            </w:r>
            <w:r w:rsidR="00521D0B">
              <w:rPr>
                <w:rFonts w:ascii="Times New Roman" w:hAnsi="Times New Roman"/>
                <w:sz w:val="24"/>
              </w:rPr>
              <w:t>'</w:t>
            </w:r>
            <w:r>
              <w:rPr>
                <w:rFonts w:ascii="Times New Roman" w:hAnsi="Times New Roman"/>
                <w:sz w:val="24"/>
              </w:rPr>
              <w:t xml:space="preserve">identificativo unico) è rigorosamente definito come quello del </w:t>
            </w:r>
            <w:r w:rsidR="00521D0B">
              <w:rPr>
                <w:rFonts w:ascii="Times New Roman" w:hAnsi="Times New Roman"/>
                <w:sz w:val="24"/>
              </w:rPr>
              <w:t>"</w:t>
            </w:r>
            <w:r>
              <w:rPr>
                <w:rFonts w:ascii="Times New Roman" w:hAnsi="Times New Roman"/>
                <w:sz w:val="24"/>
              </w:rPr>
              <w:t>soggetto segnalante</w:t>
            </w:r>
            <w:r w:rsidR="00521D0B">
              <w:rPr>
                <w:rFonts w:ascii="Times New Roman" w:hAnsi="Times New Roman"/>
                <w:sz w:val="24"/>
              </w:rPr>
              <w:t>"</w:t>
            </w:r>
            <w:r>
              <w:rPr>
                <w:rFonts w:ascii="Times New Roman" w:hAnsi="Times New Roman"/>
                <w:sz w:val="24"/>
              </w:rPr>
              <w:t xml:space="preserve"> quale definito all</w:t>
            </w:r>
            <w:r w:rsidR="00521D0B">
              <w:rPr>
                <w:rFonts w:ascii="Times New Roman" w:hAnsi="Times New Roman"/>
                <w:sz w:val="24"/>
              </w:rPr>
              <w:t>'</w:t>
            </w:r>
            <w:r>
              <w:rPr>
                <w:rFonts w:ascii="Times New Roman" w:hAnsi="Times New Roman"/>
                <w:sz w:val="24"/>
              </w:rPr>
              <w:t>articolo 7, paragrafo 2, del regolamento (UE) 2017/2402. In alcuni casi l</w:t>
            </w:r>
            <w:r w:rsidR="00521D0B">
              <w:rPr>
                <w:rFonts w:ascii="Times New Roman" w:hAnsi="Times New Roman"/>
                <w:sz w:val="24"/>
              </w:rPr>
              <w:t>'</w:t>
            </w:r>
            <w:r>
              <w:rPr>
                <w:rFonts w:ascii="Times New Roman" w:hAnsi="Times New Roman"/>
                <w:sz w:val="24"/>
              </w:rPr>
              <w:t xml:space="preserve">ente che effettua la segnalazione dei modelli COREP e il </w:t>
            </w:r>
            <w:r w:rsidR="00521D0B">
              <w:rPr>
                <w:rFonts w:ascii="Times New Roman" w:hAnsi="Times New Roman"/>
                <w:sz w:val="24"/>
              </w:rPr>
              <w:t>"</w:t>
            </w:r>
            <w:r>
              <w:rPr>
                <w:rFonts w:ascii="Times New Roman" w:hAnsi="Times New Roman"/>
                <w:sz w:val="24"/>
              </w:rPr>
              <w:t>soggetto segnalante</w:t>
            </w:r>
            <w:r w:rsidR="00521D0B">
              <w:rPr>
                <w:rFonts w:ascii="Times New Roman" w:hAnsi="Times New Roman"/>
                <w:sz w:val="24"/>
              </w:rPr>
              <w:t>"</w:t>
            </w:r>
            <w:r>
              <w:rPr>
                <w:rFonts w:ascii="Times New Roman" w:hAnsi="Times New Roman"/>
                <w:sz w:val="24"/>
              </w:rPr>
              <w:t xml:space="preserve"> (ad esempio se si tratta del cedente o del promotore), in alcuni casi no. Ai sensi dell</w:t>
            </w:r>
            <w:r w:rsidR="00521D0B">
              <w:rPr>
                <w:rFonts w:ascii="Times New Roman" w:hAnsi="Times New Roman"/>
                <w:sz w:val="24"/>
              </w:rPr>
              <w:t>'</w:t>
            </w:r>
            <w:r>
              <w:rPr>
                <w:rFonts w:ascii="Times New Roman" w:hAnsi="Times New Roman"/>
                <w:sz w:val="24"/>
              </w:rPr>
              <w:t>articolo 11, paragrafo</w:t>
            </w:r>
            <w:r w:rsidR="00521D0B">
              <w:rPr>
                <w:rFonts w:ascii="Times New Roman" w:hAnsi="Times New Roman"/>
                <w:sz w:val="24"/>
              </w:rPr>
              <w:t> </w:t>
            </w:r>
            <w:r>
              <w:rPr>
                <w:rFonts w:ascii="Times New Roman" w:hAnsi="Times New Roman"/>
                <w:sz w:val="24"/>
              </w:rPr>
              <w:t>3, del regolamento delegato (UE) 2020/1224 della Commissione, l</w:t>
            </w:r>
            <w:r w:rsidR="00521D0B">
              <w:rPr>
                <w:rFonts w:ascii="Times New Roman" w:hAnsi="Times New Roman"/>
                <w:sz w:val="24"/>
              </w:rPr>
              <w:t>'</w:t>
            </w:r>
            <w:r>
              <w:rPr>
                <w:rFonts w:ascii="Times New Roman" w:hAnsi="Times New Roman"/>
                <w:sz w:val="24"/>
              </w:rPr>
              <w:t>identificativo unico non può essere modificato dal soggetto segnalante, il che implica che non può essere modificato ai fini della segnalazione nei modelli COREP.</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521D0B">
            <w:pPr>
              <w:keepNext/>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14:paraId="1670684F" w14:textId="77777777" w:rsidR="00933ADA" w:rsidRPr="002A677E" w:rsidRDefault="00933ADA" w:rsidP="00521D0B">
            <w:pPr>
              <w:keepNext/>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IDENTIFICATIVO DELLA CARTOLARIZZAZIONE</w:t>
            </w:r>
          </w:p>
          <w:p w14:paraId="715E4B5B" w14:textId="77777777" w:rsidR="00933ADA" w:rsidRPr="002A677E" w:rsidRDefault="00933ADA" w:rsidP="00521D0B">
            <w:pPr>
              <w:keepNext/>
              <w:spacing w:before="0" w:after="0"/>
              <w:jc w:val="left"/>
              <w:rPr>
                <w:rFonts w:ascii="Times New Roman" w:hAnsi="Times New Roman"/>
                <w:sz w:val="24"/>
              </w:rPr>
            </w:pPr>
          </w:p>
          <w:p w14:paraId="497DC5CA" w14:textId="555A3D03" w:rsidR="00933ADA" w:rsidRPr="002A677E" w:rsidRDefault="00933ADA" w:rsidP="00521D0B">
            <w:pPr>
              <w:keepNext/>
              <w:autoSpaceDE w:val="0"/>
              <w:autoSpaceDN w:val="0"/>
              <w:adjustRightInd w:val="0"/>
              <w:spacing w:before="0" w:after="0"/>
              <w:rPr>
                <w:rFonts w:ascii="Times New Roman" w:hAnsi="Times New Roman"/>
                <w:sz w:val="24"/>
              </w:rPr>
            </w:pPr>
            <w:r>
              <w:rPr>
                <w:rFonts w:ascii="Times New Roman" w:hAnsi="Times New Roman"/>
                <w:sz w:val="24"/>
              </w:rPr>
              <w:t>Codice utilizzato per la registrazione legale dell</w:t>
            </w:r>
            <w:r w:rsidR="00521D0B">
              <w:rPr>
                <w:rFonts w:ascii="Times New Roman" w:hAnsi="Times New Roman"/>
                <w:sz w:val="24"/>
              </w:rPr>
              <w:t>'</w:t>
            </w:r>
            <w:r>
              <w:rPr>
                <w:rFonts w:ascii="Times New Roman" w:hAnsi="Times New Roman"/>
                <w:sz w:val="24"/>
              </w:rPr>
              <w:t>operazione di cartolarizzazione o, in sua mancanza, denominazione con la quale l</w:t>
            </w:r>
            <w:r w:rsidR="00521D0B">
              <w:rPr>
                <w:rFonts w:ascii="Times New Roman" w:hAnsi="Times New Roman"/>
                <w:sz w:val="24"/>
              </w:rPr>
              <w:t>'</w:t>
            </w:r>
            <w:r>
              <w:rPr>
                <w:rFonts w:ascii="Times New Roman" w:hAnsi="Times New Roman"/>
                <w:sz w:val="24"/>
              </w:rPr>
              <w:t>operazione di cartolarizzazione è nota sul mercato, o all</w:t>
            </w:r>
            <w:r w:rsidR="00521D0B">
              <w:rPr>
                <w:rFonts w:ascii="Times New Roman" w:hAnsi="Times New Roman"/>
                <w:sz w:val="24"/>
              </w:rPr>
              <w:t>'</w:t>
            </w:r>
            <w:r>
              <w:rPr>
                <w:rFonts w:ascii="Times New Roman" w:hAnsi="Times New Roman"/>
                <w:sz w:val="24"/>
              </w:rPr>
              <w:t>interno dell</w:t>
            </w:r>
            <w:r w:rsidR="00521D0B">
              <w:rPr>
                <w:rFonts w:ascii="Times New Roman" w:hAnsi="Times New Roman"/>
                <w:sz w:val="24"/>
              </w:rPr>
              <w:t>'</w:t>
            </w:r>
            <w:r>
              <w:rPr>
                <w:rFonts w:ascii="Times New Roman" w:hAnsi="Times New Roman"/>
                <w:sz w:val="24"/>
              </w:rPr>
              <w:t xml:space="preserve">ente in caso di cartolarizzazione interna o privata. </w:t>
            </w:r>
          </w:p>
          <w:p w14:paraId="7919A73A" w14:textId="77777777" w:rsidR="00933ADA" w:rsidRPr="002A677E" w:rsidRDefault="00933ADA" w:rsidP="00521D0B">
            <w:pPr>
              <w:keepNext/>
              <w:autoSpaceDE w:val="0"/>
              <w:autoSpaceDN w:val="0"/>
              <w:adjustRightInd w:val="0"/>
              <w:spacing w:before="0" w:after="0"/>
              <w:rPr>
                <w:rFonts w:ascii="Times New Roman" w:hAnsi="Times New Roman"/>
                <w:sz w:val="24"/>
              </w:rPr>
            </w:pPr>
          </w:p>
          <w:p w14:paraId="68315BE5" w14:textId="77777777" w:rsidR="00933ADA" w:rsidRPr="002A677E" w:rsidRDefault="00933ADA" w:rsidP="00521D0B">
            <w:pPr>
              <w:keepNext/>
              <w:autoSpaceDE w:val="0"/>
              <w:autoSpaceDN w:val="0"/>
              <w:adjustRightInd w:val="0"/>
              <w:spacing w:before="0" w:after="0"/>
              <w:rPr>
                <w:rFonts w:ascii="Times New Roman" w:hAnsi="Times New Roman"/>
                <w:sz w:val="24"/>
              </w:rPr>
            </w:pPr>
            <w:r>
              <w:rPr>
                <w:rFonts w:ascii="Times New Roman" w:hAnsi="Times New Roman"/>
                <w:sz w:val="24"/>
              </w:rPr>
              <w:t xml:space="preserve">Quando è disponibile il numero internazionale di identificazione dei titoli (International Securities </w:t>
            </w:r>
            <w:proofErr w:type="spellStart"/>
            <w:r>
              <w:rPr>
                <w:rFonts w:ascii="Times New Roman" w:hAnsi="Times New Roman"/>
                <w:sz w:val="24"/>
              </w:rPr>
              <w:t>Identification</w:t>
            </w:r>
            <w:proofErr w:type="spellEnd"/>
            <w:r>
              <w:rPr>
                <w:rFonts w:ascii="Times New Roman" w:hAnsi="Times New Roman"/>
                <w:sz w:val="24"/>
              </w:rPr>
              <w:t xml:space="preserve"> </w:t>
            </w:r>
            <w:proofErr w:type="spellStart"/>
            <w:r>
              <w:rPr>
                <w:rFonts w:ascii="Times New Roman" w:hAnsi="Times New Roman"/>
                <w:sz w:val="24"/>
              </w:rPr>
              <w:t>Number</w:t>
            </w:r>
            <w:proofErr w:type="spellEnd"/>
            <w:r>
              <w:rPr>
                <w:rFonts w:ascii="Times New Roman" w:hAnsi="Times New Roman"/>
                <w:sz w:val="24"/>
              </w:rPr>
              <w:t xml:space="preserve"> — ISIN), ossia nel caso di operazioni pubbliche, in questa colonna sono riportati i caratteri comuni a tutti i segmenti della cartolarizzazione.</w:t>
            </w:r>
          </w:p>
          <w:p w14:paraId="489F5BE6" w14:textId="77777777" w:rsidR="00933ADA" w:rsidRPr="002A677E" w:rsidRDefault="00933ADA" w:rsidP="00521D0B">
            <w:pPr>
              <w:keepNext/>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DF5396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CARTOLARIZZAZIONE INFRAGRUPPO, PRIVATA O PUBBLICA?</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Questa colonna indica se la cartolarizzazione è una cartolarizzazione infragruppo, privata o pubblica.</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Gli enti utilizzano una delle seguenti diciture:</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Collocamento privato;</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Infragruppo;</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Collocamento pubblico.</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5E14DA2C" w14:textId="0E5DFB11"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RUOLO DELL</w:t>
            </w:r>
            <w:r w:rsidR="00521D0B">
              <w:rPr>
                <w:rFonts w:ascii="Times New Roman" w:hAnsi="Times New Roman"/>
                <w:b/>
                <w:sz w:val="24"/>
                <w:u w:val="single"/>
              </w:rPr>
              <w:t>'</w:t>
            </w:r>
            <w:r>
              <w:rPr>
                <w:rFonts w:ascii="Times New Roman" w:hAnsi="Times New Roman"/>
                <w:b/>
                <w:sz w:val="24"/>
                <w:u w:val="single"/>
              </w:rPr>
              <w:t>ENTE: (CEDENTE / PROMOTORE / PRESTATORE ORIGINARIO / INVESTITORE)</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Gli enti utilizzano una delle seguenti diciture: </w:t>
            </w:r>
          </w:p>
          <w:p w14:paraId="42CB975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cedente;</w:t>
            </w:r>
          </w:p>
          <w:p w14:paraId="177ACBA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promotore;</w:t>
            </w:r>
          </w:p>
          <w:p w14:paraId="5CE3FC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investitore; </w:t>
            </w:r>
          </w:p>
          <w:p w14:paraId="31576F8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prestatore originario.</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04FFE94A"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Cedente ai sensi dell</w:t>
            </w:r>
            <w:r w:rsidR="00521D0B">
              <w:rPr>
                <w:rFonts w:ascii="Times New Roman" w:hAnsi="Times New Roman"/>
                <w:sz w:val="24"/>
              </w:rPr>
              <w:t>'</w:t>
            </w:r>
            <w:r>
              <w:rPr>
                <w:rFonts w:ascii="Times New Roman" w:hAnsi="Times New Roman"/>
                <w:sz w:val="24"/>
              </w:rPr>
              <w:t>articolo 4, paragrafo 1, punto 13, del regolamento (UE) n.</w:t>
            </w:r>
            <w:r w:rsidR="00521D0B">
              <w:rPr>
                <w:rFonts w:ascii="Times New Roman" w:hAnsi="Times New Roman"/>
                <w:sz w:val="24"/>
              </w:rPr>
              <w:t> </w:t>
            </w:r>
            <w:r>
              <w:rPr>
                <w:rFonts w:ascii="Times New Roman" w:hAnsi="Times New Roman"/>
                <w:sz w:val="24"/>
              </w:rPr>
              <w:t>575/2013 e promotore ai sensi dell</w:t>
            </w:r>
            <w:r w:rsidR="00521D0B">
              <w:rPr>
                <w:rFonts w:ascii="Times New Roman" w:hAnsi="Times New Roman"/>
                <w:sz w:val="24"/>
              </w:rPr>
              <w:t>'</w:t>
            </w:r>
            <w:r>
              <w:rPr>
                <w:rFonts w:ascii="Times New Roman" w:hAnsi="Times New Roman"/>
                <w:sz w:val="24"/>
              </w:rPr>
              <w:t>articolo 4, paragrafo 1, punto 14, del di tale regolamento. Si presume che gli investitori siano gli enti cui si applica l</w:t>
            </w:r>
            <w:r w:rsidR="00521D0B">
              <w:rPr>
                <w:rFonts w:ascii="Times New Roman" w:hAnsi="Times New Roman"/>
                <w:sz w:val="24"/>
              </w:rPr>
              <w:t>'</w:t>
            </w:r>
            <w:r>
              <w:rPr>
                <w:rFonts w:ascii="Times New Roman" w:hAnsi="Times New Roman"/>
                <w:sz w:val="24"/>
              </w:rPr>
              <w:t>articolo 5 del regolamento (UE) 2017/2402. Nei casi in cui si applica l</w:t>
            </w:r>
            <w:r w:rsidR="00521D0B">
              <w:rPr>
                <w:rFonts w:ascii="Times New Roman" w:hAnsi="Times New Roman"/>
                <w:sz w:val="24"/>
              </w:rPr>
              <w:t>'</w:t>
            </w:r>
            <w:r>
              <w:rPr>
                <w:rFonts w:ascii="Times New Roman" w:hAnsi="Times New Roman"/>
                <w:sz w:val="24"/>
              </w:rPr>
              <w:t>articolo</w:t>
            </w:r>
            <w:r w:rsidR="00521D0B">
              <w:rPr>
                <w:rFonts w:ascii="Times New Roman" w:hAnsi="Times New Roman"/>
                <w:sz w:val="24"/>
              </w:rPr>
              <w:t> </w:t>
            </w:r>
            <w:r>
              <w:rPr>
                <w:rFonts w:ascii="Times New Roman" w:hAnsi="Times New Roman"/>
                <w:sz w:val="24"/>
              </w:rPr>
              <w:t>43, paragrafo 5, del regolamento (UE) 2017/2402, si applicano gli articoli 406 e 407 del regolamento (UE) n. 575/2013 nella versione applicabile il 31 dicembre</w:t>
            </w:r>
            <w:r w:rsidR="00521D0B">
              <w:rPr>
                <w:rFonts w:ascii="Times New Roman" w:hAnsi="Times New Roman"/>
                <w:sz w:val="24"/>
              </w:rPr>
              <w:t> </w:t>
            </w:r>
            <w:r>
              <w:rPr>
                <w:rFonts w:ascii="Times New Roman" w:hAnsi="Times New Roman"/>
                <w:sz w:val="24"/>
              </w:rPr>
              <w:t>2018.</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0E6B28E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IDENTIFICATIVO DEL CEDENTE</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424ECC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 questa colonna è segnalato il codice LEI applicabile al cedente o, in sua mancanza, il codice attribuito al cedente dall</w:t>
            </w:r>
            <w:r w:rsidR="00521D0B">
              <w:rPr>
                <w:rFonts w:ascii="Times New Roman" w:hAnsi="Times New Roman"/>
                <w:sz w:val="24"/>
              </w:rPr>
              <w:t>'</w:t>
            </w:r>
            <w:r>
              <w:rPr>
                <w:rFonts w:ascii="Times New Roman" w:hAnsi="Times New Roman"/>
                <w:sz w:val="24"/>
              </w:rPr>
              <w:t>autorità di vigilanza o, in sua mancanza, la denominazione dell</w:t>
            </w:r>
            <w:r w:rsidR="00521D0B">
              <w:rPr>
                <w:rFonts w:ascii="Times New Roman" w:hAnsi="Times New Roman"/>
                <w:sz w:val="24"/>
              </w:rPr>
              <w:t>'</w:t>
            </w:r>
            <w:r>
              <w:rPr>
                <w:rFonts w:ascii="Times New Roman" w:hAnsi="Times New Roman"/>
                <w:sz w:val="24"/>
              </w:rPr>
              <w:t>ente stesso.</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45102979"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Per le cartolarizzazioni multi-seller nelle quali l</w:t>
            </w:r>
            <w:r w:rsidR="00521D0B">
              <w:rPr>
                <w:rFonts w:ascii="Times New Roman" w:hAnsi="Times New Roman"/>
                <w:sz w:val="24"/>
              </w:rPr>
              <w:t>'</w:t>
            </w:r>
            <w:r>
              <w:rPr>
                <w:rFonts w:ascii="Times New Roman" w:hAnsi="Times New Roman"/>
                <w:sz w:val="24"/>
              </w:rPr>
              <w:t>ente segnalante è coinvolto come cedente, promotore o prestatore originario, l</w:t>
            </w:r>
            <w:r w:rsidR="00521D0B">
              <w:rPr>
                <w:rFonts w:ascii="Times New Roman" w:hAnsi="Times New Roman"/>
                <w:sz w:val="24"/>
              </w:rPr>
              <w:t>'</w:t>
            </w:r>
            <w:r>
              <w:rPr>
                <w:rFonts w:ascii="Times New Roman" w:hAnsi="Times New Roman"/>
                <w:sz w:val="24"/>
              </w:rPr>
              <w:t>ente segnalante riporta l</w:t>
            </w:r>
            <w:r w:rsidR="00521D0B">
              <w:rPr>
                <w:rFonts w:ascii="Times New Roman" w:hAnsi="Times New Roman"/>
                <w:sz w:val="24"/>
              </w:rPr>
              <w:t>'</w:t>
            </w:r>
            <w:r>
              <w:rPr>
                <w:rFonts w:ascii="Times New Roman" w:hAnsi="Times New Roman"/>
                <w:sz w:val="24"/>
              </w:rPr>
              <w:t>identificativo di tutti i soggetti appartenenti al suo gruppo consolidato che sono coinvolti nell</w:t>
            </w:r>
            <w:r w:rsidR="00521D0B">
              <w:rPr>
                <w:rFonts w:ascii="Times New Roman" w:hAnsi="Times New Roman"/>
                <w:sz w:val="24"/>
              </w:rPr>
              <w:t>'</w:t>
            </w:r>
            <w:r>
              <w:rPr>
                <w:rFonts w:ascii="Times New Roman" w:hAnsi="Times New Roman"/>
                <w:sz w:val="24"/>
              </w:rPr>
              <w:t>operazione (come cedente, promotore o prestatore originario). Se</w:t>
            </w:r>
            <w:r w:rsidR="00521D0B">
              <w:rPr>
                <w:rFonts w:ascii="Times New Roman" w:hAnsi="Times New Roman"/>
                <w:sz w:val="24"/>
              </w:rPr>
              <w:t> </w:t>
            </w:r>
            <w:r>
              <w:rPr>
                <w:rFonts w:ascii="Times New Roman" w:hAnsi="Times New Roman"/>
                <w:sz w:val="24"/>
              </w:rPr>
              <w:t xml:space="preserve">il </w:t>
            </w:r>
            <w:r>
              <w:rPr>
                <w:rFonts w:ascii="Times New Roman" w:hAnsi="Times New Roman"/>
                <w:sz w:val="24"/>
              </w:rPr>
              <w:lastRenderedPageBreak/>
              <w:t>codice non è disponibile o non è noto all</w:t>
            </w:r>
            <w:r w:rsidR="00521D0B">
              <w:rPr>
                <w:rFonts w:ascii="Times New Roman" w:hAnsi="Times New Roman"/>
                <w:sz w:val="24"/>
              </w:rPr>
              <w:t>'</w:t>
            </w:r>
            <w:r>
              <w:rPr>
                <w:rFonts w:ascii="Times New Roman" w:hAnsi="Times New Roman"/>
                <w:sz w:val="24"/>
              </w:rPr>
              <w:t>ente segnalante, è indicata la denominazione dell</w:t>
            </w:r>
            <w:r w:rsidR="00521D0B">
              <w:rPr>
                <w:rFonts w:ascii="Times New Roman" w:hAnsi="Times New Roman"/>
                <w:sz w:val="24"/>
              </w:rPr>
              <w:t>'</w:t>
            </w:r>
            <w:r>
              <w:rPr>
                <w:rFonts w:ascii="Times New Roman" w:hAnsi="Times New Roman"/>
                <w:sz w:val="24"/>
              </w:rPr>
              <w:t>ente.</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3824CA24"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Nel caso di cartolarizzazioni multi-seller in cui l</w:t>
            </w:r>
            <w:r w:rsidR="00521D0B">
              <w:rPr>
                <w:rFonts w:ascii="Times New Roman" w:hAnsi="Times New Roman"/>
                <w:sz w:val="24"/>
              </w:rPr>
              <w:t>'</w:t>
            </w:r>
            <w:r>
              <w:rPr>
                <w:rFonts w:ascii="Times New Roman" w:hAnsi="Times New Roman"/>
                <w:sz w:val="24"/>
              </w:rPr>
              <w:t>ente segnalante detiene una posizione in qualità di investitore, l</w:t>
            </w:r>
            <w:r w:rsidR="00521D0B">
              <w:rPr>
                <w:rFonts w:ascii="Times New Roman" w:hAnsi="Times New Roman"/>
                <w:sz w:val="24"/>
              </w:rPr>
              <w:t>'</w:t>
            </w:r>
            <w:r>
              <w:rPr>
                <w:rFonts w:ascii="Times New Roman" w:hAnsi="Times New Roman"/>
                <w:sz w:val="24"/>
              </w:rPr>
              <w:t>ente segnalante fornisce l</w:t>
            </w:r>
            <w:r w:rsidR="00521D0B">
              <w:rPr>
                <w:rFonts w:ascii="Times New Roman" w:hAnsi="Times New Roman"/>
                <w:sz w:val="24"/>
              </w:rPr>
              <w:t>'</w:t>
            </w:r>
            <w:r>
              <w:rPr>
                <w:rFonts w:ascii="Times New Roman" w:hAnsi="Times New Roman"/>
                <w:sz w:val="24"/>
              </w:rPr>
              <w:t>identificativo di tutti i diversi cedenti coinvolti nella cartolarizzazione o, se non disponibile, le denominazioni dei diversi cedenti. Se le denominazioni non gli sono note, l</w:t>
            </w:r>
            <w:r w:rsidR="00521D0B">
              <w:rPr>
                <w:rFonts w:ascii="Times New Roman" w:hAnsi="Times New Roman"/>
                <w:sz w:val="24"/>
              </w:rPr>
              <w:t>'</w:t>
            </w:r>
            <w:r>
              <w:rPr>
                <w:rFonts w:ascii="Times New Roman" w:hAnsi="Times New Roman"/>
                <w:sz w:val="24"/>
              </w:rPr>
              <w:t xml:space="preserve">ente segnalante indica che la cartolarizzazione è </w:t>
            </w:r>
            <w:r w:rsidR="00521D0B">
              <w:rPr>
                <w:rFonts w:ascii="Times New Roman" w:hAnsi="Times New Roman"/>
                <w:sz w:val="24"/>
              </w:rPr>
              <w:t>"</w:t>
            </w:r>
            <w:r>
              <w:rPr>
                <w:rFonts w:ascii="Times New Roman" w:hAnsi="Times New Roman"/>
                <w:sz w:val="24"/>
              </w:rPr>
              <w:t>multi-seller</w:t>
            </w:r>
            <w:r w:rsidR="00521D0B">
              <w:rPr>
                <w:rFonts w:ascii="Times New Roman" w:hAnsi="Times New Roman"/>
                <w:sz w:val="24"/>
              </w:rPr>
              <w:t>"</w:t>
            </w:r>
            <w:r>
              <w:rPr>
                <w:rFonts w:ascii="Times New Roman" w:hAnsi="Times New Roman"/>
                <w:sz w:val="24"/>
              </w:rPr>
              <w:t>.</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3D12F0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TIPO DI CARTOLARIZZAZIONE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Gli enti utilizzano una delle seguenti diciture:</w:t>
            </w:r>
            <w:r>
              <w:t xml:space="preserve"> </w:t>
            </w:r>
            <w:r>
              <w:br/>
            </w:r>
            <w:r>
              <w:rPr>
                <w:rFonts w:ascii="Times New Roman" w:hAnsi="Times New Roman"/>
                <w:sz w:val="24"/>
              </w:rPr>
              <w:t>- programma ABCP;</w:t>
            </w:r>
          </w:p>
          <w:p w14:paraId="6286CA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operazione ABCP;</w:t>
            </w:r>
          </w:p>
          <w:p w14:paraId="6806306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cartolarizzazioni tradizionali diverse dalle cartolarizzazioni di esposizioni deteriorate;</w:t>
            </w:r>
          </w:p>
          <w:p w14:paraId="507BD1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cartolarizzazioni non ammissibili di esposizioni deteriorate;</w:t>
            </w:r>
          </w:p>
          <w:p w14:paraId="391C810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cartolarizzazioni ammissibili di esposizioni deteriorate;</w:t>
            </w:r>
          </w:p>
          <w:p w14:paraId="158DEC7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operazione sintetica.</w:t>
            </w:r>
          </w:p>
          <w:p w14:paraId="00B64B2F" w14:textId="14973396"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Le definizioni di </w:t>
            </w:r>
            <w:r w:rsidR="00521D0B">
              <w:rPr>
                <w:rFonts w:ascii="Times New Roman" w:hAnsi="Times New Roman"/>
                <w:sz w:val="24"/>
              </w:rPr>
              <w:t>"</w:t>
            </w:r>
            <w:r>
              <w:rPr>
                <w:rFonts w:ascii="Times New Roman" w:hAnsi="Times New Roman"/>
                <w:sz w:val="24"/>
              </w:rPr>
              <w:t>programma di emissione di commercial paper garantiti da attività</w:t>
            </w:r>
            <w:r w:rsidR="00521D0B">
              <w:rPr>
                <w:rFonts w:ascii="Times New Roman" w:hAnsi="Times New Roman"/>
                <w:sz w:val="24"/>
              </w:rPr>
              <w:t>"</w:t>
            </w:r>
            <w:r>
              <w:rPr>
                <w:rFonts w:ascii="Times New Roman" w:hAnsi="Times New Roman"/>
                <w:sz w:val="24"/>
              </w:rPr>
              <w:t xml:space="preserve">, </w:t>
            </w:r>
            <w:r w:rsidR="00521D0B">
              <w:rPr>
                <w:rFonts w:ascii="Times New Roman" w:hAnsi="Times New Roman"/>
                <w:sz w:val="24"/>
              </w:rPr>
              <w:t>"</w:t>
            </w:r>
            <w:r>
              <w:rPr>
                <w:rFonts w:ascii="Times New Roman" w:hAnsi="Times New Roman"/>
                <w:sz w:val="24"/>
              </w:rPr>
              <w:t>operazione su commercial paper garantiti da attività</w:t>
            </w:r>
            <w:r w:rsidR="00521D0B">
              <w:rPr>
                <w:rFonts w:ascii="Times New Roman" w:hAnsi="Times New Roman"/>
                <w:sz w:val="24"/>
              </w:rPr>
              <w:t>"</w:t>
            </w:r>
            <w:r>
              <w:rPr>
                <w:rFonts w:ascii="Times New Roman" w:hAnsi="Times New Roman"/>
                <w:sz w:val="24"/>
              </w:rPr>
              <w:t xml:space="preserve">, </w:t>
            </w:r>
            <w:r w:rsidR="00521D0B">
              <w:rPr>
                <w:rFonts w:ascii="Times New Roman" w:hAnsi="Times New Roman"/>
                <w:sz w:val="24"/>
              </w:rPr>
              <w:t>"</w:t>
            </w:r>
            <w:r>
              <w:rPr>
                <w:rFonts w:ascii="Times New Roman" w:hAnsi="Times New Roman"/>
                <w:sz w:val="24"/>
              </w:rPr>
              <w:t>cartolarizzazione tradizionale</w:t>
            </w:r>
            <w:r w:rsidR="00521D0B">
              <w:rPr>
                <w:rFonts w:ascii="Times New Roman" w:hAnsi="Times New Roman"/>
                <w:sz w:val="24"/>
              </w:rPr>
              <w:t>"</w:t>
            </w:r>
            <w:r>
              <w:rPr>
                <w:rFonts w:ascii="Times New Roman" w:hAnsi="Times New Roman"/>
                <w:sz w:val="24"/>
              </w:rPr>
              <w:t xml:space="preserve"> e </w:t>
            </w:r>
            <w:r w:rsidR="00521D0B">
              <w:rPr>
                <w:rFonts w:ascii="Times New Roman" w:hAnsi="Times New Roman"/>
                <w:sz w:val="24"/>
              </w:rPr>
              <w:t>"</w:t>
            </w:r>
            <w:r>
              <w:rPr>
                <w:rFonts w:ascii="Times New Roman" w:hAnsi="Times New Roman"/>
                <w:sz w:val="24"/>
              </w:rPr>
              <w:t>cartolarizzazione sintetica</w:t>
            </w:r>
            <w:r w:rsidR="00521D0B">
              <w:rPr>
                <w:rFonts w:ascii="Times New Roman" w:hAnsi="Times New Roman"/>
                <w:sz w:val="24"/>
              </w:rPr>
              <w:t>"</w:t>
            </w:r>
            <w:r>
              <w:rPr>
                <w:rFonts w:ascii="Times New Roman" w:hAnsi="Times New Roman"/>
                <w:sz w:val="24"/>
              </w:rPr>
              <w:t xml:space="preserve"> figurano all</w:t>
            </w:r>
            <w:r w:rsidR="00521D0B">
              <w:rPr>
                <w:rFonts w:ascii="Times New Roman" w:hAnsi="Times New Roman"/>
                <w:sz w:val="24"/>
              </w:rPr>
              <w:t>'</w:t>
            </w:r>
            <w:r>
              <w:rPr>
                <w:rFonts w:ascii="Times New Roman" w:hAnsi="Times New Roman"/>
                <w:sz w:val="24"/>
              </w:rPr>
              <w:t>articolo 242, punti da 11 a 14, del regolamento (UE) n. 575/2013. Le</w:t>
            </w:r>
            <w:r w:rsidR="00521D0B">
              <w:rPr>
                <w:rFonts w:ascii="Times New Roman" w:hAnsi="Times New Roman"/>
                <w:sz w:val="24"/>
              </w:rPr>
              <w:t> </w:t>
            </w:r>
            <w:r>
              <w:rPr>
                <w:rFonts w:ascii="Times New Roman" w:hAnsi="Times New Roman"/>
                <w:sz w:val="24"/>
              </w:rPr>
              <w:t xml:space="preserve">definizioni di </w:t>
            </w:r>
            <w:r w:rsidR="00521D0B">
              <w:rPr>
                <w:rFonts w:ascii="Times New Roman" w:hAnsi="Times New Roman"/>
                <w:sz w:val="24"/>
              </w:rPr>
              <w:t>"</w:t>
            </w:r>
            <w:r>
              <w:rPr>
                <w:rFonts w:ascii="Times New Roman" w:hAnsi="Times New Roman"/>
                <w:sz w:val="24"/>
              </w:rPr>
              <w:t>cartolarizzazione tradizionale ammissibile di esposizioni deteriorate</w:t>
            </w:r>
            <w:r w:rsidR="00521D0B">
              <w:rPr>
                <w:rFonts w:ascii="Times New Roman" w:hAnsi="Times New Roman"/>
                <w:sz w:val="24"/>
              </w:rPr>
              <w:t>"</w:t>
            </w:r>
            <w:r>
              <w:rPr>
                <w:rFonts w:ascii="Times New Roman" w:hAnsi="Times New Roman"/>
                <w:sz w:val="24"/>
              </w:rPr>
              <w:t xml:space="preserve"> e </w:t>
            </w:r>
            <w:r w:rsidR="00521D0B">
              <w:rPr>
                <w:rFonts w:ascii="Times New Roman" w:hAnsi="Times New Roman"/>
                <w:sz w:val="24"/>
              </w:rPr>
              <w:t>"</w:t>
            </w:r>
            <w:r>
              <w:rPr>
                <w:rFonts w:ascii="Times New Roman" w:hAnsi="Times New Roman"/>
                <w:sz w:val="24"/>
              </w:rPr>
              <w:t>cartolarizzazione di esposizioni deteriorate</w:t>
            </w:r>
            <w:r w:rsidR="00521D0B">
              <w:rPr>
                <w:rFonts w:ascii="Times New Roman" w:hAnsi="Times New Roman"/>
                <w:sz w:val="24"/>
              </w:rPr>
              <w:t>"</w:t>
            </w:r>
            <w:r>
              <w:rPr>
                <w:rFonts w:ascii="Times New Roman" w:hAnsi="Times New Roman"/>
                <w:sz w:val="24"/>
              </w:rPr>
              <w:t xml:space="preserve"> sono contenute nell</w:t>
            </w:r>
            <w:r w:rsidR="00521D0B">
              <w:rPr>
                <w:rFonts w:ascii="Times New Roman" w:hAnsi="Times New Roman"/>
                <w:sz w:val="24"/>
              </w:rPr>
              <w:t>'</w:t>
            </w:r>
            <w:r>
              <w:rPr>
                <w:rFonts w:ascii="Times New Roman" w:hAnsi="Times New Roman"/>
                <w:sz w:val="24"/>
              </w:rPr>
              <w:t>articolo 269 bis, paragrafo 1, del regolamento (UE) n. 575/2013.</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40B3EB3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TRATTAMENTO CONTABILE: LE ESPOSIZIONI CARTOLARIZZATE SONO MANTENUTE NELLO STATO PATRIMONIALE O SONO RIMOSSE?</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Gli enti in quanto cedenti, promotori e prestatori originari inseriscono una delle seguenti abbreviazioni:</w:t>
            </w:r>
          </w:p>
          <w:p w14:paraId="4C0FBFEA" w14:textId="4B27C48F" w:rsidR="00933ADA" w:rsidRPr="002A677E" w:rsidRDefault="00933ADA" w:rsidP="00521D0B">
            <w:pPr>
              <w:autoSpaceDE w:val="0"/>
              <w:autoSpaceDN w:val="0"/>
              <w:adjustRightInd w:val="0"/>
              <w:spacing w:before="0" w:after="0"/>
              <w:ind w:firstLine="44"/>
              <w:jc w:val="left"/>
              <w:rPr>
                <w:rFonts w:ascii="Times New Roman" w:hAnsi="Times New Roman"/>
                <w:sz w:val="24"/>
              </w:rPr>
            </w:pPr>
            <w:r>
              <w:rPr>
                <w:rFonts w:ascii="Times New Roman" w:hAnsi="Times New Roman"/>
                <w:sz w:val="24"/>
              </w:rPr>
              <w:t xml:space="preserve">- </w:t>
            </w:r>
            <w:r w:rsidR="00521D0B">
              <w:rPr>
                <w:rFonts w:ascii="Times New Roman" w:hAnsi="Times New Roman"/>
                <w:sz w:val="24"/>
              </w:rPr>
              <w:t>"</w:t>
            </w:r>
            <w:r>
              <w:rPr>
                <w:rFonts w:ascii="Times New Roman" w:hAnsi="Times New Roman"/>
                <w:sz w:val="24"/>
              </w:rPr>
              <w:t>K - totalmente mantenute</w:t>
            </w:r>
            <w:r w:rsidR="00521D0B">
              <w:rPr>
                <w:rFonts w:ascii="Times New Roman" w:hAnsi="Times New Roman"/>
                <w:sz w:val="24"/>
              </w:rPr>
              <w:t>"</w:t>
            </w:r>
            <w:r>
              <w:rPr>
                <w:rFonts w:ascii="Times New Roman" w:hAnsi="Times New Roman"/>
                <w:sz w:val="24"/>
              </w:rPr>
              <w:t>, se le esposizioni cartolarizzate restano interamente rilevate;</w:t>
            </w:r>
          </w:p>
          <w:p w14:paraId="13423F04" w14:textId="00780452"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521D0B">
              <w:rPr>
                <w:rFonts w:ascii="Times New Roman" w:hAnsi="Times New Roman"/>
                <w:sz w:val="24"/>
              </w:rPr>
              <w:t>"</w:t>
            </w:r>
            <w:r>
              <w:rPr>
                <w:rFonts w:ascii="Times New Roman" w:hAnsi="Times New Roman"/>
                <w:sz w:val="24"/>
              </w:rPr>
              <w:t>P - parzialmente rimosse</w:t>
            </w:r>
            <w:r w:rsidR="00521D0B">
              <w:rPr>
                <w:rFonts w:ascii="Times New Roman" w:hAnsi="Times New Roman"/>
                <w:sz w:val="24"/>
              </w:rPr>
              <w:t>"</w:t>
            </w:r>
            <w:r>
              <w:rPr>
                <w:rFonts w:ascii="Times New Roman" w:hAnsi="Times New Roman"/>
                <w:sz w:val="24"/>
              </w:rPr>
              <w:t>, se le esposizioni cartolarizzate sono parzialmente eliminate contabilmente;</w:t>
            </w:r>
          </w:p>
          <w:p w14:paraId="6F78291C" w14:textId="245678F9"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521D0B">
              <w:rPr>
                <w:rFonts w:ascii="Times New Roman" w:hAnsi="Times New Roman"/>
                <w:sz w:val="24"/>
              </w:rPr>
              <w:t>"</w:t>
            </w:r>
            <w:r>
              <w:rPr>
                <w:rFonts w:ascii="Times New Roman" w:hAnsi="Times New Roman"/>
                <w:sz w:val="24"/>
              </w:rPr>
              <w:t>R - totalmente rimosse</w:t>
            </w:r>
            <w:r w:rsidR="00521D0B">
              <w:rPr>
                <w:rFonts w:ascii="Times New Roman" w:hAnsi="Times New Roman"/>
                <w:sz w:val="24"/>
              </w:rPr>
              <w:t>"</w:t>
            </w:r>
            <w:r>
              <w:rPr>
                <w:rFonts w:ascii="Times New Roman" w:hAnsi="Times New Roman"/>
                <w:sz w:val="24"/>
              </w:rPr>
              <w:t>, se le esposizioni cartolarizzate sono totalmente eliminate contabilmente;</w:t>
            </w:r>
          </w:p>
          <w:p w14:paraId="6FCDFAE6" w14:textId="031BF529"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521D0B">
              <w:rPr>
                <w:rFonts w:ascii="Times New Roman" w:hAnsi="Times New Roman"/>
                <w:sz w:val="24"/>
              </w:rPr>
              <w:t>"</w:t>
            </w:r>
            <w:r>
              <w:rPr>
                <w:rFonts w:ascii="Times New Roman" w:hAnsi="Times New Roman"/>
                <w:sz w:val="24"/>
              </w:rPr>
              <w:t>N - non applicabile</w:t>
            </w:r>
            <w:r w:rsidR="00521D0B">
              <w:rPr>
                <w:rFonts w:ascii="Times New Roman" w:hAnsi="Times New Roman"/>
                <w:sz w:val="24"/>
              </w:rPr>
              <w:t>"</w:t>
            </w:r>
            <w:r>
              <w:rPr>
                <w:rFonts w:ascii="Times New Roman" w:hAnsi="Times New Roman"/>
                <w:sz w:val="24"/>
              </w:rPr>
              <w:t>, se non pertinente.</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AE87053"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Questa colonna riassume il trattamento contabile dell</w:t>
            </w:r>
            <w:r w:rsidR="00521D0B">
              <w:rPr>
                <w:rFonts w:ascii="Times New Roman" w:hAnsi="Times New Roman"/>
                <w:sz w:val="24"/>
              </w:rPr>
              <w:t>'</w:t>
            </w:r>
            <w:r>
              <w:rPr>
                <w:rFonts w:ascii="Times New Roman" w:hAnsi="Times New Roman"/>
                <w:sz w:val="24"/>
              </w:rPr>
              <w:t>operazione. Il</w:t>
            </w:r>
            <w:r w:rsidR="00521D0B">
              <w:rPr>
                <w:rFonts w:ascii="Times New Roman" w:hAnsi="Times New Roman"/>
                <w:sz w:val="24"/>
              </w:rPr>
              <w:t> </w:t>
            </w:r>
            <w:r>
              <w:rPr>
                <w:rFonts w:ascii="Times New Roman" w:hAnsi="Times New Roman"/>
                <w:sz w:val="24"/>
              </w:rPr>
              <w:t>trasferimento significativo del rischio ai sensi degli articoli 244 e 245 del regolamento (UE) n. 575/2013 non incide sul trattamento contabile dell</w:t>
            </w:r>
            <w:r w:rsidR="00521D0B">
              <w:rPr>
                <w:rFonts w:ascii="Times New Roman" w:hAnsi="Times New Roman"/>
                <w:sz w:val="24"/>
              </w:rPr>
              <w:t>'</w:t>
            </w:r>
            <w:r>
              <w:rPr>
                <w:rFonts w:ascii="Times New Roman" w:hAnsi="Times New Roman"/>
                <w:sz w:val="24"/>
              </w:rPr>
              <w:t>operazione nell</w:t>
            </w:r>
            <w:r w:rsidR="00521D0B">
              <w:rPr>
                <w:rFonts w:ascii="Times New Roman" w:hAnsi="Times New Roman"/>
                <w:sz w:val="24"/>
              </w:rPr>
              <w:t>'</w:t>
            </w:r>
            <w:r>
              <w:rPr>
                <w:rFonts w:ascii="Times New Roman" w:hAnsi="Times New Roman"/>
                <w:sz w:val="24"/>
              </w:rPr>
              <w:t>ambito della disciplina contabile applicabile.</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Nelle cartolarizzazioni di passività i cedenti non compilano questa colonna.</w:t>
            </w:r>
          </w:p>
          <w:p w14:paraId="0DB3F002" w14:textId="203FEAA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L</w:t>
            </w:r>
            <w:r w:rsidR="00521D0B">
              <w:rPr>
                <w:rFonts w:ascii="Times New Roman" w:hAnsi="Times New Roman"/>
                <w:sz w:val="24"/>
              </w:rPr>
              <w:t>'</w:t>
            </w:r>
            <w:r>
              <w:rPr>
                <w:rFonts w:ascii="Times New Roman" w:hAnsi="Times New Roman"/>
                <w:sz w:val="24"/>
              </w:rPr>
              <w:t xml:space="preserve">opzione </w:t>
            </w:r>
            <w:r w:rsidR="00521D0B">
              <w:rPr>
                <w:rFonts w:ascii="Times New Roman" w:hAnsi="Times New Roman"/>
                <w:sz w:val="24"/>
              </w:rPr>
              <w:t>"</w:t>
            </w:r>
            <w:r>
              <w:rPr>
                <w:rFonts w:ascii="Times New Roman" w:hAnsi="Times New Roman"/>
                <w:sz w:val="24"/>
              </w:rPr>
              <w:t>P</w:t>
            </w:r>
            <w:r w:rsidR="00521D0B">
              <w:rPr>
                <w:rFonts w:ascii="Times New Roman" w:hAnsi="Times New Roman"/>
                <w:sz w:val="24"/>
              </w:rPr>
              <w:t>"</w:t>
            </w:r>
            <w:r>
              <w:rPr>
                <w:rFonts w:ascii="Times New Roman" w:hAnsi="Times New Roman"/>
                <w:sz w:val="24"/>
              </w:rPr>
              <w:t xml:space="preserve"> (eliminate in parte) è selezionata quando le attività cartolarizzate sono rilevate in bilancio in misura pari al coinvolgimento continuativo del soggetto segnalante conformemente all</w:t>
            </w:r>
            <w:r w:rsidR="00521D0B">
              <w:rPr>
                <w:rFonts w:ascii="Times New Roman" w:hAnsi="Times New Roman"/>
                <w:sz w:val="24"/>
              </w:rPr>
              <w:t>'</w:t>
            </w:r>
            <w:r>
              <w:rPr>
                <w:rFonts w:ascii="Times New Roman" w:hAnsi="Times New Roman"/>
                <w:sz w:val="24"/>
              </w:rPr>
              <w:t>IFRS 9.3.2.16 – 3.2.21.</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14:paraId="35E9CC9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TRATTAMENTO AI FINI DELLA SOLVIBILITÀ: LE POSIZIONI VERSO LA CARTOLARIZZAZIONE SONO SOGGETTE AI REQUISITI DI FONDI PROPRI?</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Articoli 109, 244 e 245 del regolamento (UE) n. 575/2013</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 cedenti, e soltanto loro, utilizzano una delle seguenti diciture: </w:t>
            </w:r>
          </w:p>
          <w:p w14:paraId="1ED3F52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non soggette a requisiti di fondi propri;</w:t>
            </w:r>
          </w:p>
          <w:p w14:paraId="446FBE1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portafoglio bancario;</w:t>
            </w:r>
          </w:p>
          <w:p w14:paraId="0DDB6C2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portafoglio di negoziazione;</w:t>
            </w:r>
          </w:p>
          <w:p w14:paraId="35D166D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parzialmente nel portafoglio bancario e nel portafoglio di negoziazione.</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Questa colonna riassume il trattamento ai fini della solvibilità dello schema di cartolarizzazione da parte del cedente. Indica se i requisiti di fondi propri sono calcolati secondo le esposizioni cartolarizzate o secondo le posizioni verso la cartolarizzazione (portafoglio bancario/portafoglio di negoziazione).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0039D698"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Se i requisiti di fondi propri si basano sulle </w:t>
            </w:r>
            <w:r>
              <w:rPr>
                <w:rFonts w:ascii="Times New Roman" w:hAnsi="Times New Roman"/>
                <w:i/>
                <w:sz w:val="24"/>
              </w:rPr>
              <w:t>esposizioni cartolarizzate</w:t>
            </w:r>
            <w:r>
              <w:rPr>
                <w:rFonts w:ascii="Times New Roman" w:hAnsi="Times New Roman"/>
                <w:sz w:val="24"/>
              </w:rPr>
              <w:t xml:space="preserve"> (non essendoci stato un trasferimento significativo del rischio), il calcolo dei requisiti di fondi propri per il rischio di credito è segnalato nel modello CR SA, qualora l</w:t>
            </w:r>
            <w:r w:rsidR="00521D0B">
              <w:rPr>
                <w:rFonts w:ascii="Times New Roman" w:hAnsi="Times New Roman"/>
                <w:sz w:val="24"/>
              </w:rPr>
              <w:t>'</w:t>
            </w:r>
            <w:r>
              <w:rPr>
                <w:rFonts w:ascii="Times New Roman" w:hAnsi="Times New Roman"/>
                <w:sz w:val="24"/>
              </w:rPr>
              <w:t>ente applichi all</w:t>
            </w:r>
            <w:r w:rsidR="00521D0B">
              <w:rPr>
                <w:rFonts w:ascii="Times New Roman" w:hAnsi="Times New Roman"/>
                <w:sz w:val="24"/>
              </w:rPr>
              <w:t>'</w:t>
            </w:r>
            <w:r>
              <w:rPr>
                <w:rFonts w:ascii="Times New Roman" w:hAnsi="Times New Roman"/>
                <w:sz w:val="24"/>
              </w:rPr>
              <w:t>esposizione cartolarizzata il metodo standardizzato, oppure nel modello CR IRB, qualora l</w:t>
            </w:r>
            <w:r w:rsidR="00521D0B">
              <w:rPr>
                <w:rFonts w:ascii="Times New Roman" w:hAnsi="Times New Roman"/>
                <w:sz w:val="24"/>
              </w:rPr>
              <w:t>'</w:t>
            </w:r>
            <w:r>
              <w:rPr>
                <w:rFonts w:ascii="Times New Roman" w:hAnsi="Times New Roman"/>
                <w:sz w:val="24"/>
              </w:rPr>
              <w:t>ente applichi all</w:t>
            </w:r>
            <w:r w:rsidR="00521D0B">
              <w:rPr>
                <w:rFonts w:ascii="Times New Roman" w:hAnsi="Times New Roman"/>
                <w:sz w:val="24"/>
              </w:rPr>
              <w:t>'</w:t>
            </w:r>
            <w:r>
              <w:rPr>
                <w:rFonts w:ascii="Times New Roman" w:hAnsi="Times New Roman"/>
                <w:sz w:val="24"/>
              </w:rPr>
              <w:t>esposizione cartolarizzata il metodo basato sui rating interni.</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Al contrario, se i requisiti di fondi propri si basano su </w:t>
            </w:r>
            <w:r>
              <w:rPr>
                <w:rFonts w:ascii="Times New Roman" w:hAnsi="Times New Roman"/>
                <w:i/>
                <w:sz w:val="24"/>
              </w:rPr>
              <w:t>posizioni verso la cartolarizzazione detenute nel portafoglio bancario</w:t>
            </w:r>
            <w:r>
              <w:rPr>
                <w:rFonts w:ascii="Times New Roman" w:hAnsi="Times New Roman"/>
                <w:sz w:val="24"/>
              </w:rPr>
              <w:t xml:space="preserve"> (in quanto è stato realizzato un trasferimento significativo del rischio), le informazioni sul calcolo dei requisiti di fondi propri per il rischio di credito sono segnalate nel modello CR SEC. Per le </w:t>
            </w:r>
            <w:r>
              <w:rPr>
                <w:rFonts w:ascii="Times New Roman" w:hAnsi="Times New Roman"/>
                <w:i/>
                <w:sz w:val="24"/>
              </w:rPr>
              <w:t>posizioni verso la cartolarizzazione detenute nel portafoglio di negoziazione</w:t>
            </w:r>
            <w:r>
              <w:rPr>
                <w:rFonts w:ascii="Times New Roman" w:hAnsi="Times New Roman"/>
                <w:sz w:val="24"/>
              </w:rPr>
              <w:t>, le informazioni sul calcolo dei requisiti di fondi propri per il rischio di mercato sono indicate nel modello MKR SA TDI (rischio di posizione generale standardizzato) e nel modello MKR SA SEC o nel modello MKR SA CTP (rischio di posizione specifico standardizzato) o ancora nel modello MKR IM (modelli interni).</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Nelle cartolarizzazioni di passività i cedenti non compilano questa colonna.</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14:paraId="6B48423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TRASFERIMENTO SIGNIFICATIVO DEL RISCHIO (SRT)</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 cedenti, e soltanto loro, utilizzano una delle seguenti diciture:</w:t>
            </w:r>
          </w:p>
          <w:p w14:paraId="1695E1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nessun SRT riconosciuto: il soggetto segnalante pondera per il rischio le sue esposizioni cartolarizzate;</w:t>
            </w:r>
          </w:p>
          <w:p w14:paraId="0F0185D9" w14:textId="001BB93D"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realizzazione di un SRT a norma dell</w:t>
            </w:r>
            <w:r w:rsidR="00521D0B">
              <w:rPr>
                <w:rFonts w:ascii="Times New Roman" w:hAnsi="Times New Roman"/>
                <w:sz w:val="24"/>
              </w:rPr>
              <w:t>'</w:t>
            </w:r>
            <w:r>
              <w:rPr>
                <w:rFonts w:ascii="Times New Roman" w:hAnsi="Times New Roman"/>
                <w:sz w:val="24"/>
              </w:rPr>
              <w:t>articolo 244, paragrafo 2, lettera a), o dell</w:t>
            </w:r>
            <w:r w:rsidR="00521D0B">
              <w:rPr>
                <w:rFonts w:ascii="Times New Roman" w:hAnsi="Times New Roman"/>
                <w:sz w:val="24"/>
              </w:rPr>
              <w:t>'</w:t>
            </w:r>
            <w:r>
              <w:rPr>
                <w:rFonts w:ascii="Times New Roman" w:hAnsi="Times New Roman"/>
                <w:sz w:val="24"/>
              </w:rPr>
              <w:t>articolo 245, paragrafo 2, lettera a), del regolamento (UE) n. 575/2013;</w:t>
            </w:r>
          </w:p>
          <w:p w14:paraId="4878912D" w14:textId="307B0AEA"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realizzazione di un SRT a norma dell</w:t>
            </w:r>
            <w:r w:rsidR="00521D0B">
              <w:rPr>
                <w:rFonts w:ascii="Times New Roman" w:hAnsi="Times New Roman"/>
                <w:sz w:val="24"/>
              </w:rPr>
              <w:t>'</w:t>
            </w:r>
            <w:r>
              <w:rPr>
                <w:rFonts w:ascii="Times New Roman" w:hAnsi="Times New Roman"/>
                <w:sz w:val="24"/>
              </w:rPr>
              <w:t>articolo 244, paragrafo 2, lettera b), o dell</w:t>
            </w:r>
            <w:r w:rsidR="00521D0B">
              <w:rPr>
                <w:rFonts w:ascii="Times New Roman" w:hAnsi="Times New Roman"/>
                <w:sz w:val="24"/>
              </w:rPr>
              <w:t>'</w:t>
            </w:r>
            <w:r>
              <w:rPr>
                <w:rFonts w:ascii="Times New Roman" w:hAnsi="Times New Roman"/>
                <w:sz w:val="24"/>
              </w:rPr>
              <w:t>articolo 245, paragrafo 2, lettera b), del regolamento (UE) n. 575/2013;</w:t>
            </w:r>
          </w:p>
          <w:p w14:paraId="54663FCA" w14:textId="2FDA43D5"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realizzazione di un SRT a norma dell</w:t>
            </w:r>
            <w:r w:rsidR="00521D0B">
              <w:rPr>
                <w:rFonts w:ascii="Times New Roman" w:hAnsi="Times New Roman"/>
                <w:sz w:val="24"/>
              </w:rPr>
              <w:t>'</w:t>
            </w:r>
            <w:r>
              <w:rPr>
                <w:rFonts w:ascii="Times New Roman" w:hAnsi="Times New Roman"/>
                <w:sz w:val="24"/>
              </w:rPr>
              <w:t>articolo 244, paragrafo 3, lettera a), o dell</w:t>
            </w:r>
            <w:r w:rsidR="00521D0B">
              <w:rPr>
                <w:rFonts w:ascii="Times New Roman" w:hAnsi="Times New Roman"/>
                <w:sz w:val="24"/>
              </w:rPr>
              <w:t>'</w:t>
            </w:r>
            <w:r>
              <w:rPr>
                <w:rFonts w:ascii="Times New Roman" w:hAnsi="Times New Roman"/>
                <w:sz w:val="24"/>
              </w:rPr>
              <w:t>articolo 245, paragrafo 3, lettera a), del regolamento (UE) n. 575/2013;</w:t>
            </w:r>
          </w:p>
          <w:p w14:paraId="71AA1D6B" w14:textId="7C89FD43"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attribuzione di un fattore di ponderazione del rischio del 1 250 % o deduzione delle posizioni mantenute a norma dell</w:t>
            </w:r>
            <w:r w:rsidR="00521D0B">
              <w:rPr>
                <w:rFonts w:ascii="Times New Roman" w:hAnsi="Times New Roman"/>
                <w:sz w:val="24"/>
              </w:rPr>
              <w:t>'</w:t>
            </w:r>
            <w:r>
              <w:rPr>
                <w:rFonts w:ascii="Times New Roman" w:hAnsi="Times New Roman"/>
                <w:sz w:val="24"/>
              </w:rPr>
              <w:t>articolo 244, paragrafo 1, lettera b), o dell</w:t>
            </w:r>
            <w:r w:rsidR="00521D0B">
              <w:rPr>
                <w:rFonts w:ascii="Times New Roman" w:hAnsi="Times New Roman"/>
                <w:sz w:val="24"/>
              </w:rPr>
              <w:t>'</w:t>
            </w:r>
            <w:r>
              <w:rPr>
                <w:rFonts w:ascii="Times New Roman" w:hAnsi="Times New Roman"/>
                <w:sz w:val="24"/>
              </w:rPr>
              <w:t>articolo 245, paragrafo 1, lettera b), del regolamento (UE) n. 575/2013</w:t>
            </w:r>
            <w:r>
              <w:t>.</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47DAFBBA"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Questa colonna riassume se è stato realizzato un trasferimento significativo e, in caso affermativo, con quali mezzi. La realizzazione dell</w:t>
            </w:r>
            <w:r w:rsidR="00521D0B">
              <w:rPr>
                <w:rFonts w:ascii="Times New Roman" w:hAnsi="Times New Roman"/>
                <w:sz w:val="24"/>
              </w:rPr>
              <w:t>'</w:t>
            </w:r>
            <w:r>
              <w:rPr>
                <w:rFonts w:ascii="Times New Roman" w:hAnsi="Times New Roman"/>
                <w:sz w:val="24"/>
              </w:rPr>
              <w:t>SRT determinerà il corretto trattamento ai fini della solvibilità da parte del cedente.</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07E5DF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CARTOLARIZZAZIONE O RICARTOLARIZZAZIONE?</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64D61289" w:rsidR="00933ADA" w:rsidRPr="002A677E" w:rsidRDefault="00933ADA" w:rsidP="00822842">
            <w:pPr>
              <w:autoSpaceDE w:val="0"/>
              <w:autoSpaceDN w:val="0"/>
              <w:adjustRightInd w:val="0"/>
              <w:spacing w:before="0"/>
              <w:jc w:val="left"/>
              <w:rPr>
                <w:rFonts w:ascii="Times New Roman" w:hAnsi="Times New Roman"/>
                <w:sz w:val="24"/>
              </w:rPr>
            </w:pPr>
            <w:r>
              <w:rPr>
                <w:rFonts w:ascii="Times New Roman" w:hAnsi="Times New Roman"/>
                <w:sz w:val="24"/>
              </w:rPr>
              <w:t xml:space="preserve">Conformemente alla definizione di </w:t>
            </w:r>
            <w:r w:rsidR="00521D0B">
              <w:rPr>
                <w:rFonts w:ascii="Times New Roman" w:hAnsi="Times New Roman"/>
                <w:sz w:val="24"/>
              </w:rPr>
              <w:t>"</w:t>
            </w:r>
            <w:r>
              <w:rPr>
                <w:rFonts w:ascii="Times New Roman" w:hAnsi="Times New Roman"/>
                <w:sz w:val="24"/>
              </w:rPr>
              <w:t>cartolarizzazione</w:t>
            </w:r>
            <w:r w:rsidR="00521D0B">
              <w:rPr>
                <w:rFonts w:ascii="Times New Roman" w:hAnsi="Times New Roman"/>
                <w:sz w:val="24"/>
              </w:rPr>
              <w:t>"</w:t>
            </w:r>
            <w:r>
              <w:rPr>
                <w:rFonts w:ascii="Times New Roman" w:hAnsi="Times New Roman"/>
                <w:sz w:val="24"/>
              </w:rPr>
              <w:t xml:space="preserve"> di cui all</w:t>
            </w:r>
            <w:r w:rsidR="00521D0B">
              <w:rPr>
                <w:rFonts w:ascii="Times New Roman" w:hAnsi="Times New Roman"/>
                <w:sz w:val="24"/>
              </w:rPr>
              <w:t>'</w:t>
            </w:r>
            <w:r>
              <w:rPr>
                <w:rFonts w:ascii="Times New Roman" w:hAnsi="Times New Roman"/>
                <w:sz w:val="24"/>
              </w:rPr>
              <w:t xml:space="preserve">articolo 4, paragrafo 1, punto 61, del regolamento (UE) n. 575/2013 e alla definizione di </w:t>
            </w:r>
            <w:r w:rsidR="00521D0B">
              <w:rPr>
                <w:rFonts w:ascii="Times New Roman" w:hAnsi="Times New Roman"/>
                <w:sz w:val="24"/>
              </w:rPr>
              <w:t>"</w:t>
            </w:r>
            <w:proofErr w:type="spellStart"/>
            <w:r>
              <w:rPr>
                <w:rFonts w:ascii="Times New Roman" w:hAnsi="Times New Roman"/>
                <w:sz w:val="24"/>
              </w:rPr>
              <w:t>ricartolarizzazione</w:t>
            </w:r>
            <w:proofErr w:type="spellEnd"/>
            <w:r w:rsidR="00521D0B">
              <w:rPr>
                <w:rFonts w:ascii="Times New Roman" w:hAnsi="Times New Roman"/>
                <w:sz w:val="24"/>
              </w:rPr>
              <w:t>"</w:t>
            </w:r>
            <w:r>
              <w:rPr>
                <w:rFonts w:ascii="Times New Roman" w:hAnsi="Times New Roman"/>
                <w:sz w:val="24"/>
              </w:rPr>
              <w:t xml:space="preserve"> di cui all</w:t>
            </w:r>
            <w:r w:rsidR="00521D0B">
              <w:rPr>
                <w:rFonts w:ascii="Times New Roman" w:hAnsi="Times New Roman"/>
                <w:sz w:val="24"/>
              </w:rPr>
              <w:t>'</w:t>
            </w:r>
            <w:r>
              <w:rPr>
                <w:rFonts w:ascii="Times New Roman" w:hAnsi="Times New Roman"/>
                <w:sz w:val="24"/>
              </w:rPr>
              <w:t>articolo 4, paragrafo 1, punto 63), del regolamento (UE) n. 575/2013, indicare il tipo di cartolarizzazione utilizzando le seguenti abbreviazioni:</w:t>
            </w:r>
          </w:p>
          <w:p w14:paraId="3760E00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cartolarizzazione;</w:t>
            </w:r>
          </w:p>
          <w:p w14:paraId="1A7E6A3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proofErr w:type="spellStart"/>
            <w:r>
              <w:rPr>
                <w:rFonts w:ascii="Times New Roman" w:hAnsi="Times New Roman"/>
                <w:sz w:val="24"/>
              </w:rPr>
              <w:t>ricartolarizzazione</w:t>
            </w:r>
            <w:proofErr w:type="spellEnd"/>
            <w:r>
              <w:rPr>
                <w:rFonts w:ascii="Times New Roman" w:hAnsi="Times New Roman"/>
                <w:sz w:val="24"/>
              </w:rPr>
              <w:t>.</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12E9608C" w14:textId="77777777" w:rsidR="00933ADA" w:rsidRPr="002A677E" w:rsidRDefault="00933ADA" w:rsidP="00822842">
            <w:pPr>
              <w:tabs>
                <w:tab w:val="left" w:pos="3274"/>
              </w:tabs>
              <w:spacing w:before="0" w:after="0"/>
              <w:jc w:val="left"/>
              <w:rPr>
                <w:rFonts w:ascii="Times New Roman" w:hAnsi="Times New Roman"/>
                <w:b/>
                <w:sz w:val="24"/>
                <w:u w:val="single"/>
              </w:rPr>
            </w:pPr>
            <w:r>
              <w:rPr>
                <w:rFonts w:ascii="Times New Roman" w:hAnsi="Times New Roman"/>
                <w:b/>
                <w:sz w:val="24"/>
                <w:u w:val="single"/>
              </w:rPr>
              <w:t>CARTOLARIZZAZIONE STS</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Articolo 18 del regolamento (UE) 2017/2402</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Gli enti utilizzano una delle seguenti abbreviazioni:</w:t>
            </w:r>
          </w:p>
          <w:p w14:paraId="0CB638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 – Sì;</w:t>
            </w:r>
          </w:p>
          <w:p w14:paraId="45AF201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N – No</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7ECA96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CARTOLARIZZAZIONI AMMISSIBILI AL TRATTAMENTO DIFFERENZIATO AI FINI PATRIMONIALI</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Articoli 243, 270 e 494 quater del regolamento (UE) n. 575/2013</w:t>
            </w:r>
          </w:p>
          <w:p w14:paraId="53A5861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Gli enti utilizzano una delle seguenti abbreviazioni:</w:t>
            </w:r>
          </w:p>
          <w:p w14:paraId="101580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Sì;</w:t>
            </w:r>
          </w:p>
          <w:p w14:paraId="24013316" w14:textId="77777777" w:rsidR="00933ADA" w:rsidRPr="002A677E" w:rsidRDefault="00933ADA" w:rsidP="00822842">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No.</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2C116043" w:rsidR="00933ADA" w:rsidRPr="002A677E" w:rsidRDefault="00521D0B" w:rsidP="00822842">
            <w:pPr>
              <w:spacing w:before="0" w:after="0"/>
              <w:jc w:val="left"/>
              <w:rPr>
                <w:rFonts w:ascii="Times New Roman" w:hAnsi="Times New Roman"/>
                <w:sz w:val="24"/>
              </w:rPr>
            </w:pPr>
            <w:proofErr w:type="gramStart"/>
            <w:r>
              <w:rPr>
                <w:rFonts w:ascii="Times New Roman" w:hAnsi="Times New Roman"/>
                <w:sz w:val="24"/>
              </w:rPr>
              <w:t>"</w:t>
            </w:r>
            <w:r w:rsidR="00933ADA">
              <w:rPr>
                <w:rFonts w:ascii="Times New Roman" w:hAnsi="Times New Roman"/>
                <w:sz w:val="24"/>
              </w:rPr>
              <w:t>Sì</w:t>
            </w:r>
            <w:r>
              <w:rPr>
                <w:rFonts w:ascii="Times New Roman" w:hAnsi="Times New Roman"/>
                <w:sz w:val="24"/>
              </w:rPr>
              <w:t>"</w:t>
            </w:r>
            <w:proofErr w:type="gramEnd"/>
            <w:r w:rsidR="00933ADA">
              <w:rPr>
                <w:rFonts w:ascii="Times New Roman" w:hAnsi="Times New Roman"/>
                <w:sz w:val="24"/>
              </w:rPr>
              <w:t xml:space="preserve"> va indicato nei seguenti casi:</w:t>
            </w:r>
          </w:p>
          <w:p w14:paraId="449E7C7C" w14:textId="110E2594"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cartolarizzazioni STS ammissibili al trattamento differenziato ai fini patrimoniali a norma dell</w:t>
            </w:r>
            <w:r w:rsidR="00521D0B">
              <w:rPr>
                <w:rFonts w:ascii="Times New Roman" w:hAnsi="Times New Roman"/>
                <w:sz w:val="24"/>
              </w:rPr>
              <w:t>'</w:t>
            </w:r>
            <w:r>
              <w:rPr>
                <w:rFonts w:ascii="Times New Roman" w:hAnsi="Times New Roman"/>
                <w:sz w:val="24"/>
              </w:rPr>
              <w:t>articolo 243 del regolamento (UE) n.</w:t>
            </w:r>
            <w:r w:rsidR="00521D0B">
              <w:rPr>
                <w:rFonts w:ascii="Times New Roman" w:hAnsi="Times New Roman"/>
                <w:sz w:val="24"/>
              </w:rPr>
              <w:t> </w:t>
            </w:r>
            <w:r>
              <w:rPr>
                <w:rFonts w:ascii="Times New Roman" w:hAnsi="Times New Roman"/>
                <w:sz w:val="24"/>
              </w:rPr>
              <w:t xml:space="preserve">575/2013 </w:t>
            </w:r>
          </w:p>
          <w:p w14:paraId="0F1A6EAD" w14:textId="15CD381A"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posizioni senior verso cartolarizzazioni STS nel bilancio ammissibili a tale trattamento a norma dell</w:t>
            </w:r>
            <w:r w:rsidR="00521D0B">
              <w:rPr>
                <w:rFonts w:ascii="Times New Roman" w:hAnsi="Times New Roman"/>
                <w:sz w:val="24"/>
              </w:rPr>
              <w:t>'</w:t>
            </w:r>
            <w:r>
              <w:rPr>
                <w:rFonts w:ascii="Times New Roman" w:hAnsi="Times New Roman"/>
                <w:sz w:val="24"/>
              </w:rPr>
              <w:t>articolo 270 del regolamento (UE) n.</w:t>
            </w:r>
            <w:r w:rsidR="00521D0B">
              <w:rPr>
                <w:rFonts w:ascii="Times New Roman" w:hAnsi="Times New Roman"/>
                <w:sz w:val="24"/>
              </w:rPr>
              <w:t> </w:t>
            </w:r>
            <w:r>
              <w:rPr>
                <w:rFonts w:ascii="Times New Roman" w:hAnsi="Times New Roman"/>
                <w:sz w:val="24"/>
              </w:rPr>
              <w:t>575/2013</w:t>
            </w:r>
          </w:p>
          <w:p w14:paraId="04149D39" w14:textId="50DB6CE9"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cartolarizzazioni sintetiche di PMI soggette a </w:t>
            </w:r>
            <w:proofErr w:type="spellStart"/>
            <w:r>
              <w:rPr>
                <w:rFonts w:ascii="Times New Roman" w:hAnsi="Times New Roman"/>
                <w:sz w:val="24"/>
              </w:rPr>
              <w:t>grandfathering</w:t>
            </w:r>
            <w:proofErr w:type="spellEnd"/>
            <w:r>
              <w:rPr>
                <w:rFonts w:ascii="Times New Roman" w:hAnsi="Times New Roman"/>
                <w:sz w:val="24"/>
              </w:rPr>
              <w:t xml:space="preserve"> a norma dell</w:t>
            </w:r>
            <w:r w:rsidR="00521D0B">
              <w:rPr>
                <w:rFonts w:ascii="Times New Roman" w:hAnsi="Times New Roman"/>
                <w:sz w:val="24"/>
              </w:rPr>
              <w:t>'</w:t>
            </w:r>
            <w:r>
              <w:rPr>
                <w:rFonts w:ascii="Times New Roman" w:hAnsi="Times New Roman"/>
                <w:sz w:val="24"/>
              </w:rPr>
              <w:t>articolo 494 quater del regolamento (UE) n. 575/2013.</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B4BD36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TIPO DI MARGINE POSITIVO (EXCESS SPREAD)</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Articolo 2, punto 29, del regolamento (UE) 2017/2402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Gli enti utilizzano una delle seguenti diciture:</w:t>
            </w:r>
          </w:p>
          <w:p w14:paraId="7DDC564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nessun margine positivo</w:t>
            </w:r>
          </w:p>
          <w:p w14:paraId="08E7FB6E" w14:textId="2E664CA1"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margine positivo, importo fisso - meccanismo </w:t>
            </w:r>
            <w:r w:rsidR="00521D0B">
              <w:rPr>
                <w:rFonts w:ascii="Times New Roman" w:hAnsi="Times New Roman"/>
                <w:sz w:val="24"/>
              </w:rPr>
              <w:t>"</w:t>
            </w:r>
            <w:r>
              <w:rPr>
                <w:rFonts w:ascii="Times New Roman" w:hAnsi="Times New Roman"/>
                <w:sz w:val="24"/>
              </w:rPr>
              <w:t xml:space="preserve">use </w:t>
            </w:r>
            <w:proofErr w:type="spellStart"/>
            <w:r>
              <w:rPr>
                <w:rFonts w:ascii="Times New Roman" w:hAnsi="Times New Roman"/>
                <w:sz w:val="24"/>
              </w:rPr>
              <w:t>it</w:t>
            </w:r>
            <w:proofErr w:type="spellEnd"/>
            <w:r>
              <w:rPr>
                <w:rFonts w:ascii="Times New Roman" w:hAnsi="Times New Roman"/>
                <w:sz w:val="24"/>
              </w:rPr>
              <w:t xml:space="preserve"> or </w:t>
            </w:r>
            <w:proofErr w:type="spellStart"/>
            <w:r>
              <w:rPr>
                <w:rFonts w:ascii="Times New Roman" w:hAnsi="Times New Roman"/>
                <w:sz w:val="24"/>
              </w:rPr>
              <w:t>lose</w:t>
            </w:r>
            <w:proofErr w:type="spellEnd"/>
            <w:r>
              <w:rPr>
                <w:rFonts w:ascii="Times New Roman" w:hAnsi="Times New Roman"/>
                <w:sz w:val="24"/>
              </w:rPr>
              <w:t xml:space="preserve"> </w:t>
            </w:r>
            <w:proofErr w:type="spellStart"/>
            <w:r>
              <w:rPr>
                <w:rFonts w:ascii="Times New Roman" w:hAnsi="Times New Roman"/>
                <w:sz w:val="24"/>
              </w:rPr>
              <w:t>it</w:t>
            </w:r>
            <w:proofErr w:type="spellEnd"/>
            <w:r w:rsidR="00521D0B">
              <w:rPr>
                <w:rFonts w:ascii="Times New Roman" w:hAnsi="Times New Roman"/>
                <w:sz w:val="24"/>
              </w:rPr>
              <w:t>"</w:t>
            </w:r>
          </w:p>
          <w:p w14:paraId="46A55FA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margine positivo, importo fisso - </w:t>
            </w:r>
            <w:proofErr w:type="spellStart"/>
            <w:r>
              <w:rPr>
                <w:rFonts w:ascii="Times New Roman" w:hAnsi="Times New Roman"/>
                <w:sz w:val="24"/>
              </w:rPr>
              <w:t>trapped</w:t>
            </w:r>
            <w:proofErr w:type="spellEnd"/>
            <w:r>
              <w:rPr>
                <w:rFonts w:ascii="Times New Roman" w:hAnsi="Times New Roman"/>
                <w:sz w:val="24"/>
              </w:rPr>
              <w:t xml:space="preserve"> </w:t>
            </w:r>
            <w:proofErr w:type="spellStart"/>
            <w:r>
              <w:rPr>
                <w:rFonts w:ascii="Times New Roman" w:hAnsi="Times New Roman"/>
                <w:sz w:val="24"/>
              </w:rPr>
              <w:t>mechanism</w:t>
            </w:r>
            <w:proofErr w:type="spellEnd"/>
          </w:p>
          <w:p w14:paraId="5152BE4A" w14:textId="22C0E51F"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margine positivo, importo variabile - meccanismo </w:t>
            </w:r>
            <w:r w:rsidR="00521D0B">
              <w:rPr>
                <w:rFonts w:ascii="Times New Roman" w:hAnsi="Times New Roman"/>
                <w:sz w:val="24"/>
              </w:rPr>
              <w:t>"</w:t>
            </w:r>
            <w:r>
              <w:rPr>
                <w:rFonts w:ascii="Times New Roman" w:hAnsi="Times New Roman"/>
                <w:sz w:val="24"/>
              </w:rPr>
              <w:t xml:space="preserve">use </w:t>
            </w:r>
            <w:proofErr w:type="spellStart"/>
            <w:r>
              <w:rPr>
                <w:rFonts w:ascii="Times New Roman" w:hAnsi="Times New Roman"/>
                <w:sz w:val="24"/>
              </w:rPr>
              <w:t>it</w:t>
            </w:r>
            <w:proofErr w:type="spellEnd"/>
            <w:r>
              <w:rPr>
                <w:rFonts w:ascii="Times New Roman" w:hAnsi="Times New Roman"/>
                <w:sz w:val="24"/>
              </w:rPr>
              <w:t xml:space="preserve"> or </w:t>
            </w:r>
            <w:proofErr w:type="spellStart"/>
            <w:r>
              <w:rPr>
                <w:rFonts w:ascii="Times New Roman" w:hAnsi="Times New Roman"/>
                <w:sz w:val="24"/>
              </w:rPr>
              <w:t>lose</w:t>
            </w:r>
            <w:proofErr w:type="spellEnd"/>
            <w:r>
              <w:rPr>
                <w:rFonts w:ascii="Times New Roman" w:hAnsi="Times New Roman"/>
                <w:sz w:val="24"/>
              </w:rPr>
              <w:t xml:space="preserve"> </w:t>
            </w:r>
            <w:proofErr w:type="spellStart"/>
            <w:r>
              <w:rPr>
                <w:rFonts w:ascii="Times New Roman" w:hAnsi="Times New Roman"/>
                <w:sz w:val="24"/>
              </w:rPr>
              <w:t>it</w:t>
            </w:r>
            <w:proofErr w:type="spellEnd"/>
            <w:r w:rsidR="00521D0B">
              <w:rPr>
                <w:rFonts w:ascii="Times New Roman" w:hAnsi="Times New Roman"/>
                <w:sz w:val="24"/>
              </w:rPr>
              <w:t>"</w:t>
            </w:r>
          </w:p>
          <w:p w14:paraId="6E5B010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margine positivo, importo variabile - </w:t>
            </w:r>
            <w:proofErr w:type="spellStart"/>
            <w:r>
              <w:rPr>
                <w:rFonts w:ascii="Times New Roman" w:hAnsi="Times New Roman"/>
                <w:sz w:val="24"/>
              </w:rPr>
              <w:t>trapped</w:t>
            </w:r>
            <w:proofErr w:type="spellEnd"/>
            <w:r>
              <w:rPr>
                <w:rFonts w:ascii="Times New Roman" w:hAnsi="Times New Roman"/>
                <w:sz w:val="24"/>
              </w:rPr>
              <w:t xml:space="preserve"> </w:t>
            </w:r>
            <w:proofErr w:type="spellStart"/>
            <w:r>
              <w:rPr>
                <w:rFonts w:ascii="Times New Roman" w:hAnsi="Times New Roman"/>
                <w:sz w:val="24"/>
              </w:rPr>
              <w:t>mechanism</w:t>
            </w:r>
            <w:proofErr w:type="spellEnd"/>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0077</w:t>
            </w:r>
          </w:p>
        </w:tc>
        <w:tc>
          <w:tcPr>
            <w:tcW w:w="7903" w:type="dxa"/>
          </w:tcPr>
          <w:p w14:paraId="703043A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SISTEMA DI AMMORTAMENTO</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Gli enti utilizzano una delle seguenti diciture:</w:t>
            </w:r>
          </w:p>
          <w:p w14:paraId="6D7CB8F8"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Ammortamento sequenziale</w:t>
            </w:r>
          </w:p>
          <w:p w14:paraId="64D0E6D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Ammortamento proporzionale</w:t>
            </w:r>
          </w:p>
          <w:p w14:paraId="3D35DEB1" w14:textId="2532FD14"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Ammortamento proporzionale che passa all</w:t>
            </w:r>
            <w:r w:rsidR="00521D0B">
              <w:rPr>
                <w:rFonts w:ascii="Times New Roman" w:hAnsi="Times New Roman"/>
                <w:sz w:val="24"/>
              </w:rPr>
              <w:t>'</w:t>
            </w:r>
            <w:r>
              <w:rPr>
                <w:rFonts w:ascii="Times New Roman" w:hAnsi="Times New Roman"/>
                <w:sz w:val="24"/>
              </w:rPr>
              <w:t xml:space="preserve">ammortamento sequenziale. Conforme ai criteri STS per le cartolarizzazioni nel bilancio </w:t>
            </w:r>
            <w:r>
              <w:rPr>
                <w:rFonts w:ascii="Times New Roman" w:hAnsi="Times New Roman"/>
                <w:sz w:val="24"/>
              </w:rPr>
              <w:br/>
              <w:t xml:space="preserve">(articolo 26 quater, paragrafo 5, del regolamento (UE) 2017/2402). </w:t>
            </w:r>
          </w:p>
          <w:p w14:paraId="56ACF26F" w14:textId="6364FF50" w:rsidR="00933ADA" w:rsidRPr="0052508A"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Ammortamento proporzionale che passa all</w:t>
            </w:r>
            <w:r w:rsidR="00521D0B">
              <w:rPr>
                <w:rFonts w:ascii="Times New Roman" w:hAnsi="Times New Roman"/>
                <w:sz w:val="24"/>
              </w:rPr>
              <w:t>'</w:t>
            </w:r>
            <w:r>
              <w:rPr>
                <w:rFonts w:ascii="Times New Roman" w:hAnsi="Times New Roman"/>
                <w:sz w:val="24"/>
              </w:rPr>
              <w:t>ammortamento sequenziale. Conforme ai criteri STS per le operazioni non ABCP (orientamenti sui criteri STS per le operazioni non ABCP e articolo 21, paragrafo 5, del regolamento (UE) 2017/2402)</w:t>
            </w:r>
          </w:p>
          <w:p w14:paraId="43DD66C3" w14:textId="7EF59FAC"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Ammortamento proporzionale che passa all</w:t>
            </w:r>
            <w:r w:rsidR="00521D0B">
              <w:rPr>
                <w:rFonts w:ascii="Times New Roman" w:hAnsi="Times New Roman"/>
                <w:sz w:val="24"/>
              </w:rPr>
              <w:t>'</w:t>
            </w:r>
            <w:r>
              <w:rPr>
                <w:rFonts w:ascii="Times New Roman" w:hAnsi="Times New Roman"/>
                <w:sz w:val="24"/>
              </w:rPr>
              <w:t>ammortamento sequenziale. Non conforme</w:t>
            </w:r>
          </w:p>
          <w:p w14:paraId="1FBC29E6" w14:textId="77777777" w:rsidR="00933ADA" w:rsidRPr="001235ED" w:rsidRDefault="00933ADA" w:rsidP="00933ADA">
            <w:pPr>
              <w:numPr>
                <w:ilvl w:val="0"/>
                <w:numId w:val="22"/>
              </w:numPr>
              <w:spacing w:before="0" w:after="0"/>
              <w:jc w:val="left"/>
              <w:rPr>
                <w:rFonts w:ascii="Times New Roman" w:hAnsi="Times New Roman"/>
                <w:b/>
                <w:sz w:val="24"/>
                <w:u w:val="single"/>
              </w:rPr>
            </w:pPr>
            <w:r>
              <w:rPr>
                <w:rFonts w:ascii="Times New Roman" w:hAnsi="Times New Roman"/>
                <w:sz w:val="24"/>
              </w:rPr>
              <w:t>Altro sistema di ammortamento</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2618792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OPZIONI IN MATERIA DI GARANZIE</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Articolo 26 sexies del regolamento (UE) 2017/2402</w:t>
            </w:r>
          </w:p>
          <w:p w14:paraId="47FCA339" w14:textId="77777777" w:rsidR="00933ADA" w:rsidRPr="002A677E" w:rsidRDefault="00933ADA" w:rsidP="00822842">
            <w:pPr>
              <w:spacing w:before="0" w:after="0"/>
              <w:jc w:val="left"/>
              <w:rPr>
                <w:rFonts w:ascii="Times New Roman" w:hAnsi="Times New Roman"/>
                <w:sz w:val="24"/>
              </w:rPr>
            </w:pPr>
          </w:p>
          <w:p w14:paraId="420E8AFD" w14:textId="5F53FCE4" w:rsidR="00933ADA" w:rsidRPr="002A677E" w:rsidRDefault="00933ADA" w:rsidP="00822842">
            <w:pPr>
              <w:rPr>
                <w:rFonts w:ascii="Calibri" w:hAnsi="Calibri"/>
                <w:szCs w:val="22"/>
              </w:rPr>
            </w:pPr>
            <w:r>
              <w:rPr>
                <w:rFonts w:ascii="Times New Roman" w:hAnsi="Times New Roman"/>
                <w:sz w:val="24"/>
              </w:rPr>
              <w:t>Gli enti segnalano una delle seguenti opzioni per la copertura della garanzia dell</w:t>
            </w:r>
            <w:r w:rsidR="00521D0B">
              <w:rPr>
                <w:rFonts w:ascii="Times New Roman" w:hAnsi="Times New Roman"/>
                <w:sz w:val="24"/>
              </w:rPr>
              <w:t>'</w:t>
            </w:r>
            <w:r>
              <w:rPr>
                <w:rFonts w:ascii="Times New Roman" w:hAnsi="Times New Roman"/>
                <w:sz w:val="24"/>
              </w:rPr>
              <w:t>accordo sulla protezione del credito:</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Garanzie sotto forma di titoli di debito con fattore di ponderazione del rischio pari a 0 %, articolo 26 sexies, paragrafo 10, primo comma, lettera a), del regolamento (UE) 2017/2402</w:t>
            </w:r>
          </w:p>
          <w:p w14:paraId="757E688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Garanzie in contante detenute presso un ente creditizio terzo della classe di merito di credito 3 o di una classe superiore</w:t>
            </w:r>
            <w:r>
              <w:t xml:space="preserve"> </w:t>
            </w:r>
            <w:r>
              <w:br/>
            </w:r>
            <w:r>
              <w:rPr>
                <w:rFonts w:ascii="Times New Roman" w:hAnsi="Times New Roman"/>
                <w:sz w:val="24"/>
              </w:rPr>
              <w:t>Articolo 26 sexies, paragrafo 10, primo comma, lettera b), del regolamento (UE) 2017/2402</w:t>
            </w:r>
          </w:p>
          <w:p w14:paraId="0D7CB373"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Garanzie in forma di deposito in contanti presso il cedente o uno dei suoi affiliati se il cedente o uno dei suoi affiliati soddisfa il requisito minimo della classe di merito di credito 2</w:t>
            </w:r>
            <w:r>
              <w:t xml:space="preserve"> </w:t>
            </w:r>
            <w:r>
              <w:br/>
            </w:r>
            <w:r>
              <w:rPr>
                <w:rFonts w:ascii="Times New Roman" w:hAnsi="Times New Roman"/>
                <w:sz w:val="24"/>
              </w:rPr>
              <w:t>Articolo 26 sexies, paragrafo 10, secondo comma, del regolamento (UE) 2017/2402</w:t>
            </w:r>
          </w:p>
          <w:p w14:paraId="03FD0372"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Garanzie in forma di deposito in contanti presso il cedente o uno dei suoi affiliati se il cedente o uno dei suoi affiliati soddisfa il requisito minimo della classe di merito di credito 3</w:t>
            </w:r>
            <w:r>
              <w:t xml:space="preserve"> </w:t>
            </w:r>
            <w:r>
              <w:br/>
            </w:r>
            <w:r>
              <w:rPr>
                <w:rFonts w:ascii="Times New Roman" w:hAnsi="Times New Roman"/>
                <w:sz w:val="24"/>
              </w:rPr>
              <w:t>Articolo 26 sexies, paragrafo 10, terzo comma, del regolamento (UE) 2017/2402</w:t>
            </w:r>
          </w:p>
          <w:p w14:paraId="1C79D687" w14:textId="662B70C0"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lastRenderedPageBreak/>
              <w:t xml:space="preserve">Requisito soddisfatto in caso di investimenti in </w:t>
            </w:r>
            <w:r w:rsidR="00521D0B">
              <w:rPr>
                <w:rFonts w:ascii="Times New Roman" w:hAnsi="Times New Roman"/>
                <w:sz w:val="24"/>
              </w:rPr>
              <w:t>"</w:t>
            </w:r>
            <w:r>
              <w:rPr>
                <w:rFonts w:ascii="Times New Roman" w:hAnsi="Times New Roman"/>
                <w:sz w:val="24"/>
              </w:rPr>
              <w:t xml:space="preserve">credit </w:t>
            </w:r>
            <w:proofErr w:type="spellStart"/>
            <w:r>
              <w:rPr>
                <w:rFonts w:ascii="Times New Roman" w:hAnsi="Times New Roman"/>
                <w:sz w:val="24"/>
              </w:rPr>
              <w:t>linked</w:t>
            </w:r>
            <w:proofErr w:type="spellEnd"/>
            <w:r>
              <w:rPr>
                <w:rFonts w:ascii="Times New Roman" w:hAnsi="Times New Roman"/>
                <w:sz w:val="24"/>
              </w:rPr>
              <w:t xml:space="preserve"> note</w:t>
            </w:r>
            <w:r w:rsidR="00521D0B">
              <w:rPr>
                <w:rFonts w:ascii="Times New Roman" w:hAnsi="Times New Roman"/>
                <w:sz w:val="24"/>
              </w:rPr>
              <w:t>"</w:t>
            </w:r>
            <w:r>
              <w:rPr>
                <w:rFonts w:ascii="Times New Roman" w:hAnsi="Times New Roman"/>
                <w:sz w:val="24"/>
              </w:rPr>
              <w:t xml:space="preserve"> emesse dal cedente</w:t>
            </w:r>
            <w:r>
              <w:t xml:space="preserve"> </w:t>
            </w:r>
            <w:r>
              <w:br/>
            </w:r>
            <w:r>
              <w:rPr>
                <w:rFonts w:ascii="Times New Roman" w:hAnsi="Times New Roman"/>
                <w:sz w:val="24"/>
              </w:rPr>
              <w:t>Articolo 26 sexies, paragrafo 10, quarto comma, del regolamento (UE) 2017/2402</w:t>
            </w:r>
          </w:p>
          <w:p w14:paraId="0927AFAB" w14:textId="0E1188AC"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Nessuna garanzia, l</w:t>
            </w:r>
            <w:r w:rsidR="00521D0B">
              <w:rPr>
                <w:rFonts w:ascii="Times New Roman" w:hAnsi="Times New Roman"/>
                <w:sz w:val="24"/>
              </w:rPr>
              <w:t>'</w:t>
            </w:r>
            <w:r>
              <w:rPr>
                <w:rFonts w:ascii="Times New Roman" w:hAnsi="Times New Roman"/>
                <w:sz w:val="24"/>
              </w:rPr>
              <w:t>investitore beneficia di un fattore di ponderazione del rischio dello 0</w:t>
            </w:r>
            <w:r w:rsidR="00521D0B">
              <w:rPr>
                <w:rFonts w:ascii="Times New Roman" w:hAnsi="Times New Roman"/>
                <w:sz w:val="24"/>
              </w:rPr>
              <w:t> </w:t>
            </w:r>
            <w:r>
              <w:rPr>
                <w:rFonts w:ascii="Times New Roman" w:hAnsi="Times New Roman"/>
                <w:sz w:val="24"/>
              </w:rPr>
              <w:t>%</w:t>
            </w:r>
            <w:r>
              <w:t xml:space="preserve"> </w:t>
            </w:r>
            <w:r>
              <w:br/>
            </w:r>
            <w:r>
              <w:rPr>
                <w:rFonts w:ascii="Times New Roman" w:hAnsi="Times New Roman"/>
                <w:sz w:val="24"/>
              </w:rPr>
              <w:t>Articolo 26 sexies, paragrafo 8, lettera a), del regolamento (UE) n.</w:t>
            </w:r>
            <w:r w:rsidR="00521D0B">
              <w:rPr>
                <w:rFonts w:ascii="Times New Roman" w:hAnsi="Times New Roman"/>
                <w:sz w:val="24"/>
              </w:rPr>
              <w:t> </w:t>
            </w:r>
            <w:r>
              <w:rPr>
                <w:rFonts w:ascii="Times New Roman" w:hAnsi="Times New Roman"/>
                <w:sz w:val="24"/>
              </w:rPr>
              <w:t>2017/2402</w:t>
            </w:r>
          </w:p>
          <w:p w14:paraId="528AF68E" w14:textId="3B6BF8CD"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Nessuna garanzia, l</w:t>
            </w:r>
            <w:r w:rsidR="00521D0B">
              <w:rPr>
                <w:rFonts w:ascii="Times New Roman" w:hAnsi="Times New Roman"/>
                <w:sz w:val="24"/>
              </w:rPr>
              <w:t>'</w:t>
            </w:r>
            <w:r>
              <w:rPr>
                <w:rFonts w:ascii="Times New Roman" w:hAnsi="Times New Roman"/>
                <w:sz w:val="24"/>
              </w:rPr>
              <w:t>investitore beneficia di una controgaranzia di un soggetto cui si applica un fattore di ponderazione del rischio dello 0</w:t>
            </w:r>
            <w:r w:rsidR="00521D0B">
              <w:rPr>
                <w:rFonts w:ascii="Times New Roman" w:hAnsi="Times New Roman"/>
                <w:sz w:val="24"/>
              </w:rPr>
              <w:t> </w:t>
            </w:r>
            <w:r>
              <w:rPr>
                <w:rFonts w:ascii="Times New Roman" w:hAnsi="Times New Roman"/>
                <w:sz w:val="24"/>
              </w:rPr>
              <w:t>%</w:t>
            </w:r>
            <w:r>
              <w:t xml:space="preserve"> </w:t>
            </w:r>
            <w:r>
              <w:br/>
            </w:r>
            <w:r>
              <w:rPr>
                <w:rFonts w:ascii="Times New Roman" w:hAnsi="Times New Roman"/>
                <w:sz w:val="24"/>
              </w:rPr>
              <w:t>Articolo 26 sexies, paragrafo 8, lettera b), del regolamento (UE) 2017/2402</w:t>
            </w:r>
          </w:p>
          <w:p w14:paraId="382191B5" w14:textId="59341CB0"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Altri tipi di garanzie: titoli di debito non conformi all</w:t>
            </w:r>
            <w:r w:rsidR="00521D0B">
              <w:rPr>
                <w:rFonts w:ascii="Times New Roman" w:hAnsi="Times New Roman"/>
                <w:sz w:val="24"/>
              </w:rPr>
              <w:t>'</w:t>
            </w:r>
            <w:r>
              <w:rPr>
                <w:rFonts w:ascii="Times New Roman" w:hAnsi="Times New Roman"/>
                <w:sz w:val="24"/>
              </w:rPr>
              <w:t xml:space="preserve">articolo 26 sexies del regolamento (UE) 2017/2402 </w:t>
            </w:r>
          </w:p>
          <w:p w14:paraId="7ADFAAB6" w14:textId="33679E98"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Altri tipi di garanzie: contanti non conformi all</w:t>
            </w:r>
            <w:r w:rsidR="00521D0B">
              <w:rPr>
                <w:rFonts w:ascii="Times New Roman" w:hAnsi="Times New Roman"/>
                <w:sz w:val="24"/>
              </w:rPr>
              <w:t>'</w:t>
            </w:r>
            <w:r>
              <w:rPr>
                <w:rFonts w:ascii="Times New Roman" w:hAnsi="Times New Roman"/>
                <w:sz w:val="24"/>
              </w:rPr>
              <w:t xml:space="preserve">articolo 26 sexies del regolamento (UE) 2017/2402 </w:t>
            </w:r>
          </w:p>
          <w:p w14:paraId="71A4FFC6" w14:textId="7B7AE390"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Nessuna garanzia, non conforme ai criteri STS per le cartolarizzazioni nel bilancio</w:t>
            </w:r>
            <w:r>
              <w:t xml:space="preserve"> </w:t>
            </w:r>
            <w:r>
              <w:br/>
            </w:r>
            <w:r>
              <w:rPr>
                <w:rFonts w:ascii="Times New Roman" w:hAnsi="Times New Roman"/>
                <w:sz w:val="24"/>
              </w:rPr>
              <w:t>Casi diversi da quelli in cui non vi è alcuna garanzia ma l</w:t>
            </w:r>
            <w:r w:rsidR="00521D0B">
              <w:rPr>
                <w:rFonts w:ascii="Times New Roman" w:hAnsi="Times New Roman"/>
                <w:sz w:val="24"/>
              </w:rPr>
              <w:t>'</w:t>
            </w:r>
            <w:r>
              <w:rPr>
                <w:rFonts w:ascii="Times New Roman" w:hAnsi="Times New Roman"/>
                <w:sz w:val="24"/>
              </w:rPr>
              <w:t>investitore beneficia di un fattore di ponderazione del rischio dello 0</w:t>
            </w:r>
            <w:r w:rsidR="00521D0B">
              <w:rPr>
                <w:rFonts w:ascii="Times New Roman" w:hAnsi="Times New Roman"/>
                <w:sz w:val="24"/>
              </w:rPr>
              <w:t> </w:t>
            </w:r>
            <w:r>
              <w:rPr>
                <w:rFonts w:ascii="Times New Roman" w:hAnsi="Times New Roman"/>
                <w:sz w:val="24"/>
              </w:rPr>
              <w:t>% o di una controgaranzia di un soggetto cui si applica un fattore di ponderazione del rischio dello 0%</w:t>
            </w:r>
          </w:p>
          <w:p w14:paraId="61F55247" w14:textId="77777777" w:rsidR="00933ADA" w:rsidRPr="002A677E" w:rsidRDefault="00933ADA" w:rsidP="00822842">
            <w:pPr>
              <w:spacing w:before="0" w:after="0"/>
              <w:jc w:val="left"/>
              <w:rPr>
                <w:rFonts w:ascii="Times New Roman" w:hAnsi="Times New Roman"/>
                <w:sz w:val="24"/>
              </w:rPr>
            </w:pPr>
          </w:p>
          <w:p w14:paraId="1B6257AB" w14:textId="7DB2D1D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Questa colonna è compilata solo se alla colonna 0040 è indicato </w:t>
            </w:r>
            <w:r w:rsidR="00521D0B">
              <w:rPr>
                <w:rFonts w:ascii="Times New Roman" w:hAnsi="Times New Roman"/>
                <w:sz w:val="24"/>
              </w:rPr>
              <w:t>"</w:t>
            </w:r>
            <w:r>
              <w:rPr>
                <w:rFonts w:ascii="Times New Roman" w:hAnsi="Times New Roman"/>
                <w:sz w:val="24"/>
              </w:rPr>
              <w:t>operazione sintetica</w:t>
            </w:r>
            <w:r w:rsidR="00521D0B">
              <w:rPr>
                <w:rFonts w:ascii="Times New Roman" w:hAnsi="Times New Roman"/>
                <w:sz w:val="24"/>
              </w:rPr>
              <w:t>"</w:t>
            </w:r>
            <w:r>
              <w:rPr>
                <w:rFonts w:ascii="Times New Roman" w:hAnsi="Times New Roman"/>
                <w:sz w:val="24"/>
              </w:rPr>
              <w:t>.</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061700ED"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MANTENIMENTO</w:t>
            </w:r>
          </w:p>
          <w:p w14:paraId="3B8B2BF6" w14:textId="77777777" w:rsidR="00933ADA" w:rsidRPr="002A677E" w:rsidRDefault="00933ADA" w:rsidP="00822842">
            <w:pPr>
              <w:spacing w:before="0" w:after="0"/>
              <w:rPr>
                <w:rFonts w:ascii="Times New Roman" w:hAnsi="Times New Roman"/>
                <w:sz w:val="24"/>
              </w:rPr>
            </w:pPr>
          </w:p>
          <w:p w14:paraId="6522481E" w14:textId="7879CB6C" w:rsidR="00933ADA" w:rsidRPr="002A677E" w:rsidRDefault="00933ADA" w:rsidP="00822842">
            <w:pPr>
              <w:spacing w:before="0"/>
              <w:rPr>
                <w:rFonts w:ascii="Times New Roman" w:hAnsi="Times New Roman"/>
                <w:sz w:val="24"/>
              </w:rPr>
            </w:pPr>
            <w:r>
              <w:rPr>
                <w:rFonts w:ascii="Times New Roman" w:hAnsi="Times New Roman"/>
                <w:sz w:val="24"/>
              </w:rPr>
              <w:t>Articolo 6 del regolamento (UE) 2017/2402; nei casi in cui si applica l</w:t>
            </w:r>
            <w:r w:rsidR="00521D0B">
              <w:rPr>
                <w:rFonts w:ascii="Times New Roman" w:hAnsi="Times New Roman"/>
                <w:sz w:val="24"/>
              </w:rPr>
              <w:t>'</w:t>
            </w:r>
            <w:r>
              <w:rPr>
                <w:rFonts w:ascii="Times New Roman" w:hAnsi="Times New Roman"/>
                <w:sz w:val="24"/>
              </w:rPr>
              <w:t>articolo</w:t>
            </w:r>
            <w:r w:rsidR="00521D0B">
              <w:rPr>
                <w:rFonts w:ascii="Times New Roman" w:hAnsi="Times New Roman"/>
                <w:sz w:val="24"/>
              </w:rPr>
              <w:t> </w:t>
            </w:r>
            <w:r>
              <w:rPr>
                <w:rFonts w:ascii="Times New Roman" w:hAnsi="Times New Roman"/>
                <w:sz w:val="24"/>
              </w:rPr>
              <w:t>43, paragrafo 6, del regolamento (UE) 2017/2402, si applica l</w:t>
            </w:r>
            <w:r w:rsidR="00521D0B">
              <w:rPr>
                <w:rFonts w:ascii="Times New Roman" w:hAnsi="Times New Roman"/>
                <w:sz w:val="24"/>
              </w:rPr>
              <w:t>'</w:t>
            </w:r>
            <w:r>
              <w:rPr>
                <w:rFonts w:ascii="Times New Roman" w:hAnsi="Times New Roman"/>
                <w:sz w:val="24"/>
              </w:rPr>
              <w:t>articolo</w:t>
            </w:r>
            <w:r w:rsidR="00521D0B">
              <w:rPr>
                <w:rFonts w:ascii="Times New Roman" w:hAnsi="Times New Roman"/>
                <w:sz w:val="24"/>
              </w:rPr>
              <w:t> </w:t>
            </w:r>
            <w:r>
              <w:rPr>
                <w:rFonts w:ascii="Times New Roman" w:hAnsi="Times New Roman"/>
                <w:sz w:val="24"/>
              </w:rPr>
              <w:t xml:space="preserve">405 del regolamento (UE) n. 575/2013 nella versione di tale regolamento applicabile il 31 dicembre 2018.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7D10B9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TIPO DI MANTENIMENTO APPLICATO</w:t>
            </w:r>
          </w:p>
          <w:p w14:paraId="05AAD76D" w14:textId="77777777" w:rsidR="00933ADA" w:rsidRPr="002A677E" w:rsidRDefault="00933ADA" w:rsidP="00822842">
            <w:pPr>
              <w:spacing w:before="0" w:after="0"/>
              <w:jc w:val="left"/>
              <w:rPr>
                <w:rFonts w:ascii="Times New Roman" w:hAnsi="Times New Roman"/>
                <w:sz w:val="24"/>
              </w:rPr>
            </w:pPr>
          </w:p>
          <w:p w14:paraId="0617207B" w14:textId="2BA7F1DF" w:rsidR="00933ADA" w:rsidRPr="002A677E" w:rsidRDefault="00933ADA" w:rsidP="00822842">
            <w:pPr>
              <w:spacing w:before="0" w:after="0"/>
              <w:rPr>
                <w:rFonts w:ascii="Times New Roman" w:hAnsi="Times New Roman"/>
                <w:sz w:val="24"/>
              </w:rPr>
            </w:pPr>
            <w:r>
              <w:rPr>
                <w:rFonts w:ascii="Times New Roman" w:hAnsi="Times New Roman"/>
                <w:sz w:val="24"/>
              </w:rPr>
              <w:t>Per ciascuno schema di cartolarizzazione creato è segnalato il pertinente tipo di mantenimento dell</w:t>
            </w:r>
            <w:r w:rsidR="00521D0B">
              <w:rPr>
                <w:rFonts w:ascii="Times New Roman" w:hAnsi="Times New Roman"/>
                <w:sz w:val="24"/>
              </w:rPr>
              <w:t>'</w:t>
            </w:r>
            <w:r>
              <w:rPr>
                <w:rFonts w:ascii="Times New Roman" w:hAnsi="Times New Roman"/>
                <w:sz w:val="24"/>
              </w:rPr>
              <w:t>interesse economico netto, come previsto dall</w:t>
            </w:r>
            <w:r w:rsidR="00521D0B">
              <w:rPr>
                <w:rFonts w:ascii="Times New Roman" w:hAnsi="Times New Roman"/>
                <w:sz w:val="24"/>
              </w:rPr>
              <w:t>'</w:t>
            </w:r>
            <w:r>
              <w:rPr>
                <w:rFonts w:ascii="Times New Roman" w:hAnsi="Times New Roman"/>
                <w:sz w:val="24"/>
              </w:rPr>
              <w:t>articolo 6 del regolamento (UE) 2017/2402:</w:t>
            </w:r>
          </w:p>
          <w:p w14:paraId="4045C4C8" w14:textId="77777777" w:rsidR="00933ADA" w:rsidRPr="002A677E" w:rsidRDefault="00933ADA" w:rsidP="00822842">
            <w:pPr>
              <w:spacing w:before="0" w:after="0"/>
              <w:rPr>
                <w:rFonts w:ascii="Times New Roman" w:hAnsi="Times New Roman"/>
                <w:sz w:val="24"/>
              </w:rPr>
            </w:pPr>
          </w:p>
          <w:p w14:paraId="4F9B0C0A" w14:textId="4971353B" w:rsidR="00933ADA" w:rsidRPr="002A677E" w:rsidRDefault="00933ADA" w:rsidP="00822842">
            <w:pPr>
              <w:spacing w:before="0" w:after="0"/>
              <w:rPr>
                <w:rFonts w:ascii="Times New Roman" w:hAnsi="Times New Roman"/>
                <w:sz w:val="24"/>
              </w:rPr>
            </w:pPr>
            <w:r>
              <w:rPr>
                <w:rFonts w:ascii="Times New Roman" w:hAnsi="Times New Roman"/>
                <w:sz w:val="24"/>
              </w:rPr>
              <w:t xml:space="preserve">A - sezione verticale (posizioni verso la cartolarizzazione): </w:t>
            </w:r>
            <w:r w:rsidR="00521D0B">
              <w:rPr>
                <w:rFonts w:ascii="Times New Roman" w:hAnsi="Times New Roman"/>
                <w:i/>
                <w:sz w:val="24"/>
              </w:rPr>
              <w:t>"</w:t>
            </w:r>
            <w:r>
              <w:rPr>
                <w:rFonts w:ascii="Times New Roman" w:hAnsi="Times New Roman"/>
                <w:i/>
                <w:sz w:val="24"/>
              </w:rPr>
              <w:t>il mantenimento di una percentuale non inferiore al 5 % del valore nominale di ciascun segmento ceduto o trasferito agli investitori</w:t>
            </w:r>
            <w:r w:rsidR="00521D0B">
              <w:rPr>
                <w:rFonts w:ascii="Times New Roman" w:hAnsi="Times New Roman"/>
                <w:i/>
                <w:sz w:val="24"/>
              </w:rPr>
              <w:t>"</w:t>
            </w:r>
            <w:r>
              <w:rPr>
                <w:rFonts w:ascii="Times New Roman" w:hAnsi="Times New Roman"/>
                <w:i/>
                <w:sz w:val="24"/>
              </w:rPr>
              <w:t>;</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rFonts w:ascii="Times New Roman" w:hAnsi="Times New Roman"/>
                <w:sz w:val="24"/>
              </w:rPr>
            </w:pPr>
            <w:r>
              <w:rPr>
                <w:rFonts w:ascii="Times New Roman" w:hAnsi="Times New Roman"/>
                <w:sz w:val="24"/>
              </w:rPr>
              <w:t>V - sezione verticale (esposizioni cartolarizzate): il mantenimento di una percentuale non inferiore al 5 % del rischio di credito di ciascuna delle esposizioni cartolarizzate se il rischio di credito così mantenuto rispetto a tali esposizioni cartolarizzate è sempre alla pari con o è subordinato al rischio di credito cartolarizzato rispetto alle medesime posizioni;</w:t>
            </w:r>
          </w:p>
          <w:p w14:paraId="4403C316" w14:textId="77777777" w:rsidR="00933ADA" w:rsidRPr="002A677E" w:rsidRDefault="00933ADA" w:rsidP="00822842">
            <w:pPr>
              <w:spacing w:before="0" w:after="0"/>
              <w:rPr>
                <w:rFonts w:ascii="Times New Roman" w:hAnsi="Times New Roman"/>
                <w:sz w:val="24"/>
              </w:rPr>
            </w:pPr>
          </w:p>
          <w:p w14:paraId="5F5FF6D6" w14:textId="6AFD33F4" w:rsidR="00933ADA" w:rsidRPr="002A677E" w:rsidRDefault="00933ADA" w:rsidP="00822842">
            <w:pPr>
              <w:spacing w:before="0" w:after="0"/>
              <w:rPr>
                <w:rFonts w:ascii="Times New Roman" w:hAnsi="Times New Roman"/>
                <w:sz w:val="24"/>
              </w:rPr>
            </w:pPr>
            <w:r>
              <w:rPr>
                <w:rFonts w:ascii="Times New Roman" w:hAnsi="Times New Roman"/>
                <w:sz w:val="24"/>
              </w:rPr>
              <w:t xml:space="preserve">B - esposizioni rotative: </w:t>
            </w:r>
            <w:r w:rsidR="00521D0B">
              <w:rPr>
                <w:rFonts w:ascii="Times New Roman" w:hAnsi="Times New Roman"/>
                <w:sz w:val="24"/>
              </w:rPr>
              <w:t>"</w:t>
            </w:r>
            <w:r>
              <w:rPr>
                <w:rFonts w:ascii="Times New Roman" w:hAnsi="Times New Roman"/>
                <w:i/>
                <w:sz w:val="24"/>
              </w:rPr>
              <w:t>in caso di cartolarizzazioni di esposizioni rotative, il mantenimento dell</w:t>
            </w:r>
            <w:r w:rsidR="00521D0B">
              <w:rPr>
                <w:rFonts w:ascii="Times New Roman" w:hAnsi="Times New Roman"/>
                <w:i/>
                <w:sz w:val="24"/>
              </w:rPr>
              <w:t>'</w:t>
            </w:r>
            <w:r>
              <w:rPr>
                <w:rFonts w:ascii="Times New Roman" w:hAnsi="Times New Roman"/>
                <w:i/>
                <w:sz w:val="24"/>
              </w:rPr>
              <w:t>interesse del cedente in percentuale non inferiore al 5 % del valore nominale delle esposizioni cartolarizzate</w:t>
            </w:r>
            <w:r w:rsidR="00521D0B">
              <w:rPr>
                <w:rFonts w:ascii="Times New Roman" w:hAnsi="Times New Roman"/>
                <w:sz w:val="24"/>
              </w:rPr>
              <w:t>"</w:t>
            </w:r>
            <w:r>
              <w:rPr>
                <w:rFonts w:ascii="Times New Roman" w:hAnsi="Times New Roman"/>
                <w:sz w:val="24"/>
              </w:rPr>
              <w:t xml:space="preserve">; </w:t>
            </w:r>
          </w:p>
          <w:p w14:paraId="7F8D5365" w14:textId="77777777" w:rsidR="00933ADA" w:rsidRPr="002A677E" w:rsidRDefault="00933ADA" w:rsidP="00822842">
            <w:pPr>
              <w:spacing w:before="0" w:after="0"/>
              <w:rPr>
                <w:rFonts w:ascii="Times New Roman" w:hAnsi="Times New Roman"/>
                <w:sz w:val="24"/>
              </w:rPr>
            </w:pPr>
          </w:p>
          <w:p w14:paraId="6BC539DB" w14:textId="6CE1EA32" w:rsidR="00933ADA" w:rsidRPr="002A677E" w:rsidRDefault="00933ADA" w:rsidP="00822842">
            <w:pPr>
              <w:spacing w:before="0" w:after="0"/>
              <w:rPr>
                <w:rFonts w:ascii="Times New Roman" w:hAnsi="Times New Roman"/>
                <w:sz w:val="24"/>
              </w:rPr>
            </w:pPr>
            <w:r>
              <w:rPr>
                <w:rFonts w:ascii="Times New Roman" w:hAnsi="Times New Roman"/>
                <w:sz w:val="24"/>
              </w:rPr>
              <w:t xml:space="preserve">C - in bilancio: </w:t>
            </w:r>
            <w:r w:rsidR="00521D0B">
              <w:rPr>
                <w:rFonts w:ascii="Times New Roman" w:hAnsi="Times New Roman"/>
                <w:sz w:val="24"/>
              </w:rPr>
              <w:t>"</w:t>
            </w:r>
            <w:r>
              <w:rPr>
                <w:rFonts w:ascii="Times New Roman" w:hAnsi="Times New Roman"/>
                <w:i/>
                <w:sz w:val="24"/>
              </w:rPr>
              <w:t>il mantenimento di esposizioni scelte casualmente, equivalenti a una percentuale non inferiore al 5 % del valore nominale delle esposizioni cartolarizzate, quando tali esposizioni sarebbero state altrimenti cartolarizzate, a condizione che il numero delle esposizioni potenzialmente cartolarizzate non sia inferiore a 100 alla creazione</w:t>
            </w:r>
            <w:r w:rsidR="00521D0B">
              <w:rPr>
                <w:rFonts w:ascii="Times New Roman" w:hAnsi="Times New Roman"/>
                <w:sz w:val="24"/>
              </w:rPr>
              <w:t>"</w:t>
            </w:r>
            <w:r>
              <w:rPr>
                <w:rFonts w:ascii="Times New Roman" w:hAnsi="Times New Roman"/>
                <w:sz w:val="24"/>
              </w:rPr>
              <w:t>;</w:t>
            </w:r>
          </w:p>
          <w:p w14:paraId="0849839E" w14:textId="77777777" w:rsidR="00933ADA" w:rsidRPr="002A677E" w:rsidRDefault="00933ADA" w:rsidP="00822842">
            <w:pPr>
              <w:spacing w:before="0" w:after="0"/>
              <w:rPr>
                <w:rFonts w:ascii="Times New Roman" w:hAnsi="Times New Roman"/>
                <w:sz w:val="24"/>
              </w:rPr>
            </w:pPr>
          </w:p>
          <w:p w14:paraId="074AFE06" w14:textId="2EF676B2" w:rsidR="00933ADA" w:rsidRPr="002A677E" w:rsidRDefault="00933ADA" w:rsidP="00822842">
            <w:pPr>
              <w:spacing w:before="0" w:after="0"/>
              <w:rPr>
                <w:rFonts w:ascii="Times New Roman" w:hAnsi="Times New Roman"/>
                <w:sz w:val="24"/>
              </w:rPr>
            </w:pPr>
            <w:r>
              <w:rPr>
                <w:rFonts w:ascii="Times New Roman" w:hAnsi="Times New Roman"/>
                <w:sz w:val="24"/>
              </w:rPr>
              <w:t xml:space="preserve">D - prime perdite: </w:t>
            </w:r>
            <w:r w:rsidR="00521D0B">
              <w:rPr>
                <w:rFonts w:ascii="Times New Roman" w:hAnsi="Times New Roman"/>
                <w:sz w:val="24"/>
              </w:rPr>
              <w:t>"</w:t>
            </w:r>
            <w:r>
              <w:rPr>
                <w:rFonts w:ascii="Times New Roman" w:hAnsi="Times New Roman"/>
                <w:i/>
                <w:sz w:val="24"/>
              </w:rPr>
              <w:t>il mantenimento del segmento prime perdite e, se necessario, di altri segmenti aventi profilo di rischio uguale o maggiore a quelli trasferiti o ceduti agli investitori, e la cui durata non sia inferiore a quelli trasferiti o ceduti agli investitori, in modo che il mantenimento equivalga complessivamente almeno al 5 % del valore nominale delle esposizioni cartolarizzate</w:t>
            </w:r>
            <w:r w:rsidR="00521D0B">
              <w:rPr>
                <w:rFonts w:ascii="Times New Roman" w:hAnsi="Times New Roman"/>
                <w:sz w:val="24"/>
              </w:rPr>
              <w:t>"</w:t>
            </w:r>
            <w:r>
              <w:rPr>
                <w:rFonts w:ascii="Times New Roman" w:hAnsi="Times New Roman"/>
                <w:sz w:val="24"/>
              </w:rPr>
              <w:t>;</w:t>
            </w:r>
          </w:p>
          <w:p w14:paraId="62FFD371" w14:textId="77777777" w:rsidR="00933ADA" w:rsidRPr="002A677E" w:rsidRDefault="00933ADA" w:rsidP="00822842">
            <w:pPr>
              <w:spacing w:before="0" w:after="0"/>
              <w:rPr>
                <w:rFonts w:ascii="Times New Roman" w:hAnsi="Times New Roman"/>
                <w:sz w:val="24"/>
              </w:rPr>
            </w:pPr>
          </w:p>
          <w:p w14:paraId="0B5F76C9" w14:textId="78C96949" w:rsidR="00933ADA" w:rsidRPr="002A677E" w:rsidRDefault="00933ADA" w:rsidP="00822842">
            <w:pPr>
              <w:spacing w:before="0" w:after="0"/>
              <w:rPr>
                <w:rFonts w:ascii="Times New Roman" w:hAnsi="Times New Roman"/>
                <w:sz w:val="24"/>
              </w:rPr>
            </w:pPr>
            <w:r>
              <w:rPr>
                <w:rFonts w:ascii="Times New Roman" w:hAnsi="Times New Roman"/>
                <w:sz w:val="24"/>
              </w:rPr>
              <w:t>E - esente: Questo codice è indicato per le cartolarizzazioni interessate dall</w:t>
            </w:r>
            <w:r w:rsidR="00521D0B">
              <w:rPr>
                <w:rFonts w:ascii="Times New Roman" w:hAnsi="Times New Roman"/>
                <w:sz w:val="24"/>
              </w:rPr>
              <w:t>'</w:t>
            </w:r>
            <w:r>
              <w:rPr>
                <w:rFonts w:ascii="Times New Roman" w:hAnsi="Times New Roman"/>
                <w:sz w:val="24"/>
              </w:rPr>
              <w:t>applicazione dell</w:t>
            </w:r>
            <w:r w:rsidR="00521D0B">
              <w:rPr>
                <w:rFonts w:ascii="Times New Roman" w:hAnsi="Times New Roman"/>
                <w:sz w:val="24"/>
              </w:rPr>
              <w:t>'</w:t>
            </w:r>
            <w:r>
              <w:rPr>
                <w:rFonts w:ascii="Times New Roman" w:hAnsi="Times New Roman"/>
                <w:sz w:val="24"/>
              </w:rPr>
              <w:t>articolo 6, paragrafo 6, del regolamento (UE) 2017/2402 o escluse dall</w:t>
            </w:r>
            <w:r w:rsidR="00521D0B">
              <w:rPr>
                <w:rFonts w:ascii="Times New Roman" w:hAnsi="Times New Roman"/>
                <w:sz w:val="24"/>
              </w:rPr>
              <w:t>'</w:t>
            </w:r>
            <w:r>
              <w:rPr>
                <w:rFonts w:ascii="Times New Roman" w:hAnsi="Times New Roman"/>
                <w:sz w:val="24"/>
              </w:rPr>
              <w:t>ambito di applicazione del requisito di mantenimento a norma dell</w:t>
            </w:r>
            <w:r w:rsidR="00521D0B">
              <w:rPr>
                <w:rFonts w:ascii="Times New Roman" w:hAnsi="Times New Roman"/>
                <w:sz w:val="24"/>
              </w:rPr>
              <w:t>'</w:t>
            </w:r>
            <w:r>
              <w:rPr>
                <w:rFonts w:ascii="Times New Roman" w:hAnsi="Times New Roman"/>
                <w:sz w:val="24"/>
              </w:rPr>
              <w:t>articolo 43, paragrafo 6, del regolamento (UE) 2017/2402;</w:t>
            </w:r>
          </w:p>
          <w:p w14:paraId="685CC39A" w14:textId="77777777" w:rsidR="00933ADA" w:rsidRPr="002A677E" w:rsidRDefault="00933ADA" w:rsidP="00822842">
            <w:pPr>
              <w:spacing w:before="0" w:after="0"/>
              <w:rPr>
                <w:rFonts w:ascii="Times New Roman" w:hAnsi="Times New Roman"/>
                <w:sz w:val="24"/>
              </w:rPr>
            </w:pPr>
          </w:p>
          <w:p w14:paraId="49C8C8D5" w14:textId="5D126F55" w:rsidR="00933ADA" w:rsidRPr="002A677E" w:rsidRDefault="00933ADA" w:rsidP="00822842">
            <w:pPr>
              <w:spacing w:before="0" w:after="0"/>
              <w:rPr>
                <w:rFonts w:ascii="Times New Roman" w:hAnsi="Times New Roman"/>
                <w:sz w:val="24"/>
              </w:rPr>
            </w:pPr>
            <w:r>
              <w:rPr>
                <w:rFonts w:ascii="Times New Roman" w:hAnsi="Times New Roman"/>
                <w:sz w:val="24"/>
              </w:rPr>
              <w:t>U - non conforme o sconosciuto: questo codice è utilizzato quando l</w:t>
            </w:r>
            <w:r w:rsidR="00521D0B">
              <w:rPr>
                <w:rFonts w:ascii="Times New Roman" w:hAnsi="Times New Roman"/>
                <w:sz w:val="24"/>
              </w:rPr>
              <w:t>'</w:t>
            </w:r>
            <w:r>
              <w:rPr>
                <w:rFonts w:ascii="Times New Roman" w:hAnsi="Times New Roman"/>
                <w:sz w:val="24"/>
              </w:rPr>
              <w:t>ente segnalante non sa con certezza quale sia il tipo di mantenimento applicato oppure in caso di inadempienza.</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5FF743D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DI MANTENIMENTO ALLA DATA DI RIFERIMENTO PER LE SEGNALAZIONI</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rFonts w:ascii="Times New Roman" w:hAnsi="Times New Roman"/>
                <w:i/>
                <w:sz w:val="24"/>
              </w:rPr>
            </w:pPr>
            <w:r>
              <w:rPr>
                <w:rFonts w:ascii="Times New Roman" w:hAnsi="Times New Roman"/>
                <w:sz w:val="24"/>
              </w:rPr>
              <w:t xml:space="preserve">Il mantenimento di un </w:t>
            </w:r>
            <w:r>
              <w:rPr>
                <w:rFonts w:ascii="Times New Roman" w:hAnsi="Times New Roman"/>
                <w:i/>
                <w:sz w:val="24"/>
              </w:rPr>
              <w:t>interesse economico netto rilevante da parte del cedente, del promotore o del prestatore originario</w:t>
            </w:r>
            <w:r>
              <w:rPr>
                <w:rFonts w:ascii="Times New Roman" w:hAnsi="Times New Roman"/>
                <w:sz w:val="24"/>
              </w:rPr>
              <w:t xml:space="preserve"> della cartolarizzazione riguarda una percentuale non inferiore al 5 % (alla data di creazione).</w:t>
            </w:r>
          </w:p>
          <w:p w14:paraId="3BCFDD0A" w14:textId="77777777" w:rsidR="00933ADA" w:rsidRPr="002A677E" w:rsidRDefault="00933ADA" w:rsidP="00822842">
            <w:pPr>
              <w:spacing w:before="0" w:after="0"/>
              <w:rPr>
                <w:rFonts w:ascii="Times New Roman" w:hAnsi="Times New Roman"/>
                <w:i/>
                <w:sz w:val="24"/>
              </w:rPr>
            </w:pPr>
          </w:p>
          <w:p w14:paraId="305F96DC" w14:textId="783EC48D"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 xml:space="preserve">Non occorre compilare questa colonna se nella colonna 0080 (tipo di mantenimento applicato) è riportato il codice </w:t>
            </w:r>
            <w:r w:rsidR="00521D0B">
              <w:rPr>
                <w:rFonts w:ascii="Times New Roman" w:hAnsi="Times New Roman"/>
                <w:sz w:val="24"/>
              </w:rPr>
              <w:t>"</w:t>
            </w:r>
            <w:r>
              <w:rPr>
                <w:rFonts w:ascii="Times New Roman" w:hAnsi="Times New Roman"/>
                <w:sz w:val="24"/>
              </w:rPr>
              <w:t>E</w:t>
            </w:r>
            <w:r w:rsidR="00521D0B">
              <w:rPr>
                <w:rFonts w:ascii="Times New Roman" w:hAnsi="Times New Roman"/>
                <w:sz w:val="24"/>
              </w:rPr>
              <w:t>"</w:t>
            </w:r>
            <w:r>
              <w:rPr>
                <w:rFonts w:ascii="Times New Roman" w:hAnsi="Times New Roman"/>
                <w:sz w:val="24"/>
              </w:rPr>
              <w:t xml:space="preserve"> (esente).</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9043C4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CONFORMITÀ AL REQUISITO DI MANTENIMENTO?</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Gli enti utilizzano le seguenti abbreviazioni:</w:t>
            </w:r>
          </w:p>
          <w:p w14:paraId="7FF1051E"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Sì;</w:t>
            </w:r>
          </w:p>
          <w:p w14:paraId="5C5E51BF"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No.</w:t>
            </w:r>
          </w:p>
          <w:p w14:paraId="29730459" w14:textId="77777777" w:rsidR="00933ADA" w:rsidRPr="002A677E" w:rsidRDefault="00933ADA" w:rsidP="00822842">
            <w:pPr>
              <w:spacing w:before="0" w:after="0"/>
              <w:jc w:val="left"/>
              <w:rPr>
                <w:rFonts w:ascii="Times New Roman" w:hAnsi="Times New Roman"/>
                <w:sz w:val="24"/>
              </w:rPr>
            </w:pPr>
          </w:p>
          <w:p w14:paraId="3C7A9CC1" w14:textId="652F9754"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 xml:space="preserve">Non occorre compilare questa colonna se nella colonna 0080 (tipo di mantenimento applicato) è riportato il codice </w:t>
            </w:r>
            <w:r w:rsidR="00521D0B">
              <w:rPr>
                <w:rFonts w:ascii="Times New Roman" w:hAnsi="Times New Roman"/>
                <w:sz w:val="24"/>
              </w:rPr>
              <w:t>"</w:t>
            </w:r>
            <w:r>
              <w:rPr>
                <w:rFonts w:ascii="Times New Roman" w:hAnsi="Times New Roman"/>
                <w:sz w:val="24"/>
              </w:rPr>
              <w:t>E</w:t>
            </w:r>
            <w:r w:rsidR="00521D0B">
              <w:rPr>
                <w:rFonts w:ascii="Times New Roman" w:hAnsi="Times New Roman"/>
                <w:sz w:val="24"/>
              </w:rPr>
              <w:t>"</w:t>
            </w:r>
            <w:r>
              <w:rPr>
                <w:rFonts w:ascii="Times New Roman" w:hAnsi="Times New Roman"/>
                <w:sz w:val="24"/>
              </w:rPr>
              <w:t xml:space="preserve"> (esente).</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03CEC11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PROGRAMMI NON ABCP</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21FE8B8C"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Data la loro particolarità di essere costituiti da una pluralità di posizioni individuali verso la cartolarizzazione, i programmi ABCP (definiti </w:t>
            </w:r>
            <w:r>
              <w:rPr>
                <w:rFonts w:ascii="Times New Roman" w:hAnsi="Times New Roman"/>
                <w:sz w:val="24"/>
              </w:rPr>
              <w:lastRenderedPageBreak/>
              <w:t>nell</w:t>
            </w:r>
            <w:r w:rsidR="00521D0B">
              <w:rPr>
                <w:rFonts w:ascii="Times New Roman" w:hAnsi="Times New Roman"/>
                <w:sz w:val="24"/>
              </w:rPr>
              <w:t>'</w:t>
            </w:r>
            <w:r>
              <w:rPr>
                <w:rFonts w:ascii="Times New Roman" w:hAnsi="Times New Roman"/>
                <w:sz w:val="24"/>
              </w:rPr>
              <w:t>articolo</w:t>
            </w:r>
            <w:r w:rsidR="0096263E">
              <w:rPr>
                <w:rFonts w:ascii="Times New Roman" w:hAnsi="Times New Roman"/>
                <w:sz w:val="24"/>
              </w:rPr>
              <w:t> </w:t>
            </w:r>
            <w:r>
              <w:rPr>
                <w:rFonts w:ascii="Times New Roman" w:hAnsi="Times New Roman"/>
                <w:sz w:val="24"/>
              </w:rPr>
              <w:t>242, punto 11, del regolamento (UE) n. 575/2013) sono esenti dalla segnalazione nelle colonne 0120, 0121 e 0130.</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w:t>
            </w:r>
          </w:p>
        </w:tc>
        <w:tc>
          <w:tcPr>
            <w:tcW w:w="7903" w:type="dxa"/>
          </w:tcPr>
          <w:p w14:paraId="4851632A" w14:textId="77777777" w:rsidR="00933ADA" w:rsidRPr="002A677E" w:rsidRDefault="00933ADA" w:rsidP="00822842">
            <w:pPr>
              <w:spacing w:before="0" w:after="0"/>
              <w:jc w:val="left"/>
              <w:rPr>
                <w:rFonts w:ascii="Times New Roman" w:hAnsi="Times New Roman"/>
                <w:b/>
                <w:sz w:val="24"/>
              </w:rPr>
            </w:pPr>
            <w:r>
              <w:rPr>
                <w:rFonts w:ascii="Times New Roman" w:hAnsi="Times New Roman"/>
                <w:b/>
                <w:sz w:val="24"/>
              </w:rPr>
              <w:t>DATA DI CREAZIONE (</w:t>
            </w:r>
            <w:proofErr w:type="spellStart"/>
            <w:r>
              <w:rPr>
                <w:rFonts w:ascii="Times New Roman" w:hAnsi="Times New Roman"/>
                <w:b/>
                <w:sz w:val="24"/>
              </w:rPr>
              <w:t>aaaa</w:t>
            </w:r>
            <w:proofErr w:type="spellEnd"/>
            <w:r>
              <w:rPr>
                <w:rFonts w:ascii="Times New Roman" w:hAnsi="Times New Roman"/>
                <w:b/>
                <w:sz w:val="24"/>
              </w:rPr>
              <w:t>-mm-gg)</w:t>
            </w:r>
          </w:p>
          <w:p w14:paraId="75562F80" w14:textId="77777777" w:rsidR="00933ADA" w:rsidRPr="002A677E" w:rsidRDefault="00933ADA" w:rsidP="00822842">
            <w:pPr>
              <w:spacing w:before="0" w:after="0"/>
              <w:jc w:val="left"/>
              <w:rPr>
                <w:rFonts w:ascii="Times New Roman" w:hAnsi="Times New Roman"/>
                <w:sz w:val="24"/>
              </w:rPr>
            </w:pPr>
          </w:p>
          <w:p w14:paraId="06693B43" w14:textId="743B428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Il mese e l</w:t>
            </w:r>
            <w:r w:rsidR="00521D0B">
              <w:rPr>
                <w:rFonts w:ascii="Times New Roman" w:hAnsi="Times New Roman"/>
                <w:sz w:val="24"/>
              </w:rPr>
              <w:t>'</w:t>
            </w:r>
            <w:r>
              <w:rPr>
                <w:rFonts w:ascii="Times New Roman" w:hAnsi="Times New Roman"/>
                <w:sz w:val="24"/>
              </w:rPr>
              <w:t xml:space="preserve">anno della data di creazione della cartolarizzazione (che è la data di separazione o di chiusura del portafoglio) sono indicati nel formato </w:t>
            </w:r>
            <w:r w:rsidR="00521D0B">
              <w:rPr>
                <w:rFonts w:ascii="Times New Roman" w:hAnsi="Times New Roman"/>
                <w:sz w:val="24"/>
              </w:rPr>
              <w:t>"</w:t>
            </w:r>
            <w:r>
              <w:rPr>
                <w:rFonts w:ascii="Times New Roman" w:hAnsi="Times New Roman"/>
                <w:sz w:val="24"/>
              </w:rPr>
              <w:t>mm/</w:t>
            </w:r>
            <w:proofErr w:type="spellStart"/>
            <w:r>
              <w:rPr>
                <w:rFonts w:ascii="Times New Roman" w:hAnsi="Times New Roman"/>
                <w:sz w:val="24"/>
              </w:rPr>
              <w:t>aaaa</w:t>
            </w:r>
            <w:proofErr w:type="spellEnd"/>
            <w:r w:rsidR="00521D0B">
              <w:rPr>
                <w:rFonts w:ascii="Times New Roman" w:hAnsi="Times New Roman"/>
                <w:sz w:val="24"/>
              </w:rPr>
              <w:t>"</w:t>
            </w:r>
            <w:r>
              <w:rPr>
                <w:rFonts w:ascii="Times New Roman" w:hAnsi="Times New Roman"/>
                <w:sz w:val="24"/>
              </w:rPr>
              <w:t>.</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Per ciascuno schema di cartolarizzazione la data di creazione non può variare tra una data di riferimento per le segnalazioni e la successiva. Nel caso specifico degli schemi di cartolarizzazione assistiti da open pool, la data di creazione è la data della prima emissione dei titoli.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Questa informazione è segnalata anche se il soggetto segnalante non detiene alcuna posizione nella cartolarizzazione.</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7361DAD3" w14:textId="46652508"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DATA DELL</w:t>
            </w:r>
            <w:r w:rsidR="00521D0B">
              <w:rPr>
                <w:rFonts w:ascii="Times New Roman" w:hAnsi="Times New Roman"/>
                <w:b/>
                <w:sz w:val="24"/>
                <w:u w:val="single"/>
              </w:rPr>
              <w:t>'</w:t>
            </w:r>
            <w:r>
              <w:rPr>
                <w:rFonts w:ascii="Times New Roman" w:hAnsi="Times New Roman"/>
                <w:b/>
                <w:sz w:val="24"/>
                <w:u w:val="single"/>
              </w:rPr>
              <w:t>ULTIMA EMISSIONE (</w:t>
            </w:r>
            <w:proofErr w:type="spellStart"/>
            <w:r>
              <w:rPr>
                <w:rFonts w:ascii="Times New Roman" w:hAnsi="Times New Roman"/>
                <w:b/>
                <w:sz w:val="24"/>
                <w:u w:val="single"/>
              </w:rPr>
              <w:t>aaaa</w:t>
            </w:r>
            <w:proofErr w:type="spellEnd"/>
            <w:r>
              <w:rPr>
                <w:rFonts w:ascii="Times New Roman" w:hAnsi="Times New Roman"/>
                <w:b/>
                <w:sz w:val="24"/>
                <w:u w:val="single"/>
              </w:rPr>
              <w:t>-mm-gg)</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531E8B39" w:rsidR="00933ADA" w:rsidRPr="002A677E" w:rsidRDefault="00933ADA" w:rsidP="00822842">
            <w:pPr>
              <w:spacing w:before="0" w:after="0"/>
              <w:jc w:val="left"/>
              <w:rPr>
                <w:rFonts w:ascii="Times New Roman" w:hAnsi="Times New Roman"/>
                <w:sz w:val="24"/>
              </w:rPr>
            </w:pPr>
            <w:r>
              <w:rPr>
                <w:rFonts w:ascii="Times New Roman" w:hAnsi="Times New Roman"/>
                <w:sz w:val="24"/>
              </w:rPr>
              <w:t>Il mese e l</w:t>
            </w:r>
            <w:r w:rsidR="00521D0B">
              <w:rPr>
                <w:rFonts w:ascii="Times New Roman" w:hAnsi="Times New Roman"/>
                <w:sz w:val="24"/>
              </w:rPr>
              <w:t>'</w:t>
            </w:r>
            <w:r>
              <w:rPr>
                <w:rFonts w:ascii="Times New Roman" w:hAnsi="Times New Roman"/>
                <w:sz w:val="24"/>
              </w:rPr>
              <w:t>anno della data dell</w:t>
            </w:r>
            <w:r w:rsidR="00521D0B">
              <w:rPr>
                <w:rFonts w:ascii="Times New Roman" w:hAnsi="Times New Roman"/>
                <w:sz w:val="24"/>
              </w:rPr>
              <w:t>'</w:t>
            </w:r>
            <w:r>
              <w:rPr>
                <w:rFonts w:ascii="Times New Roman" w:hAnsi="Times New Roman"/>
                <w:sz w:val="24"/>
              </w:rPr>
              <w:t xml:space="preserve">ultima emissione di titoli nella cartolarizzazione sono indicati nel formato </w:t>
            </w:r>
            <w:r w:rsidR="00521D0B">
              <w:rPr>
                <w:rFonts w:ascii="Times New Roman" w:hAnsi="Times New Roman"/>
                <w:sz w:val="24"/>
              </w:rPr>
              <w:t>"</w:t>
            </w:r>
            <w:proofErr w:type="spellStart"/>
            <w:r>
              <w:rPr>
                <w:rFonts w:ascii="Times New Roman" w:hAnsi="Times New Roman"/>
                <w:sz w:val="24"/>
              </w:rPr>
              <w:t>aaaa</w:t>
            </w:r>
            <w:proofErr w:type="spellEnd"/>
            <w:r>
              <w:rPr>
                <w:rFonts w:ascii="Times New Roman" w:hAnsi="Times New Roman"/>
                <w:sz w:val="24"/>
              </w:rPr>
              <w:t>-mm-gg</w:t>
            </w:r>
            <w:r w:rsidR="00521D0B">
              <w:rPr>
                <w:rFonts w:ascii="Times New Roman" w:hAnsi="Times New Roman"/>
                <w:sz w:val="24"/>
              </w:rPr>
              <w:t>"</w:t>
            </w:r>
            <w:r>
              <w:rPr>
                <w:rFonts w:ascii="Times New Roman" w:hAnsi="Times New Roman"/>
                <w:sz w:val="24"/>
              </w:rPr>
              <w:t>.</w:t>
            </w:r>
          </w:p>
          <w:p w14:paraId="4CCEF8BC" w14:textId="77777777" w:rsidR="00933ADA" w:rsidRPr="002A677E" w:rsidRDefault="00933ADA" w:rsidP="00822842">
            <w:pPr>
              <w:spacing w:before="0" w:after="0"/>
              <w:jc w:val="left"/>
              <w:rPr>
                <w:rFonts w:ascii="Times New Roman" w:hAnsi="Times New Roman"/>
                <w:sz w:val="24"/>
              </w:rPr>
            </w:pPr>
          </w:p>
          <w:p w14:paraId="3B2925C7" w14:textId="70B8FAC5" w:rsidR="00933ADA" w:rsidRPr="002A677E" w:rsidRDefault="00933ADA" w:rsidP="00822842">
            <w:pPr>
              <w:spacing w:before="0" w:after="0"/>
              <w:jc w:val="left"/>
              <w:rPr>
                <w:rFonts w:ascii="Times New Roman" w:hAnsi="Times New Roman"/>
                <w:sz w:val="24"/>
              </w:rPr>
            </w:pPr>
            <w:r>
              <w:rPr>
                <w:rFonts w:ascii="Times New Roman" w:hAnsi="Times New Roman"/>
                <w:sz w:val="24"/>
              </w:rPr>
              <w:t>Il regolamento (UE) 2017/2402 si applica solo alle cartolarizzazioni i cui titoli sono emessi a decorrere dal 1° gennaio 2019. La data dell</w:t>
            </w:r>
            <w:r w:rsidR="00521D0B">
              <w:rPr>
                <w:rFonts w:ascii="Times New Roman" w:hAnsi="Times New Roman"/>
                <w:sz w:val="24"/>
              </w:rPr>
              <w:t>'</w:t>
            </w:r>
            <w:r>
              <w:rPr>
                <w:rFonts w:ascii="Times New Roman" w:hAnsi="Times New Roman"/>
                <w:sz w:val="24"/>
              </w:rPr>
              <w:t>ultima emissione di titoli determina se ciascuno schema di cartolarizzazione rientra nell</w:t>
            </w:r>
            <w:r w:rsidR="00521D0B">
              <w:rPr>
                <w:rFonts w:ascii="Times New Roman" w:hAnsi="Times New Roman"/>
                <w:sz w:val="24"/>
              </w:rPr>
              <w:t>'</w:t>
            </w:r>
            <w:r>
              <w:rPr>
                <w:rFonts w:ascii="Times New Roman" w:hAnsi="Times New Roman"/>
                <w:sz w:val="24"/>
              </w:rPr>
              <w:t>ambito di applicazione del regolamento (UE)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Questa informazione è segnalata anche se il soggetto segnalante non detiene alcuna posizione nella cartolarizzazione.</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71C6F96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IMPORTO COMPLESSIVO DELLE ESPOSIZIONI CARTOLARIZZATE ALLA DATA DI CREAZIONE</w:t>
            </w:r>
          </w:p>
          <w:p w14:paraId="795B596E" w14:textId="77777777" w:rsidR="00933ADA" w:rsidRPr="002A677E" w:rsidRDefault="00933ADA" w:rsidP="00822842">
            <w:pPr>
              <w:spacing w:before="0" w:after="0"/>
              <w:jc w:val="left"/>
              <w:rPr>
                <w:rFonts w:ascii="Times New Roman" w:hAnsi="Times New Roman"/>
                <w:sz w:val="24"/>
              </w:rPr>
            </w:pPr>
          </w:p>
          <w:p w14:paraId="4082CFF7" w14:textId="71508B5F"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Questa colonna contiene l</w:t>
            </w:r>
            <w:r w:rsidR="00521D0B">
              <w:rPr>
                <w:rFonts w:ascii="Times New Roman" w:hAnsi="Times New Roman"/>
                <w:sz w:val="24"/>
              </w:rPr>
              <w:t>'</w:t>
            </w:r>
            <w:r>
              <w:rPr>
                <w:rFonts w:ascii="Times New Roman" w:hAnsi="Times New Roman"/>
                <w:sz w:val="24"/>
              </w:rPr>
              <w:t>importo (calcolato sulla base delle esposizioni originarie prima dell</w:t>
            </w:r>
            <w:r w:rsidR="00521D0B">
              <w:rPr>
                <w:rFonts w:ascii="Times New Roman" w:hAnsi="Times New Roman"/>
                <w:sz w:val="24"/>
              </w:rPr>
              <w:t>'</w:t>
            </w:r>
            <w:r>
              <w:rPr>
                <w:rFonts w:ascii="Times New Roman" w:hAnsi="Times New Roman"/>
                <w:sz w:val="24"/>
              </w:rPr>
              <w:t xml:space="preserve">applicazione dei fattori di conversione) del portafoglio cartolarizzato alla data di creazione della cartolarizzazione.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5B9CA565"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Per gli schemi di cartolarizzazione assistiti da open pool è segnalato l</w:t>
            </w:r>
            <w:r w:rsidR="00521D0B">
              <w:rPr>
                <w:rFonts w:ascii="Times New Roman" w:hAnsi="Times New Roman"/>
                <w:sz w:val="24"/>
              </w:rPr>
              <w:t>'</w:t>
            </w:r>
            <w:r>
              <w:rPr>
                <w:rFonts w:ascii="Times New Roman" w:hAnsi="Times New Roman"/>
                <w:sz w:val="24"/>
              </w:rPr>
              <w:t>importo riferito alla data di creazione della prima emissione dei titoli. Per le cartolarizzazioni tradizionali non occorre inserire nessun</w:t>
            </w:r>
            <w:r w:rsidR="00521D0B">
              <w:rPr>
                <w:rFonts w:ascii="Times New Roman" w:hAnsi="Times New Roman"/>
                <w:sz w:val="24"/>
              </w:rPr>
              <w:t>'</w:t>
            </w:r>
            <w:r>
              <w:rPr>
                <w:rFonts w:ascii="Times New Roman" w:hAnsi="Times New Roman"/>
                <w:sz w:val="24"/>
              </w:rPr>
              <w:t>altra attività del portafoglio della cartolarizzazione. Per gli schemi di cartolarizzazione multi-seller (ossia con più di un cedente) è segnalato soltanto l</w:t>
            </w:r>
            <w:r w:rsidR="00521D0B">
              <w:rPr>
                <w:rFonts w:ascii="Times New Roman" w:hAnsi="Times New Roman"/>
                <w:sz w:val="24"/>
              </w:rPr>
              <w:t>'</w:t>
            </w:r>
            <w:r>
              <w:rPr>
                <w:rFonts w:ascii="Times New Roman" w:hAnsi="Times New Roman"/>
                <w:sz w:val="24"/>
              </w:rPr>
              <w:t>importo corrispondente al contributo del soggetto segnalante al portafoglio cartolarizzato. Per le cartolarizzazioni di passività sono segnalati soltanto gli importi emessi dal soggetto segnalante.</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Questa informazione è segnalata anche se il soggetto segnalante non detiene alcuna posizione nella cartolarizzazione.</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521D0B">
            <w:pPr>
              <w:keepNext/>
              <w:autoSpaceDE w:val="0"/>
              <w:autoSpaceDN w:val="0"/>
              <w:adjustRightInd w:val="0"/>
              <w:spacing w:before="0" w:after="0"/>
              <w:rPr>
                <w:rFonts w:ascii="Times New Roman" w:hAnsi="Times New Roman"/>
                <w:bCs/>
                <w:sz w:val="24"/>
              </w:rPr>
            </w:pPr>
            <w:r>
              <w:rPr>
                <w:rFonts w:ascii="Times New Roman" w:hAnsi="Times New Roman"/>
                <w:sz w:val="24"/>
              </w:rPr>
              <w:lastRenderedPageBreak/>
              <w:t>0140-0225</w:t>
            </w:r>
          </w:p>
        </w:tc>
        <w:tc>
          <w:tcPr>
            <w:tcW w:w="7903" w:type="dxa"/>
          </w:tcPr>
          <w:p w14:paraId="047395D1" w14:textId="77777777" w:rsidR="00933ADA" w:rsidRPr="002A677E" w:rsidRDefault="00933ADA" w:rsidP="00521D0B">
            <w:pPr>
              <w:keepNext/>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ESPOSIZIONI CARTOLARIZZATE</w:t>
            </w:r>
          </w:p>
          <w:p w14:paraId="61471BAF" w14:textId="77777777" w:rsidR="00933ADA" w:rsidRPr="002A677E" w:rsidRDefault="00933ADA" w:rsidP="00521D0B">
            <w:pPr>
              <w:keepNext/>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521D0B">
            <w:pPr>
              <w:keepNext/>
              <w:autoSpaceDE w:val="0"/>
              <w:autoSpaceDN w:val="0"/>
              <w:adjustRightInd w:val="0"/>
              <w:spacing w:before="0" w:after="0"/>
              <w:rPr>
                <w:rFonts w:ascii="Times New Roman" w:hAnsi="Times New Roman"/>
                <w:sz w:val="24"/>
              </w:rPr>
            </w:pPr>
            <w:r>
              <w:rPr>
                <w:rFonts w:ascii="Times New Roman" w:hAnsi="Times New Roman"/>
                <w:sz w:val="24"/>
              </w:rPr>
              <w:t>Nelle colonne da 0140 a 0225 il soggetto segnalante deve inserire informazioni su varie caratteristiche del portafoglio cartolarizzato.</w:t>
            </w:r>
          </w:p>
          <w:p w14:paraId="4E8F9861" w14:textId="77777777" w:rsidR="00933ADA" w:rsidRPr="002A677E" w:rsidRDefault="00933ADA" w:rsidP="00521D0B">
            <w:pPr>
              <w:keepNext/>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58DD9AA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IMPORTO COMPLESSIVO</w:t>
            </w:r>
          </w:p>
          <w:p w14:paraId="4883825D" w14:textId="77777777" w:rsidR="00933ADA" w:rsidRPr="002A677E" w:rsidRDefault="00933ADA" w:rsidP="00822842">
            <w:pPr>
              <w:spacing w:before="0" w:after="0"/>
              <w:jc w:val="left"/>
              <w:rPr>
                <w:rFonts w:ascii="Times New Roman" w:hAnsi="Times New Roman"/>
                <w:sz w:val="24"/>
              </w:rPr>
            </w:pPr>
          </w:p>
          <w:p w14:paraId="782D075E" w14:textId="140FC2C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Gli enti segnalano il valore del portafoglio cartolarizzato alla data di riferimento per le segnalazioni, ossia l</w:t>
            </w:r>
            <w:r w:rsidR="00521D0B">
              <w:rPr>
                <w:rFonts w:ascii="Times New Roman" w:hAnsi="Times New Roman"/>
                <w:sz w:val="24"/>
              </w:rPr>
              <w:t>'</w:t>
            </w:r>
            <w:r>
              <w:rPr>
                <w:rFonts w:ascii="Times New Roman" w:hAnsi="Times New Roman"/>
                <w:sz w:val="24"/>
              </w:rPr>
              <w:t>importo in essere delle esposizioni cartolarizzate. Per</w:t>
            </w:r>
            <w:r w:rsidR="00521D0B">
              <w:rPr>
                <w:rFonts w:ascii="Times New Roman" w:hAnsi="Times New Roman"/>
                <w:sz w:val="24"/>
              </w:rPr>
              <w:t> </w:t>
            </w:r>
            <w:r>
              <w:rPr>
                <w:rFonts w:ascii="Times New Roman" w:hAnsi="Times New Roman"/>
                <w:sz w:val="24"/>
              </w:rPr>
              <w:t>le cartolarizzazioni tradizionali non occorre inserire nessun</w:t>
            </w:r>
            <w:r w:rsidR="00521D0B">
              <w:rPr>
                <w:rFonts w:ascii="Times New Roman" w:hAnsi="Times New Roman"/>
                <w:sz w:val="24"/>
              </w:rPr>
              <w:t>'</w:t>
            </w:r>
            <w:r>
              <w:rPr>
                <w:rFonts w:ascii="Times New Roman" w:hAnsi="Times New Roman"/>
                <w:sz w:val="24"/>
              </w:rPr>
              <w:t>altra attività del portafoglio della cartolarizzazione. Per gli schemi di cartolarizzazione multi-seller (ossia con più di un cedente) è segnalato soltanto l</w:t>
            </w:r>
            <w:r w:rsidR="00521D0B">
              <w:rPr>
                <w:rFonts w:ascii="Times New Roman" w:hAnsi="Times New Roman"/>
                <w:sz w:val="24"/>
              </w:rPr>
              <w:t>'</w:t>
            </w:r>
            <w:r>
              <w:rPr>
                <w:rFonts w:ascii="Times New Roman" w:hAnsi="Times New Roman"/>
                <w:sz w:val="24"/>
              </w:rPr>
              <w:t xml:space="preserve">importo corrispondente al contributo del soggetto segnalante al portafoglio cartolarizzato. Per gli schemi di cartolarizzazione assistiti da </w:t>
            </w:r>
            <w:proofErr w:type="spellStart"/>
            <w:r>
              <w:rPr>
                <w:rFonts w:ascii="Times New Roman" w:hAnsi="Times New Roman"/>
                <w:sz w:val="24"/>
              </w:rPr>
              <w:t>closed</w:t>
            </w:r>
            <w:proofErr w:type="spellEnd"/>
            <w:r>
              <w:rPr>
                <w:rFonts w:ascii="Times New Roman" w:hAnsi="Times New Roman"/>
                <w:sz w:val="24"/>
              </w:rPr>
              <w:t xml:space="preserve"> pool (ossia quando il portafoglio di attività cartolarizzate non può essere ampliato dopo la data di creazione) l</w:t>
            </w:r>
            <w:r w:rsidR="00521D0B">
              <w:rPr>
                <w:rFonts w:ascii="Times New Roman" w:hAnsi="Times New Roman"/>
                <w:sz w:val="24"/>
              </w:rPr>
              <w:t>'</w:t>
            </w:r>
            <w:r>
              <w:rPr>
                <w:rFonts w:ascii="Times New Roman" w:hAnsi="Times New Roman"/>
                <w:sz w:val="24"/>
              </w:rPr>
              <w:t>importo è ridotto progressivamente.</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Questa informazione è segnalata anche se il soggetto segnalante non detiene alcuna posizione nella cartolarizzazione.</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AA9FA89" w14:textId="0CF6A701"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QUOTA DELL</w:t>
            </w:r>
            <w:r w:rsidR="00521D0B">
              <w:rPr>
                <w:rFonts w:ascii="Times New Roman" w:hAnsi="Times New Roman"/>
                <w:b/>
                <w:sz w:val="24"/>
                <w:u w:val="single"/>
              </w:rPr>
              <w:t>'</w:t>
            </w:r>
            <w:r>
              <w:rPr>
                <w:rFonts w:ascii="Times New Roman" w:hAnsi="Times New Roman"/>
                <w:b/>
                <w:sz w:val="24"/>
                <w:u w:val="single"/>
              </w:rPr>
              <w:t>ENTE (%)</w:t>
            </w:r>
          </w:p>
          <w:p w14:paraId="15FD4AD7" w14:textId="77777777" w:rsidR="00933ADA" w:rsidRPr="002A677E" w:rsidRDefault="00933ADA" w:rsidP="00822842">
            <w:pPr>
              <w:spacing w:before="0" w:after="0"/>
              <w:jc w:val="left"/>
              <w:rPr>
                <w:rFonts w:ascii="Times New Roman" w:hAnsi="Times New Roman"/>
                <w:sz w:val="24"/>
              </w:rPr>
            </w:pPr>
          </w:p>
          <w:p w14:paraId="312CD141" w14:textId="3746FAAD" w:rsidR="00933ADA" w:rsidRPr="002A677E" w:rsidRDefault="00933ADA" w:rsidP="00822842">
            <w:pPr>
              <w:spacing w:before="0" w:after="0"/>
              <w:rPr>
                <w:rFonts w:ascii="Times New Roman" w:hAnsi="Times New Roman"/>
                <w:sz w:val="24"/>
              </w:rPr>
            </w:pPr>
            <w:r>
              <w:rPr>
                <w:rFonts w:ascii="Times New Roman" w:hAnsi="Times New Roman"/>
                <w:sz w:val="24"/>
              </w:rPr>
              <w:t>Quota (percentuale con due decimali) che l</w:t>
            </w:r>
            <w:r w:rsidR="00521D0B">
              <w:rPr>
                <w:rFonts w:ascii="Times New Roman" w:hAnsi="Times New Roman"/>
                <w:sz w:val="24"/>
              </w:rPr>
              <w:t>'</w:t>
            </w:r>
            <w:r>
              <w:rPr>
                <w:rFonts w:ascii="Times New Roman" w:hAnsi="Times New Roman"/>
                <w:sz w:val="24"/>
              </w:rPr>
              <w:t>ente detiene nel portafoglio cartolarizzato alla data di riferimento per le segnalazioni. La percentuale da segnalare in questa colonna è, per impostazione predefinita, il 100 %, salvo per gli schemi di cartolarizzazione multi-seller. In tal caso il soggetto segnalante indica il proprio contributo attuale al portafoglio cartolarizzato (equivalente alla colonna 0140 in termini relativi).</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Questa informazione è segnalata anche se il soggetto segnalante non detiene alcuna posizione nella cartolarizzazione.</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67E45D4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TIPO</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5103280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Questa colonna contiene informazioni sul tipo di attività (da </w:t>
            </w:r>
            <w:r w:rsidR="00521D0B">
              <w:rPr>
                <w:rFonts w:ascii="Times New Roman" w:hAnsi="Times New Roman"/>
                <w:sz w:val="24"/>
              </w:rPr>
              <w:t>"</w:t>
            </w:r>
            <w:r>
              <w:rPr>
                <w:rFonts w:ascii="Times New Roman" w:hAnsi="Times New Roman"/>
                <w:sz w:val="24"/>
              </w:rPr>
              <w:t>mutui ipotecari residenziali</w:t>
            </w:r>
            <w:r w:rsidR="00521D0B">
              <w:rPr>
                <w:rFonts w:ascii="Times New Roman" w:hAnsi="Times New Roman"/>
                <w:sz w:val="24"/>
              </w:rPr>
              <w:t>"</w:t>
            </w:r>
            <w:r>
              <w:rPr>
                <w:rFonts w:ascii="Times New Roman" w:hAnsi="Times New Roman"/>
                <w:sz w:val="24"/>
              </w:rPr>
              <w:t xml:space="preserve"> a </w:t>
            </w:r>
            <w:r w:rsidR="00521D0B">
              <w:rPr>
                <w:rFonts w:ascii="Times New Roman" w:hAnsi="Times New Roman"/>
                <w:sz w:val="24"/>
              </w:rPr>
              <w:t>"</w:t>
            </w:r>
            <w:r>
              <w:rPr>
                <w:rFonts w:ascii="Times New Roman" w:hAnsi="Times New Roman"/>
                <w:sz w:val="24"/>
              </w:rPr>
              <w:t>altre esposizioni all</w:t>
            </w:r>
            <w:r w:rsidR="00521D0B">
              <w:rPr>
                <w:rFonts w:ascii="Times New Roman" w:hAnsi="Times New Roman"/>
                <w:sz w:val="24"/>
              </w:rPr>
              <w:t>'</w:t>
            </w:r>
            <w:r>
              <w:rPr>
                <w:rFonts w:ascii="Times New Roman" w:hAnsi="Times New Roman"/>
                <w:sz w:val="24"/>
              </w:rPr>
              <w:t>ingrosso</w:t>
            </w:r>
            <w:r w:rsidR="00521D0B">
              <w:rPr>
                <w:rFonts w:ascii="Times New Roman" w:hAnsi="Times New Roman"/>
                <w:sz w:val="24"/>
              </w:rPr>
              <w:t>"</w:t>
            </w:r>
            <w:r>
              <w:rPr>
                <w:rFonts w:ascii="Times New Roman" w:hAnsi="Times New Roman"/>
                <w:sz w:val="24"/>
              </w:rPr>
              <w:t>) o passività (</w:t>
            </w:r>
            <w:r w:rsidR="00521D0B">
              <w:rPr>
                <w:rFonts w:ascii="Times New Roman" w:hAnsi="Times New Roman"/>
                <w:sz w:val="24"/>
              </w:rPr>
              <w:t>"</w:t>
            </w:r>
            <w:r>
              <w:rPr>
                <w:rFonts w:ascii="Times New Roman" w:hAnsi="Times New Roman"/>
                <w:sz w:val="24"/>
              </w:rPr>
              <w:t>obbligazioni garantite</w:t>
            </w:r>
            <w:r w:rsidR="00521D0B">
              <w:rPr>
                <w:rFonts w:ascii="Times New Roman" w:hAnsi="Times New Roman"/>
                <w:sz w:val="24"/>
              </w:rPr>
              <w:t>"</w:t>
            </w:r>
            <w:r>
              <w:rPr>
                <w:rFonts w:ascii="Times New Roman" w:hAnsi="Times New Roman"/>
                <w:sz w:val="24"/>
              </w:rPr>
              <w:t xml:space="preserve"> e </w:t>
            </w:r>
            <w:r w:rsidR="00521D0B">
              <w:rPr>
                <w:rFonts w:ascii="Times New Roman" w:hAnsi="Times New Roman"/>
                <w:sz w:val="24"/>
              </w:rPr>
              <w:t>"</w:t>
            </w:r>
            <w:r>
              <w:rPr>
                <w:rFonts w:ascii="Times New Roman" w:hAnsi="Times New Roman"/>
                <w:sz w:val="24"/>
              </w:rPr>
              <w:t>altre passività</w:t>
            </w:r>
            <w:r w:rsidR="00521D0B">
              <w:rPr>
                <w:rFonts w:ascii="Times New Roman" w:hAnsi="Times New Roman"/>
                <w:sz w:val="24"/>
              </w:rPr>
              <w:t>"</w:t>
            </w:r>
            <w:r>
              <w:rPr>
                <w:rFonts w:ascii="Times New Roman" w:hAnsi="Times New Roman"/>
                <w:sz w:val="24"/>
              </w:rPr>
              <w:t>) del portafoglio cartolarizzato. L</w:t>
            </w:r>
            <w:r w:rsidR="00521D0B">
              <w:rPr>
                <w:rFonts w:ascii="Times New Roman" w:hAnsi="Times New Roman"/>
                <w:sz w:val="24"/>
              </w:rPr>
              <w:t>'</w:t>
            </w:r>
            <w:r>
              <w:rPr>
                <w:rFonts w:ascii="Times New Roman" w:hAnsi="Times New Roman"/>
                <w:sz w:val="24"/>
              </w:rPr>
              <w:t>ente seleziona una delle seguenti opzioni, considerando il valore dell</w:t>
            </w:r>
            <w:r w:rsidR="00521D0B">
              <w:rPr>
                <w:rFonts w:ascii="Times New Roman" w:hAnsi="Times New Roman"/>
                <w:sz w:val="24"/>
              </w:rPr>
              <w:t>'</w:t>
            </w:r>
            <w:r>
              <w:rPr>
                <w:rFonts w:ascii="Times New Roman" w:hAnsi="Times New Roman"/>
                <w:sz w:val="24"/>
              </w:rPr>
              <w:t>EAD più elevato:</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Settore al dettaglio:</w:t>
            </w:r>
          </w:p>
          <w:p w14:paraId="026FC65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mutui ipotecari residenziali; </w:t>
            </w:r>
          </w:p>
          <w:p w14:paraId="151967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crediti su carta di credito; </w:t>
            </w:r>
          </w:p>
          <w:p w14:paraId="0A9711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prestiti al consumo;</w:t>
            </w:r>
          </w:p>
          <w:p w14:paraId="608EB1E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prestiti a PMI (trattate come clienti al dettaglio);</w:t>
            </w:r>
          </w:p>
          <w:p w14:paraId="5D4CD040"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altre esposizioni al dettaglio.</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2DA35EEA"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Settore all</w:t>
            </w:r>
            <w:r w:rsidR="00521D0B">
              <w:rPr>
                <w:rFonts w:ascii="Times New Roman" w:hAnsi="Times New Roman"/>
                <w:b/>
                <w:sz w:val="24"/>
              </w:rPr>
              <w:t>'</w:t>
            </w:r>
            <w:r>
              <w:rPr>
                <w:rFonts w:ascii="Times New Roman" w:hAnsi="Times New Roman"/>
                <w:b/>
                <w:sz w:val="24"/>
              </w:rPr>
              <w:t>ingrosso:</w:t>
            </w:r>
          </w:p>
          <w:p w14:paraId="1C7C174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mutui ipotecari non residenziali; </w:t>
            </w:r>
          </w:p>
          <w:p w14:paraId="5F95628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locazione finanziaria (leasing); </w:t>
            </w:r>
          </w:p>
          <w:p w14:paraId="00F25C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prestiti a imprese;</w:t>
            </w:r>
          </w:p>
          <w:p w14:paraId="6CCD5A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prestiti a PMI (trattate come imprese); </w:t>
            </w:r>
          </w:p>
          <w:p w14:paraId="1D11473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crediti commerciali;</w:t>
            </w:r>
          </w:p>
          <w:p w14:paraId="3AE586F5" w14:textId="296CCF7E"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altre esposizioni all</w:t>
            </w:r>
            <w:r w:rsidR="00521D0B">
              <w:rPr>
                <w:rFonts w:ascii="Times New Roman" w:hAnsi="Times New Roman"/>
                <w:sz w:val="24"/>
              </w:rPr>
              <w:t>'</w:t>
            </w:r>
            <w:r>
              <w:rPr>
                <w:rFonts w:ascii="Times New Roman" w:hAnsi="Times New Roman"/>
                <w:sz w:val="24"/>
              </w:rPr>
              <w:t xml:space="preserve">ingrosso.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Passività:</w:t>
            </w:r>
          </w:p>
          <w:p w14:paraId="157CA1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obbligazioni garantite;</w:t>
            </w:r>
          </w:p>
          <w:p w14:paraId="693D8FC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altre passività.</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39059E8C"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Se il portafoglio di esposizioni cartolarizzate è una combinazione dei tipi sopraelencati, l</w:t>
            </w:r>
            <w:r w:rsidR="00521D0B">
              <w:rPr>
                <w:rFonts w:ascii="Times New Roman" w:hAnsi="Times New Roman"/>
                <w:sz w:val="24"/>
              </w:rPr>
              <w:t>'</w:t>
            </w:r>
            <w:r>
              <w:rPr>
                <w:rFonts w:ascii="Times New Roman" w:hAnsi="Times New Roman"/>
                <w:sz w:val="24"/>
              </w:rPr>
              <w:t xml:space="preserve">ente indica il tipo più importante. Per le </w:t>
            </w:r>
            <w:proofErr w:type="spellStart"/>
            <w:r>
              <w:rPr>
                <w:rFonts w:ascii="Times New Roman" w:hAnsi="Times New Roman"/>
                <w:sz w:val="24"/>
              </w:rPr>
              <w:t>ricartolarizzazioni</w:t>
            </w:r>
            <w:proofErr w:type="spellEnd"/>
            <w:r>
              <w:rPr>
                <w:rFonts w:ascii="Times New Roman" w:hAnsi="Times New Roman"/>
                <w:sz w:val="24"/>
              </w:rPr>
              <w:t xml:space="preserve"> l</w:t>
            </w:r>
            <w:r w:rsidR="00521D0B">
              <w:rPr>
                <w:rFonts w:ascii="Times New Roman" w:hAnsi="Times New Roman"/>
                <w:sz w:val="24"/>
              </w:rPr>
              <w:t>'</w:t>
            </w:r>
            <w:r>
              <w:rPr>
                <w:rFonts w:ascii="Times New Roman" w:hAnsi="Times New Roman"/>
                <w:sz w:val="24"/>
              </w:rPr>
              <w:t xml:space="preserve">ente indica il pool sottostante finale delle attività. </w:t>
            </w:r>
          </w:p>
          <w:p w14:paraId="31B872FC" w14:textId="77777777" w:rsidR="00933ADA"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Per gli schemi di cartolarizzazione assistiti da </w:t>
            </w:r>
            <w:proofErr w:type="spellStart"/>
            <w:r>
              <w:rPr>
                <w:rFonts w:ascii="Times New Roman" w:hAnsi="Times New Roman"/>
                <w:sz w:val="24"/>
              </w:rPr>
              <w:t>closed</w:t>
            </w:r>
            <w:proofErr w:type="spellEnd"/>
            <w:r>
              <w:rPr>
                <w:rFonts w:ascii="Times New Roman" w:hAnsi="Times New Roman"/>
                <w:sz w:val="24"/>
              </w:rPr>
              <w:t xml:space="preserve"> pool il tipo non può cambiare tra una data di riferimento per le segnalazioni e la successiva.</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4A5A46CB"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Le passività dovrebbero essere intese come passività emesse originariamente dall</w:t>
            </w:r>
            <w:r w:rsidR="00521D0B">
              <w:rPr>
                <w:rFonts w:ascii="Times New Roman" w:hAnsi="Times New Roman"/>
                <w:sz w:val="24"/>
              </w:rPr>
              <w:t>'</w:t>
            </w:r>
            <w:r>
              <w:rPr>
                <w:rFonts w:ascii="Times New Roman" w:hAnsi="Times New Roman"/>
                <w:sz w:val="24"/>
              </w:rPr>
              <w:t>ente segnalante (cfr. sezione 3.2.1, punto 112, lettera b), del presente allegato).</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49A5E8FD" w14:textId="337259AC"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w:t>
            </w:r>
            <w:r w:rsidR="0096263E">
              <w:rPr>
                <w:rFonts w:ascii="Times New Roman" w:hAnsi="Times New Roman"/>
                <w:b/>
                <w:sz w:val="24"/>
                <w:u w:val="single"/>
              </w:rPr>
              <w:t xml:space="preserve">DI </w:t>
            </w:r>
            <w:r>
              <w:rPr>
                <w:rFonts w:ascii="Times New Roman" w:hAnsi="Times New Roman"/>
                <w:b/>
                <w:sz w:val="24"/>
                <w:u w:val="single"/>
              </w:rPr>
              <w:t>IRB NEL METODO APPLICATO</w:t>
            </w:r>
          </w:p>
          <w:p w14:paraId="7CE80DB2" w14:textId="77777777" w:rsidR="00933ADA" w:rsidRPr="002A677E" w:rsidRDefault="00933ADA" w:rsidP="00822842">
            <w:pPr>
              <w:spacing w:before="0" w:after="0"/>
              <w:jc w:val="left"/>
              <w:rPr>
                <w:rFonts w:ascii="Times New Roman" w:hAnsi="Times New Roman"/>
                <w:sz w:val="24"/>
              </w:rPr>
            </w:pPr>
          </w:p>
          <w:p w14:paraId="6D62530F" w14:textId="255DC20A"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Questa colonna contiene informazioni sul metodo/sui metodi che l</w:t>
            </w:r>
            <w:r w:rsidR="00521D0B">
              <w:rPr>
                <w:rFonts w:ascii="Times New Roman" w:hAnsi="Times New Roman"/>
                <w:sz w:val="24"/>
              </w:rPr>
              <w:t>'</w:t>
            </w:r>
            <w:r>
              <w:rPr>
                <w:rFonts w:ascii="Times New Roman" w:hAnsi="Times New Roman"/>
                <w:sz w:val="24"/>
              </w:rPr>
              <w:t>ente intende applicare alle esposizioni cartolarizzate alla data di riferimento per le segnalazioni.</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5999E636"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Gli enti segnalano la percentuale delle esposizioni cartolarizzate, misurata in base al valore dell</w:t>
            </w:r>
            <w:r w:rsidR="00521D0B">
              <w:rPr>
                <w:rFonts w:ascii="Times New Roman" w:hAnsi="Times New Roman"/>
                <w:sz w:val="24"/>
              </w:rPr>
              <w:t>'</w:t>
            </w:r>
            <w:r>
              <w:rPr>
                <w:rFonts w:ascii="Times New Roman" w:hAnsi="Times New Roman"/>
                <w:sz w:val="24"/>
              </w:rPr>
              <w:t xml:space="preserve">esposizione, cui è applicato il metodo basato sui rating interni alla data di riferimento per le segnalazioni.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Questa informazione è segnalata anche se il soggetto segnalante non detiene alcuna posizione nella cartolarizzazione. </w:t>
            </w:r>
            <w:proofErr w:type="gramStart"/>
            <w:r>
              <w:rPr>
                <w:rFonts w:ascii="Times New Roman" w:hAnsi="Times New Roman"/>
                <w:sz w:val="24"/>
              </w:rPr>
              <w:t>Tuttavia</w:t>
            </w:r>
            <w:proofErr w:type="gramEnd"/>
            <w:r>
              <w:rPr>
                <w:rFonts w:ascii="Times New Roman" w:hAnsi="Times New Roman"/>
                <w:sz w:val="24"/>
              </w:rPr>
              <w:t xml:space="preserve"> questa colonna non riguarda le cartolarizzazioni di passività.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6055C31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NUMERO DI ESPOSIZIONI</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Articolo 259, paragrafo 4, del regolamento (UE) n. 575/2013</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Questa colonna deve essere compilata obbligatoriamente soltanto dagli enti che applicano il metodo SEC-IRBA alle posizioni verso la cartolarizzazione (e che pertanto indicano più del 95 % nella colonna 171). Gli enti segnalano il numero effettivo di esposizioni.</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213A50A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Questa colonna non deve essere compilata in caso di cartolarizzazione di passività o se i requisiti di fondi propri si basano sulle esposizioni cartolarizzate (nel caso di una cartolarizzazione di attività). Questa colonna non è compilata se l</w:t>
            </w:r>
            <w:r w:rsidR="00521D0B">
              <w:rPr>
                <w:rFonts w:ascii="Times New Roman" w:hAnsi="Times New Roman"/>
                <w:sz w:val="24"/>
              </w:rPr>
              <w:t>'</w:t>
            </w:r>
            <w:r>
              <w:rPr>
                <w:rFonts w:ascii="Times New Roman" w:hAnsi="Times New Roman"/>
                <w:sz w:val="24"/>
              </w:rPr>
              <w:t>ente segnalante non detiene alcuna posizione nella cartolarizzazione. Gli</w:t>
            </w:r>
            <w:r w:rsidR="00521D0B">
              <w:rPr>
                <w:rFonts w:ascii="Times New Roman" w:hAnsi="Times New Roman"/>
                <w:sz w:val="24"/>
              </w:rPr>
              <w:t> </w:t>
            </w:r>
            <w:r>
              <w:rPr>
                <w:rFonts w:ascii="Times New Roman" w:hAnsi="Times New Roman"/>
                <w:sz w:val="24"/>
              </w:rPr>
              <w:t>investitori non compilano questa colonna.</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5F1F6D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ESPOSIZIONI IN STATO DI DEFAULT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Articolo 261, paragrafo 2, del regolamento (UE) n. 575/2013</w:t>
            </w:r>
          </w:p>
          <w:p w14:paraId="70207A9E" w14:textId="77777777" w:rsidR="00933ADA" w:rsidRPr="002A677E" w:rsidRDefault="00933ADA" w:rsidP="00822842">
            <w:pPr>
              <w:spacing w:before="0" w:after="0"/>
              <w:jc w:val="left"/>
              <w:rPr>
                <w:rFonts w:ascii="Times New Roman" w:hAnsi="Times New Roman"/>
                <w:sz w:val="24"/>
              </w:rPr>
            </w:pPr>
          </w:p>
          <w:p w14:paraId="290CEC59" w14:textId="1416C965" w:rsidR="00933ADA" w:rsidRPr="002A677E" w:rsidRDefault="00933ADA" w:rsidP="00822842">
            <w:pPr>
              <w:spacing w:before="0" w:after="0"/>
              <w:jc w:val="left"/>
              <w:rPr>
                <w:rFonts w:ascii="Times New Roman" w:hAnsi="Times New Roman"/>
                <w:sz w:val="24"/>
              </w:rPr>
            </w:pPr>
            <w:r>
              <w:rPr>
                <w:rFonts w:ascii="Times New Roman" w:hAnsi="Times New Roman"/>
                <w:sz w:val="24"/>
              </w:rPr>
              <w:t>Anche se l</w:t>
            </w:r>
            <w:r w:rsidR="00521D0B">
              <w:rPr>
                <w:rFonts w:ascii="Times New Roman" w:hAnsi="Times New Roman"/>
                <w:sz w:val="24"/>
              </w:rPr>
              <w:t>'</w:t>
            </w:r>
            <w:r>
              <w:rPr>
                <w:rFonts w:ascii="Times New Roman" w:hAnsi="Times New Roman"/>
                <w:sz w:val="24"/>
              </w:rPr>
              <w:t>ente non applica il metodo SEC-SA alle posizioni verso la cartolarizzazione, l</w:t>
            </w:r>
            <w:r w:rsidR="00521D0B">
              <w:rPr>
                <w:rFonts w:ascii="Times New Roman" w:hAnsi="Times New Roman"/>
                <w:sz w:val="24"/>
              </w:rPr>
              <w:t>'</w:t>
            </w:r>
            <w:r>
              <w:rPr>
                <w:rFonts w:ascii="Times New Roman" w:hAnsi="Times New Roman"/>
                <w:sz w:val="24"/>
              </w:rPr>
              <w:t xml:space="preserve">ente segnala il fattore </w:t>
            </w:r>
            <w:r w:rsidR="00521D0B">
              <w:rPr>
                <w:rFonts w:ascii="Times New Roman" w:hAnsi="Times New Roman"/>
                <w:sz w:val="24"/>
              </w:rPr>
              <w:t>"</w:t>
            </w:r>
            <w:r>
              <w:rPr>
                <w:rFonts w:ascii="Times New Roman" w:hAnsi="Times New Roman"/>
                <w:sz w:val="24"/>
              </w:rPr>
              <w:t>W</w:t>
            </w:r>
            <w:r w:rsidR="00521D0B">
              <w:rPr>
                <w:rFonts w:ascii="Times New Roman" w:hAnsi="Times New Roman"/>
                <w:sz w:val="24"/>
              </w:rPr>
              <w:t>"</w:t>
            </w:r>
            <w:r>
              <w:rPr>
                <w:rFonts w:ascii="Times New Roman" w:hAnsi="Times New Roman"/>
                <w:sz w:val="24"/>
              </w:rPr>
              <w:t xml:space="preserve"> (relativo alle esposizioni sottostanti in stato di default) che deve essere calcolato conformemente all</w:t>
            </w:r>
            <w:r w:rsidR="00521D0B">
              <w:rPr>
                <w:rFonts w:ascii="Times New Roman" w:hAnsi="Times New Roman"/>
                <w:sz w:val="24"/>
              </w:rPr>
              <w:t>'</w:t>
            </w:r>
            <w:r>
              <w:rPr>
                <w:rFonts w:ascii="Times New Roman" w:hAnsi="Times New Roman"/>
                <w:sz w:val="24"/>
              </w:rPr>
              <w:t xml:space="preserve">articolo 261, paragrafo 2, del regolamento (UE) n. 575/2013.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0190</w:t>
            </w:r>
          </w:p>
        </w:tc>
        <w:tc>
          <w:tcPr>
            <w:tcW w:w="7903" w:type="dxa"/>
            <w:shd w:val="clear" w:color="auto" w:fill="auto"/>
          </w:tcPr>
          <w:p w14:paraId="6E2E1B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PAESE</w:t>
            </w:r>
          </w:p>
          <w:p w14:paraId="79EB0623" w14:textId="77777777" w:rsidR="00933ADA" w:rsidRPr="002A677E" w:rsidRDefault="00933ADA" w:rsidP="00822842">
            <w:pPr>
              <w:spacing w:before="0" w:after="0"/>
              <w:jc w:val="left"/>
              <w:rPr>
                <w:rFonts w:ascii="Times New Roman" w:hAnsi="Times New Roman"/>
                <w:sz w:val="24"/>
              </w:rPr>
            </w:pPr>
          </w:p>
          <w:p w14:paraId="48575CE2" w14:textId="514C80E7" w:rsidR="00933ADA" w:rsidRPr="002A677E" w:rsidRDefault="00933ADA" w:rsidP="00822842">
            <w:pPr>
              <w:spacing w:before="0" w:after="0"/>
              <w:rPr>
                <w:rFonts w:ascii="Times New Roman" w:hAnsi="Times New Roman"/>
                <w:sz w:val="24"/>
              </w:rPr>
            </w:pPr>
            <w:r>
              <w:rPr>
                <w:rFonts w:ascii="Times New Roman" w:hAnsi="Times New Roman"/>
                <w:sz w:val="24"/>
              </w:rPr>
              <w:t>Gli enti inseriscono il codice (ISO 3166-1 alpha-2) del paese di origine del sottostante finale dell</w:t>
            </w:r>
            <w:r w:rsidR="00521D0B">
              <w:rPr>
                <w:rFonts w:ascii="Times New Roman" w:hAnsi="Times New Roman"/>
                <w:sz w:val="24"/>
              </w:rPr>
              <w:t>'</w:t>
            </w:r>
            <w:r>
              <w:rPr>
                <w:rFonts w:ascii="Times New Roman" w:hAnsi="Times New Roman"/>
                <w:sz w:val="24"/>
              </w:rPr>
              <w:t>operazione, ossia il paese del debitore diretto delle esposizioni originarie cartolarizzate (metodo look-</w:t>
            </w:r>
            <w:proofErr w:type="spellStart"/>
            <w:r>
              <w:rPr>
                <w:rFonts w:ascii="Times New Roman" w:hAnsi="Times New Roman"/>
                <w:sz w:val="24"/>
              </w:rPr>
              <w:t>through</w:t>
            </w:r>
            <w:proofErr w:type="spellEnd"/>
            <w:r>
              <w:rPr>
                <w:rFonts w:ascii="Times New Roman" w:hAnsi="Times New Roman"/>
                <w:sz w:val="24"/>
              </w:rPr>
              <w:t>). Se il portafoglio della cartolarizzazione comprende più paesi, l</w:t>
            </w:r>
            <w:r w:rsidR="00521D0B">
              <w:rPr>
                <w:rFonts w:ascii="Times New Roman" w:hAnsi="Times New Roman"/>
                <w:sz w:val="24"/>
              </w:rPr>
              <w:t>'</w:t>
            </w:r>
            <w:r>
              <w:rPr>
                <w:rFonts w:ascii="Times New Roman" w:hAnsi="Times New Roman"/>
                <w:sz w:val="24"/>
              </w:rPr>
              <w:t>ente indica il paese più importante. Se nessun paese supera la soglia del 20 % basata sull</w:t>
            </w:r>
            <w:r w:rsidR="00521D0B">
              <w:rPr>
                <w:rFonts w:ascii="Times New Roman" w:hAnsi="Times New Roman"/>
                <w:sz w:val="24"/>
              </w:rPr>
              <w:t>'</w:t>
            </w:r>
            <w:r>
              <w:rPr>
                <w:rFonts w:ascii="Times New Roman" w:hAnsi="Times New Roman"/>
                <w:sz w:val="24"/>
              </w:rPr>
              <w:t xml:space="preserve">importo delle attività/passività, si indica </w:t>
            </w:r>
            <w:r w:rsidR="00521D0B">
              <w:rPr>
                <w:rFonts w:ascii="Times New Roman" w:hAnsi="Times New Roman"/>
                <w:sz w:val="24"/>
              </w:rPr>
              <w:t>"</w:t>
            </w:r>
            <w:r>
              <w:rPr>
                <w:rFonts w:ascii="Times New Roman" w:hAnsi="Times New Roman"/>
                <w:sz w:val="24"/>
              </w:rPr>
              <w:t>altri paesi</w:t>
            </w:r>
            <w:r w:rsidR="00521D0B">
              <w:rPr>
                <w:rFonts w:ascii="Times New Roman" w:hAnsi="Times New Roman"/>
                <w:sz w:val="24"/>
              </w:rPr>
              <w:t>"</w:t>
            </w:r>
            <w:r>
              <w:rPr>
                <w:rFonts w:ascii="Times New Roman" w:hAnsi="Times New Roman"/>
                <w:sz w:val="24"/>
              </w:rPr>
              <w:t>.</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703F0EC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LGD (%) </w:t>
            </w:r>
          </w:p>
          <w:p w14:paraId="3E2747F5" w14:textId="77777777" w:rsidR="00933ADA" w:rsidRPr="002A677E" w:rsidRDefault="00933ADA" w:rsidP="00822842">
            <w:pPr>
              <w:spacing w:before="0" w:after="0"/>
              <w:jc w:val="left"/>
              <w:rPr>
                <w:rFonts w:ascii="Times New Roman" w:hAnsi="Times New Roman"/>
                <w:sz w:val="24"/>
              </w:rPr>
            </w:pPr>
          </w:p>
          <w:p w14:paraId="0400540E" w14:textId="639DDA05"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 perdita in caso di default media ponderata per l</w:t>
            </w:r>
            <w:r w:rsidR="00521D0B">
              <w:rPr>
                <w:rFonts w:ascii="Times New Roman" w:hAnsi="Times New Roman"/>
                <w:sz w:val="24"/>
              </w:rPr>
              <w:t>'</w:t>
            </w:r>
            <w:r>
              <w:rPr>
                <w:rFonts w:ascii="Times New Roman" w:hAnsi="Times New Roman"/>
                <w:sz w:val="24"/>
              </w:rPr>
              <w:t>esposizione (LGD) deve essere segnalata soltanto dagli enti che applicano il SEC-IRBA (e pertanto indicano 95 % o più nella colonna 0170). La LGD è calcolata a norma dell</w:t>
            </w:r>
            <w:r w:rsidR="00521D0B">
              <w:rPr>
                <w:rFonts w:ascii="Times New Roman" w:hAnsi="Times New Roman"/>
                <w:sz w:val="24"/>
              </w:rPr>
              <w:t>'</w:t>
            </w:r>
            <w:r>
              <w:rPr>
                <w:rFonts w:ascii="Times New Roman" w:hAnsi="Times New Roman"/>
                <w:sz w:val="24"/>
              </w:rPr>
              <w:t xml:space="preserve">articolo 259, paragrafo 5, del regolamento (UE) n. 575/2013. </w:t>
            </w:r>
          </w:p>
          <w:p w14:paraId="1BA54C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Questa colonna non deve essere compilata in caso di cartolarizzazione di passività o se i requisiti di fondi propri si basano sulle esposizioni cartolarizzate (nel caso di una cartolarizzazione di attività).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30686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EL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37D87F9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 perdita attesa media ponderata per l</w:t>
            </w:r>
            <w:r w:rsidR="00521D0B">
              <w:rPr>
                <w:rFonts w:ascii="Times New Roman" w:hAnsi="Times New Roman"/>
                <w:sz w:val="24"/>
              </w:rPr>
              <w:t>'</w:t>
            </w:r>
            <w:r>
              <w:rPr>
                <w:rFonts w:ascii="Times New Roman" w:hAnsi="Times New Roman"/>
                <w:sz w:val="24"/>
              </w:rPr>
              <w:t>esposizione (EL) delle attività cartolarizzate deve essere segnalata soltanto dagli enti che applicano il SEC</w:t>
            </w:r>
            <w:r w:rsidR="00521D0B">
              <w:rPr>
                <w:rFonts w:ascii="Times New Roman" w:hAnsi="Times New Roman"/>
                <w:sz w:val="24"/>
              </w:rPr>
              <w:noBreakHyphen/>
            </w:r>
            <w:r>
              <w:rPr>
                <w:rFonts w:ascii="Times New Roman" w:hAnsi="Times New Roman"/>
                <w:sz w:val="24"/>
              </w:rPr>
              <w:t>IRBA (e pertanto indicano 95 % o più nella colonna 0171). In caso di attività cartolarizzate cui è applicato lo SA, la EL da indicare è costituita dalle rettifiche di valore su crediti specifiche di cui all</w:t>
            </w:r>
            <w:r w:rsidR="00521D0B">
              <w:rPr>
                <w:rFonts w:ascii="Times New Roman" w:hAnsi="Times New Roman"/>
                <w:sz w:val="24"/>
              </w:rPr>
              <w:t>'</w:t>
            </w:r>
            <w:r>
              <w:rPr>
                <w:rFonts w:ascii="Times New Roman" w:hAnsi="Times New Roman"/>
                <w:sz w:val="24"/>
              </w:rPr>
              <w:t>articolo 111 del regolamento (UE) n. 575/2013. La EL è calcolata secondo quanto indicato nella parte tre, titolo II, capo 3, sezione 3, del regolamento (UE) n. 575/2013. Questa colonna non deve essere compilata in caso di cartolarizzazione di passività o se i requisiti di fondi propri si basano sulle esposizioni cartolarizzate (nel caso di una cartolarizzazione di attività).</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57951E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UL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1241399B"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 perdita inattesa media ponderata per l</w:t>
            </w:r>
            <w:r w:rsidR="00521D0B">
              <w:rPr>
                <w:rFonts w:ascii="Times New Roman" w:hAnsi="Times New Roman"/>
                <w:sz w:val="24"/>
              </w:rPr>
              <w:t>'</w:t>
            </w:r>
            <w:r>
              <w:rPr>
                <w:rFonts w:ascii="Times New Roman" w:hAnsi="Times New Roman"/>
                <w:sz w:val="24"/>
              </w:rPr>
              <w:t>esposizione (UL) delle attività cartolarizzate deve essere segnalata soltanto dagli enti che applicano il SEC</w:t>
            </w:r>
            <w:r w:rsidR="00521D0B">
              <w:rPr>
                <w:rFonts w:ascii="Times New Roman" w:hAnsi="Times New Roman"/>
                <w:sz w:val="24"/>
              </w:rPr>
              <w:noBreakHyphen/>
            </w:r>
            <w:r>
              <w:rPr>
                <w:rFonts w:ascii="Times New Roman" w:hAnsi="Times New Roman"/>
                <w:sz w:val="24"/>
              </w:rPr>
              <w:t>IRBA (e pertanto indicano 95 % o più nella colonna 0170). La UL delle attività è pari all</w:t>
            </w:r>
            <w:r w:rsidR="00521D0B">
              <w:rPr>
                <w:rFonts w:ascii="Times New Roman" w:hAnsi="Times New Roman"/>
                <w:sz w:val="24"/>
              </w:rPr>
              <w:t>'</w:t>
            </w:r>
            <w:r>
              <w:rPr>
                <w:rFonts w:ascii="Times New Roman" w:hAnsi="Times New Roman"/>
                <w:sz w:val="24"/>
              </w:rPr>
              <w:t>importo dell</w:t>
            </w:r>
            <w:r w:rsidR="00521D0B">
              <w:rPr>
                <w:rFonts w:ascii="Times New Roman" w:hAnsi="Times New Roman"/>
                <w:sz w:val="24"/>
              </w:rPr>
              <w:t>'</w:t>
            </w:r>
            <w:r>
              <w:rPr>
                <w:rFonts w:ascii="Times New Roman" w:hAnsi="Times New Roman"/>
                <w:sz w:val="24"/>
              </w:rPr>
              <w:t>esposizione ponderato per il rischio (RWEA) moltiplicato per 8 %. L</w:t>
            </w:r>
            <w:r w:rsidR="00521D0B">
              <w:rPr>
                <w:rFonts w:ascii="Times New Roman" w:hAnsi="Times New Roman"/>
                <w:sz w:val="24"/>
              </w:rPr>
              <w:t>'</w:t>
            </w:r>
            <w:r>
              <w:rPr>
                <w:rFonts w:ascii="Times New Roman" w:hAnsi="Times New Roman"/>
                <w:sz w:val="24"/>
              </w:rPr>
              <w:t>RWEA è calcolato secondo quanto indicato nella parte tre, titolo II, capo 3, sezione 2, del regolamento (UE) n. 575/2013. Questa</w:t>
            </w:r>
            <w:r w:rsidR="00521D0B">
              <w:rPr>
                <w:rFonts w:ascii="Times New Roman" w:hAnsi="Times New Roman"/>
                <w:sz w:val="24"/>
              </w:rPr>
              <w:t> </w:t>
            </w:r>
            <w:r>
              <w:rPr>
                <w:rFonts w:ascii="Times New Roman" w:hAnsi="Times New Roman"/>
                <w:sz w:val="24"/>
              </w:rPr>
              <w:t>colonna non deve essere compilata in caso di cartolarizzazione di passività o se i requisiti di fondi propri si basano sulle esposizioni cartolarizzate (nel caso di una cartolarizzazione di attività).</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0204</w:t>
            </w:r>
          </w:p>
        </w:tc>
        <w:tc>
          <w:tcPr>
            <w:tcW w:w="7903" w:type="dxa"/>
          </w:tcPr>
          <w:p w14:paraId="0245F2A6" w14:textId="5091009A"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DURATA MEDIA PONDERATA PER L</w:t>
            </w:r>
            <w:r w:rsidR="00521D0B">
              <w:rPr>
                <w:rFonts w:ascii="Times New Roman" w:hAnsi="Times New Roman"/>
                <w:b/>
                <w:sz w:val="24"/>
                <w:u w:val="single"/>
              </w:rPr>
              <w:t>'</w:t>
            </w:r>
            <w:r>
              <w:rPr>
                <w:rFonts w:ascii="Times New Roman" w:hAnsi="Times New Roman"/>
                <w:b/>
                <w:sz w:val="24"/>
                <w:u w:val="single"/>
              </w:rPr>
              <w:t>ESPOSIZIONE DELLE ATTIVITÀ</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AB3A7C9"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La durata media ponderata per l</w:t>
            </w:r>
            <w:r w:rsidR="00521D0B">
              <w:rPr>
                <w:rFonts w:ascii="Times New Roman" w:hAnsi="Times New Roman"/>
                <w:sz w:val="24"/>
              </w:rPr>
              <w:t>'</w:t>
            </w:r>
            <w:r>
              <w:rPr>
                <w:rFonts w:ascii="Times New Roman" w:hAnsi="Times New Roman"/>
                <w:sz w:val="24"/>
              </w:rPr>
              <w:t>esposizione (WAM) delle attività cartolarizzate alla data di riferimento per le segnalazioni è segnalata da tutti gli enti indipendentemente dal metodo utilizzato per il calcolo dei requisiti patrimoniali. Gli enti calcolano la durata di ciascuna attività a norma dell</w:t>
            </w:r>
            <w:r w:rsidR="00521D0B">
              <w:rPr>
                <w:rFonts w:ascii="Times New Roman" w:hAnsi="Times New Roman"/>
                <w:sz w:val="24"/>
              </w:rPr>
              <w:t>'</w:t>
            </w:r>
            <w:r>
              <w:rPr>
                <w:rFonts w:ascii="Times New Roman" w:hAnsi="Times New Roman"/>
                <w:sz w:val="24"/>
              </w:rPr>
              <w:t>articolo 162, paragrafo 2, lettere a) e f), del regolamento (UE) n. 575/2013 senza applicare il massimale di 5 anni.</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8C21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RETTIFICHE DI VALORE E ACCANTONAMENTI</w:t>
            </w:r>
          </w:p>
          <w:p w14:paraId="598F8B9A" w14:textId="77777777" w:rsidR="00933ADA" w:rsidRPr="002A677E" w:rsidRDefault="00933ADA" w:rsidP="00822842">
            <w:pPr>
              <w:spacing w:before="0" w:after="0"/>
              <w:jc w:val="left"/>
              <w:rPr>
                <w:rFonts w:ascii="Times New Roman" w:hAnsi="Times New Roman"/>
                <w:sz w:val="24"/>
              </w:rPr>
            </w:pPr>
          </w:p>
          <w:p w14:paraId="72EB71CD" w14:textId="2C55DFF2"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Rettifiche di valore e accantonamenti (articolo 159 del regolamento (UE) n.</w:t>
            </w:r>
            <w:r w:rsidR="00521D0B">
              <w:rPr>
                <w:rFonts w:ascii="Times New Roman" w:hAnsi="Times New Roman"/>
                <w:sz w:val="24"/>
              </w:rPr>
              <w:t> </w:t>
            </w:r>
            <w:r>
              <w:rPr>
                <w:rFonts w:ascii="Times New Roman" w:hAnsi="Times New Roman"/>
                <w:sz w:val="24"/>
              </w:rPr>
              <w:t xml:space="preserve">575/2013) relativi a perdite su crediti effettuati conformemente alla disciplina contabile applicabile al soggetto segnalante. Le rettifiche di valore comprendono qualsiasi importo rilevato nel conto economico a titolo di perdite su crediti di attività finanziarie dalla loro rilevazione iniziale in bilancio (comprese le perdite dovute al rischio di credito delle attività finanziarie valutate al fair </w:t>
            </w:r>
            <w:proofErr w:type="spellStart"/>
            <w:r>
              <w:rPr>
                <w:rFonts w:ascii="Times New Roman" w:hAnsi="Times New Roman"/>
                <w:sz w:val="24"/>
              </w:rPr>
              <w:t>value</w:t>
            </w:r>
            <w:proofErr w:type="spellEnd"/>
            <w:r>
              <w:rPr>
                <w:rFonts w:ascii="Times New Roman" w:hAnsi="Times New Roman"/>
                <w:sz w:val="24"/>
              </w:rPr>
              <w:t xml:space="preserve"> (valore equo) che non sono dedotte dal valore dell</w:t>
            </w:r>
            <w:r w:rsidR="00521D0B">
              <w:rPr>
                <w:rFonts w:ascii="Times New Roman" w:hAnsi="Times New Roman"/>
                <w:sz w:val="24"/>
              </w:rPr>
              <w:t>'</w:t>
            </w:r>
            <w:r>
              <w:rPr>
                <w:rFonts w:ascii="Times New Roman" w:hAnsi="Times New Roman"/>
                <w:sz w:val="24"/>
              </w:rPr>
              <w:t>esposizione), più gli sconti sulle attività acquistate in stato di default di cui all</w:t>
            </w:r>
            <w:r w:rsidR="00521D0B">
              <w:rPr>
                <w:rFonts w:ascii="Times New Roman" w:hAnsi="Times New Roman"/>
                <w:sz w:val="24"/>
              </w:rPr>
              <w:t>'</w:t>
            </w:r>
            <w:r>
              <w:rPr>
                <w:rFonts w:ascii="Times New Roman" w:hAnsi="Times New Roman"/>
                <w:sz w:val="24"/>
              </w:rPr>
              <w:t>articolo 166, paragrafo 1, del regolamento (UE) n. 575/2013. Gli accantonamenti comprendono gli importi accumulati delle perdite su crediti negli elementi fuori bilancio.</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Questa colonna contiene informazioni sulle rettifiche di valore e gli accantonamenti applicati alle esposizioni cartolarizzate. Questa colonna non è compilata per la cartolarizzazione di passività.</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Questa informazione è segnalata anche se il soggetto segnalante non detiene alcuna posizione nella cartolarizzazione.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5F75FBA5" w14:textId="77777777" w:rsidR="00933ADA" w:rsidRPr="002A677E" w:rsidRDefault="00933ADA" w:rsidP="00822842">
            <w:pPr>
              <w:spacing w:before="0" w:after="0"/>
              <w:jc w:val="left"/>
              <w:rPr>
                <w:rFonts w:ascii="Times New Roman" w:hAnsi="Times New Roman"/>
                <w:b/>
                <w:sz w:val="24"/>
                <w:u w:val="single"/>
                <w:vertAlign w:val="subscript"/>
              </w:rPr>
            </w:pPr>
            <w:r>
              <w:rPr>
                <w:rFonts w:ascii="Times New Roman" w:hAnsi="Times New Roman"/>
                <w:b/>
                <w:sz w:val="24"/>
                <w:u w:val="single"/>
              </w:rPr>
              <w:t>REQUISITI DI FONDI PROPRI PRIMA DELLA CARTOLARIZZAZIONE (%) K</w:t>
            </w:r>
            <w:r>
              <w:rPr>
                <w:rFonts w:ascii="Times New Roman" w:hAnsi="Times New Roman"/>
                <w:b/>
                <w:sz w:val="24"/>
                <w:u w:val="single"/>
                <w:vertAlign w:val="subscript"/>
              </w:rPr>
              <w:t>IRB</w:t>
            </w:r>
          </w:p>
          <w:p w14:paraId="4C43D2F7" w14:textId="77777777" w:rsidR="00933ADA" w:rsidRPr="002A677E" w:rsidRDefault="00933ADA" w:rsidP="00822842">
            <w:pPr>
              <w:spacing w:before="0" w:after="0"/>
              <w:jc w:val="left"/>
              <w:rPr>
                <w:rFonts w:ascii="Times New Roman" w:hAnsi="Times New Roman"/>
                <w:sz w:val="24"/>
              </w:rPr>
            </w:pPr>
          </w:p>
          <w:p w14:paraId="61012864" w14:textId="58C3A74C"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Questa colonna è compilata unicamente dagli enti che applicano il SEC-IRBA (e pertanto indicano 95 % o più nella colonna 171) e contiene informazioni sul K</w:t>
            </w:r>
            <w:r>
              <w:rPr>
                <w:rFonts w:ascii="Times New Roman" w:hAnsi="Times New Roman"/>
                <w:sz w:val="24"/>
                <w:vertAlign w:val="subscript"/>
              </w:rPr>
              <w:t>IRB</w:t>
            </w:r>
            <w:r>
              <w:rPr>
                <w:rFonts w:ascii="Times New Roman" w:hAnsi="Times New Roman"/>
                <w:sz w:val="24"/>
              </w:rPr>
              <w:t xml:space="preserve"> di cui all</w:t>
            </w:r>
            <w:r w:rsidR="00521D0B">
              <w:rPr>
                <w:rFonts w:ascii="Times New Roman" w:hAnsi="Times New Roman"/>
                <w:sz w:val="24"/>
              </w:rPr>
              <w:t>'</w:t>
            </w:r>
            <w:r>
              <w:rPr>
                <w:rFonts w:ascii="Times New Roman" w:hAnsi="Times New Roman"/>
                <w:sz w:val="24"/>
              </w:rPr>
              <w:t>articolo 255 del regolamento (UE) n. 575/2013. Il K</w:t>
            </w:r>
            <w:r>
              <w:rPr>
                <w:rFonts w:ascii="Times New Roman" w:hAnsi="Times New Roman"/>
                <w:sz w:val="24"/>
                <w:vertAlign w:val="subscript"/>
              </w:rPr>
              <w:t>IRB</w:t>
            </w:r>
            <w:r>
              <w:rPr>
                <w:rFonts w:ascii="Times New Roman" w:hAnsi="Times New Roman"/>
                <w:sz w:val="24"/>
              </w:rPr>
              <w:t xml:space="preserve"> è espresso in percentuale (con due decimali).</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Questa colonna non è compilata per la cartolarizzazione di passività. Per la cartolarizzazione di attività, questa informazione è segnalata anche se il soggetto segnalante non detiene alcuna posizione nella cartolarizzazione.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341B313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DELLE ESPOSIZIONI AL DETTAGLIO NEI PORTAFOGLI IRB</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7640381" w14:textId="0A8D781D" w:rsidR="00933ADA" w:rsidRPr="00521D0B"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 portafogli IRB ai sensi dell</w:t>
            </w:r>
            <w:r w:rsidR="00521D0B">
              <w:rPr>
                <w:rFonts w:ascii="Times New Roman" w:hAnsi="Times New Roman"/>
                <w:sz w:val="24"/>
              </w:rPr>
              <w:t>'</w:t>
            </w:r>
            <w:r>
              <w:rPr>
                <w:rFonts w:ascii="Times New Roman" w:hAnsi="Times New Roman"/>
                <w:sz w:val="24"/>
              </w:rPr>
              <w:t>articolo 242, punto 7, del regolamento (UE) n.</w:t>
            </w:r>
            <w:r w:rsidR="00521D0B">
              <w:rPr>
                <w:rFonts w:ascii="Times New Roman" w:hAnsi="Times New Roman"/>
                <w:sz w:val="24"/>
              </w:rPr>
              <w:t> </w:t>
            </w:r>
            <w:r>
              <w:rPr>
                <w:rFonts w:ascii="Times New Roman" w:hAnsi="Times New Roman"/>
                <w:sz w:val="24"/>
              </w:rPr>
              <w:t>575/2013, a condizione che l</w:t>
            </w:r>
            <w:r w:rsidR="00521D0B">
              <w:rPr>
                <w:rFonts w:ascii="Times New Roman" w:hAnsi="Times New Roman"/>
                <w:sz w:val="24"/>
              </w:rPr>
              <w:t>'</w:t>
            </w:r>
            <w:r>
              <w:rPr>
                <w:rFonts w:ascii="Times New Roman" w:hAnsi="Times New Roman"/>
                <w:sz w:val="24"/>
              </w:rPr>
              <w:t>ente sia in grado di calcolare il K</w:t>
            </w:r>
            <w:r>
              <w:rPr>
                <w:rFonts w:ascii="Times New Roman" w:hAnsi="Times New Roman"/>
                <w:sz w:val="24"/>
                <w:vertAlign w:val="subscript"/>
              </w:rPr>
              <w:t>IRB</w:t>
            </w:r>
            <w:r>
              <w:rPr>
                <w:rFonts w:ascii="Times New Roman" w:hAnsi="Times New Roman"/>
                <w:sz w:val="24"/>
              </w:rPr>
              <w:t xml:space="preserve"> conformemente alla parte tre, titolo II, capo 6, sezione 3, del regolamento (UE) n. 575/2013, su almeno il 95 % dell</w:t>
            </w:r>
            <w:r w:rsidR="00521D0B">
              <w:rPr>
                <w:rFonts w:ascii="Times New Roman" w:hAnsi="Times New Roman"/>
                <w:sz w:val="24"/>
              </w:rPr>
              <w:t>'</w:t>
            </w:r>
            <w:r>
              <w:rPr>
                <w:rFonts w:ascii="Times New Roman" w:hAnsi="Times New Roman"/>
                <w:sz w:val="24"/>
              </w:rPr>
              <w:t xml:space="preserve">importo delle esposizioni sottostanti (articolo 259, paragrafo 2, di tale regolamento). </w:t>
            </w: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0223</w:t>
            </w:r>
          </w:p>
        </w:tc>
        <w:tc>
          <w:tcPr>
            <w:tcW w:w="7903" w:type="dxa"/>
          </w:tcPr>
          <w:p w14:paraId="0933681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REQUISITI DI FONDI PROPRI PRIMA DELLA CARTOLARIZZAZIONE (%) </w:t>
            </w:r>
            <w:proofErr w:type="spellStart"/>
            <w:r>
              <w:rPr>
                <w:rFonts w:ascii="Times New Roman" w:hAnsi="Times New Roman"/>
                <w:b/>
                <w:sz w:val="24"/>
                <w:u w:val="single"/>
              </w:rPr>
              <w:t>K</w:t>
            </w:r>
            <w:r>
              <w:rPr>
                <w:rFonts w:ascii="Times New Roman" w:hAnsi="Times New Roman"/>
                <w:b/>
                <w:sz w:val="24"/>
                <w:u w:val="single"/>
                <w:vertAlign w:val="subscript"/>
              </w:rPr>
              <w:t>sa</w:t>
            </w:r>
            <w:proofErr w:type="spellEnd"/>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502D67E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Anche se non applica il metodo SEC-SA alle posizioni verso la cartolarizzazione, l</w:t>
            </w:r>
            <w:r w:rsidR="00521D0B">
              <w:rPr>
                <w:rFonts w:ascii="Times New Roman" w:hAnsi="Times New Roman"/>
                <w:sz w:val="24"/>
              </w:rPr>
              <w:t>'</w:t>
            </w:r>
            <w:r>
              <w:rPr>
                <w:rFonts w:ascii="Times New Roman" w:hAnsi="Times New Roman"/>
                <w:sz w:val="24"/>
              </w:rPr>
              <w:t>ente compila questa colonna. Questa colonna contiene informazioni sul K</w:t>
            </w:r>
            <w:r>
              <w:rPr>
                <w:rFonts w:ascii="Times New Roman" w:hAnsi="Times New Roman"/>
                <w:sz w:val="24"/>
                <w:vertAlign w:val="subscript"/>
              </w:rPr>
              <w:t>SA</w:t>
            </w:r>
            <w:r>
              <w:rPr>
                <w:rFonts w:ascii="Times New Roman" w:hAnsi="Times New Roman"/>
                <w:sz w:val="24"/>
              </w:rPr>
              <w:t xml:space="preserve"> di cui all</w:t>
            </w:r>
            <w:r w:rsidR="00521D0B">
              <w:rPr>
                <w:rFonts w:ascii="Times New Roman" w:hAnsi="Times New Roman"/>
                <w:sz w:val="24"/>
              </w:rPr>
              <w:t>'</w:t>
            </w:r>
            <w:r>
              <w:rPr>
                <w:rFonts w:ascii="Times New Roman" w:hAnsi="Times New Roman"/>
                <w:sz w:val="24"/>
              </w:rPr>
              <w:t>articolo 255, paragrafo 6, del regolamento (UE) n. 575/2013. Il K</w:t>
            </w:r>
            <w:r>
              <w:rPr>
                <w:rFonts w:ascii="Times New Roman" w:hAnsi="Times New Roman"/>
                <w:sz w:val="24"/>
                <w:vertAlign w:val="subscript"/>
              </w:rPr>
              <w:t>SA</w:t>
            </w:r>
            <w:r>
              <w:rPr>
                <w:rFonts w:ascii="Times New Roman" w:hAnsi="Times New Roman"/>
                <w:sz w:val="24"/>
              </w:rPr>
              <w:t xml:space="preserve"> è espresso in percentuale (con due decimali).</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Questa colonna non è compilata per la cartolarizzazione di passività. Per la cartolarizzazione di attività, questa informazione è segnalata anche se il soggetto segnalante non detiene alcuna posizione nella cartolarizzazione.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05DA4D14" w14:textId="342823C0"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VOCI PER MEMORIA: RETTIFICHE DI VALORE SU CREDITI NELL</w:t>
            </w:r>
            <w:r w:rsidR="00521D0B">
              <w:rPr>
                <w:rFonts w:ascii="Times New Roman" w:hAnsi="Times New Roman"/>
                <w:b/>
                <w:sz w:val="24"/>
                <w:u w:val="single"/>
              </w:rPr>
              <w:t>'</w:t>
            </w:r>
            <w:r>
              <w:rPr>
                <w:rFonts w:ascii="Times New Roman" w:hAnsi="Times New Roman"/>
                <w:b/>
                <w:sz w:val="24"/>
                <w:u w:val="single"/>
              </w:rPr>
              <w:t xml:space="preserve">ESERCIZIO CORRENTE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Articolo 110 del regolamento (UE) n. 575/2013</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49FEDB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STRUTTURA DELLA CARTOLARIZZAZIONE</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Questo blocco di colonne contiene informazioni sulla struttura della cartolarizzazione in base alle posizioni in bilancio/fuori bilancio, ai segmenti (senior/</w:t>
            </w:r>
            <w:proofErr w:type="spellStart"/>
            <w:r>
              <w:rPr>
                <w:rFonts w:ascii="Times New Roman" w:hAnsi="Times New Roman"/>
                <w:sz w:val="24"/>
              </w:rPr>
              <w:t>mezzanine</w:t>
            </w:r>
            <w:proofErr w:type="spellEnd"/>
            <w:r>
              <w:rPr>
                <w:rFonts w:ascii="Times New Roman" w:hAnsi="Times New Roman"/>
                <w:sz w:val="24"/>
              </w:rPr>
              <w:t xml:space="preserve">/prime perdite) e alla scadenza alla data di riferimento per le segnalazioni.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57980F04" w:rsidR="00933ADA" w:rsidRPr="002A677E" w:rsidRDefault="00933ADA" w:rsidP="00822842">
            <w:pPr>
              <w:spacing w:before="0" w:after="0"/>
              <w:rPr>
                <w:rFonts w:ascii="Times New Roman" w:hAnsi="Times New Roman"/>
                <w:sz w:val="24"/>
              </w:rPr>
            </w:pPr>
            <w:r>
              <w:rPr>
                <w:rFonts w:ascii="Times New Roman" w:hAnsi="Times New Roman"/>
                <w:sz w:val="24"/>
              </w:rPr>
              <w:t>Per le cartolarizzazioni multi-seller è indicato soltanto l</w:t>
            </w:r>
            <w:r w:rsidR="00521D0B">
              <w:rPr>
                <w:rFonts w:ascii="Times New Roman" w:hAnsi="Times New Roman"/>
                <w:sz w:val="24"/>
              </w:rPr>
              <w:t>'</w:t>
            </w:r>
            <w:r>
              <w:rPr>
                <w:rFonts w:ascii="Times New Roman" w:hAnsi="Times New Roman"/>
                <w:sz w:val="24"/>
              </w:rPr>
              <w:t>importo corrispondente o attribuito all</w:t>
            </w:r>
            <w:r w:rsidR="00521D0B">
              <w:rPr>
                <w:rFonts w:ascii="Times New Roman" w:hAnsi="Times New Roman"/>
                <w:sz w:val="24"/>
              </w:rPr>
              <w:t>'</w:t>
            </w:r>
            <w:r>
              <w:rPr>
                <w:rFonts w:ascii="Times New Roman" w:hAnsi="Times New Roman"/>
                <w:sz w:val="24"/>
              </w:rPr>
              <w:t>ente segnalante.</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7D8321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ELEMENTI IN BILANCIO</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Questo blocco di colonne contiene informazioni sugli elementi in bilancio ripartiti per segmento (senior/</w:t>
            </w:r>
            <w:proofErr w:type="spellStart"/>
            <w:r>
              <w:rPr>
                <w:rFonts w:ascii="Times New Roman" w:hAnsi="Times New Roman"/>
                <w:sz w:val="24"/>
              </w:rPr>
              <w:t>mezzanine</w:t>
            </w:r>
            <w:proofErr w:type="spellEnd"/>
            <w:r>
              <w:rPr>
                <w:rFonts w:ascii="Times New Roman" w:hAnsi="Times New Roman"/>
                <w:sz w:val="24"/>
              </w:rPr>
              <w:t>/prime perdite).</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71CF3E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SENIOR</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2C6AB06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IMPORTO</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2BE1F61F"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Importo delle posizioni verso la cartolarizzazione senior ai sensi dell</w:t>
            </w:r>
            <w:r w:rsidR="00521D0B">
              <w:rPr>
                <w:rFonts w:ascii="Times New Roman" w:hAnsi="Times New Roman"/>
                <w:sz w:val="24"/>
              </w:rPr>
              <w:t>'</w:t>
            </w:r>
            <w:r>
              <w:rPr>
                <w:rFonts w:ascii="Times New Roman" w:hAnsi="Times New Roman"/>
                <w:sz w:val="24"/>
              </w:rPr>
              <w:t>articolo</w:t>
            </w:r>
            <w:r w:rsidR="00521D0B">
              <w:rPr>
                <w:rFonts w:ascii="Times New Roman" w:hAnsi="Times New Roman"/>
                <w:sz w:val="24"/>
              </w:rPr>
              <w:t> </w:t>
            </w:r>
            <w:r>
              <w:rPr>
                <w:rFonts w:ascii="Times New Roman" w:hAnsi="Times New Roman"/>
                <w:sz w:val="24"/>
              </w:rPr>
              <w:t>242, punto 6, del regolamento (UE) n. 575/2013.</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77C87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PUNTO DI ATTACCO (ATTACHMENT POINT)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58F50FA3"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Punto di attacco (%) di cui all</w:t>
            </w:r>
            <w:r w:rsidR="00521D0B">
              <w:rPr>
                <w:rFonts w:ascii="Times New Roman" w:hAnsi="Times New Roman"/>
                <w:sz w:val="24"/>
              </w:rPr>
              <w:t>'</w:t>
            </w:r>
            <w:r>
              <w:rPr>
                <w:rFonts w:ascii="Times New Roman" w:hAnsi="Times New Roman"/>
                <w:sz w:val="24"/>
              </w:rPr>
              <w:t>articolo 256, paragrafo 1, del regolamento (UE) n. 575/2013</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0232 e 0252</w:t>
            </w:r>
          </w:p>
        </w:tc>
        <w:tc>
          <w:tcPr>
            <w:tcW w:w="7903" w:type="dxa"/>
          </w:tcPr>
          <w:p w14:paraId="161B442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00709F6" w14:textId="7045A9ED"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Classi di merito di credito (CQS) previste per gli enti che applicano il SEC</w:t>
            </w:r>
            <w:r w:rsidR="00521D0B">
              <w:rPr>
                <w:rFonts w:ascii="Times New Roman" w:hAnsi="Times New Roman"/>
                <w:sz w:val="24"/>
              </w:rPr>
              <w:noBreakHyphen/>
            </w:r>
            <w:r>
              <w:rPr>
                <w:rFonts w:ascii="Times New Roman" w:hAnsi="Times New Roman"/>
                <w:sz w:val="24"/>
              </w:rPr>
              <w:t>ERBA (tabelle 1 e 2 dell</w:t>
            </w:r>
            <w:r w:rsidR="00521D0B">
              <w:rPr>
                <w:rFonts w:ascii="Times New Roman" w:hAnsi="Times New Roman"/>
                <w:sz w:val="24"/>
              </w:rPr>
              <w:t>'</w:t>
            </w:r>
            <w:r>
              <w:rPr>
                <w:rFonts w:ascii="Times New Roman" w:hAnsi="Times New Roman"/>
                <w:sz w:val="24"/>
              </w:rPr>
              <w:t>articolo 263 e tabelle 3 e 4 dell</w:t>
            </w:r>
            <w:r w:rsidR="00521D0B">
              <w:rPr>
                <w:rFonts w:ascii="Times New Roman" w:hAnsi="Times New Roman"/>
                <w:sz w:val="24"/>
              </w:rPr>
              <w:t>'</w:t>
            </w:r>
            <w:r>
              <w:rPr>
                <w:rFonts w:ascii="Times New Roman" w:hAnsi="Times New Roman"/>
                <w:sz w:val="24"/>
              </w:rPr>
              <w:t>articolo 264 del regolamento (UE) n. 575/2013). Queste colonne sono compilate per tutte le operazioni con rating, indipendentemente dal metodo applicato.</w:t>
            </w: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0240-0242</w:t>
            </w:r>
          </w:p>
        </w:tc>
        <w:tc>
          <w:tcPr>
            <w:tcW w:w="7903" w:type="dxa"/>
          </w:tcPr>
          <w:p w14:paraId="0583902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2173DB2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IMPORTO</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3531B1A9"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L</w:t>
            </w:r>
            <w:r w:rsidR="00521D0B">
              <w:rPr>
                <w:rFonts w:ascii="Times New Roman" w:hAnsi="Times New Roman"/>
                <w:sz w:val="24"/>
              </w:rPr>
              <w:t>'</w:t>
            </w:r>
            <w:r>
              <w:rPr>
                <w:rFonts w:ascii="Times New Roman" w:hAnsi="Times New Roman"/>
                <w:sz w:val="24"/>
              </w:rPr>
              <w:t>importo da segnalare comprende:</w:t>
            </w:r>
          </w:p>
          <w:p w14:paraId="0F36FD06" w14:textId="23FA30FD"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posizioni verso la cartolarizzazione </w:t>
            </w:r>
            <w:proofErr w:type="spellStart"/>
            <w:r>
              <w:rPr>
                <w:rFonts w:ascii="Times New Roman" w:hAnsi="Times New Roman"/>
                <w:sz w:val="24"/>
              </w:rPr>
              <w:t>mezzanine</w:t>
            </w:r>
            <w:proofErr w:type="spellEnd"/>
            <w:r>
              <w:rPr>
                <w:rFonts w:ascii="Times New Roman" w:hAnsi="Times New Roman"/>
                <w:sz w:val="24"/>
              </w:rPr>
              <w:t xml:space="preserve"> ai sensi dell</w:t>
            </w:r>
            <w:r w:rsidR="00521D0B">
              <w:rPr>
                <w:rFonts w:ascii="Times New Roman" w:hAnsi="Times New Roman"/>
                <w:sz w:val="24"/>
              </w:rPr>
              <w:t>'</w:t>
            </w:r>
            <w:r>
              <w:rPr>
                <w:rFonts w:ascii="Times New Roman" w:hAnsi="Times New Roman"/>
                <w:sz w:val="24"/>
              </w:rPr>
              <w:t>articolo 242, punto 18, del regolamento (UE) n. 575/2013;</w:t>
            </w:r>
          </w:p>
          <w:p w14:paraId="4B95832E" w14:textId="49B9E671"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posizioni verso la cartolarizzazione aggiuntive che non sono definite all</w:t>
            </w:r>
            <w:r w:rsidR="00521D0B">
              <w:rPr>
                <w:rFonts w:ascii="Times New Roman" w:hAnsi="Times New Roman"/>
                <w:sz w:val="24"/>
              </w:rPr>
              <w:t>'</w:t>
            </w:r>
            <w:r>
              <w:rPr>
                <w:rFonts w:ascii="Times New Roman" w:hAnsi="Times New Roman"/>
                <w:sz w:val="24"/>
              </w:rPr>
              <w:t>articolo 242, punto 6, 17 o 18, del regolamento (UE) n. 575/2013.</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145B757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NUMERO DI SEGMENTI</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Numero di segmenti </w:t>
            </w:r>
            <w:proofErr w:type="spellStart"/>
            <w:r>
              <w:rPr>
                <w:rFonts w:ascii="Times New Roman" w:hAnsi="Times New Roman"/>
                <w:sz w:val="24"/>
              </w:rPr>
              <w:t>mezzanine</w:t>
            </w:r>
            <w:proofErr w:type="spellEnd"/>
            <w:r>
              <w:rPr>
                <w:rFonts w:ascii="Times New Roman" w:hAnsi="Times New Roman"/>
                <w:sz w:val="24"/>
              </w:rPr>
              <w:t>.</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0628888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CLASSE DI MERITO DI CREDITO DEL SEGMENTO PIÙ SUBORDINATO</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514C694C"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CQS, determinata in conformità della tabella 2 dell</w:t>
            </w:r>
            <w:r w:rsidR="00521D0B">
              <w:rPr>
                <w:rFonts w:ascii="Times New Roman" w:hAnsi="Times New Roman"/>
                <w:sz w:val="24"/>
              </w:rPr>
              <w:t>'</w:t>
            </w:r>
            <w:r>
              <w:rPr>
                <w:rFonts w:ascii="Times New Roman" w:hAnsi="Times New Roman"/>
                <w:sz w:val="24"/>
              </w:rPr>
              <w:t>articolo 263 e della tabella 3 dell</w:t>
            </w:r>
            <w:r w:rsidR="00521D0B">
              <w:rPr>
                <w:rFonts w:ascii="Times New Roman" w:hAnsi="Times New Roman"/>
                <w:sz w:val="24"/>
              </w:rPr>
              <w:t>'</w:t>
            </w:r>
            <w:r>
              <w:rPr>
                <w:rFonts w:ascii="Times New Roman" w:hAnsi="Times New Roman"/>
                <w:sz w:val="24"/>
              </w:rPr>
              <w:t xml:space="preserve">articolo 264 del regolamento (UE) n. 575/2013, del segmento </w:t>
            </w:r>
            <w:proofErr w:type="spellStart"/>
            <w:r>
              <w:rPr>
                <w:rFonts w:ascii="Times New Roman" w:hAnsi="Times New Roman"/>
                <w:sz w:val="24"/>
              </w:rPr>
              <w:t>mezzanine</w:t>
            </w:r>
            <w:proofErr w:type="spellEnd"/>
            <w:r>
              <w:rPr>
                <w:rFonts w:ascii="Times New Roman" w:hAnsi="Times New Roman"/>
                <w:sz w:val="24"/>
              </w:rPr>
              <w:t xml:space="preserve"> più subordinato.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0E67CA0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PRIME PERDITE</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75061F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IMPORTO</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21276B55"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Importo del segmento prime perdite ai sensi dell</w:t>
            </w:r>
            <w:r w:rsidR="00521D0B">
              <w:rPr>
                <w:rFonts w:ascii="Times New Roman" w:hAnsi="Times New Roman"/>
                <w:sz w:val="24"/>
              </w:rPr>
              <w:t>'</w:t>
            </w:r>
            <w:r>
              <w:rPr>
                <w:rFonts w:ascii="Times New Roman" w:hAnsi="Times New Roman"/>
                <w:sz w:val="24"/>
              </w:rPr>
              <w:t>articolo 242, punto 17, del regolamento (UE) n. 575/2013.</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6E11A40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PUNTO DI DISTACCO (DETACHMENT POINT)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322099C4"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Il punto di distacco (%) di cui all</w:t>
            </w:r>
            <w:r w:rsidR="00521D0B">
              <w:rPr>
                <w:rFonts w:ascii="Times New Roman" w:hAnsi="Times New Roman"/>
                <w:sz w:val="24"/>
              </w:rPr>
              <w:t>'</w:t>
            </w:r>
            <w:r>
              <w:rPr>
                <w:rFonts w:ascii="Times New Roman" w:hAnsi="Times New Roman"/>
                <w:sz w:val="24"/>
              </w:rPr>
              <w:t>articolo 256, paragrafo 2, del regolamento (UE) n. 575/2013</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27F68DD9" w14:textId="77777777" w:rsidR="00933ADA"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7F6C758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ECCESSO DI GARANZIA E FONDI DI RISERVA FINANZIATI</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Articolo 256, paragrafi 3 e 4, del regolamento (UE) n. 575/2013</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3602E528"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Importi delle garanzie e dei fondi di riserva finanziati che non soddisfano la definizione di </w:t>
            </w:r>
            <w:r w:rsidR="00521D0B">
              <w:rPr>
                <w:rFonts w:ascii="Times New Roman" w:hAnsi="Times New Roman"/>
                <w:sz w:val="24"/>
              </w:rPr>
              <w:t>"</w:t>
            </w:r>
            <w:r>
              <w:rPr>
                <w:rFonts w:ascii="Times New Roman" w:hAnsi="Times New Roman"/>
                <w:sz w:val="24"/>
              </w:rPr>
              <w:t>segmento</w:t>
            </w:r>
            <w:r w:rsidR="00521D0B">
              <w:rPr>
                <w:rFonts w:ascii="Times New Roman" w:hAnsi="Times New Roman"/>
                <w:sz w:val="24"/>
              </w:rPr>
              <w:t>"</w:t>
            </w:r>
            <w:r>
              <w:rPr>
                <w:rFonts w:ascii="Times New Roman" w:hAnsi="Times New Roman"/>
                <w:sz w:val="24"/>
              </w:rPr>
              <w:t xml:space="preserve"> di cui all</w:t>
            </w:r>
            <w:r w:rsidR="00521D0B">
              <w:rPr>
                <w:rFonts w:ascii="Times New Roman" w:hAnsi="Times New Roman"/>
                <w:sz w:val="24"/>
              </w:rPr>
              <w:t>'</w:t>
            </w:r>
            <w:r>
              <w:rPr>
                <w:rFonts w:ascii="Times New Roman" w:hAnsi="Times New Roman"/>
                <w:sz w:val="24"/>
              </w:rPr>
              <w:t>articolo 2, punto 6, del regolamento (UE) 2017/2402, ma considerati segmenti ai fini del calcolo dei punti di attacco e di distacco a norma dell</w:t>
            </w:r>
            <w:r w:rsidR="00521D0B">
              <w:rPr>
                <w:rFonts w:ascii="Times New Roman" w:hAnsi="Times New Roman"/>
                <w:sz w:val="24"/>
              </w:rPr>
              <w:t>'</w:t>
            </w:r>
            <w:r>
              <w:rPr>
                <w:rFonts w:ascii="Times New Roman" w:hAnsi="Times New Roman"/>
                <w:sz w:val="24"/>
              </w:rPr>
              <w:t xml:space="preserve">articolo 256, paragrafo 3, del regolamento (UE) n. 575/2013.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E56EFB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IMPORTO</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24F34C5C" w14:textId="1F833F6A"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 CUI: SCONTO SUL PREZZO D</w:t>
            </w:r>
            <w:r w:rsidR="00521D0B">
              <w:rPr>
                <w:rFonts w:ascii="Times New Roman" w:hAnsi="Times New Roman"/>
                <w:b/>
                <w:sz w:val="24"/>
                <w:u w:val="single"/>
              </w:rPr>
              <w:t>'</w:t>
            </w:r>
            <w:r>
              <w:rPr>
                <w:rFonts w:ascii="Times New Roman" w:hAnsi="Times New Roman"/>
                <w:b/>
                <w:sz w:val="24"/>
                <w:u w:val="single"/>
              </w:rPr>
              <w:t>ACQUISTO NON RIMBORSABILE</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Articolo 2, punto 31, del regolamento (UE) 2017/2402.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5B6F7D1C"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Gli enti segnalano lo sconto sul prezzo di acquisto non rimborsabile a norma dell</w:t>
            </w:r>
            <w:r w:rsidR="00521D0B">
              <w:rPr>
                <w:rFonts w:ascii="Times New Roman" w:hAnsi="Times New Roman"/>
                <w:sz w:val="24"/>
              </w:rPr>
              <w:t>'</w:t>
            </w:r>
            <w:r>
              <w:rPr>
                <w:rFonts w:ascii="Times New Roman" w:hAnsi="Times New Roman"/>
                <w:sz w:val="24"/>
              </w:rPr>
              <w:t xml:space="preserve">articolo 269 bis, paragrafo 7, del regolamento (UE) n. 575/2013 alla data di riferimento per le segnalazioni, rivisto al ribasso tenendo conto delle perdite subite, come indicato al secondo comma. Questa colonna è compilata solo se alla colonna 0040 è indicato </w:t>
            </w:r>
            <w:r w:rsidR="00521D0B">
              <w:rPr>
                <w:rFonts w:ascii="Times New Roman" w:hAnsi="Times New Roman"/>
                <w:sz w:val="24"/>
              </w:rPr>
              <w:t>"</w:t>
            </w:r>
            <w:r>
              <w:rPr>
                <w:rFonts w:ascii="Times New Roman" w:hAnsi="Times New Roman"/>
                <w:sz w:val="24"/>
              </w:rPr>
              <w:t>cartolarizzazione ammissibile di esposizioni deteriorate</w:t>
            </w:r>
            <w:r w:rsidR="00521D0B">
              <w:rPr>
                <w:rFonts w:ascii="Times New Roman" w:hAnsi="Times New Roman"/>
                <w:sz w:val="24"/>
              </w:rPr>
              <w:t>"</w:t>
            </w:r>
            <w:r>
              <w:rPr>
                <w:rFonts w:ascii="Times New Roman" w:hAnsi="Times New Roman"/>
                <w:sz w:val="24"/>
              </w:rPr>
              <w:t xml:space="preserve"> o </w:t>
            </w:r>
            <w:r w:rsidR="00521D0B">
              <w:rPr>
                <w:rFonts w:ascii="Times New Roman" w:hAnsi="Times New Roman"/>
                <w:sz w:val="24"/>
              </w:rPr>
              <w:t>"</w:t>
            </w:r>
            <w:r>
              <w:rPr>
                <w:rFonts w:ascii="Times New Roman" w:hAnsi="Times New Roman"/>
                <w:sz w:val="24"/>
              </w:rPr>
              <w:t>cartolarizzazione non ammissibile di esposizioni deteriorate</w:t>
            </w:r>
            <w:r w:rsidR="00521D0B">
              <w:rPr>
                <w:rFonts w:ascii="Times New Roman" w:hAnsi="Times New Roman"/>
                <w:sz w:val="24"/>
              </w:rPr>
              <w:t>"</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0260-0287</w:t>
            </w:r>
          </w:p>
        </w:tc>
        <w:tc>
          <w:tcPr>
            <w:tcW w:w="7903" w:type="dxa"/>
          </w:tcPr>
          <w:p w14:paraId="1886990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ELEMENTI FUORI BILANCIO E DERIVATI</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550103F3"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Questo blocco di colonne contiene informazioni riguardanti gli elementi fuori bilancio e i derivati prima dell</w:t>
            </w:r>
            <w:r w:rsidR="00521D0B">
              <w:rPr>
                <w:rFonts w:ascii="Times New Roman" w:hAnsi="Times New Roman"/>
                <w:sz w:val="24"/>
              </w:rPr>
              <w:t>'</w:t>
            </w:r>
            <w:r>
              <w:rPr>
                <w:rFonts w:ascii="Times New Roman" w:hAnsi="Times New Roman"/>
                <w:sz w:val="24"/>
              </w:rPr>
              <w:t>applicazione dei fattori di conversione, ripartiti per segmento (senior/</w:t>
            </w:r>
            <w:proofErr w:type="spellStart"/>
            <w:r>
              <w:rPr>
                <w:rFonts w:ascii="Times New Roman" w:hAnsi="Times New Roman"/>
                <w:sz w:val="24"/>
              </w:rPr>
              <w:t>mezzanine</w:t>
            </w:r>
            <w:proofErr w:type="spellEnd"/>
            <w:r>
              <w:rPr>
                <w:rFonts w:ascii="Times New Roman" w:hAnsi="Times New Roman"/>
                <w:sz w:val="24"/>
              </w:rPr>
              <w:t>/prime perdite).</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389FA1C2"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SENIOR/MEZZANINE/PRIME PERDITE</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Qui si applicano gli stessi criteri di classificazione tra i segmenti e identificazione del punto di attacco, del numero di segmenti e del punto di distacco utilizzati per gli elementi in bilancio (cfr. istruzioni nelle colonne da 0230 a 0252).</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3EC36C1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MARGINE POSITIVO SINTETICO</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Articolo 242, punto 20, articolo 248, paragrafo 1, lettera e), e articolo 256, paragrafo 6, del regolamento (UE) n. 575/2013. </w:t>
            </w:r>
          </w:p>
          <w:p w14:paraId="420993EF" w14:textId="77777777" w:rsidR="00933ADA" w:rsidRPr="00521D0B" w:rsidRDefault="00933ADA" w:rsidP="00822842">
            <w:pPr>
              <w:autoSpaceDE w:val="0"/>
              <w:autoSpaceDN w:val="0"/>
              <w:adjustRightInd w:val="0"/>
              <w:spacing w:before="0" w:after="0"/>
              <w:jc w:val="left"/>
              <w:rPr>
                <w:rFonts w:ascii="Times New Roman" w:hAnsi="Times New Roman"/>
                <w:sz w:val="24"/>
              </w:rPr>
            </w:pPr>
          </w:p>
          <w:p w14:paraId="047D18EF" w14:textId="23FA1BC2"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Questa colonna è compilata solo se alla colonna 0110 è indicato </w:t>
            </w:r>
            <w:r w:rsidR="00521D0B">
              <w:rPr>
                <w:rFonts w:ascii="Times New Roman" w:hAnsi="Times New Roman"/>
                <w:sz w:val="24"/>
              </w:rPr>
              <w:t>"</w:t>
            </w:r>
            <w:r>
              <w:rPr>
                <w:rFonts w:ascii="Times New Roman" w:hAnsi="Times New Roman"/>
                <w:sz w:val="24"/>
              </w:rPr>
              <w:t>cedente</w:t>
            </w:r>
            <w:r w:rsidR="00521D0B">
              <w:rPr>
                <w:rFonts w:ascii="Times New Roman" w:hAnsi="Times New Roman"/>
                <w:sz w:val="24"/>
              </w:rPr>
              <w:t>"</w:t>
            </w:r>
            <w:r>
              <w:rPr>
                <w:rFonts w:ascii="Times New Roman" w:hAnsi="Times New Roman"/>
                <w:sz w:val="24"/>
              </w:rPr>
              <w:t>.</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19BCBB5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SCADENZA</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53E2EC2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PRIMA DATA DI CHIUSURA PREVEDIBILE</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08DA3F80" w:rsidR="00933ADA" w:rsidRPr="002A677E" w:rsidRDefault="00933ADA" w:rsidP="00822842">
            <w:pPr>
              <w:spacing w:before="0" w:after="0"/>
              <w:jc w:val="left"/>
              <w:rPr>
                <w:rFonts w:ascii="Times New Roman" w:hAnsi="Times New Roman"/>
                <w:sz w:val="24"/>
              </w:rPr>
            </w:pPr>
            <w:r>
              <w:rPr>
                <w:rFonts w:ascii="Times New Roman" w:hAnsi="Times New Roman"/>
                <w:sz w:val="24"/>
              </w:rPr>
              <w:t>Probabile data di chiusura dell</w:t>
            </w:r>
            <w:r w:rsidR="00521D0B">
              <w:rPr>
                <w:rFonts w:ascii="Times New Roman" w:hAnsi="Times New Roman"/>
                <w:sz w:val="24"/>
              </w:rPr>
              <w:t>'</w:t>
            </w:r>
            <w:r>
              <w:rPr>
                <w:rFonts w:ascii="Times New Roman" w:hAnsi="Times New Roman"/>
                <w:sz w:val="24"/>
              </w:rPr>
              <w:t xml:space="preserve">intera cartolarizzazione, alla luce delle clausole contrattuali e delle condizioni finanziarie attualmente attese. Di norma è la data che cade per prima tra quelle indicate di seguito: </w:t>
            </w:r>
          </w:p>
          <w:p w14:paraId="35C01B68" w14:textId="77777777" w:rsidR="00933ADA" w:rsidRPr="002A677E" w:rsidRDefault="00933ADA" w:rsidP="00822842">
            <w:pPr>
              <w:spacing w:before="0" w:after="0"/>
              <w:jc w:val="left"/>
              <w:rPr>
                <w:rFonts w:ascii="Times New Roman" w:hAnsi="Times New Roman"/>
                <w:sz w:val="24"/>
              </w:rPr>
            </w:pPr>
          </w:p>
          <w:p w14:paraId="25E84331" w14:textId="73FC2893" w:rsidR="00933ADA" w:rsidRPr="002A677E" w:rsidRDefault="00933ADA" w:rsidP="00822842">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la prima data in cui può essere esercitata un</w:t>
            </w:r>
            <w:r w:rsidR="00521D0B">
              <w:rPr>
                <w:rFonts w:ascii="Times New Roman" w:hAnsi="Times New Roman"/>
                <w:sz w:val="24"/>
              </w:rPr>
              <w:t>'</w:t>
            </w:r>
            <w:r>
              <w:rPr>
                <w:rFonts w:ascii="Times New Roman" w:hAnsi="Times New Roman"/>
                <w:sz w:val="24"/>
              </w:rPr>
              <w:t xml:space="preserve">opzione </w:t>
            </w:r>
            <w:proofErr w:type="spellStart"/>
            <w:r>
              <w:rPr>
                <w:rFonts w:ascii="Times New Roman" w:hAnsi="Times New Roman"/>
                <w:sz w:val="24"/>
              </w:rPr>
              <w:t>clean</w:t>
            </w:r>
            <w:proofErr w:type="spellEnd"/>
            <w:r>
              <w:rPr>
                <w:rFonts w:ascii="Times New Roman" w:hAnsi="Times New Roman"/>
                <w:sz w:val="24"/>
              </w:rPr>
              <w:t>-up call (ai</w:t>
            </w:r>
            <w:r w:rsidR="00521D0B">
              <w:rPr>
                <w:rFonts w:ascii="Times New Roman" w:hAnsi="Times New Roman"/>
                <w:sz w:val="24"/>
              </w:rPr>
              <w:t> </w:t>
            </w:r>
            <w:r>
              <w:rPr>
                <w:rFonts w:ascii="Times New Roman" w:hAnsi="Times New Roman"/>
                <w:sz w:val="24"/>
              </w:rPr>
              <w:t>sensi dell</w:t>
            </w:r>
            <w:r w:rsidR="00521D0B">
              <w:rPr>
                <w:rFonts w:ascii="Times New Roman" w:hAnsi="Times New Roman"/>
                <w:sz w:val="24"/>
              </w:rPr>
              <w:t>'</w:t>
            </w:r>
            <w:r>
              <w:rPr>
                <w:rFonts w:ascii="Times New Roman" w:hAnsi="Times New Roman"/>
                <w:sz w:val="24"/>
              </w:rPr>
              <w:t>articolo 242, punto 1, del regolamento (UE) n. 575/2013), tenendo conto della scadenza della o delle esposizioni sottostanti e del relativo tasso atteso di rimborso anticipato o di potenziali attività di rinegoziazione;</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la prima data in cui il cedente può esercitare qualsiasi altra opzione call prevista dalle clausole contrattuali della cartolarizzazione che comporti il rimborso totale della cartolarizzazione.</w:t>
            </w:r>
          </w:p>
          <w:p w14:paraId="5EDEC913" w14:textId="77777777" w:rsidR="00933ADA" w:rsidRPr="002A677E" w:rsidRDefault="00933ADA" w:rsidP="00822842">
            <w:pPr>
              <w:spacing w:before="0" w:after="0"/>
              <w:jc w:val="left"/>
              <w:rPr>
                <w:rFonts w:ascii="Times New Roman" w:hAnsi="Times New Roman"/>
                <w:sz w:val="24"/>
              </w:rPr>
            </w:pPr>
          </w:p>
          <w:p w14:paraId="23D4B904" w14:textId="38602D9D"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Sono indicati il giorno, il mese e l</w:t>
            </w:r>
            <w:r w:rsidR="00521D0B">
              <w:rPr>
                <w:rFonts w:ascii="Times New Roman" w:hAnsi="Times New Roman"/>
                <w:sz w:val="24"/>
              </w:rPr>
              <w:t>'</w:t>
            </w:r>
            <w:r>
              <w:rPr>
                <w:rFonts w:ascii="Times New Roman" w:hAnsi="Times New Roman"/>
                <w:sz w:val="24"/>
              </w:rPr>
              <w:t>anno della prima data di chiusura prevista.</w:t>
            </w:r>
            <w:r>
              <w:rPr>
                <w:rFonts w:ascii="Times New Roman" w:hAnsi="Times New Roman"/>
              </w:rPr>
              <w:t xml:space="preserve"> </w:t>
            </w:r>
            <w:r>
              <w:rPr>
                <w:rFonts w:ascii="Times New Roman" w:hAnsi="Times New Roman"/>
                <w:sz w:val="24"/>
              </w:rPr>
              <w:t>Se</w:t>
            </w:r>
            <w:r w:rsidR="00521D0B">
              <w:rPr>
                <w:rFonts w:ascii="Times New Roman" w:hAnsi="Times New Roman"/>
                <w:sz w:val="24"/>
              </w:rPr>
              <w:t> </w:t>
            </w:r>
            <w:r>
              <w:rPr>
                <w:rFonts w:ascii="Times New Roman" w:hAnsi="Times New Roman"/>
                <w:sz w:val="24"/>
              </w:rPr>
              <w:t>disponibile è indicata la data esatta, altrimenti è indicato il primo giorno del mese.</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521D0B">
            <w:pPr>
              <w:keepNext/>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E5A1017" w14:textId="3478C286" w:rsidR="00933ADA" w:rsidRPr="002A677E" w:rsidRDefault="00933ADA" w:rsidP="00521D0B">
            <w:pPr>
              <w:keepNext/>
              <w:spacing w:before="0" w:after="0"/>
              <w:jc w:val="left"/>
              <w:rPr>
                <w:rFonts w:ascii="Times New Roman" w:hAnsi="Times New Roman"/>
                <w:b/>
                <w:sz w:val="24"/>
                <w:u w:val="single"/>
              </w:rPr>
            </w:pPr>
            <w:r>
              <w:rPr>
                <w:rFonts w:ascii="Times New Roman" w:hAnsi="Times New Roman"/>
                <w:b/>
                <w:sz w:val="24"/>
                <w:u w:val="single"/>
              </w:rPr>
              <w:t>OPZIONI CALL DEL CEDENTE INCLUSE NELL</w:t>
            </w:r>
            <w:r w:rsidR="00521D0B">
              <w:rPr>
                <w:rFonts w:ascii="Times New Roman" w:hAnsi="Times New Roman"/>
                <w:b/>
                <w:sz w:val="24"/>
                <w:u w:val="single"/>
              </w:rPr>
              <w:t>'</w:t>
            </w:r>
            <w:r>
              <w:rPr>
                <w:rFonts w:ascii="Times New Roman" w:hAnsi="Times New Roman"/>
                <w:b/>
                <w:sz w:val="24"/>
                <w:u w:val="single"/>
              </w:rPr>
              <w:t>OPERAZIONE</w:t>
            </w:r>
          </w:p>
          <w:p w14:paraId="30280950" w14:textId="77777777" w:rsidR="00933ADA" w:rsidRPr="002A677E" w:rsidRDefault="00933ADA" w:rsidP="00521D0B">
            <w:pPr>
              <w:keepNext/>
              <w:spacing w:before="0" w:after="0"/>
              <w:jc w:val="left"/>
              <w:rPr>
                <w:rFonts w:ascii="Times New Roman" w:hAnsi="Times New Roman"/>
                <w:b/>
                <w:sz w:val="24"/>
                <w:u w:val="single"/>
              </w:rPr>
            </w:pPr>
          </w:p>
          <w:p w14:paraId="0AFA1C6E" w14:textId="77777777" w:rsidR="00933ADA" w:rsidRPr="002A677E" w:rsidRDefault="00933ADA" w:rsidP="00521D0B">
            <w:pPr>
              <w:keepNext/>
              <w:spacing w:before="0" w:after="0"/>
              <w:jc w:val="left"/>
              <w:rPr>
                <w:rFonts w:ascii="Times New Roman" w:hAnsi="Times New Roman"/>
                <w:sz w:val="24"/>
              </w:rPr>
            </w:pPr>
            <w:r>
              <w:rPr>
                <w:rFonts w:ascii="Times New Roman" w:hAnsi="Times New Roman"/>
                <w:sz w:val="24"/>
              </w:rPr>
              <w:t>Tipo di call pertinente per la prima data di chiusura prevista:</w:t>
            </w:r>
          </w:p>
          <w:p w14:paraId="38215DAF" w14:textId="6FAC7C8C" w:rsidR="00933ADA" w:rsidRPr="002A677E" w:rsidRDefault="00933ADA" w:rsidP="00521D0B">
            <w:pPr>
              <w:pStyle w:val="ListParagraph"/>
              <w:keepNext/>
              <w:numPr>
                <w:ilvl w:val="0"/>
                <w:numId w:val="20"/>
              </w:numPr>
              <w:spacing w:before="0" w:after="0"/>
              <w:jc w:val="left"/>
              <w:rPr>
                <w:rFonts w:ascii="Times New Roman" w:hAnsi="Times New Roman"/>
                <w:sz w:val="24"/>
              </w:rPr>
            </w:pPr>
            <w:r>
              <w:rPr>
                <w:rFonts w:ascii="Times New Roman" w:hAnsi="Times New Roman"/>
                <w:sz w:val="24"/>
              </w:rPr>
              <w:t xml:space="preserve">opzione </w:t>
            </w:r>
            <w:proofErr w:type="spellStart"/>
            <w:r>
              <w:rPr>
                <w:rFonts w:ascii="Times New Roman" w:hAnsi="Times New Roman"/>
                <w:sz w:val="24"/>
              </w:rPr>
              <w:t>clean</w:t>
            </w:r>
            <w:proofErr w:type="spellEnd"/>
            <w:r>
              <w:rPr>
                <w:rFonts w:ascii="Times New Roman" w:hAnsi="Times New Roman"/>
                <w:sz w:val="24"/>
              </w:rPr>
              <w:t>-up call che soddisfa i requisiti dell</w:t>
            </w:r>
            <w:r w:rsidR="00521D0B">
              <w:rPr>
                <w:rFonts w:ascii="Times New Roman" w:hAnsi="Times New Roman"/>
                <w:sz w:val="24"/>
              </w:rPr>
              <w:t>'</w:t>
            </w:r>
            <w:r>
              <w:rPr>
                <w:rFonts w:ascii="Times New Roman" w:hAnsi="Times New Roman"/>
                <w:sz w:val="24"/>
              </w:rPr>
              <w:t>articolo 244, paragrafo 4, lettera g), del regolamento (UE) n. 575/2013;</w:t>
            </w:r>
          </w:p>
          <w:p w14:paraId="7313E57A" w14:textId="77777777" w:rsidR="00933ADA" w:rsidRPr="00521D0B" w:rsidRDefault="00933ADA" w:rsidP="00521D0B">
            <w:pPr>
              <w:pStyle w:val="ListParagraph"/>
              <w:keepNext/>
              <w:numPr>
                <w:ilvl w:val="0"/>
                <w:numId w:val="20"/>
              </w:numPr>
              <w:spacing w:before="0" w:after="0"/>
              <w:jc w:val="left"/>
              <w:rPr>
                <w:rFonts w:ascii="Times New Roman" w:hAnsi="Times New Roman"/>
                <w:sz w:val="24"/>
                <w:lang w:val="en-IE"/>
              </w:rPr>
            </w:pPr>
            <w:proofErr w:type="spellStart"/>
            <w:r w:rsidRPr="00521D0B">
              <w:rPr>
                <w:rFonts w:ascii="Times New Roman" w:hAnsi="Times New Roman"/>
                <w:sz w:val="24"/>
                <w:lang w:val="en-IE"/>
              </w:rPr>
              <w:t>altra</w:t>
            </w:r>
            <w:proofErr w:type="spellEnd"/>
            <w:r w:rsidRPr="00521D0B">
              <w:rPr>
                <w:rFonts w:ascii="Times New Roman" w:hAnsi="Times New Roman"/>
                <w:sz w:val="24"/>
                <w:lang w:val="en-IE"/>
              </w:rPr>
              <w:t xml:space="preserve"> </w:t>
            </w:r>
            <w:proofErr w:type="spellStart"/>
            <w:r w:rsidRPr="00521D0B">
              <w:rPr>
                <w:rFonts w:ascii="Times New Roman" w:hAnsi="Times New Roman"/>
                <w:sz w:val="24"/>
                <w:lang w:val="en-IE"/>
              </w:rPr>
              <w:t>opzione</w:t>
            </w:r>
            <w:proofErr w:type="spellEnd"/>
            <w:r w:rsidRPr="00521D0B">
              <w:rPr>
                <w:rFonts w:ascii="Times New Roman" w:hAnsi="Times New Roman"/>
                <w:sz w:val="24"/>
                <w:lang w:val="en-IE"/>
              </w:rPr>
              <w:t xml:space="preserve"> clean-up </w:t>
            </w:r>
            <w:proofErr w:type="gramStart"/>
            <w:r w:rsidRPr="00521D0B">
              <w:rPr>
                <w:rFonts w:ascii="Times New Roman" w:hAnsi="Times New Roman"/>
                <w:sz w:val="24"/>
                <w:lang w:val="en-IE"/>
              </w:rPr>
              <w:t>call;</w:t>
            </w:r>
            <w:proofErr w:type="gramEnd"/>
          </w:p>
          <w:p w14:paraId="5D577088" w14:textId="77777777" w:rsidR="00933ADA" w:rsidRPr="002A677E" w:rsidRDefault="00933ADA" w:rsidP="00521D0B">
            <w:pPr>
              <w:pStyle w:val="ListParagraph"/>
              <w:keepNext/>
              <w:numPr>
                <w:ilvl w:val="0"/>
                <w:numId w:val="20"/>
              </w:numPr>
              <w:spacing w:before="0" w:after="0"/>
              <w:jc w:val="left"/>
              <w:rPr>
                <w:rFonts w:ascii="Times New Roman" w:hAnsi="Times New Roman"/>
                <w:sz w:val="24"/>
              </w:rPr>
            </w:pPr>
            <w:r>
              <w:rPr>
                <w:rFonts w:ascii="Times New Roman" w:hAnsi="Times New Roman"/>
                <w:sz w:val="24"/>
              </w:rPr>
              <w:t>altro tipo di opzione call.</w:t>
            </w:r>
          </w:p>
          <w:p w14:paraId="7E84EAF1" w14:textId="77777777" w:rsidR="00933ADA" w:rsidRPr="002A677E" w:rsidRDefault="00933ADA" w:rsidP="00521D0B">
            <w:pPr>
              <w:keepNext/>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72508AC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DATA DI SCADENZA FINALE LEGALE</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0C075E1C" w:rsidR="00933ADA" w:rsidRPr="002A677E" w:rsidRDefault="00933ADA" w:rsidP="00822842">
            <w:pPr>
              <w:spacing w:before="0" w:after="0"/>
              <w:jc w:val="left"/>
              <w:rPr>
                <w:rFonts w:ascii="Times New Roman" w:hAnsi="Times New Roman"/>
                <w:sz w:val="24"/>
              </w:rPr>
            </w:pPr>
            <w:r>
              <w:rPr>
                <w:rFonts w:ascii="Times New Roman" w:hAnsi="Times New Roman"/>
                <w:sz w:val="24"/>
              </w:rPr>
              <w:t>Data in cui tutto il capitale e gli interessi della cartolarizzazione devono essere restituiti per legge (sulla base dei documenti dell</w:t>
            </w:r>
            <w:r w:rsidR="00521D0B">
              <w:rPr>
                <w:rFonts w:ascii="Times New Roman" w:hAnsi="Times New Roman"/>
                <w:sz w:val="24"/>
              </w:rPr>
              <w:t>'</w:t>
            </w:r>
            <w:r>
              <w:rPr>
                <w:rFonts w:ascii="Times New Roman" w:hAnsi="Times New Roman"/>
                <w:sz w:val="24"/>
              </w:rPr>
              <w:t>operazione).</w:t>
            </w:r>
          </w:p>
          <w:p w14:paraId="129DBF64" w14:textId="77777777" w:rsidR="00933ADA" w:rsidRPr="002A677E" w:rsidRDefault="00933ADA" w:rsidP="00822842">
            <w:pPr>
              <w:spacing w:before="0" w:after="0"/>
              <w:jc w:val="left"/>
              <w:rPr>
                <w:rFonts w:ascii="Times New Roman" w:hAnsi="Times New Roman"/>
                <w:sz w:val="24"/>
              </w:rPr>
            </w:pPr>
          </w:p>
          <w:p w14:paraId="48C42696" w14:textId="79DCA9CA"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Sono indicati il giorno, il mese e l</w:t>
            </w:r>
            <w:r w:rsidR="00521D0B">
              <w:rPr>
                <w:rFonts w:ascii="Times New Roman" w:hAnsi="Times New Roman"/>
                <w:sz w:val="24"/>
              </w:rPr>
              <w:t>'</w:t>
            </w:r>
            <w:r>
              <w:rPr>
                <w:rFonts w:ascii="Times New Roman" w:hAnsi="Times New Roman"/>
                <w:sz w:val="24"/>
              </w:rPr>
              <w:t>anno della data di scadenza finale legale.</w:t>
            </w:r>
            <w:r>
              <w:rPr>
                <w:rFonts w:ascii="Times New Roman" w:hAnsi="Times New Roman"/>
              </w:rPr>
              <w:t xml:space="preserve"> </w:t>
            </w:r>
            <w:r>
              <w:rPr>
                <w:rFonts w:ascii="Times New Roman" w:hAnsi="Times New Roman"/>
                <w:sz w:val="24"/>
              </w:rPr>
              <w:t>Se</w:t>
            </w:r>
            <w:r w:rsidR="00521D0B">
              <w:rPr>
                <w:rFonts w:ascii="Times New Roman" w:hAnsi="Times New Roman"/>
                <w:sz w:val="24"/>
              </w:rPr>
              <w:t> </w:t>
            </w:r>
            <w:r>
              <w:rPr>
                <w:rFonts w:ascii="Times New Roman" w:hAnsi="Times New Roman"/>
                <w:sz w:val="24"/>
              </w:rPr>
              <w:t>disponibile è indicata la data esatta, altrimenti è indicato il primo giorno del mese.</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1630F4F7"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VOCI PER MEMORIA </w:t>
            </w:r>
          </w:p>
          <w:p w14:paraId="5E1A6732" w14:textId="77777777" w:rsidR="0096263E" w:rsidRDefault="0096263E" w:rsidP="00822842">
            <w:pPr>
              <w:spacing w:before="0" w:after="0"/>
              <w:jc w:val="left"/>
              <w:rPr>
                <w:rFonts w:ascii="Times New Roman" w:hAnsi="Times New Roman"/>
                <w:b/>
                <w:sz w:val="24"/>
                <w:u w:val="single"/>
              </w:rPr>
            </w:pPr>
          </w:p>
          <w:p w14:paraId="5296A44B" w14:textId="77777777" w:rsidR="0096263E" w:rsidRPr="002A677E" w:rsidRDefault="0096263E" w:rsidP="00822842">
            <w:pPr>
              <w:spacing w:before="0" w:after="0"/>
              <w:jc w:val="left"/>
              <w:rPr>
                <w:rFonts w:ascii="Times New Roman" w:hAnsi="Times New Roman"/>
                <w:b/>
                <w:sz w:val="24"/>
                <w:u w:val="single"/>
              </w:rPr>
            </w:pP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0F44080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PUNTO DI ATTACCO (ATTACHMENT POINT) DEL RISCHIO CEDUTO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I cedenti, e soltanto loro, segnalano il punto di attacco del segmento più subordinato ceduto a terzi, per le cartolarizzazioni tradizionali, o protetto da terzi, per le cartolarizzazioni sintetiche.</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6EC7E0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PUNTO DI DISTACCO (DETACHMENT POINT) DEL RISCHIO CEDUTO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 cedenti, e soltanto loro, segnalano il punto di distacco del segmento più senior ceduto a terzi, per le cartolarizzazioni tradizionali, o protetto da terzi, per le cartolarizzazioni sintetiche.</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583BCC35" w14:textId="10E61349"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TRASFERIMENTO DEL RISCHIO CHIESTO DALL</w:t>
            </w:r>
            <w:r w:rsidR="00521D0B">
              <w:rPr>
                <w:rFonts w:ascii="Times New Roman" w:hAnsi="Times New Roman"/>
                <w:b/>
                <w:sz w:val="24"/>
                <w:u w:val="single"/>
              </w:rPr>
              <w:t>'</w:t>
            </w:r>
            <w:r>
              <w:rPr>
                <w:rFonts w:ascii="Times New Roman" w:hAnsi="Times New Roman"/>
                <w:b/>
                <w:sz w:val="24"/>
                <w:u w:val="single"/>
              </w:rPr>
              <w:t>ENTE CEDENTE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I cedenti, e soltanto loro, segnalano la perdita attesa (EL) più la perdita inattesa (UL) delle attività cartolarizzate trasferite a terzi in percentuale del totale della EL più la UL. Sono segnalate la EL e la UL delle esposizioni sottostanti, che sono poi assegnate tramite la cascata di cartolarizzazione ai rispettivi segmenti della cartolarizzazione. Per le banche che applicano lo SA, la EL è la rettifica di valore su crediti specifica delle attività cartolarizzate e la UL è il requisito patrimoniale delle esposizioni cartolarizzate.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6263E">
      <w:pPr>
        <w:pStyle w:val="Instructionsberschrift2"/>
        <w:numPr>
          <w:ilvl w:val="0"/>
          <w:numId w:val="0"/>
        </w:numPr>
        <w:ind w:left="357" w:hanging="357"/>
        <w:rPr>
          <w:rFonts w:ascii="Times New Roman" w:hAnsi="Times New Roman" w:cs="Times New Roman"/>
          <w:sz w:val="24"/>
        </w:rPr>
      </w:pPr>
      <w:bookmarkStart w:id="20" w:name="_Toc522019895"/>
      <w:bookmarkStart w:id="21" w:name="_Toc151714440"/>
      <w:r>
        <w:rPr>
          <w:rFonts w:ascii="Times New Roman" w:hAnsi="Times New Roman"/>
          <w:sz w:val="24"/>
          <w:u w:val="none"/>
        </w:rPr>
        <w:lastRenderedPageBreak/>
        <w:t>3.8.4.</w:t>
      </w:r>
      <w:r w:rsidRPr="00521D0B">
        <w:rPr>
          <w:u w:val="none"/>
        </w:rPr>
        <w:tab/>
      </w:r>
      <w:r>
        <w:rPr>
          <w:rFonts w:ascii="Times New Roman" w:hAnsi="Times New Roman"/>
          <w:sz w:val="24"/>
        </w:rPr>
        <w:t>C 14.01 – Informazioni dettagliate sulle cartolarizzazioni (SEC DETAILS 2)</w:t>
      </w:r>
      <w:bookmarkEnd w:id="20"/>
      <w:bookmarkEnd w:id="21"/>
    </w:p>
    <w:bookmarkStart w:id="22" w:name="_Toc522019896"/>
    <w:p w14:paraId="6C77927B" w14:textId="40709025" w:rsidR="00933ADA" w:rsidRPr="002A677E" w:rsidRDefault="00933ADA" w:rsidP="0096263E">
      <w:pPr>
        <w:pStyle w:val="InstructionsText2"/>
        <w:keepNext/>
        <w:numPr>
          <w:ilvl w:val="0"/>
          <w:numId w:val="0"/>
        </w:numPr>
        <w:ind w:left="993"/>
      </w:pPr>
      <w:r>
        <w:fldChar w:fldCharType="begin"/>
      </w:r>
      <w:r>
        <w:instrText xml:space="preserve"> seq paragraphs </w:instrText>
      </w:r>
      <w:r>
        <w:fldChar w:fldCharType="separate"/>
      </w:r>
      <w:r>
        <w:t>118</w:t>
      </w:r>
      <w:r>
        <w:fldChar w:fldCharType="end"/>
      </w:r>
      <w:r>
        <w:t>. Il modello SEC DETAILS 2 è compilato separatamente per i seguenti metodi:</w:t>
      </w:r>
    </w:p>
    <w:p w14:paraId="423B77E9" w14:textId="77777777" w:rsidR="00933ADA" w:rsidRPr="00B44FD0" w:rsidRDefault="00933ADA" w:rsidP="00933ADA">
      <w:pPr>
        <w:pStyle w:val="InstructionsText2"/>
        <w:numPr>
          <w:ilvl w:val="0"/>
          <w:numId w:val="0"/>
        </w:numPr>
        <w:ind w:left="993"/>
      </w:pPr>
      <w:r>
        <w:t>1) SEC-IRBA;</w:t>
      </w:r>
    </w:p>
    <w:p w14:paraId="7E740FF7" w14:textId="77777777" w:rsidR="00933ADA" w:rsidRPr="00B44FD0" w:rsidRDefault="00933ADA" w:rsidP="00933ADA">
      <w:pPr>
        <w:pStyle w:val="InstructionsText2"/>
        <w:numPr>
          <w:ilvl w:val="0"/>
          <w:numId w:val="0"/>
        </w:numPr>
        <w:ind w:left="993"/>
      </w:pPr>
      <w:r>
        <w:t>2) SEC-SA;</w:t>
      </w:r>
    </w:p>
    <w:p w14:paraId="45956D44" w14:textId="77777777" w:rsidR="00933ADA" w:rsidRPr="00B44FD0" w:rsidRDefault="00933ADA" w:rsidP="00933ADA">
      <w:pPr>
        <w:pStyle w:val="InstructionsText2"/>
        <w:numPr>
          <w:ilvl w:val="0"/>
          <w:numId w:val="0"/>
        </w:numPr>
        <w:ind w:left="993"/>
      </w:pPr>
      <w:r>
        <w:t>3) SEC-ERBA;</w:t>
      </w:r>
    </w:p>
    <w:p w14:paraId="108DB155" w14:textId="0256A9C6" w:rsidR="00933ADA" w:rsidRDefault="00933ADA" w:rsidP="00521D0B">
      <w:pPr>
        <w:pStyle w:val="InstructionsText2"/>
        <w:numPr>
          <w:ilvl w:val="0"/>
          <w:numId w:val="0"/>
        </w:numPr>
        <w:ind w:left="993"/>
      </w:pPr>
      <w:r>
        <w:t>4) 1</w:t>
      </w:r>
      <w:r w:rsidR="00521D0B">
        <w:t> </w:t>
      </w:r>
      <w:r>
        <w:t>250</w:t>
      </w:r>
      <w:r w:rsidR="00521D0B">
        <w:t> </w:t>
      </w:r>
      <w:r>
        <w:t>%;</w:t>
      </w:r>
    </w:p>
    <w:p w14:paraId="26D8C560" w14:textId="77777777" w:rsidR="00933ADA" w:rsidRDefault="00933ADA" w:rsidP="00933ADA">
      <w:pPr>
        <w:pStyle w:val="InstructionsText2"/>
        <w:numPr>
          <w:ilvl w:val="0"/>
          <w:numId w:val="0"/>
        </w:numPr>
        <w:ind w:left="993"/>
      </w:pPr>
      <w:r>
        <w:t>5) metodo della valutazione interna;</w:t>
      </w:r>
    </w:p>
    <w:p w14:paraId="6518AFE4" w14:textId="77777777" w:rsidR="00933ADA" w:rsidRPr="002A677E" w:rsidRDefault="00933ADA" w:rsidP="00933ADA">
      <w:pPr>
        <w:pStyle w:val="InstructionsText2"/>
        <w:numPr>
          <w:ilvl w:val="0"/>
          <w:numId w:val="0"/>
        </w:numPr>
        <w:ind w:left="993"/>
      </w:pPr>
      <w:r>
        <w:t>6) trattamento specifico per i segmenti senior delle cartolarizzazioni di esposizioni deteriorate ammissibili.</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Colonne</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0F8061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CODICE INTERNO</w:t>
            </w:r>
          </w:p>
          <w:p w14:paraId="4B368664" w14:textId="77777777" w:rsidR="00933ADA" w:rsidRPr="002A677E" w:rsidRDefault="00933ADA" w:rsidP="00822842">
            <w:pPr>
              <w:spacing w:before="0" w:after="0"/>
              <w:jc w:val="left"/>
              <w:rPr>
                <w:rFonts w:ascii="Times New Roman" w:hAnsi="Times New Roman"/>
                <w:sz w:val="24"/>
              </w:rPr>
            </w:pPr>
          </w:p>
          <w:p w14:paraId="05CE8BE3" w14:textId="2CC198EE"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Codice interno (alfanumerico) utilizzato dall</w:t>
            </w:r>
            <w:r w:rsidR="00521D0B">
              <w:rPr>
                <w:rFonts w:ascii="Times New Roman" w:hAnsi="Times New Roman"/>
                <w:sz w:val="24"/>
              </w:rPr>
              <w:t>'</w:t>
            </w:r>
            <w:r>
              <w:rPr>
                <w:rFonts w:ascii="Times New Roman" w:hAnsi="Times New Roman"/>
                <w:sz w:val="24"/>
              </w:rPr>
              <w:t>ente per identificare la cartolarizzazione. Il codice interno è associato all</w:t>
            </w:r>
            <w:r w:rsidR="00521D0B">
              <w:rPr>
                <w:rFonts w:ascii="Times New Roman" w:hAnsi="Times New Roman"/>
                <w:sz w:val="24"/>
              </w:rPr>
              <w:t>'</w:t>
            </w:r>
            <w:r>
              <w:rPr>
                <w:rFonts w:ascii="Times New Roman" w:hAnsi="Times New Roman"/>
                <w:sz w:val="24"/>
              </w:rPr>
              <w:t>identificativo dell</w:t>
            </w:r>
            <w:r w:rsidR="00521D0B">
              <w:rPr>
                <w:rFonts w:ascii="Times New Roman" w:hAnsi="Times New Roman"/>
                <w:sz w:val="24"/>
              </w:rPr>
              <w:t>'</w:t>
            </w:r>
            <w:r>
              <w:rPr>
                <w:rFonts w:ascii="Times New Roman" w:hAnsi="Times New Roman"/>
                <w:sz w:val="24"/>
              </w:rPr>
              <w:t>operazione di cartolarizzazione.</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42B229CF"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IDENTIFICATIVO UNICO</w:t>
            </w:r>
          </w:p>
          <w:p w14:paraId="47FAD02D" w14:textId="77777777" w:rsidR="00933ADA" w:rsidRDefault="00933ADA" w:rsidP="00822842">
            <w:pPr>
              <w:spacing w:before="0" w:after="0"/>
              <w:jc w:val="left"/>
              <w:rPr>
                <w:rFonts w:ascii="Times New Roman" w:hAnsi="Times New Roman"/>
                <w:b/>
                <w:sz w:val="24"/>
                <w:u w:val="single"/>
              </w:rPr>
            </w:pPr>
          </w:p>
          <w:p w14:paraId="7C11305A" w14:textId="650D01B6" w:rsidR="00933ADA" w:rsidRDefault="00933ADA" w:rsidP="00822842">
            <w:pPr>
              <w:spacing w:before="0" w:after="0"/>
              <w:jc w:val="left"/>
              <w:rPr>
                <w:rFonts w:ascii="Times New Roman" w:hAnsi="Times New Roman"/>
                <w:sz w:val="24"/>
              </w:rPr>
            </w:pPr>
            <w:r>
              <w:rPr>
                <w:rFonts w:ascii="Times New Roman" w:hAnsi="Times New Roman"/>
                <w:sz w:val="24"/>
              </w:rPr>
              <w:t>Per le cartolarizzazioni emesse a partire dal 1º gennaio 2019, gli enti segnalano l</w:t>
            </w:r>
            <w:r w:rsidR="00521D0B">
              <w:rPr>
                <w:rFonts w:ascii="Times New Roman" w:hAnsi="Times New Roman"/>
                <w:sz w:val="24"/>
              </w:rPr>
              <w:t>'</w:t>
            </w:r>
            <w:r>
              <w:rPr>
                <w:rFonts w:ascii="Times New Roman" w:hAnsi="Times New Roman"/>
                <w:sz w:val="24"/>
              </w:rPr>
              <w:t>identificativo unico di cui all</w:t>
            </w:r>
            <w:r w:rsidR="00521D0B">
              <w:rPr>
                <w:rFonts w:ascii="Times New Roman" w:hAnsi="Times New Roman"/>
                <w:sz w:val="24"/>
              </w:rPr>
              <w:t>'</w:t>
            </w:r>
            <w:r>
              <w:rPr>
                <w:rFonts w:ascii="Times New Roman" w:hAnsi="Times New Roman"/>
                <w:sz w:val="24"/>
              </w:rPr>
              <w:t>articolo 11, paragrafo 1, del regolamento delegato (UE) 2020/1224 della Commissione.</w:t>
            </w:r>
          </w:p>
          <w:p w14:paraId="539970B2" w14:textId="370AE113" w:rsidR="003A06D5" w:rsidRPr="003A06D5" w:rsidRDefault="003A06D5" w:rsidP="00822842">
            <w:pPr>
              <w:spacing w:before="0" w:after="0"/>
              <w:jc w:val="left"/>
              <w:rPr>
                <w:rFonts w:ascii="Times New Roman" w:hAnsi="Times New Roman"/>
                <w:sz w:val="24"/>
              </w:rPr>
            </w:pPr>
            <w:r>
              <w:rPr>
                <w:rFonts w:ascii="Times New Roman" w:hAnsi="Times New Roman"/>
                <w:sz w:val="24"/>
              </w:rPr>
              <w:t>L</w:t>
            </w:r>
            <w:r w:rsidR="00521D0B">
              <w:rPr>
                <w:rFonts w:ascii="Times New Roman" w:hAnsi="Times New Roman"/>
                <w:sz w:val="24"/>
              </w:rPr>
              <w:t>'</w:t>
            </w:r>
            <w:r>
              <w:rPr>
                <w:rFonts w:ascii="Times New Roman" w:hAnsi="Times New Roman"/>
                <w:sz w:val="24"/>
              </w:rPr>
              <w:t>identificativo unico è segnalato sia per le posizioni del cedente/promotore sia per le posizioni degli investitori e non dovrebbe cambiare a seconda del livello della segnalazione (consolidato rispetto ai sottogruppi). Ai sensi dell</w:t>
            </w:r>
            <w:r w:rsidR="00521D0B">
              <w:rPr>
                <w:rFonts w:ascii="Times New Roman" w:hAnsi="Times New Roman"/>
                <w:sz w:val="24"/>
              </w:rPr>
              <w:t>'</w:t>
            </w:r>
            <w:r>
              <w:rPr>
                <w:rFonts w:ascii="Times New Roman" w:hAnsi="Times New Roman"/>
                <w:sz w:val="24"/>
              </w:rPr>
              <w:t>articolo</w:t>
            </w:r>
            <w:r w:rsidR="00521D0B">
              <w:rPr>
                <w:rFonts w:ascii="Times New Roman" w:hAnsi="Times New Roman"/>
                <w:sz w:val="24"/>
              </w:rPr>
              <w:t> </w:t>
            </w:r>
            <w:r>
              <w:rPr>
                <w:rFonts w:ascii="Times New Roman" w:hAnsi="Times New Roman"/>
                <w:sz w:val="24"/>
              </w:rPr>
              <w:t>11, paragrafo 1, lettera a), e dell</w:t>
            </w:r>
            <w:r w:rsidR="00521D0B">
              <w:rPr>
                <w:rFonts w:ascii="Times New Roman" w:hAnsi="Times New Roman"/>
                <w:sz w:val="24"/>
              </w:rPr>
              <w:t>'</w:t>
            </w:r>
            <w:r>
              <w:rPr>
                <w:rFonts w:ascii="Times New Roman" w:hAnsi="Times New Roman"/>
                <w:sz w:val="24"/>
              </w:rPr>
              <w:t>articolo 11, paragrafo 2, lettera a), il LEI (primo elemento dell</w:t>
            </w:r>
            <w:r w:rsidR="00521D0B">
              <w:rPr>
                <w:rFonts w:ascii="Times New Roman" w:hAnsi="Times New Roman"/>
                <w:sz w:val="24"/>
              </w:rPr>
              <w:t>'</w:t>
            </w:r>
            <w:r>
              <w:rPr>
                <w:rFonts w:ascii="Times New Roman" w:hAnsi="Times New Roman"/>
                <w:sz w:val="24"/>
              </w:rPr>
              <w:t xml:space="preserve">identificativo unico) è rigorosamente definito come quello del </w:t>
            </w:r>
            <w:r w:rsidR="00521D0B">
              <w:rPr>
                <w:rFonts w:ascii="Times New Roman" w:hAnsi="Times New Roman"/>
                <w:sz w:val="24"/>
              </w:rPr>
              <w:t>"</w:t>
            </w:r>
            <w:r>
              <w:rPr>
                <w:rFonts w:ascii="Times New Roman" w:hAnsi="Times New Roman"/>
                <w:sz w:val="24"/>
              </w:rPr>
              <w:t>soggetto segnalante</w:t>
            </w:r>
            <w:r w:rsidR="00521D0B">
              <w:rPr>
                <w:rFonts w:ascii="Times New Roman" w:hAnsi="Times New Roman"/>
                <w:sz w:val="24"/>
              </w:rPr>
              <w:t>"</w:t>
            </w:r>
            <w:r>
              <w:rPr>
                <w:rFonts w:ascii="Times New Roman" w:hAnsi="Times New Roman"/>
                <w:sz w:val="24"/>
              </w:rPr>
              <w:t xml:space="preserve"> quale definito all</w:t>
            </w:r>
            <w:r w:rsidR="00521D0B">
              <w:rPr>
                <w:rFonts w:ascii="Times New Roman" w:hAnsi="Times New Roman"/>
                <w:sz w:val="24"/>
              </w:rPr>
              <w:t>'</w:t>
            </w:r>
            <w:r>
              <w:rPr>
                <w:rFonts w:ascii="Times New Roman" w:hAnsi="Times New Roman"/>
                <w:sz w:val="24"/>
              </w:rPr>
              <w:t>articolo 7, paragrafo 2, del regolamento (UE) 2017/2402. In alcuni casi l</w:t>
            </w:r>
            <w:r w:rsidR="00521D0B">
              <w:rPr>
                <w:rFonts w:ascii="Times New Roman" w:hAnsi="Times New Roman"/>
                <w:sz w:val="24"/>
              </w:rPr>
              <w:t>'</w:t>
            </w:r>
            <w:r>
              <w:rPr>
                <w:rFonts w:ascii="Times New Roman" w:hAnsi="Times New Roman"/>
                <w:sz w:val="24"/>
              </w:rPr>
              <w:t xml:space="preserve">ente che effettua la segnalazione dei modelli COREP e il </w:t>
            </w:r>
            <w:r w:rsidR="00521D0B">
              <w:rPr>
                <w:rFonts w:ascii="Times New Roman" w:hAnsi="Times New Roman"/>
                <w:sz w:val="24"/>
              </w:rPr>
              <w:t>"</w:t>
            </w:r>
            <w:r>
              <w:rPr>
                <w:rFonts w:ascii="Times New Roman" w:hAnsi="Times New Roman"/>
                <w:sz w:val="24"/>
              </w:rPr>
              <w:t>soggetto segnalante</w:t>
            </w:r>
            <w:r w:rsidR="00521D0B">
              <w:rPr>
                <w:rFonts w:ascii="Times New Roman" w:hAnsi="Times New Roman"/>
                <w:sz w:val="24"/>
              </w:rPr>
              <w:t>"</w:t>
            </w:r>
            <w:r>
              <w:rPr>
                <w:rFonts w:ascii="Times New Roman" w:hAnsi="Times New Roman"/>
                <w:sz w:val="24"/>
              </w:rPr>
              <w:t xml:space="preserve"> (ad esempio se si tratta del cedente o del promotore), in alcuni casi no. Ai sensi dell</w:t>
            </w:r>
            <w:r w:rsidR="00521D0B">
              <w:rPr>
                <w:rFonts w:ascii="Times New Roman" w:hAnsi="Times New Roman"/>
                <w:sz w:val="24"/>
              </w:rPr>
              <w:t>'</w:t>
            </w:r>
            <w:r>
              <w:rPr>
                <w:rFonts w:ascii="Times New Roman" w:hAnsi="Times New Roman"/>
                <w:sz w:val="24"/>
              </w:rPr>
              <w:t>articolo 11, paragrafo</w:t>
            </w:r>
            <w:r w:rsidR="00521D0B">
              <w:rPr>
                <w:rFonts w:ascii="Times New Roman" w:hAnsi="Times New Roman"/>
                <w:sz w:val="24"/>
              </w:rPr>
              <w:t> </w:t>
            </w:r>
            <w:r>
              <w:rPr>
                <w:rFonts w:ascii="Times New Roman" w:hAnsi="Times New Roman"/>
                <w:sz w:val="24"/>
              </w:rPr>
              <w:t>3, del regolamento delegato (UE) 2020/1224 della Commissione, l</w:t>
            </w:r>
            <w:r w:rsidR="00521D0B">
              <w:rPr>
                <w:rFonts w:ascii="Times New Roman" w:hAnsi="Times New Roman"/>
                <w:sz w:val="24"/>
              </w:rPr>
              <w:t>'</w:t>
            </w:r>
            <w:r>
              <w:rPr>
                <w:rFonts w:ascii="Times New Roman" w:hAnsi="Times New Roman"/>
                <w:sz w:val="24"/>
              </w:rPr>
              <w:t>identificativo unico non può essere modificato dal soggetto segnalante, il che implica che non può essere modificato ai fini della segnalazione nei modelli COREP.</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30438A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IDENTIFICATIVO DELLA CARTOLARIZZAZIONE</w:t>
            </w:r>
          </w:p>
          <w:p w14:paraId="2A383686" w14:textId="77777777" w:rsidR="00933ADA" w:rsidRPr="002A677E" w:rsidRDefault="00933ADA" w:rsidP="00822842">
            <w:pPr>
              <w:spacing w:before="0" w:after="0"/>
              <w:jc w:val="left"/>
              <w:rPr>
                <w:rFonts w:ascii="Times New Roman" w:hAnsi="Times New Roman"/>
                <w:sz w:val="24"/>
              </w:rPr>
            </w:pPr>
          </w:p>
          <w:p w14:paraId="49907D02" w14:textId="497FB474"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Codice utilizzato per la registrazione legale della posizione verso la cartolarizzazione o dell</w:t>
            </w:r>
            <w:r w:rsidR="00521D0B">
              <w:rPr>
                <w:rFonts w:ascii="Times New Roman" w:hAnsi="Times New Roman"/>
                <w:sz w:val="24"/>
              </w:rPr>
              <w:t>'</w:t>
            </w:r>
            <w:r>
              <w:rPr>
                <w:rFonts w:ascii="Times New Roman" w:hAnsi="Times New Roman"/>
                <w:sz w:val="24"/>
              </w:rPr>
              <w:t>operazione di cartolarizzazione nel caso di diverse posizioni che possono essere segnalate nella stessa riga o, in sua mancanza, denominazione con la quale la posizione verso la cartolarizzazione o l</w:t>
            </w:r>
            <w:r w:rsidR="00521D0B">
              <w:rPr>
                <w:rFonts w:ascii="Times New Roman" w:hAnsi="Times New Roman"/>
                <w:sz w:val="24"/>
              </w:rPr>
              <w:t>'</w:t>
            </w:r>
            <w:r>
              <w:rPr>
                <w:rFonts w:ascii="Times New Roman" w:hAnsi="Times New Roman"/>
                <w:sz w:val="24"/>
              </w:rPr>
              <w:t xml:space="preserve">operazione </w:t>
            </w:r>
            <w:r>
              <w:rPr>
                <w:rFonts w:ascii="Times New Roman" w:hAnsi="Times New Roman"/>
                <w:sz w:val="24"/>
              </w:rPr>
              <w:lastRenderedPageBreak/>
              <w:t>di cartolarizzazione è nota sul mercato, o all</w:t>
            </w:r>
            <w:r w:rsidR="00521D0B">
              <w:rPr>
                <w:rFonts w:ascii="Times New Roman" w:hAnsi="Times New Roman"/>
                <w:sz w:val="24"/>
              </w:rPr>
              <w:t>'</w:t>
            </w:r>
            <w:r>
              <w:rPr>
                <w:rFonts w:ascii="Times New Roman" w:hAnsi="Times New Roman"/>
                <w:sz w:val="24"/>
              </w:rPr>
              <w:t>interno dell</w:t>
            </w:r>
            <w:r w:rsidR="00521D0B">
              <w:rPr>
                <w:rFonts w:ascii="Times New Roman" w:hAnsi="Times New Roman"/>
                <w:sz w:val="24"/>
              </w:rPr>
              <w:t>'</w:t>
            </w:r>
            <w:r>
              <w:rPr>
                <w:rFonts w:ascii="Times New Roman" w:hAnsi="Times New Roman"/>
                <w:sz w:val="24"/>
              </w:rPr>
              <w:t xml:space="preserve">ente in caso di cartolarizzazione interna o privata. Quando è disponibile il numero internazionale di identificazione dei titoli (International Securities </w:t>
            </w:r>
            <w:proofErr w:type="spellStart"/>
            <w:r>
              <w:rPr>
                <w:rFonts w:ascii="Times New Roman" w:hAnsi="Times New Roman"/>
                <w:sz w:val="24"/>
              </w:rPr>
              <w:t>Identification</w:t>
            </w:r>
            <w:proofErr w:type="spellEnd"/>
            <w:r>
              <w:rPr>
                <w:rFonts w:ascii="Times New Roman" w:hAnsi="Times New Roman"/>
                <w:sz w:val="24"/>
              </w:rPr>
              <w:t xml:space="preserve"> </w:t>
            </w:r>
            <w:proofErr w:type="spellStart"/>
            <w:r>
              <w:rPr>
                <w:rFonts w:ascii="Times New Roman" w:hAnsi="Times New Roman"/>
                <w:sz w:val="24"/>
              </w:rPr>
              <w:t>Number</w:t>
            </w:r>
            <w:proofErr w:type="spellEnd"/>
            <w:r>
              <w:rPr>
                <w:rFonts w:ascii="Times New Roman" w:hAnsi="Times New Roman"/>
                <w:sz w:val="24"/>
              </w:rPr>
              <w:t xml:space="preserve"> — ISIN), ossia nel caso di operazioni pubbliche, in questa colonna sono riportati i caratteri comuni a tutti i segmenti della cartolarizzazione.</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0310-0400</w:t>
            </w:r>
          </w:p>
        </w:tc>
        <w:tc>
          <w:tcPr>
            <w:tcW w:w="7903" w:type="dxa"/>
          </w:tcPr>
          <w:p w14:paraId="46F264E6" w14:textId="3B9F4BC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POSIZIONI VERSO LA CARTOLARIZZAZIONE: ESPOSIZIONE ORIGINARIA PRIMA DELL</w:t>
            </w:r>
            <w:r w:rsidR="00521D0B">
              <w:rPr>
                <w:rFonts w:ascii="Times New Roman" w:hAnsi="Times New Roman"/>
                <w:b/>
                <w:sz w:val="24"/>
                <w:u w:val="single"/>
              </w:rPr>
              <w:t>'</w:t>
            </w:r>
            <w:r>
              <w:rPr>
                <w:rFonts w:ascii="Times New Roman" w:hAnsi="Times New Roman"/>
                <w:b/>
                <w:sz w:val="24"/>
                <w:u w:val="single"/>
              </w:rPr>
              <w:t>APPLICAZIONE DEI FATTORI DI CONVERSIONE</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rFonts w:ascii="Times New Roman" w:hAnsi="Times New Roman"/>
                <w:sz w:val="24"/>
              </w:rPr>
            </w:pPr>
            <w:r>
              <w:rPr>
                <w:rFonts w:ascii="Times New Roman" w:hAnsi="Times New Roman"/>
                <w:sz w:val="24"/>
              </w:rPr>
              <w:t>Questo blocco di colonne contiene informazioni sulle posizioni verso la cartolarizzazione suddivise in posizioni in bilancio/fuori bilancio e in segmenti (senior/</w:t>
            </w:r>
            <w:proofErr w:type="spellStart"/>
            <w:r>
              <w:rPr>
                <w:rFonts w:ascii="Times New Roman" w:hAnsi="Times New Roman"/>
                <w:sz w:val="24"/>
              </w:rPr>
              <w:t>mezzanine</w:t>
            </w:r>
            <w:proofErr w:type="spellEnd"/>
            <w:r>
              <w:rPr>
                <w:rFonts w:ascii="Times New Roman" w:hAnsi="Times New Roman"/>
                <w:sz w:val="24"/>
              </w:rPr>
              <w:t xml:space="preserve">/prime perdite) alla data di riferimento per le segnalazioni.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0DC2341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ELEMENTI IN BILANCIO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Si applicano qui gli stessi criteri utilizzati per le colonne 0230, 0240 e 0250 del modello C 14.00 ai fini della classificazione nei segmenti.</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73D420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ELEMENTI FUORI BILANCIO E DERIVATI</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Si applicano qui gli stessi criteri utilizzati per le colonne da 0260 a 0287 del modello C 14.00 ai fini della classificazione nei segmenti.</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0351 e 0361</w:t>
            </w:r>
          </w:p>
        </w:tc>
        <w:tc>
          <w:tcPr>
            <w:tcW w:w="7903" w:type="dxa"/>
          </w:tcPr>
          <w:p w14:paraId="18D25E4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CORRISPONDENTE AL FORNITORE DELLA PROTEZIONE/ALLO STRUMENTO DI PROTEZIONE</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2E322D09"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di ponderazione del rischio (RW) del garante ammissibile o % di ponderazione del rischio del corrispondente strumento che fornisce protezione del credito conformemente all</w:t>
            </w:r>
            <w:r w:rsidR="00521D0B">
              <w:rPr>
                <w:rFonts w:ascii="Times New Roman" w:hAnsi="Times New Roman"/>
                <w:sz w:val="24"/>
              </w:rPr>
              <w:t>'</w:t>
            </w:r>
            <w:r>
              <w:rPr>
                <w:rFonts w:ascii="Times New Roman" w:hAnsi="Times New Roman"/>
                <w:sz w:val="24"/>
              </w:rPr>
              <w:t>articolo 249 del regolamento (UE) n. 575/2013.</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04EA1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MARGINE POSITIVO SINTETICO</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Articolo 242, punto 20, articolo 248, paragrafo 1, lettera e), e articolo 256, paragrafo 6, del regolamento (UE) n. 575/2013.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645D17AD"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Questa colonna è compilata solo se alla colonna 0110 è indicato </w:t>
            </w:r>
            <w:r w:rsidR="00521D0B">
              <w:rPr>
                <w:rFonts w:ascii="Times New Roman" w:hAnsi="Times New Roman"/>
                <w:sz w:val="24"/>
              </w:rPr>
              <w:t>"</w:t>
            </w:r>
            <w:r>
              <w:rPr>
                <w:rFonts w:ascii="Times New Roman" w:hAnsi="Times New Roman"/>
                <w:sz w:val="24"/>
              </w:rPr>
              <w:t>cedente</w:t>
            </w:r>
            <w:r w:rsidR="00521D0B">
              <w:rPr>
                <w:rFonts w:ascii="Times New Roman" w:hAnsi="Times New Roman"/>
                <w:sz w:val="24"/>
              </w:rPr>
              <w:t>"</w:t>
            </w:r>
            <w:r>
              <w:rPr>
                <w:rFonts w:ascii="Times New Roman" w:hAnsi="Times New Roman"/>
                <w:sz w:val="24"/>
              </w:rPr>
              <w:t>.</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79D376DD" w14:textId="6A7EACFA"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VOCI PER MEMORIA: ELEMENTI FUORI BILANCIO E DERIVATI PRIMA DELL</w:t>
            </w:r>
            <w:r w:rsidR="00521D0B">
              <w:rPr>
                <w:rFonts w:ascii="Times New Roman" w:hAnsi="Times New Roman"/>
                <w:b/>
                <w:sz w:val="24"/>
                <w:u w:val="single"/>
              </w:rPr>
              <w:t>'</w:t>
            </w:r>
            <w:r>
              <w:rPr>
                <w:rFonts w:ascii="Times New Roman" w:hAnsi="Times New Roman"/>
                <w:b/>
                <w:sz w:val="24"/>
                <w:u w:val="single"/>
              </w:rPr>
              <w:t>APPLICAZIONE DEI FATTORI DI CONVERSIONE</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Questo blocco di colonne contiene informazioni aggiuntive riguardanti gli elementi fuori bilancio e i derivati totali (già segnalati nelle colonne 0340-0361 in base a una ripartizione differente).</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4B193D6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SOSTITUTI DEL CREDITO DIRETTI (DCS)</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rFonts w:ascii="Times New Roman" w:hAnsi="Times New Roman"/>
                <w:sz w:val="24"/>
              </w:rPr>
            </w:pPr>
            <w:r>
              <w:rPr>
                <w:rFonts w:ascii="Times New Roman" w:hAnsi="Times New Roman"/>
                <w:sz w:val="24"/>
              </w:rPr>
              <w:t>Questa colonna serve per le posizioni verso la cartolarizzazione detenute dal cedente e garantite tramite sostituti del credito diretti (</w:t>
            </w:r>
            <w:proofErr w:type="spellStart"/>
            <w:r>
              <w:rPr>
                <w:rFonts w:ascii="Times New Roman" w:hAnsi="Times New Roman"/>
                <w:sz w:val="24"/>
              </w:rPr>
              <w:t>direct</w:t>
            </w:r>
            <w:proofErr w:type="spellEnd"/>
            <w:r>
              <w:rPr>
                <w:rFonts w:ascii="Times New Roman" w:hAnsi="Times New Roman"/>
                <w:sz w:val="24"/>
              </w:rPr>
              <w:t xml:space="preserve"> credit </w:t>
            </w:r>
            <w:proofErr w:type="spellStart"/>
            <w:r>
              <w:rPr>
                <w:rFonts w:ascii="Times New Roman" w:hAnsi="Times New Roman"/>
                <w:sz w:val="24"/>
              </w:rPr>
              <w:t>substitutes</w:t>
            </w:r>
            <w:proofErr w:type="spellEnd"/>
            <w:r>
              <w:rPr>
                <w:rFonts w:ascii="Times New Roman" w:hAnsi="Times New Roman"/>
                <w:sz w:val="24"/>
              </w:rPr>
              <w:t>, DCS).</w:t>
            </w:r>
          </w:p>
          <w:p w14:paraId="5ADBD43D" w14:textId="77777777" w:rsidR="00933ADA" w:rsidRPr="002A677E" w:rsidRDefault="00933ADA" w:rsidP="00822842">
            <w:pPr>
              <w:spacing w:before="0" w:after="0"/>
              <w:rPr>
                <w:rFonts w:ascii="Times New Roman" w:hAnsi="Times New Roman"/>
                <w:sz w:val="24"/>
              </w:rPr>
            </w:pPr>
          </w:p>
          <w:p w14:paraId="3E6A0632" w14:textId="6D7E8161" w:rsidR="00933ADA" w:rsidRPr="002A677E" w:rsidRDefault="00933ADA" w:rsidP="00822842">
            <w:pPr>
              <w:spacing w:before="0" w:after="0"/>
              <w:rPr>
                <w:rFonts w:ascii="Times New Roman" w:hAnsi="Times New Roman"/>
                <w:sz w:val="24"/>
              </w:rPr>
            </w:pPr>
            <w:r>
              <w:rPr>
                <w:rFonts w:ascii="Times New Roman" w:hAnsi="Times New Roman"/>
                <w:sz w:val="24"/>
              </w:rPr>
              <w:t>Conformemente all</w:t>
            </w:r>
            <w:r w:rsidR="00521D0B">
              <w:rPr>
                <w:rFonts w:ascii="Times New Roman" w:hAnsi="Times New Roman"/>
                <w:sz w:val="24"/>
              </w:rPr>
              <w:t>'</w:t>
            </w:r>
            <w:r>
              <w:rPr>
                <w:rFonts w:ascii="Times New Roman" w:hAnsi="Times New Roman"/>
                <w:sz w:val="24"/>
              </w:rPr>
              <w:t>allegato I del regolamento (UE) n. 575/2013 sono considerati sostituti del credito diretti (DCS) i seguenti elementi fuori bilancio a rischio pieno:</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garanzie che assumono la forma di sostituti del credito;</w:t>
            </w:r>
          </w:p>
          <w:p w14:paraId="3E80D0F5"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lettere di credito standby irrevocabili che assumono la forma di sostituti del credito.</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0380</w:t>
            </w:r>
          </w:p>
        </w:tc>
        <w:tc>
          <w:tcPr>
            <w:tcW w:w="7903" w:type="dxa"/>
          </w:tcPr>
          <w:p w14:paraId="1AB3EAD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IRS / CRS</w:t>
            </w:r>
          </w:p>
          <w:p w14:paraId="03451EE3" w14:textId="77777777" w:rsidR="00933ADA" w:rsidRPr="002A677E" w:rsidRDefault="00933ADA" w:rsidP="00822842">
            <w:pPr>
              <w:spacing w:before="0" w:after="0"/>
              <w:jc w:val="left"/>
              <w:rPr>
                <w:rFonts w:ascii="Times New Roman" w:hAnsi="Times New Roman"/>
                <w:sz w:val="24"/>
              </w:rPr>
            </w:pPr>
          </w:p>
          <w:p w14:paraId="0DBEA9B5" w14:textId="251F04BB" w:rsidR="00933ADA" w:rsidRPr="002A677E" w:rsidRDefault="00933ADA" w:rsidP="00822842">
            <w:pPr>
              <w:spacing w:before="0" w:after="0"/>
              <w:rPr>
                <w:rFonts w:ascii="Times New Roman" w:hAnsi="Times New Roman"/>
                <w:sz w:val="24"/>
              </w:rPr>
            </w:pPr>
            <w:r>
              <w:rPr>
                <w:rFonts w:ascii="Times New Roman" w:hAnsi="Times New Roman"/>
                <w:sz w:val="24"/>
              </w:rPr>
              <w:t xml:space="preserve">IRS significa </w:t>
            </w:r>
            <w:r w:rsidR="00521D0B">
              <w:rPr>
                <w:rFonts w:ascii="Times New Roman" w:hAnsi="Times New Roman"/>
                <w:sz w:val="24"/>
              </w:rPr>
              <w:t>"</w:t>
            </w:r>
            <w:r>
              <w:rPr>
                <w:rFonts w:ascii="Times New Roman" w:hAnsi="Times New Roman"/>
                <w:sz w:val="24"/>
              </w:rPr>
              <w:t>contratti swap su tassi di interesse</w:t>
            </w:r>
            <w:r w:rsidR="00521D0B">
              <w:rPr>
                <w:rFonts w:ascii="Times New Roman" w:hAnsi="Times New Roman"/>
                <w:sz w:val="24"/>
              </w:rPr>
              <w:t>"</w:t>
            </w:r>
            <w:r>
              <w:rPr>
                <w:rFonts w:ascii="Times New Roman" w:hAnsi="Times New Roman"/>
                <w:sz w:val="24"/>
              </w:rPr>
              <w:t xml:space="preserve">; CRS significa </w:t>
            </w:r>
            <w:r w:rsidR="00521D0B">
              <w:rPr>
                <w:rFonts w:ascii="Times New Roman" w:hAnsi="Times New Roman"/>
                <w:sz w:val="24"/>
              </w:rPr>
              <w:t>"</w:t>
            </w:r>
            <w:r>
              <w:rPr>
                <w:rFonts w:ascii="Times New Roman" w:hAnsi="Times New Roman"/>
                <w:sz w:val="24"/>
              </w:rPr>
              <w:t>contratti swap su valuta</w:t>
            </w:r>
            <w:r w:rsidR="00521D0B">
              <w:rPr>
                <w:rFonts w:ascii="Times New Roman" w:hAnsi="Times New Roman"/>
                <w:sz w:val="24"/>
              </w:rPr>
              <w:t>"</w:t>
            </w:r>
            <w:r>
              <w:rPr>
                <w:rFonts w:ascii="Times New Roman" w:hAnsi="Times New Roman"/>
                <w:sz w:val="24"/>
              </w:rPr>
              <w:t>. Tali derivati sono elencati nell</w:t>
            </w:r>
            <w:r w:rsidR="00521D0B">
              <w:rPr>
                <w:rFonts w:ascii="Times New Roman" w:hAnsi="Times New Roman"/>
                <w:sz w:val="24"/>
              </w:rPr>
              <w:t>'</w:t>
            </w:r>
            <w:r>
              <w:rPr>
                <w:rFonts w:ascii="Times New Roman" w:hAnsi="Times New Roman"/>
                <w:sz w:val="24"/>
              </w:rPr>
              <w:t>allegato II del regolamento (UE) n.</w:t>
            </w:r>
            <w:r w:rsidR="00521D0B">
              <w:rPr>
                <w:rFonts w:ascii="Times New Roman" w:hAnsi="Times New Roman"/>
                <w:sz w:val="24"/>
              </w:rPr>
              <w:t> </w:t>
            </w:r>
            <w:r>
              <w:rPr>
                <w:rFonts w:ascii="Times New Roman" w:hAnsi="Times New Roman"/>
                <w:sz w:val="24"/>
              </w:rPr>
              <w:t>575/2013.</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83448D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LINEE DI LIQUIDITÀ</w:t>
            </w:r>
          </w:p>
          <w:p w14:paraId="78DA5FAD" w14:textId="77777777" w:rsidR="00933ADA" w:rsidRPr="002A677E" w:rsidRDefault="00933ADA" w:rsidP="00822842">
            <w:pPr>
              <w:spacing w:before="0" w:after="0"/>
              <w:jc w:val="left"/>
              <w:rPr>
                <w:rFonts w:ascii="Times New Roman" w:hAnsi="Times New Roman"/>
                <w:sz w:val="24"/>
              </w:rPr>
            </w:pPr>
          </w:p>
          <w:p w14:paraId="6C95634F" w14:textId="0E946553" w:rsidR="00933ADA" w:rsidRPr="002A677E" w:rsidRDefault="00933ADA" w:rsidP="00822842">
            <w:pPr>
              <w:spacing w:before="0" w:after="0"/>
              <w:rPr>
                <w:rFonts w:ascii="Times New Roman" w:hAnsi="Times New Roman"/>
                <w:sz w:val="24"/>
              </w:rPr>
            </w:pPr>
            <w:r>
              <w:rPr>
                <w:rFonts w:ascii="Times New Roman" w:hAnsi="Times New Roman"/>
                <w:sz w:val="24"/>
              </w:rPr>
              <w:t>Linee di liquidità ai sensi dell</w:t>
            </w:r>
            <w:r w:rsidR="00521D0B">
              <w:rPr>
                <w:rFonts w:ascii="Times New Roman" w:hAnsi="Times New Roman"/>
                <w:sz w:val="24"/>
              </w:rPr>
              <w:t>'</w:t>
            </w:r>
            <w:r>
              <w:rPr>
                <w:rFonts w:ascii="Times New Roman" w:hAnsi="Times New Roman"/>
                <w:sz w:val="24"/>
              </w:rPr>
              <w:t>articolo 242, punto 3, del regolamento (UE) n.</w:t>
            </w:r>
            <w:r w:rsidR="00521D0B">
              <w:rPr>
                <w:rFonts w:ascii="Times New Roman" w:hAnsi="Times New Roman"/>
                <w:sz w:val="24"/>
              </w:rPr>
              <w:t> </w:t>
            </w:r>
            <w:r>
              <w:rPr>
                <w:rFonts w:ascii="Times New Roman" w:hAnsi="Times New Roman"/>
                <w:sz w:val="24"/>
              </w:rPr>
              <w:t>575/2013.</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314DB9A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ALTRO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rFonts w:ascii="Times New Roman" w:hAnsi="Times New Roman"/>
                <w:sz w:val="24"/>
              </w:rPr>
            </w:pPr>
            <w:r>
              <w:rPr>
                <w:rFonts w:ascii="Times New Roman" w:hAnsi="Times New Roman"/>
                <w:sz w:val="24"/>
              </w:rPr>
              <w:t>Elementi fuori bilancio restanti.</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46222E8C" w14:textId="0B814B2C"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VALORE DELL</w:t>
            </w:r>
            <w:r w:rsidR="00521D0B">
              <w:rPr>
                <w:rFonts w:ascii="Times New Roman" w:hAnsi="Times New Roman"/>
                <w:b/>
                <w:sz w:val="24"/>
                <w:u w:val="single"/>
              </w:rPr>
              <w:t>'</w:t>
            </w:r>
            <w:r>
              <w:rPr>
                <w:rFonts w:ascii="Times New Roman" w:hAnsi="Times New Roman"/>
                <w:b/>
                <w:sz w:val="24"/>
                <w:u w:val="single"/>
              </w:rPr>
              <w:t>ESPOSIZIONE</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2CFB430" w:rsidR="00933ADA" w:rsidRPr="002A677E" w:rsidRDefault="00933ADA" w:rsidP="00822842">
            <w:pPr>
              <w:spacing w:before="0" w:after="0"/>
              <w:rPr>
                <w:rFonts w:ascii="Times New Roman" w:hAnsi="Times New Roman"/>
                <w:sz w:val="24"/>
              </w:rPr>
            </w:pPr>
            <w:r>
              <w:rPr>
                <w:rFonts w:ascii="Times New Roman" w:hAnsi="Times New Roman"/>
                <w:sz w:val="24"/>
              </w:rPr>
              <w:t>Questa informazione è correlata strettamente alla colonna 0180 del modello CR</w:t>
            </w:r>
            <w:r w:rsidR="00521D0B">
              <w:rPr>
                <w:rFonts w:ascii="Times New Roman" w:hAnsi="Times New Roman"/>
                <w:sz w:val="24"/>
              </w:rPr>
              <w:t> </w:t>
            </w:r>
            <w:r>
              <w:rPr>
                <w:rFonts w:ascii="Times New Roman" w:hAnsi="Times New Roman"/>
                <w:sz w:val="24"/>
              </w:rPr>
              <w:t>SEC.</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199E7927" w14:textId="3F56ABDA"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VALORE DELL</w:t>
            </w:r>
            <w:r w:rsidR="00521D0B">
              <w:rPr>
                <w:rFonts w:ascii="Times New Roman" w:hAnsi="Times New Roman"/>
                <w:b/>
                <w:sz w:val="24"/>
                <w:u w:val="single"/>
              </w:rPr>
              <w:t>'</w:t>
            </w:r>
            <w:r>
              <w:rPr>
                <w:rFonts w:ascii="Times New Roman" w:hAnsi="Times New Roman"/>
                <w:b/>
                <w:sz w:val="24"/>
                <w:u w:val="single"/>
              </w:rPr>
              <w:t>ESPOSIZIONE DEDOTTO DAI FONDI PROPRI</w:t>
            </w:r>
          </w:p>
          <w:p w14:paraId="6F9A9B8A" w14:textId="77777777" w:rsidR="00933ADA" w:rsidRPr="002A677E" w:rsidRDefault="00933ADA" w:rsidP="00822842">
            <w:pPr>
              <w:spacing w:before="0" w:after="0"/>
              <w:jc w:val="left"/>
              <w:rPr>
                <w:rFonts w:ascii="Times New Roman" w:hAnsi="Times New Roman"/>
                <w:sz w:val="24"/>
              </w:rPr>
            </w:pPr>
          </w:p>
          <w:p w14:paraId="194DFD30" w14:textId="38F04F61" w:rsidR="00933ADA" w:rsidRPr="002A677E" w:rsidRDefault="00933ADA" w:rsidP="00822842">
            <w:pPr>
              <w:spacing w:before="0" w:after="0"/>
              <w:rPr>
                <w:rFonts w:ascii="Times New Roman" w:hAnsi="Times New Roman"/>
                <w:sz w:val="24"/>
              </w:rPr>
            </w:pPr>
            <w:r>
              <w:rPr>
                <w:rFonts w:ascii="Times New Roman" w:hAnsi="Times New Roman"/>
                <w:sz w:val="24"/>
              </w:rPr>
              <w:t>Questa informazione è correlata strettamente alla colonna 0190 del modello CR</w:t>
            </w:r>
            <w:r w:rsidR="00521D0B">
              <w:rPr>
                <w:rFonts w:ascii="Times New Roman" w:hAnsi="Times New Roman"/>
                <w:sz w:val="24"/>
              </w:rPr>
              <w:t> </w:t>
            </w:r>
            <w:r>
              <w:rPr>
                <w:rFonts w:ascii="Times New Roman" w:hAnsi="Times New Roman"/>
                <w:sz w:val="24"/>
              </w:rPr>
              <w:t>SEC.</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rFonts w:ascii="Times New Roman" w:hAnsi="Times New Roman"/>
                <w:sz w:val="24"/>
              </w:rPr>
            </w:pPr>
            <w:r>
              <w:rPr>
                <w:rFonts w:ascii="Times New Roman" w:hAnsi="Times New Roman"/>
                <w:sz w:val="24"/>
              </w:rPr>
              <w:t>In questa colonna è segnalato un importo negativo.</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A31769C" w14:textId="27435B22"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IMPORTO COMPLESSIVO DELL</w:t>
            </w:r>
            <w:r w:rsidR="00521D0B">
              <w:rPr>
                <w:rFonts w:ascii="Times New Roman" w:hAnsi="Times New Roman"/>
                <w:b/>
                <w:sz w:val="24"/>
                <w:u w:val="single"/>
              </w:rPr>
              <w:t>'</w:t>
            </w:r>
            <w:r>
              <w:rPr>
                <w:rFonts w:ascii="Times New Roman" w:hAnsi="Times New Roman"/>
                <w:b/>
                <w:sz w:val="24"/>
                <w:u w:val="single"/>
              </w:rPr>
              <w:t>ESPOSIZIONE PONDERATO PER IL RISCHIO PRIMA DELL</w:t>
            </w:r>
            <w:r w:rsidR="00521D0B">
              <w:rPr>
                <w:rFonts w:ascii="Times New Roman" w:hAnsi="Times New Roman"/>
                <w:b/>
                <w:sz w:val="24"/>
                <w:u w:val="single"/>
              </w:rPr>
              <w:t>'</w:t>
            </w:r>
            <w:r>
              <w:rPr>
                <w:rFonts w:ascii="Times New Roman" w:hAnsi="Times New Roman"/>
                <w:b/>
                <w:sz w:val="24"/>
                <w:u w:val="single"/>
              </w:rPr>
              <w:t>APPLICAZIONE DEL MASSIMALE</w:t>
            </w:r>
          </w:p>
          <w:p w14:paraId="56A042F5" w14:textId="77777777" w:rsidR="00933ADA" w:rsidRPr="002A677E" w:rsidRDefault="00933ADA" w:rsidP="00822842">
            <w:pPr>
              <w:spacing w:before="0" w:after="0"/>
              <w:jc w:val="left"/>
              <w:rPr>
                <w:rFonts w:ascii="Times New Roman" w:hAnsi="Times New Roman"/>
                <w:sz w:val="24"/>
              </w:rPr>
            </w:pPr>
          </w:p>
          <w:p w14:paraId="5D359209" w14:textId="3A414C5D" w:rsidR="00933ADA" w:rsidRPr="002A677E" w:rsidRDefault="00933ADA" w:rsidP="00822842">
            <w:pPr>
              <w:spacing w:before="0" w:after="0"/>
              <w:rPr>
                <w:rFonts w:ascii="Times New Roman" w:hAnsi="Times New Roman"/>
                <w:sz w:val="24"/>
              </w:rPr>
            </w:pPr>
            <w:r>
              <w:rPr>
                <w:rFonts w:ascii="Times New Roman" w:hAnsi="Times New Roman"/>
                <w:sz w:val="24"/>
              </w:rPr>
              <w:t>Questa colonna contiene informazioni sull</w:t>
            </w:r>
            <w:r w:rsidR="00521D0B">
              <w:rPr>
                <w:rFonts w:ascii="Times New Roman" w:hAnsi="Times New Roman"/>
                <w:sz w:val="24"/>
              </w:rPr>
              <w:t>'</w:t>
            </w:r>
            <w:r>
              <w:rPr>
                <w:rFonts w:ascii="Times New Roman" w:hAnsi="Times New Roman"/>
                <w:sz w:val="24"/>
              </w:rPr>
              <w:t>importo dell</w:t>
            </w:r>
            <w:r w:rsidR="00521D0B">
              <w:rPr>
                <w:rFonts w:ascii="Times New Roman" w:hAnsi="Times New Roman"/>
                <w:sz w:val="24"/>
              </w:rPr>
              <w:t>'</w:t>
            </w:r>
            <w:r>
              <w:rPr>
                <w:rFonts w:ascii="Times New Roman" w:hAnsi="Times New Roman"/>
                <w:sz w:val="24"/>
              </w:rPr>
              <w:t>esposizione ponderato per il rischio prima dell</w:t>
            </w:r>
            <w:r w:rsidR="00521D0B">
              <w:rPr>
                <w:rFonts w:ascii="Times New Roman" w:hAnsi="Times New Roman"/>
                <w:sz w:val="24"/>
              </w:rPr>
              <w:t>'</w:t>
            </w:r>
            <w:r>
              <w:rPr>
                <w:rFonts w:ascii="Times New Roman" w:hAnsi="Times New Roman"/>
                <w:sz w:val="24"/>
              </w:rPr>
              <w:t>applicazione del massimale alle posizioni verso la cartolarizzazione calcolate conformemente alla parte tre, titolo II, capo 5, sezione</w:t>
            </w:r>
            <w:r w:rsidR="00521D0B">
              <w:rPr>
                <w:rFonts w:ascii="Times New Roman" w:hAnsi="Times New Roman"/>
                <w:sz w:val="24"/>
              </w:rPr>
              <w:t> </w:t>
            </w:r>
            <w:r>
              <w:rPr>
                <w:rFonts w:ascii="Times New Roman" w:hAnsi="Times New Roman"/>
                <w:sz w:val="24"/>
              </w:rPr>
              <w:t>3, del regolamento (UE) n. 575/2013.</w:t>
            </w:r>
          </w:p>
          <w:p w14:paraId="6B3045B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5EFBDF9" w14:textId="77777777" w:rsidR="00933ADA" w:rsidRDefault="00933ADA" w:rsidP="00822842">
            <w:pPr>
              <w:spacing w:before="0" w:after="0"/>
              <w:jc w:val="left"/>
              <w:rPr>
                <w:rFonts w:ascii="Times New Roman" w:hAnsi="Times New Roman"/>
                <w:sz w:val="24"/>
              </w:rPr>
            </w:pPr>
            <w:r>
              <w:rPr>
                <w:rFonts w:ascii="Times New Roman" w:hAnsi="Times New Roman"/>
                <w:sz w:val="24"/>
              </w:rPr>
              <w:t>Per le cartolarizzazioni contenute nel portafoglio di negoziazione, è segnalato:</w:t>
            </w:r>
          </w:p>
          <w:p w14:paraId="4957C55C" w14:textId="26F555EB" w:rsidR="00933ADA" w:rsidRPr="00C54203"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l</w:t>
            </w:r>
            <w:r w:rsidR="00521D0B">
              <w:rPr>
                <w:rFonts w:ascii="Times New Roman" w:hAnsi="Times New Roman"/>
                <w:sz w:val="24"/>
              </w:rPr>
              <w:t>'</w:t>
            </w:r>
            <w:r>
              <w:rPr>
                <w:rFonts w:ascii="Times New Roman" w:hAnsi="Times New Roman"/>
                <w:sz w:val="24"/>
              </w:rPr>
              <w:t>RWEA relativo al rischio specifico, determinato come 12,5 volte il requisito di fondi propri segnalato rispettivamente nella colonna 0570 di MKR SA SEC o nelle colonne 0410 e 0420 (pertinente per il requisito di fondi propri) di MKR SA CTP, se l</w:t>
            </w:r>
            <w:r w:rsidR="00521D0B">
              <w:rPr>
                <w:rFonts w:ascii="Times New Roman" w:hAnsi="Times New Roman"/>
                <w:sz w:val="24"/>
              </w:rPr>
              <w:t>'</w:t>
            </w:r>
            <w:r>
              <w:rPr>
                <w:rFonts w:ascii="Times New Roman" w:hAnsi="Times New Roman"/>
                <w:sz w:val="24"/>
              </w:rPr>
              <w:t>ente applica il metodo standardizzato semplificato per il rischio di mercato,</w:t>
            </w:r>
          </w:p>
          <w:p w14:paraId="45539FE2" w14:textId="21A9D8E5" w:rsidR="00933ADA" w:rsidRPr="0096263E" w:rsidRDefault="00933ADA" w:rsidP="00822842">
            <w:pPr>
              <w:pStyle w:val="ListParagraph"/>
              <w:numPr>
                <w:ilvl w:val="0"/>
                <w:numId w:val="20"/>
              </w:numPr>
              <w:spacing w:before="0" w:after="0"/>
              <w:jc w:val="left"/>
              <w:rPr>
                <w:rFonts w:ascii="Times New Roman" w:hAnsi="Times New Roman"/>
                <w:sz w:val="24"/>
              </w:rPr>
            </w:pPr>
            <w:r>
              <w:rPr>
                <w:rFonts w:ascii="Times New Roman" w:hAnsi="Times New Roman"/>
                <w:sz w:val="24"/>
              </w:rPr>
              <w:lastRenderedPageBreak/>
              <w:t>la somma del valore assoluto di tutte le sensibilità ponderate della cartolarizzazione ai fattori di rischio, determinato ai fini del calcolo dei requisiti di fondi propri per il rischio di differenziali creditizi per le cartolarizzazioni non incluse nell</w:t>
            </w:r>
            <w:r w:rsidR="00521D0B">
              <w:rPr>
                <w:rFonts w:ascii="Times New Roman" w:hAnsi="Times New Roman"/>
                <w:sz w:val="24"/>
              </w:rPr>
              <w:t>'</w:t>
            </w:r>
            <w:r>
              <w:rPr>
                <w:rFonts w:ascii="Times New Roman" w:hAnsi="Times New Roman"/>
                <w:sz w:val="24"/>
              </w:rPr>
              <w:t>ACTP, o il rischio di differenziali creditizi per le cartolarizzazioni nell</w:t>
            </w:r>
            <w:r w:rsidR="00521D0B">
              <w:rPr>
                <w:rFonts w:ascii="Times New Roman" w:hAnsi="Times New Roman"/>
                <w:sz w:val="24"/>
              </w:rPr>
              <w:t>'</w:t>
            </w:r>
            <w:r>
              <w:rPr>
                <w:rFonts w:ascii="Times New Roman" w:hAnsi="Times New Roman"/>
                <w:sz w:val="24"/>
              </w:rPr>
              <w:t>ACTP, se l</w:t>
            </w:r>
            <w:r w:rsidR="00521D0B">
              <w:rPr>
                <w:rFonts w:ascii="Times New Roman" w:hAnsi="Times New Roman"/>
                <w:sz w:val="24"/>
              </w:rPr>
              <w:t>'</w:t>
            </w:r>
            <w:r>
              <w:rPr>
                <w:rFonts w:ascii="Times New Roman" w:hAnsi="Times New Roman"/>
                <w:sz w:val="24"/>
              </w:rPr>
              <w:t>ente applica l</w:t>
            </w:r>
            <w:r w:rsidR="00521D0B">
              <w:rPr>
                <w:rFonts w:ascii="Times New Roman" w:hAnsi="Times New Roman"/>
                <w:sz w:val="24"/>
              </w:rPr>
              <w:t>'</w:t>
            </w:r>
            <w:r>
              <w:rPr>
                <w:rFonts w:ascii="Times New Roman" w:hAnsi="Times New Roman"/>
                <w:sz w:val="24"/>
              </w:rPr>
              <w:t>ASA o l</w:t>
            </w:r>
            <w:r w:rsidR="00521D0B">
              <w:rPr>
                <w:rFonts w:ascii="Times New Roman" w:hAnsi="Times New Roman"/>
                <w:sz w:val="24"/>
              </w:rPr>
              <w:t>'</w:t>
            </w:r>
            <w:r>
              <w:rPr>
                <w:rFonts w:ascii="Times New Roman" w:hAnsi="Times New Roman"/>
                <w:sz w:val="24"/>
              </w:rPr>
              <w:t>AIMA.</w:t>
            </w: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14:paraId="1A7CCD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RIDUZIONE DOVUTA AL MASSIMALE DI PONDERAZIONE DEL RISCHIO</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Articoli 267 e 269 bis del regolamento (UE) n. 575/2013</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219BB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RIDUZIONE DOVUTA AL MASSIMALE GENERALE</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Articoli 268 e 269 bis del regolamento (UE) n. 575/2013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30A9281E" w14:textId="302DDC76"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IMPORTO COMPLESSIVO DELL</w:t>
            </w:r>
            <w:r w:rsidR="00521D0B">
              <w:rPr>
                <w:rFonts w:ascii="Times New Roman" w:hAnsi="Times New Roman"/>
                <w:b/>
                <w:sz w:val="24"/>
                <w:u w:val="single"/>
              </w:rPr>
              <w:t>'</w:t>
            </w:r>
            <w:r>
              <w:rPr>
                <w:rFonts w:ascii="Times New Roman" w:hAnsi="Times New Roman"/>
                <w:b/>
                <w:sz w:val="24"/>
                <w:u w:val="single"/>
              </w:rPr>
              <w:t>ESPOSIZIONE PONDERATO PER IL RISCHIO DOPO L</w:t>
            </w:r>
            <w:r w:rsidR="00521D0B">
              <w:rPr>
                <w:rFonts w:ascii="Times New Roman" w:hAnsi="Times New Roman"/>
                <w:b/>
                <w:sz w:val="24"/>
                <w:u w:val="single"/>
              </w:rPr>
              <w:t>'</w:t>
            </w:r>
            <w:r>
              <w:rPr>
                <w:rFonts w:ascii="Times New Roman" w:hAnsi="Times New Roman"/>
                <w:b/>
                <w:sz w:val="24"/>
                <w:u w:val="single"/>
              </w:rPr>
              <w:t>APPLICAZIONE DEL MASSIMALE</w:t>
            </w:r>
          </w:p>
          <w:p w14:paraId="6474E229" w14:textId="77777777" w:rsidR="00933ADA" w:rsidRPr="002A677E" w:rsidRDefault="00933ADA" w:rsidP="00822842">
            <w:pPr>
              <w:spacing w:before="0" w:after="0"/>
              <w:jc w:val="left"/>
              <w:rPr>
                <w:rFonts w:ascii="Times New Roman" w:hAnsi="Times New Roman"/>
                <w:sz w:val="24"/>
              </w:rPr>
            </w:pPr>
          </w:p>
          <w:p w14:paraId="731521DF" w14:textId="283AD517" w:rsidR="00933ADA" w:rsidRPr="002A677E" w:rsidRDefault="00933ADA" w:rsidP="00822842">
            <w:pPr>
              <w:spacing w:before="0" w:after="0"/>
              <w:rPr>
                <w:rFonts w:ascii="Times New Roman" w:hAnsi="Times New Roman"/>
                <w:sz w:val="24"/>
              </w:rPr>
            </w:pPr>
            <w:r>
              <w:rPr>
                <w:rFonts w:ascii="Times New Roman" w:hAnsi="Times New Roman"/>
                <w:sz w:val="24"/>
              </w:rPr>
              <w:t>Questa colonna contiene informazioni sull</w:t>
            </w:r>
            <w:r w:rsidR="00521D0B">
              <w:rPr>
                <w:rFonts w:ascii="Times New Roman" w:hAnsi="Times New Roman"/>
                <w:sz w:val="24"/>
              </w:rPr>
              <w:t>'</w:t>
            </w:r>
            <w:r>
              <w:rPr>
                <w:rFonts w:ascii="Times New Roman" w:hAnsi="Times New Roman"/>
                <w:sz w:val="24"/>
              </w:rPr>
              <w:t>importo dell</w:t>
            </w:r>
            <w:r w:rsidR="00521D0B">
              <w:rPr>
                <w:rFonts w:ascii="Times New Roman" w:hAnsi="Times New Roman"/>
                <w:sz w:val="24"/>
              </w:rPr>
              <w:t>'</w:t>
            </w:r>
            <w:r>
              <w:rPr>
                <w:rFonts w:ascii="Times New Roman" w:hAnsi="Times New Roman"/>
                <w:sz w:val="24"/>
              </w:rPr>
              <w:t>esposizione ponderato per il rischio dopo l</w:t>
            </w:r>
            <w:r w:rsidR="00521D0B">
              <w:rPr>
                <w:rFonts w:ascii="Times New Roman" w:hAnsi="Times New Roman"/>
                <w:sz w:val="24"/>
              </w:rPr>
              <w:t>'</w:t>
            </w:r>
            <w:r>
              <w:rPr>
                <w:rFonts w:ascii="Times New Roman" w:hAnsi="Times New Roman"/>
                <w:sz w:val="24"/>
              </w:rPr>
              <w:t>applicazione del massimale alle posizioni verso la cartolarizzazione calcolate conformemente alla parte tre, titolo II, capo 5, sezione</w:t>
            </w:r>
            <w:r w:rsidR="00521D0B">
              <w:rPr>
                <w:rFonts w:ascii="Times New Roman" w:hAnsi="Times New Roman"/>
                <w:sz w:val="24"/>
              </w:rPr>
              <w:t> </w:t>
            </w:r>
            <w:r>
              <w:rPr>
                <w:rFonts w:ascii="Times New Roman" w:hAnsi="Times New Roman"/>
                <w:sz w:val="24"/>
              </w:rPr>
              <w:t xml:space="preserve">3, del regolamento (UE) n. 575/2013.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rFonts w:ascii="Times New Roman" w:hAnsi="Times New Roman"/>
                <w:sz w:val="24"/>
              </w:rPr>
            </w:pPr>
            <w:r>
              <w:rPr>
                <w:rFonts w:ascii="Times New Roman" w:hAnsi="Times New Roman"/>
                <w:sz w:val="24"/>
              </w:rPr>
              <w:t>Per le cartolarizzazioni contenute nel portafoglio di negoziazione, è segnalato:</w:t>
            </w:r>
          </w:p>
          <w:p w14:paraId="563BD002" w14:textId="58E71B79"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l</w:t>
            </w:r>
            <w:r w:rsidR="00521D0B">
              <w:rPr>
                <w:rFonts w:ascii="Times New Roman" w:hAnsi="Times New Roman"/>
                <w:sz w:val="24"/>
              </w:rPr>
              <w:t>'</w:t>
            </w:r>
            <w:r>
              <w:rPr>
                <w:rFonts w:ascii="Times New Roman" w:hAnsi="Times New Roman"/>
                <w:sz w:val="24"/>
              </w:rPr>
              <w:t>RWEA relativo al rischio specifico, determinato come 12,5 volte il requisito di fondi propri segnalato rispettivamente nella colonna 0570 di MKR SA SEC o nelle colonne 0410 e 0420 (pertinente per il requisito di fondi propri) di MKR SA CTP, se l</w:t>
            </w:r>
            <w:r w:rsidR="00521D0B">
              <w:rPr>
                <w:rFonts w:ascii="Times New Roman" w:hAnsi="Times New Roman"/>
                <w:sz w:val="24"/>
              </w:rPr>
              <w:t>'</w:t>
            </w:r>
            <w:r>
              <w:rPr>
                <w:rFonts w:ascii="Times New Roman" w:hAnsi="Times New Roman"/>
                <w:sz w:val="24"/>
              </w:rPr>
              <w:t>ente applica il metodo standardizzato semplificato per il rischio di mercato,</w:t>
            </w:r>
          </w:p>
          <w:p w14:paraId="4FA7C759" w14:textId="2ED84E78"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la somma del valore assoluto di tutte le sensibilità ponderate della cartolarizzazione ai fattori di rischio, determinato ai fini del calcolo dei requisiti di fondi propri per il rischio di differenziali creditizi per le cartolarizzazioni non incluse nell</w:t>
            </w:r>
            <w:r w:rsidR="00521D0B">
              <w:rPr>
                <w:rFonts w:ascii="Times New Roman" w:hAnsi="Times New Roman"/>
                <w:sz w:val="24"/>
              </w:rPr>
              <w:t>'</w:t>
            </w:r>
            <w:r>
              <w:rPr>
                <w:rFonts w:ascii="Times New Roman" w:hAnsi="Times New Roman"/>
                <w:sz w:val="24"/>
              </w:rPr>
              <w:t>ACTP, o il rischio di differenziali creditizi per le cartolarizzazioni nell</w:t>
            </w:r>
            <w:r w:rsidR="00521D0B">
              <w:rPr>
                <w:rFonts w:ascii="Times New Roman" w:hAnsi="Times New Roman"/>
                <w:sz w:val="24"/>
              </w:rPr>
              <w:t>'</w:t>
            </w:r>
            <w:r>
              <w:rPr>
                <w:rFonts w:ascii="Times New Roman" w:hAnsi="Times New Roman"/>
                <w:sz w:val="24"/>
              </w:rPr>
              <w:t>ACTP, se l</w:t>
            </w:r>
            <w:r w:rsidR="00521D0B">
              <w:rPr>
                <w:rFonts w:ascii="Times New Roman" w:hAnsi="Times New Roman"/>
                <w:sz w:val="24"/>
              </w:rPr>
              <w:t>'</w:t>
            </w:r>
            <w:r>
              <w:rPr>
                <w:rFonts w:ascii="Times New Roman" w:hAnsi="Times New Roman"/>
                <w:sz w:val="24"/>
              </w:rPr>
              <w:t>ente applica l</w:t>
            </w:r>
            <w:r w:rsidR="00521D0B">
              <w:rPr>
                <w:rFonts w:ascii="Times New Roman" w:hAnsi="Times New Roman"/>
                <w:sz w:val="24"/>
              </w:rPr>
              <w:t>'</w:t>
            </w:r>
            <w:r>
              <w:rPr>
                <w:rFonts w:ascii="Times New Roman" w:hAnsi="Times New Roman"/>
                <w:sz w:val="24"/>
              </w:rPr>
              <w:t>ASA o l</w:t>
            </w:r>
            <w:r w:rsidR="00521D0B">
              <w:rPr>
                <w:rFonts w:ascii="Times New Roman" w:hAnsi="Times New Roman"/>
                <w:sz w:val="24"/>
              </w:rPr>
              <w:t>'</w:t>
            </w:r>
            <w:r>
              <w:rPr>
                <w:rFonts w:ascii="Times New Roman" w:hAnsi="Times New Roman"/>
                <w:sz w:val="24"/>
              </w:rPr>
              <w:t>AIMA.</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0441-0444</w:t>
            </w:r>
          </w:p>
        </w:tc>
        <w:tc>
          <w:tcPr>
            <w:tcW w:w="7903" w:type="dxa"/>
          </w:tcPr>
          <w:p w14:paraId="75016A2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OUTPUT FLOOR S-TREA</w:t>
            </w:r>
          </w:p>
          <w:p w14:paraId="52531F35" w14:textId="77777777" w:rsidR="00933ADA" w:rsidRDefault="00933ADA" w:rsidP="00822842">
            <w:pPr>
              <w:spacing w:before="0" w:after="0"/>
              <w:jc w:val="left"/>
              <w:rPr>
                <w:rFonts w:ascii="Times New Roman" w:hAnsi="Times New Roman"/>
                <w:sz w:val="24"/>
              </w:rPr>
            </w:pPr>
          </w:p>
          <w:p w14:paraId="59E10C98" w14:textId="6BA948DB"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Per gli enti soggetti all</w:t>
            </w:r>
            <w:r w:rsidR="00521D0B">
              <w:rPr>
                <w:rFonts w:ascii="Times New Roman" w:hAnsi="Times New Roman"/>
                <w:sz w:val="24"/>
              </w:rPr>
              <w:t>'</w:t>
            </w:r>
            <w:r>
              <w:rPr>
                <w:rFonts w:ascii="Times New Roman" w:hAnsi="Times New Roman"/>
                <w:sz w:val="24"/>
              </w:rPr>
              <w:t xml:space="preserve">output </w:t>
            </w:r>
            <w:proofErr w:type="spellStart"/>
            <w:r>
              <w:rPr>
                <w:rFonts w:ascii="Times New Roman" w:hAnsi="Times New Roman"/>
                <w:sz w:val="24"/>
              </w:rPr>
              <w:t>floor</w:t>
            </w:r>
            <w:proofErr w:type="spellEnd"/>
            <w:r>
              <w:rPr>
                <w:rFonts w:ascii="Times New Roman" w:hAnsi="Times New Roman"/>
                <w:sz w:val="24"/>
              </w:rPr>
              <w:t xml:space="preserve"> ai sensi dell</w:t>
            </w:r>
            <w:r w:rsidR="00521D0B">
              <w:rPr>
                <w:rFonts w:ascii="Times New Roman" w:hAnsi="Times New Roman"/>
                <w:sz w:val="24"/>
              </w:rPr>
              <w:t>'</w:t>
            </w:r>
            <w:r>
              <w:rPr>
                <w:rFonts w:ascii="Times New Roman" w:hAnsi="Times New Roman"/>
                <w:sz w:val="24"/>
              </w:rPr>
              <w:t>articolo 92, paragrafo 3, del regolamento (UE) n. 575/2013, l</w:t>
            </w:r>
            <w:r w:rsidR="00521D0B">
              <w:rPr>
                <w:rFonts w:ascii="Times New Roman" w:hAnsi="Times New Roman"/>
                <w:sz w:val="24"/>
              </w:rPr>
              <w:t>'</w:t>
            </w:r>
            <w:r>
              <w:rPr>
                <w:rFonts w:ascii="Times New Roman" w:hAnsi="Times New Roman"/>
                <w:sz w:val="24"/>
              </w:rPr>
              <w:t>importo complessivo standardizzato dell</w:t>
            </w:r>
            <w:r w:rsidR="00521D0B">
              <w:rPr>
                <w:rFonts w:ascii="Times New Roman" w:hAnsi="Times New Roman"/>
                <w:sz w:val="24"/>
              </w:rPr>
              <w:t>'</w:t>
            </w:r>
            <w:r>
              <w:rPr>
                <w:rFonts w:ascii="Times New Roman" w:hAnsi="Times New Roman"/>
                <w:sz w:val="24"/>
              </w:rPr>
              <w:t>esposizione al rischio (S-TREA) calcolato conformemente all</w:t>
            </w:r>
            <w:r w:rsidR="00521D0B">
              <w:rPr>
                <w:rFonts w:ascii="Times New Roman" w:hAnsi="Times New Roman"/>
                <w:sz w:val="24"/>
              </w:rPr>
              <w:t>'</w:t>
            </w:r>
            <w:r>
              <w:rPr>
                <w:rFonts w:ascii="Times New Roman" w:hAnsi="Times New Roman"/>
                <w:sz w:val="24"/>
              </w:rPr>
              <w:t>articolo 92, paragrafo 5.</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w:t>
            </w:r>
          </w:p>
        </w:tc>
        <w:tc>
          <w:tcPr>
            <w:tcW w:w="7903" w:type="dxa"/>
          </w:tcPr>
          <w:p w14:paraId="6666FE03" w14:textId="7EF28185"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PRIMA DELL</w:t>
            </w:r>
            <w:r w:rsidR="00521D0B">
              <w:rPr>
                <w:rFonts w:ascii="Times New Roman" w:hAnsi="Times New Roman"/>
                <w:b/>
                <w:sz w:val="24"/>
                <w:u w:val="single"/>
              </w:rPr>
              <w:t>'</w:t>
            </w:r>
            <w:r>
              <w:rPr>
                <w:rFonts w:ascii="Times New Roman" w:hAnsi="Times New Roman"/>
                <w:b/>
                <w:sz w:val="24"/>
                <w:u w:val="single"/>
              </w:rPr>
              <w:t>APPLICAZIONE DEL MASSIMALE</w:t>
            </w:r>
          </w:p>
          <w:p w14:paraId="182BA4EA" w14:textId="77777777" w:rsidR="00933ADA" w:rsidRPr="002A677E" w:rsidRDefault="00933ADA" w:rsidP="00822842">
            <w:pPr>
              <w:spacing w:before="0" w:after="0"/>
              <w:jc w:val="left"/>
              <w:rPr>
                <w:rFonts w:ascii="Times New Roman" w:hAnsi="Times New Roman"/>
                <w:sz w:val="24"/>
              </w:rPr>
            </w:pPr>
          </w:p>
          <w:p w14:paraId="5D626718" w14:textId="6B4D0399" w:rsidR="00933ADA" w:rsidRPr="002A677E" w:rsidRDefault="00933ADA" w:rsidP="00822842">
            <w:pPr>
              <w:spacing w:before="0" w:after="0"/>
              <w:rPr>
                <w:rFonts w:ascii="Times New Roman" w:hAnsi="Times New Roman"/>
                <w:sz w:val="24"/>
              </w:rPr>
            </w:pPr>
            <w:r>
              <w:rPr>
                <w:rFonts w:ascii="Times New Roman" w:hAnsi="Times New Roman"/>
                <w:sz w:val="24"/>
              </w:rPr>
              <w:t>Lo S-TREA prima dell</w:t>
            </w:r>
            <w:r w:rsidR="00521D0B">
              <w:rPr>
                <w:rFonts w:ascii="Times New Roman" w:hAnsi="Times New Roman"/>
                <w:sz w:val="24"/>
              </w:rPr>
              <w:t>'</w:t>
            </w:r>
            <w:r>
              <w:rPr>
                <w:rFonts w:ascii="Times New Roman" w:hAnsi="Times New Roman"/>
                <w:sz w:val="24"/>
              </w:rPr>
              <w:t>applicazione del massimale alle posizioni verso la cartolarizzazione calcolate conformemente alla parte tre, titolo II, capo 5, sezione</w:t>
            </w:r>
            <w:r w:rsidR="0096263E">
              <w:rPr>
                <w:rFonts w:ascii="Times New Roman" w:hAnsi="Times New Roman"/>
                <w:sz w:val="24"/>
              </w:rPr>
              <w:t> </w:t>
            </w:r>
            <w:r>
              <w:rPr>
                <w:rFonts w:ascii="Times New Roman" w:hAnsi="Times New Roman"/>
                <w:sz w:val="24"/>
              </w:rPr>
              <w:t>3, del regolamento (UE) n. 575/2013.</w:t>
            </w:r>
          </w:p>
          <w:p w14:paraId="2F5CF5BF" w14:textId="77777777" w:rsidR="0096263E" w:rsidRPr="002A677E" w:rsidRDefault="0096263E" w:rsidP="00822842">
            <w:pPr>
              <w:spacing w:before="0" w:after="0"/>
              <w:jc w:val="left"/>
              <w:rPr>
                <w:rFonts w:ascii="Times New Roman" w:hAnsi="Times New Roman"/>
                <w:sz w:val="24"/>
              </w:rPr>
            </w:pPr>
          </w:p>
          <w:p w14:paraId="33863AEA" w14:textId="77777777" w:rsidR="00933ADA" w:rsidRDefault="00933ADA" w:rsidP="00822842">
            <w:pPr>
              <w:spacing w:before="0" w:after="0"/>
              <w:jc w:val="left"/>
              <w:rPr>
                <w:rFonts w:ascii="Times New Roman" w:hAnsi="Times New Roman"/>
                <w:sz w:val="24"/>
              </w:rPr>
            </w:pPr>
            <w:r>
              <w:rPr>
                <w:rFonts w:ascii="Times New Roman" w:hAnsi="Times New Roman"/>
                <w:sz w:val="24"/>
              </w:rPr>
              <w:t>Per le cartolarizzazioni contenute nel portafoglio di negoziazione, è segnalato:</w:t>
            </w:r>
          </w:p>
          <w:p w14:paraId="3F8EED90" w14:textId="574ADF5D"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l</w:t>
            </w:r>
            <w:r w:rsidR="00521D0B">
              <w:rPr>
                <w:rFonts w:ascii="Times New Roman" w:hAnsi="Times New Roman"/>
                <w:sz w:val="24"/>
              </w:rPr>
              <w:t>'</w:t>
            </w:r>
            <w:r>
              <w:rPr>
                <w:rFonts w:ascii="Times New Roman" w:hAnsi="Times New Roman"/>
                <w:sz w:val="24"/>
              </w:rPr>
              <w:t xml:space="preserve">RWEA relativo al rischio specifico, determinato come 12,5 volte il requisito di fondi propri segnalato rispettivamente nella colonna 0570 di </w:t>
            </w:r>
            <w:r>
              <w:rPr>
                <w:rFonts w:ascii="Times New Roman" w:hAnsi="Times New Roman"/>
                <w:sz w:val="24"/>
              </w:rPr>
              <w:lastRenderedPageBreak/>
              <w:t>MKR SA SEC o nelle colonne 0410 e 0420 (pertinente per il requisito di fondi propri) di MKR SA CTP, se l</w:t>
            </w:r>
            <w:r w:rsidR="00521D0B">
              <w:rPr>
                <w:rFonts w:ascii="Times New Roman" w:hAnsi="Times New Roman"/>
                <w:sz w:val="24"/>
              </w:rPr>
              <w:t>'</w:t>
            </w:r>
            <w:r>
              <w:rPr>
                <w:rFonts w:ascii="Times New Roman" w:hAnsi="Times New Roman"/>
                <w:sz w:val="24"/>
              </w:rPr>
              <w:t>ente applica il metodo standardizzato semplificato per il rischio di mercato,</w:t>
            </w:r>
          </w:p>
          <w:p w14:paraId="693C7CE2" w14:textId="7754401C"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la somma del valore assoluto di tutte le sensibilità ponderate della cartolarizzazione ai fattori di rischio, determinato ai fini del calcolo dei requisiti di fondi propri per il rischio di differenziali creditizi per le cartolarizzazioni non incluse nell</w:t>
            </w:r>
            <w:r w:rsidR="00521D0B">
              <w:rPr>
                <w:rFonts w:ascii="Times New Roman" w:hAnsi="Times New Roman"/>
                <w:sz w:val="24"/>
              </w:rPr>
              <w:t>'</w:t>
            </w:r>
            <w:r>
              <w:rPr>
                <w:rFonts w:ascii="Times New Roman" w:hAnsi="Times New Roman"/>
                <w:sz w:val="24"/>
              </w:rPr>
              <w:t>ACTP, o il rischio di differenziali creditizi per le cartolarizzazioni nell</w:t>
            </w:r>
            <w:r w:rsidR="00521D0B">
              <w:rPr>
                <w:rFonts w:ascii="Times New Roman" w:hAnsi="Times New Roman"/>
                <w:sz w:val="24"/>
              </w:rPr>
              <w:t>'</w:t>
            </w:r>
            <w:r>
              <w:rPr>
                <w:rFonts w:ascii="Times New Roman" w:hAnsi="Times New Roman"/>
                <w:sz w:val="24"/>
              </w:rPr>
              <w:t>ACTP, se l</w:t>
            </w:r>
            <w:r w:rsidR="00521D0B">
              <w:rPr>
                <w:rFonts w:ascii="Times New Roman" w:hAnsi="Times New Roman"/>
                <w:sz w:val="24"/>
              </w:rPr>
              <w:t>'</w:t>
            </w:r>
            <w:r>
              <w:rPr>
                <w:rFonts w:ascii="Times New Roman" w:hAnsi="Times New Roman"/>
                <w:sz w:val="24"/>
              </w:rPr>
              <w:t>ente applica l</w:t>
            </w:r>
            <w:r w:rsidR="00521D0B">
              <w:rPr>
                <w:rFonts w:ascii="Times New Roman" w:hAnsi="Times New Roman"/>
                <w:sz w:val="24"/>
              </w:rPr>
              <w:t>'</w:t>
            </w:r>
            <w:r>
              <w:rPr>
                <w:rFonts w:ascii="Times New Roman" w:hAnsi="Times New Roman"/>
                <w:sz w:val="24"/>
              </w:rPr>
              <w:t>ASA.</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rPr>
                  </w:pPr>
                  <w:r>
                    <w:rPr>
                      <w:b/>
                    </w:rPr>
                    <w:t>Testo esplicativo a fini di consultazione</w:t>
                  </w:r>
                </w:p>
                <w:p w14:paraId="23406B96" w14:textId="0B65B8A9" w:rsidR="00933ADA" w:rsidRDefault="00933ADA" w:rsidP="00822842">
                  <w:pPr>
                    <w:pStyle w:val="body"/>
                  </w:pPr>
                  <w:r>
                    <w:t>Per motivi di semplicità, e nonostante il fatto che non rispecchi le differenze tra il calcolo dello S-TREA e dell</w:t>
                  </w:r>
                  <w:r w:rsidR="00521D0B">
                    <w:t>'</w:t>
                  </w:r>
                  <w:r>
                    <w:t>U-TREA (cfr. le nuove colonne seguenti), sia gli enti che applicano l</w:t>
                  </w:r>
                  <w:r w:rsidR="00521D0B">
                    <w:t>'</w:t>
                  </w:r>
                  <w:r>
                    <w:t>ASA sia gli enti che applicano l</w:t>
                  </w:r>
                  <w:r w:rsidR="00521D0B">
                    <w:t>'</w:t>
                  </w:r>
                  <w:r>
                    <w:t>AIMA sono invitati a comunicare semplicemente la somma delle sensibilità ponderate determinate sulla base dell</w:t>
                  </w:r>
                  <w:r w:rsidR="00521D0B">
                    <w:t>'</w:t>
                  </w:r>
                  <w:proofErr w:type="spellStart"/>
                  <w:r>
                    <w:t>SbM</w:t>
                  </w:r>
                  <w:proofErr w:type="spellEnd"/>
                  <w:r>
                    <w:t xml:space="preserve"> per il rischio di differenziali creditizi della cartolarizzazione. A causa delle norme in materia di output </w:t>
                  </w:r>
                  <w:proofErr w:type="spellStart"/>
                  <w:r>
                    <w:t>floor</w:t>
                  </w:r>
                  <w:proofErr w:type="spellEnd"/>
                  <w:r>
                    <w:t>, sia gli enti che applicano l</w:t>
                  </w:r>
                  <w:r w:rsidR="00521D0B">
                    <w:t>'</w:t>
                  </w:r>
                  <w:r>
                    <w:t>ASA sia quelli che applicano l</w:t>
                  </w:r>
                  <w:r w:rsidR="00521D0B">
                    <w:t>'</w:t>
                  </w:r>
                  <w:r>
                    <w:t>AIMA dovrebbero disporre di tale valore senza ulteriori sforzi.</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0442</w:t>
            </w:r>
          </w:p>
        </w:tc>
        <w:tc>
          <w:tcPr>
            <w:tcW w:w="7903" w:type="dxa"/>
          </w:tcPr>
          <w:p w14:paraId="49431B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RIDUZIONE DOVUTA AL MASSIMALE DI PONDERAZIONE DEL RISCHIO</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6B5E5D62" w:rsidR="00933ADA" w:rsidRPr="002A677E" w:rsidRDefault="00933ADA" w:rsidP="00822842">
            <w:pPr>
              <w:spacing w:before="0" w:after="0"/>
              <w:jc w:val="left"/>
              <w:rPr>
                <w:rFonts w:ascii="Times New Roman" w:hAnsi="Times New Roman"/>
                <w:sz w:val="24"/>
              </w:rPr>
            </w:pPr>
            <w:r>
              <w:rPr>
                <w:rFonts w:ascii="Times New Roman" w:hAnsi="Times New Roman"/>
                <w:sz w:val="24"/>
              </w:rPr>
              <w:t>Riduzione dello S-TREA dovuta al massimale del fattore di ponderazione del rischio conformemente all</w:t>
            </w:r>
            <w:r w:rsidR="00521D0B">
              <w:rPr>
                <w:rFonts w:ascii="Times New Roman" w:hAnsi="Times New Roman"/>
                <w:sz w:val="24"/>
              </w:rPr>
              <w:t>'</w:t>
            </w:r>
            <w:r>
              <w:rPr>
                <w:rFonts w:ascii="Times New Roman" w:hAnsi="Times New Roman"/>
                <w:sz w:val="24"/>
              </w:rPr>
              <w:t>articolo 267 e all</w:t>
            </w:r>
            <w:r w:rsidR="00521D0B">
              <w:rPr>
                <w:rFonts w:ascii="Times New Roman" w:hAnsi="Times New Roman"/>
                <w:sz w:val="24"/>
              </w:rPr>
              <w:t>'</w:t>
            </w:r>
            <w:r>
              <w:rPr>
                <w:rFonts w:ascii="Times New Roman" w:hAnsi="Times New Roman"/>
                <w:sz w:val="24"/>
              </w:rPr>
              <w:t>articolo 269 bis del regolamento (UE) n. 575/2013.</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0443</w:t>
            </w:r>
          </w:p>
        </w:tc>
        <w:tc>
          <w:tcPr>
            <w:tcW w:w="7903" w:type="dxa"/>
          </w:tcPr>
          <w:p w14:paraId="30571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RIDUZIONE DOVUTA AL MASSIMALE GENERALE</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3BF0CD90" w:rsidR="00933ADA" w:rsidRPr="002A677E" w:rsidRDefault="00933ADA" w:rsidP="00822842">
            <w:pPr>
              <w:spacing w:before="0" w:after="0"/>
              <w:jc w:val="left"/>
              <w:rPr>
                <w:rFonts w:ascii="Times New Roman" w:hAnsi="Times New Roman"/>
                <w:sz w:val="24"/>
              </w:rPr>
            </w:pPr>
            <w:r>
              <w:rPr>
                <w:rFonts w:ascii="Times New Roman" w:hAnsi="Times New Roman"/>
                <w:sz w:val="24"/>
              </w:rPr>
              <w:t>Riduzione dello S-TREA dovuta al massimale globale conformemente all</w:t>
            </w:r>
            <w:r w:rsidR="00521D0B">
              <w:rPr>
                <w:rFonts w:ascii="Times New Roman" w:hAnsi="Times New Roman"/>
                <w:sz w:val="24"/>
              </w:rPr>
              <w:t>'</w:t>
            </w:r>
            <w:r>
              <w:rPr>
                <w:rFonts w:ascii="Times New Roman" w:hAnsi="Times New Roman"/>
                <w:sz w:val="24"/>
              </w:rPr>
              <w:t>articolo 268 e all</w:t>
            </w:r>
            <w:r w:rsidR="00521D0B">
              <w:rPr>
                <w:rFonts w:ascii="Times New Roman" w:hAnsi="Times New Roman"/>
                <w:sz w:val="24"/>
              </w:rPr>
              <w:t>'</w:t>
            </w:r>
            <w:r>
              <w:rPr>
                <w:rFonts w:ascii="Times New Roman" w:hAnsi="Times New Roman"/>
                <w:sz w:val="24"/>
              </w:rPr>
              <w:t xml:space="preserve">articolo 269 bis del regolamento (UE) n. 575/2013.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0444</w:t>
            </w:r>
          </w:p>
        </w:tc>
        <w:tc>
          <w:tcPr>
            <w:tcW w:w="7903" w:type="dxa"/>
          </w:tcPr>
          <w:p w14:paraId="7784F835" w14:textId="5B500BFD"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DOPO L</w:t>
            </w:r>
            <w:r w:rsidR="00521D0B">
              <w:rPr>
                <w:rFonts w:ascii="Times New Roman" w:hAnsi="Times New Roman"/>
                <w:b/>
                <w:sz w:val="24"/>
                <w:u w:val="single"/>
              </w:rPr>
              <w:t>'</w:t>
            </w:r>
            <w:r>
              <w:rPr>
                <w:rFonts w:ascii="Times New Roman" w:hAnsi="Times New Roman"/>
                <w:b/>
                <w:sz w:val="24"/>
                <w:u w:val="single"/>
              </w:rPr>
              <w:t>APPLICAZIONE DEL MASSIMALE</w:t>
            </w:r>
          </w:p>
          <w:p w14:paraId="433303FD" w14:textId="77777777" w:rsidR="00933ADA" w:rsidRPr="002A677E" w:rsidRDefault="00933ADA" w:rsidP="00822842">
            <w:pPr>
              <w:spacing w:before="0" w:after="0"/>
              <w:jc w:val="left"/>
              <w:rPr>
                <w:rFonts w:ascii="Times New Roman" w:hAnsi="Times New Roman"/>
                <w:sz w:val="24"/>
              </w:rPr>
            </w:pPr>
          </w:p>
          <w:p w14:paraId="172CC8C5" w14:textId="05C32312" w:rsidR="00933ADA" w:rsidRPr="002A677E" w:rsidRDefault="00933ADA" w:rsidP="00822842">
            <w:pPr>
              <w:spacing w:before="0" w:after="0"/>
              <w:rPr>
                <w:rFonts w:ascii="Times New Roman" w:hAnsi="Times New Roman"/>
                <w:sz w:val="24"/>
              </w:rPr>
            </w:pPr>
            <w:r>
              <w:rPr>
                <w:rFonts w:ascii="Times New Roman" w:hAnsi="Times New Roman"/>
                <w:sz w:val="24"/>
              </w:rPr>
              <w:t>Questa colonna contiene informazioni sullo S-TREA dopo l</w:t>
            </w:r>
            <w:r w:rsidR="00521D0B">
              <w:rPr>
                <w:rFonts w:ascii="Times New Roman" w:hAnsi="Times New Roman"/>
                <w:sz w:val="24"/>
              </w:rPr>
              <w:t>'</w:t>
            </w:r>
            <w:r>
              <w:rPr>
                <w:rFonts w:ascii="Times New Roman" w:hAnsi="Times New Roman"/>
                <w:sz w:val="24"/>
              </w:rPr>
              <w:t xml:space="preserve">applicazione dei massimali alle posizioni verso la cartolarizzazione calcolate conformemente alla parte tre, titolo II, capo 5, sezione 3, del regolamento (UE) n. 575/2013.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rFonts w:ascii="Times New Roman" w:hAnsi="Times New Roman"/>
                <w:sz w:val="24"/>
              </w:rPr>
            </w:pPr>
            <w:r>
              <w:rPr>
                <w:rFonts w:ascii="Times New Roman" w:hAnsi="Times New Roman"/>
                <w:sz w:val="24"/>
              </w:rPr>
              <w:t>Per le cartolarizzazioni contenute nel portafoglio di negoziazione, è segnalato:</w:t>
            </w:r>
          </w:p>
          <w:p w14:paraId="09A850B1" w14:textId="2EB44385"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l</w:t>
            </w:r>
            <w:r w:rsidR="00521D0B">
              <w:rPr>
                <w:rFonts w:ascii="Times New Roman" w:hAnsi="Times New Roman"/>
                <w:sz w:val="24"/>
              </w:rPr>
              <w:t>'</w:t>
            </w:r>
            <w:r>
              <w:rPr>
                <w:rFonts w:ascii="Times New Roman" w:hAnsi="Times New Roman"/>
                <w:sz w:val="24"/>
              </w:rPr>
              <w:t>RWEA relativo al rischio specifico, determinato come 12,5 volte il requisito di fondi propri segnalato rispettivamente nella colonna 0570 di MKR SA SEC o nelle colonne 0410 e 0420 (pertinente per il requisito di fondi propri) di MKR SA CTP, se l</w:t>
            </w:r>
            <w:r w:rsidR="00521D0B">
              <w:rPr>
                <w:rFonts w:ascii="Times New Roman" w:hAnsi="Times New Roman"/>
                <w:sz w:val="24"/>
              </w:rPr>
              <w:t>'</w:t>
            </w:r>
            <w:r>
              <w:rPr>
                <w:rFonts w:ascii="Times New Roman" w:hAnsi="Times New Roman"/>
                <w:sz w:val="24"/>
              </w:rPr>
              <w:t>ente applica il metodo standardizzato semplificato per il rischio di mercato,</w:t>
            </w:r>
          </w:p>
          <w:p w14:paraId="192C3CE4" w14:textId="744097FE"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la somma del valore assoluto di tutte le sensibilità ponderate della cartolarizzazione ai fattori di rischio, determinato ai fini del calcolo dei requisiti di fondi propri per il rischio di differenziali creditizi per le cartolarizzazioni non incluse nell</w:t>
            </w:r>
            <w:r w:rsidR="00521D0B">
              <w:rPr>
                <w:rFonts w:ascii="Times New Roman" w:hAnsi="Times New Roman"/>
                <w:sz w:val="24"/>
              </w:rPr>
              <w:t>'</w:t>
            </w:r>
            <w:r>
              <w:rPr>
                <w:rFonts w:ascii="Times New Roman" w:hAnsi="Times New Roman"/>
                <w:sz w:val="24"/>
              </w:rPr>
              <w:t>ACTP, o il rischio di differenziali creditizi per le cartolarizzazioni nell</w:t>
            </w:r>
            <w:r w:rsidR="00521D0B">
              <w:rPr>
                <w:rFonts w:ascii="Times New Roman" w:hAnsi="Times New Roman"/>
                <w:sz w:val="24"/>
              </w:rPr>
              <w:t>'</w:t>
            </w:r>
            <w:r>
              <w:rPr>
                <w:rFonts w:ascii="Times New Roman" w:hAnsi="Times New Roman"/>
                <w:sz w:val="24"/>
              </w:rPr>
              <w:t>ACTP, se l</w:t>
            </w:r>
            <w:r w:rsidR="00521D0B">
              <w:rPr>
                <w:rFonts w:ascii="Times New Roman" w:hAnsi="Times New Roman"/>
                <w:sz w:val="24"/>
              </w:rPr>
              <w:t>'</w:t>
            </w:r>
            <w:r>
              <w:rPr>
                <w:rFonts w:ascii="Times New Roman" w:hAnsi="Times New Roman"/>
                <w:sz w:val="24"/>
              </w:rPr>
              <w:t>ente applica l</w:t>
            </w:r>
            <w:r w:rsidR="00521D0B">
              <w:rPr>
                <w:rFonts w:ascii="Times New Roman" w:hAnsi="Times New Roman"/>
                <w:sz w:val="24"/>
              </w:rPr>
              <w:t>'</w:t>
            </w:r>
            <w:r>
              <w:rPr>
                <w:rFonts w:ascii="Times New Roman" w:hAnsi="Times New Roman"/>
                <w:sz w:val="24"/>
              </w:rPr>
              <w:t>ASA.</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0447-04xx</w:t>
            </w:r>
          </w:p>
        </w:tc>
        <w:tc>
          <w:tcPr>
            <w:tcW w:w="7903" w:type="dxa"/>
          </w:tcPr>
          <w:p w14:paraId="39177254"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VOCI PER MEMORIA</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0447</w:t>
            </w:r>
          </w:p>
        </w:tc>
        <w:tc>
          <w:tcPr>
            <w:tcW w:w="7903" w:type="dxa"/>
          </w:tcPr>
          <w:p w14:paraId="7CAC211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IMPORTO DELLE ESPOSIZIONI PONDERATO PER IL RISCHIO SECONDO IL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3130D964" w:rsidR="00933ADA" w:rsidRPr="002A677E" w:rsidRDefault="00933ADA" w:rsidP="00822842">
            <w:pPr>
              <w:spacing w:before="0" w:after="0"/>
              <w:jc w:val="left"/>
              <w:rPr>
                <w:rFonts w:ascii="Times New Roman" w:hAnsi="Times New Roman"/>
                <w:sz w:val="24"/>
              </w:rPr>
            </w:pPr>
            <w:r>
              <w:rPr>
                <w:rFonts w:ascii="Times New Roman" w:hAnsi="Times New Roman"/>
                <w:sz w:val="24"/>
              </w:rPr>
              <w:t>Articoli 263 e 264 del regolamento (UE) n. 575/2013. Questa colonna è compilata solo per le operazioni con rating prima dell</w:t>
            </w:r>
            <w:r w:rsidR="00521D0B">
              <w:rPr>
                <w:rFonts w:ascii="Times New Roman" w:hAnsi="Times New Roman"/>
                <w:sz w:val="24"/>
              </w:rPr>
              <w:t>'</w:t>
            </w:r>
            <w:r>
              <w:rPr>
                <w:rFonts w:ascii="Times New Roman" w:hAnsi="Times New Roman"/>
                <w:sz w:val="24"/>
              </w:rPr>
              <w:t>applicazione del massimale e non è compilata per le operazioni nell</w:t>
            </w:r>
            <w:r w:rsidR="00521D0B">
              <w:rPr>
                <w:rFonts w:ascii="Times New Roman" w:hAnsi="Times New Roman"/>
                <w:sz w:val="24"/>
              </w:rPr>
              <w:t>'</w:t>
            </w:r>
            <w:r>
              <w:rPr>
                <w:rFonts w:ascii="Times New Roman" w:hAnsi="Times New Roman"/>
                <w:sz w:val="24"/>
              </w:rPr>
              <w:t xml:space="preserve">ambito del SEC-ERBA.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48FF751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IMPORTO DELLE ESPOSIZIONI PONDERATO PER IL RISCHIO SECONDO IL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2688848C" w:rsidR="00933ADA" w:rsidRPr="002A677E" w:rsidRDefault="00933ADA" w:rsidP="00822842">
            <w:pPr>
              <w:spacing w:before="0" w:after="0"/>
              <w:jc w:val="left"/>
              <w:rPr>
                <w:rFonts w:ascii="Times New Roman" w:hAnsi="Times New Roman"/>
                <w:sz w:val="24"/>
              </w:rPr>
            </w:pPr>
            <w:r>
              <w:rPr>
                <w:rFonts w:ascii="Times New Roman" w:hAnsi="Times New Roman"/>
                <w:sz w:val="24"/>
              </w:rPr>
              <w:t>Articoli 261 e 262 del regolamento (UE) n. 575/2013. Questa colonna è compilata prima dell</w:t>
            </w:r>
            <w:r w:rsidR="00521D0B">
              <w:rPr>
                <w:rFonts w:ascii="Times New Roman" w:hAnsi="Times New Roman"/>
                <w:sz w:val="24"/>
              </w:rPr>
              <w:t>'</w:t>
            </w:r>
            <w:r>
              <w:rPr>
                <w:rFonts w:ascii="Times New Roman" w:hAnsi="Times New Roman"/>
                <w:sz w:val="24"/>
              </w:rPr>
              <w:t>applicazione del massimale e non è compilata per le operazioni nell</w:t>
            </w:r>
            <w:r w:rsidR="00521D0B">
              <w:rPr>
                <w:rFonts w:ascii="Times New Roman" w:hAnsi="Times New Roman"/>
                <w:sz w:val="24"/>
              </w:rPr>
              <w:t>'</w:t>
            </w:r>
            <w:r>
              <w:rPr>
                <w:rFonts w:ascii="Times New Roman" w:hAnsi="Times New Roman"/>
                <w:sz w:val="24"/>
              </w:rPr>
              <w:t>ambito del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0451-0453</w:t>
            </w:r>
          </w:p>
        </w:tc>
        <w:tc>
          <w:tcPr>
            <w:tcW w:w="7903" w:type="dxa"/>
            <w:shd w:val="clear" w:color="auto" w:fill="auto"/>
          </w:tcPr>
          <w:p w14:paraId="1303C165" w14:textId="71605562"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OUTPUT FLOOR: RWEA RELATIVO ALL</w:t>
            </w:r>
            <w:r w:rsidR="00521D0B">
              <w:rPr>
                <w:rFonts w:ascii="Times New Roman" w:hAnsi="Times New Roman"/>
                <w:b/>
                <w:sz w:val="24"/>
                <w:u w:val="single"/>
              </w:rPr>
              <w:t>'</w:t>
            </w:r>
            <w:r>
              <w:rPr>
                <w:rFonts w:ascii="Times New Roman" w:hAnsi="Times New Roman"/>
                <w:b/>
                <w:sz w:val="24"/>
                <w:u w:val="single"/>
              </w:rPr>
              <w:t>IMPATTO DELL</w:t>
            </w:r>
            <w:r w:rsidR="00521D0B">
              <w:rPr>
                <w:rFonts w:ascii="Times New Roman" w:hAnsi="Times New Roman"/>
                <w:b/>
                <w:sz w:val="24"/>
                <w:u w:val="single"/>
              </w:rPr>
              <w:t>'</w:t>
            </w:r>
            <w:r>
              <w:rPr>
                <w:rFonts w:ascii="Times New Roman" w:hAnsi="Times New Roman"/>
                <w:b/>
                <w:sz w:val="24"/>
                <w:u w:val="single"/>
              </w:rPr>
              <w:t>APPLICAZIONE DELL</w:t>
            </w:r>
            <w:r w:rsidR="00521D0B">
              <w:rPr>
                <w:rFonts w:ascii="Times New Roman" w:hAnsi="Times New Roman"/>
                <w:b/>
                <w:sz w:val="24"/>
                <w:u w:val="single"/>
              </w:rPr>
              <w:t>'</w:t>
            </w:r>
            <w:r>
              <w:rPr>
                <w:rFonts w:ascii="Times New Roman" w:hAnsi="Times New Roman"/>
                <w:b/>
                <w:sz w:val="24"/>
                <w:u w:val="single"/>
              </w:rPr>
              <w:t>ARTICOLO 465, PARAGRAFO 7, DEL</w:t>
            </w:r>
            <w:r w:rsidR="0096263E">
              <w:rPr>
                <w:rFonts w:ascii="Times New Roman" w:hAnsi="Times New Roman"/>
                <w:b/>
                <w:sz w:val="24"/>
                <w:u w:val="single"/>
              </w:rPr>
              <w:t> </w:t>
            </w:r>
            <w:r>
              <w:rPr>
                <w:rFonts w:ascii="Times New Roman" w:hAnsi="Times New Roman"/>
                <w:b/>
                <w:sz w:val="24"/>
                <w:u w:val="single"/>
              </w:rPr>
              <w:t>REGOLAMENTO (UE) N. 575/2013</w:t>
            </w:r>
          </w:p>
          <w:p w14:paraId="121EEE73" w14:textId="396C1F63"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La differenza tra l</w:t>
            </w:r>
            <w:r w:rsidR="00521D0B">
              <w:rPr>
                <w:rFonts w:ascii="Times New Roman" w:hAnsi="Times New Roman"/>
                <w:sz w:val="24"/>
              </w:rPr>
              <w:t>'</w:t>
            </w:r>
            <w:r>
              <w:rPr>
                <w:rFonts w:ascii="Times New Roman" w:hAnsi="Times New Roman"/>
                <w:sz w:val="24"/>
              </w:rPr>
              <w:t>importo dell</w:t>
            </w:r>
            <w:r w:rsidR="00521D0B">
              <w:rPr>
                <w:rFonts w:ascii="Times New Roman" w:hAnsi="Times New Roman"/>
                <w:sz w:val="24"/>
              </w:rPr>
              <w:t>'</w:t>
            </w:r>
            <w:r>
              <w:rPr>
                <w:rFonts w:ascii="Times New Roman" w:hAnsi="Times New Roman"/>
                <w:sz w:val="24"/>
              </w:rPr>
              <w:t>RWEA calcolato senza applicare le disposizioni transitorie e l</w:t>
            </w:r>
            <w:r w:rsidR="00521D0B">
              <w:rPr>
                <w:rFonts w:ascii="Times New Roman" w:hAnsi="Times New Roman"/>
                <w:sz w:val="24"/>
              </w:rPr>
              <w:t>'</w:t>
            </w:r>
            <w:r>
              <w:rPr>
                <w:rFonts w:ascii="Times New Roman" w:hAnsi="Times New Roman"/>
                <w:sz w:val="24"/>
              </w:rPr>
              <w:t>importo dell</w:t>
            </w:r>
            <w:r w:rsidR="00521D0B">
              <w:rPr>
                <w:rFonts w:ascii="Times New Roman" w:hAnsi="Times New Roman"/>
                <w:sz w:val="24"/>
              </w:rPr>
              <w:t>'</w:t>
            </w:r>
            <w:r>
              <w:rPr>
                <w:rFonts w:ascii="Times New Roman" w:hAnsi="Times New Roman"/>
                <w:sz w:val="24"/>
              </w:rPr>
              <w:t>RWEA calcolato applicando le disposizioni transitorie è segnalata per ciascuno dei tre metodi: SEC-IRBA, metodo di valutazione interna e trattamento specifico dei segmenti senior nelle cartolarizzazioni SPE qualificate.</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1EA354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POSIZIONI VERSO LA CARTOLARIZZAZIONE — PORTAFOGLIO DI NEGOZIAZIONE</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CTP O NON CTP?</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Gli enti utilizzano una delle seguenti diciture:</w:t>
            </w:r>
          </w:p>
          <w:p w14:paraId="3077C0BF" w14:textId="7736052D" w:rsidR="00933ADA" w:rsidRPr="002A677E" w:rsidRDefault="00521D0B"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00933ADA">
              <w:rPr>
                <w:rStyle w:val="InstructionsTabelleText"/>
                <w:rFonts w:ascii="Times New Roman" w:hAnsi="Times New Roman"/>
                <w:sz w:val="24"/>
              </w:rPr>
              <w:t>CTP</w:t>
            </w:r>
            <w:r>
              <w:rPr>
                <w:rStyle w:val="InstructionsTabelleText"/>
                <w:rFonts w:ascii="Times New Roman" w:hAnsi="Times New Roman"/>
                <w:sz w:val="24"/>
              </w:rPr>
              <w:t>"</w:t>
            </w:r>
            <w:r w:rsidR="00933ADA">
              <w:rPr>
                <w:rStyle w:val="InstructionsTabelleText"/>
                <w:rFonts w:ascii="Times New Roman" w:hAnsi="Times New Roman"/>
                <w:sz w:val="24"/>
              </w:rPr>
              <w:t xml:space="preserve"> - portafoglio di negoziazione di correlazione;</w:t>
            </w:r>
          </w:p>
          <w:p w14:paraId="7D2A23A5" w14:textId="2F1A1509" w:rsidR="00933ADA" w:rsidRPr="002A677E" w:rsidRDefault="00521D0B"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00933ADA">
              <w:rPr>
                <w:rStyle w:val="InstructionsTabelleText"/>
                <w:rFonts w:ascii="Times New Roman" w:hAnsi="Times New Roman"/>
                <w:sz w:val="24"/>
              </w:rPr>
              <w:t>Non-CTP</w:t>
            </w:r>
            <w:r>
              <w:rPr>
                <w:rStyle w:val="InstructionsTabelleText"/>
                <w:rFonts w:ascii="Times New Roman" w:hAnsi="Times New Roman"/>
                <w:sz w:val="24"/>
              </w:rPr>
              <w:t>"</w:t>
            </w:r>
            <w:r w:rsidR="00933ADA">
              <w:rPr>
                <w:rStyle w:val="InstructionsTabelleText"/>
                <w:rFonts w:ascii="Times New Roman" w:hAnsi="Times New Roman"/>
                <w:sz w:val="24"/>
              </w:rPr>
              <w:t>.</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2BC46681" w:rsidR="00933ADA" w:rsidRPr="0002267E" w:rsidRDefault="00933ADA" w:rsidP="00933ADA">
      <w:pPr>
        <w:pStyle w:val="FootnoteText"/>
        <w:ind w:left="567" w:hanging="567"/>
        <w:rPr>
          <w:rFonts w:ascii="Times New Roman" w:hAnsi="Times New Roman"/>
          <w:sz w:val="20"/>
          <w:szCs w:val="20"/>
        </w:rPr>
      </w:pPr>
      <w:r>
        <w:rPr>
          <w:rStyle w:val="FootnoteReference"/>
        </w:rPr>
        <w:footnoteRef/>
      </w:r>
      <w:r w:rsidR="0096263E">
        <w:tab/>
      </w:r>
      <w:r>
        <w:rPr>
          <w:rFonts w:ascii="Times New Roman" w:hAnsi="Times New Roman"/>
          <w:color w:val="444444"/>
          <w:sz w:val="20"/>
        </w:rPr>
        <w:t>Regolamento (UE) 2017/2402 del Parlamento europeo e del Consiglio, del 12 dicembre 2017, che stabilisce un quadro generale per la cartolarizzazione, instaura un quadro specifico per cartolarizzazioni semplici, trasparenti e standardizzate e modifica le direttive 2009/65/CE, 2009/138/CE e 2011/61/UE e i regolamenti (CE) n. 1060/2009 e (UE) n. 648/2012 (GU L 347 del 28.12.2017, pag. 35).</w:t>
      </w:r>
    </w:p>
  </w:footnote>
  <w:footnote w:id="2">
    <w:p w14:paraId="1712BE5D" w14:textId="2ECE1EF6" w:rsidR="00933ADA" w:rsidRPr="002409C1" w:rsidRDefault="00933ADA" w:rsidP="00933ADA">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 xml:space="preserve">Gli </w:t>
      </w:r>
      <w:r w:rsidR="00521D0B">
        <w:rPr>
          <w:rFonts w:ascii="Times New Roman" w:hAnsi="Times New Roman"/>
          <w:sz w:val="20"/>
        </w:rPr>
        <w:t>"</w:t>
      </w:r>
      <w:r>
        <w:rPr>
          <w:rFonts w:ascii="Times New Roman" w:hAnsi="Times New Roman"/>
          <w:sz w:val="20"/>
        </w:rPr>
        <w:t>enti autonomi</w:t>
      </w:r>
      <w:r w:rsidR="00521D0B">
        <w:rPr>
          <w:rFonts w:ascii="Times New Roman" w:hAnsi="Times New Roman"/>
          <w:sz w:val="20"/>
        </w:rPr>
        <w:t>"</w:t>
      </w:r>
      <w:r>
        <w:rPr>
          <w:rFonts w:ascii="Times New Roman" w:hAnsi="Times New Roman"/>
          <w:sz w:val="20"/>
        </w:rPr>
        <w:t xml:space="preserve"> non fanno parte di un gruppo né si consolidano nello stesso paese in cui sono soggetti ai requisiti di fondi propri.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610CAF16"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521D0B">
                            <w:rPr>
                              <w:rFonts w:ascii="Calibri" w:hAnsi="Calibri"/>
                              <w:color w:val="000000"/>
                              <w:sz w:val="24"/>
                            </w:rPr>
                            <w:t>'</w:t>
                          </w:r>
                          <w:r>
                            <w:rPr>
                              <w:rFonts w:ascii="Calibri" w:hAnsi="Calibri"/>
                              <w:color w:val="000000"/>
                              <w:sz w:val="24"/>
                            </w:rPr>
                            <w:t>uso ordinario dell</w:t>
                          </w:r>
                          <w:r w:rsidR="00521D0B">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Per l'uso ordinario del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610CAF16"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521D0B">
                      <w:rPr>
                        <w:rFonts w:ascii="Calibri" w:hAnsi="Calibri"/>
                        <w:color w:val="000000"/>
                        <w:sz w:val="24"/>
                      </w:rPr>
                      <w:t>'</w:t>
                    </w:r>
                    <w:r>
                      <w:rPr>
                        <w:rFonts w:ascii="Calibri" w:hAnsi="Calibri"/>
                        <w:color w:val="000000"/>
                        <w:sz w:val="24"/>
                      </w:rPr>
                      <w:t>uso ordinario dell</w:t>
                    </w:r>
                    <w:r w:rsidR="00521D0B">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0FF90A6B"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521D0B">
                            <w:rPr>
                              <w:rFonts w:ascii="Calibri" w:hAnsi="Calibri"/>
                              <w:color w:val="000000"/>
                              <w:sz w:val="24"/>
                            </w:rPr>
                            <w:t>'</w:t>
                          </w:r>
                          <w:r>
                            <w:rPr>
                              <w:rFonts w:ascii="Calibri" w:hAnsi="Calibri"/>
                              <w:color w:val="000000"/>
                              <w:sz w:val="24"/>
                            </w:rPr>
                            <w:t>uso ordinario dell</w:t>
                          </w:r>
                          <w:r w:rsidR="00521D0B">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Per l'uso ordinario del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0FF90A6B"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521D0B">
                      <w:rPr>
                        <w:rFonts w:ascii="Calibri" w:hAnsi="Calibri"/>
                        <w:color w:val="000000"/>
                        <w:sz w:val="24"/>
                      </w:rPr>
                      <w:t>'</w:t>
                    </w:r>
                    <w:r>
                      <w:rPr>
                        <w:rFonts w:ascii="Calibri" w:hAnsi="Calibri"/>
                        <w:color w:val="000000"/>
                        <w:sz w:val="24"/>
                      </w:rPr>
                      <w:t>uso ordinario dell</w:t>
                    </w:r>
                    <w:r w:rsidR="00521D0B">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428EC319"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521D0B">
                            <w:rPr>
                              <w:rFonts w:ascii="Calibri" w:hAnsi="Calibri"/>
                              <w:color w:val="000000"/>
                              <w:sz w:val="24"/>
                            </w:rPr>
                            <w:t>'</w:t>
                          </w:r>
                          <w:r>
                            <w:rPr>
                              <w:rFonts w:ascii="Calibri" w:hAnsi="Calibri"/>
                              <w:color w:val="000000"/>
                              <w:sz w:val="24"/>
                            </w:rPr>
                            <w:t>uso ordinario dell</w:t>
                          </w:r>
                          <w:r w:rsidR="00521D0B">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Per l'uso ordinario del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428EC319"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w:t>
                    </w:r>
                    <w:r w:rsidR="00521D0B">
                      <w:rPr>
                        <w:rFonts w:ascii="Calibri" w:hAnsi="Calibri"/>
                        <w:color w:val="000000"/>
                        <w:sz w:val="24"/>
                      </w:rPr>
                      <w:t>'</w:t>
                    </w:r>
                    <w:r>
                      <w:rPr>
                        <w:rFonts w:ascii="Calibri" w:hAnsi="Calibri"/>
                        <w:color w:val="000000"/>
                        <w:sz w:val="24"/>
                      </w:rPr>
                      <w:t>uso ordinario dell</w:t>
                    </w:r>
                    <w:r w:rsidR="00521D0B">
                      <w:rPr>
                        <w:rFonts w:ascii="Calibri" w:hAnsi="Calibri"/>
                        <w:color w:val="000000"/>
                        <w:sz w:val="24"/>
                      </w:rPr>
                      <w:t>'</w:t>
                    </w:r>
                    <w:r>
                      <w:rPr>
                        <w:rFonts w:ascii="Calibri" w:hAnsi="Calibri"/>
                        <w:color w:val="000000"/>
                        <w:sz w:val="24"/>
                      </w:rPr>
                      <w:t>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241455"/>
    <w:rsid w:val="003A06D5"/>
    <w:rsid w:val="003E7539"/>
    <w:rsid w:val="004312AB"/>
    <w:rsid w:val="00521D0B"/>
    <w:rsid w:val="005754CB"/>
    <w:rsid w:val="005B58D3"/>
    <w:rsid w:val="005F3FB0"/>
    <w:rsid w:val="00631623"/>
    <w:rsid w:val="006573B5"/>
    <w:rsid w:val="00835B2F"/>
    <w:rsid w:val="00933ADA"/>
    <w:rsid w:val="0096263E"/>
    <w:rsid w:val="00A6002C"/>
    <w:rsid w:val="00B71F25"/>
    <w:rsid w:val="00B92D7C"/>
    <w:rsid w:val="00C4175A"/>
    <w:rsid w:val="00D117E0"/>
    <w:rsid w:val="00DA2818"/>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it-IT"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it-IT"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it-IT"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it-IT"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it-IT"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it-IT"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it-I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it-IT"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it-IT"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it-IT"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it-IT"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it-IT"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it-IT"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it-IT"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it-IT"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it-IT"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it-IT"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33ADA"/>
    <w:pPr>
      <w:numPr>
        <w:numId w:val="26"/>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it-IT"/>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it-IT"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5F38A6-62E2-44E7-B9F1-C8268931E966}">
  <ds:schemaRefs>
    <ds:schemaRef ds:uri="http://schemas.microsoft.com/sharepoint/v3/contenttype/forms"/>
  </ds:schemaRefs>
</ds:datastoreItem>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9D127C5-C047-4795-A0DF-8C994D6F131B}"/>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40</Pages>
  <Words>12393</Words>
  <Characters>74485</Characters>
  <Application>Microsoft Office Word</Application>
  <DocSecurity>0</DocSecurity>
  <Lines>2190</Lines>
  <Paragraphs>895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2025-01-27T11:54:00Z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2025-01-27T11:54:19Z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8bd271ba-c13b-42fd-81f0-e161e5a5c7ac</vt:lpwstr>
  </property>
  <property fmtid="{D5CDD505-2E9C-101B-9397-08002B2CF9AE}" pid="10" name="MSIP_Label_6bd9ddd1-4d20-43f6-abfa-fc3c07406f94_ContentBits">
    <vt:lpwstr>0</vt:lpwstr>
  </property>
</Properties>
</file>