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HR</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PRILOG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„PRILOG II.</w:t>
      </w:r>
    </w:p>
    <w:p w14:paraId="1330A6A8" w14:textId="5D7F4003" w:rsidR="000F1AF3" w:rsidRPr="00D41692" w:rsidRDefault="00D11E4C" w:rsidP="00D41692">
      <w:pPr>
        <w:jc w:val="center"/>
        <w:rPr>
          <w:rFonts w:ascii="Times New Roman" w:hAnsi="Times New Roman"/>
          <w:b/>
          <w:sz w:val="24"/>
        </w:rPr>
      </w:pPr>
      <w:r>
        <w:rPr>
          <w:rFonts w:ascii="Times New Roman" w:hAnsi="Times New Roman"/>
          <w:b/>
          <w:sz w:val="24"/>
        </w:rPr>
        <w:t>UPUTE ZA IZVJEŠĆIVANJE O REGULATORNOM KAPITALU I KAPITALNIM ZAHTJEVIMA</w:t>
      </w:r>
      <w:bookmarkStart w:id="2" w:name="_Toc264033192"/>
      <w:bookmarkEnd w:id="2"/>
      <w:bookmarkEnd w:id="0"/>
      <w:bookmarkEnd w:id="1"/>
      <w:r>
        <w:rPr>
          <w:rFonts w:ascii="Times New Roman" w:hAnsi="Times New Roman"/>
          <w:b/>
          <w:sz w:val="24"/>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DIO II.: UPUTE ZA POJEDINE OBRASCE</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tab/>
      </w:r>
      <w:r>
        <w:rPr>
          <w:rFonts w:ascii="Times New Roman" w:hAnsi="Times New Roman"/>
          <w:sz w:val="24"/>
        </w:rPr>
        <w:t>Obrasci za operativni rizik</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136</w:t>
      </w:r>
      <w:r>
        <w:fldChar w:fldCharType="end"/>
      </w:r>
      <w:r>
        <w:t>.</w:t>
      </w:r>
      <w:r>
        <w:tab/>
        <w:t xml:space="preserve">[prazno] </w:t>
      </w:r>
    </w:p>
    <w:p w14:paraId="4904781C" w14:textId="02CDAF2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137</w:t>
      </w:r>
      <w:r>
        <w:fldChar w:fldCharType="end"/>
      </w:r>
      <w:r>
        <w:t xml:space="preserve">. [prazno]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138</w:t>
      </w:r>
      <w:r>
        <w:fldChar w:fldCharType="end"/>
      </w:r>
      <w:r>
        <w:t>.</w:t>
      </w:r>
      <w:r>
        <w:tab/>
        <w:t xml:space="preserve">[prazno]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139</w:t>
      </w:r>
      <w:r>
        <w:fldChar w:fldCharType="end"/>
      </w:r>
      <w:r>
        <w:t>.</w:t>
      </w:r>
      <w:r>
        <w:tab/>
        <w:t xml:space="preserve">[prazno]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140</w:t>
      </w:r>
      <w:r>
        <w:fldChar w:fldCharType="end"/>
      </w:r>
      <w:r>
        <w:t>.</w:t>
      </w:r>
      <w:r>
        <w:tab/>
        <w:t xml:space="preserve"> [prazno]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t>141</w:t>
      </w:r>
      <w:r>
        <w:fldChar w:fldCharType="end"/>
      </w:r>
      <w:r>
        <w:t>.</w:t>
      </w:r>
      <w:r>
        <w:tab/>
        <w:t>[prazno]</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tab/>
      </w:r>
      <w:r>
        <w:rPr>
          <w:rFonts w:ascii="Times New Roman" w:hAnsi="Times New Roman"/>
          <w:sz w:val="24"/>
          <w:u w:val="single"/>
        </w:rPr>
        <w:t>Izvješćivanje o kapitalnim zahtjevima za operativni rizik</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tab/>
      </w:r>
      <w:r>
        <w:rPr>
          <w:rFonts w:ascii="Times New Roman" w:hAnsi="Times New Roman"/>
          <w:sz w:val="24"/>
          <w:u w:val="single"/>
        </w:rPr>
        <w:t>Opće napomene</w:t>
      </w:r>
      <w:bookmarkEnd w:id="19"/>
    </w:p>
    <w:p w14:paraId="60C67A56" w14:textId="5F0C19D1" w:rsidR="0062765D" w:rsidRPr="0062765D" w:rsidRDefault="0062765D" w:rsidP="00855EF0">
      <w:pPr>
        <w:spacing w:before="0" w:after="240"/>
        <w:ind w:left="360" w:hanging="360"/>
        <w:rPr>
          <w:rFonts w:ascii="Times New Roman" w:hAnsi="Times New Roman"/>
          <w:noProof/>
          <w:sz w:val="24"/>
        </w:rPr>
      </w:pPr>
      <w:r>
        <w:rPr>
          <w:rFonts w:ascii="Times New Roman" w:hAnsi="Times New Roman"/>
          <w:sz w:val="24"/>
        </w:rPr>
        <w:t>141.a Obrazac C 16.01 obuhvaća kapitalne zahtjeve (OFR) za operativni rizik u okviru komponente pokazatelja poslovanja (BIC) i povezanog pokazatelja poslovanja (BI) u skladu s člancima od 312. do 314. Uredbe (EU) br. 575/2013.</w:t>
      </w:r>
    </w:p>
    <w:p w14:paraId="2BDF4A3C" w14:textId="48C88916" w:rsidR="00A85FE5" w:rsidRPr="0062765D" w:rsidRDefault="00DB52C6" w:rsidP="00F72493">
      <w:pPr>
        <w:spacing w:before="0" w:after="240"/>
        <w:ind w:left="360" w:hanging="360"/>
        <w:rPr>
          <w:rFonts w:ascii="Times New Roman" w:hAnsi="Times New Roman"/>
          <w:noProof/>
          <w:sz w:val="24"/>
        </w:rPr>
      </w:pPr>
      <w:r>
        <w:rPr>
          <w:rFonts w:ascii="Times New Roman" w:hAnsi="Times New Roman"/>
          <w:sz w:val="24"/>
        </w:rPr>
        <w:t xml:space="preserve">141.b Institucije sve iznose iskazuju u skladu s računovodstvenim okvirom koji primjenjuju za dostavljanje financijskih informacija, osim ako je određeno drukčije u ovom Prilogu. </w:t>
      </w:r>
    </w:p>
    <w:p w14:paraId="3F5B8138" w14:textId="1377326F"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 xml:space="preserve">141.c Institucije izračunavaju svoje kapitalne zahtjeve i iskazuju informacije u obrascima na temelju informacija dostupnih na kraju financijske godine. Stoga se koriste posljednja tri dvanaestomjesečna razdoblja počevši od kraja financijske godine (npr. za izvještajne datume „prosinac Y-1, ožujak Y, lipanj Y, rujan Y” i financijsku godinu – kraj „31. prosinca”, izračuni se temelje na financijskom stanju na dan „31. prosinca” za čitave financijske godine Y-1, Y-2 i Y-3).   </w:t>
      </w:r>
    </w:p>
    <w:p w14:paraId="34790AA0" w14:textId="4FE91511" w:rsidR="0062765D" w:rsidRDefault="00DB52C6" w:rsidP="0062765D">
      <w:pPr>
        <w:spacing w:before="0" w:after="240"/>
        <w:ind w:left="360" w:hanging="360"/>
        <w:rPr>
          <w:rFonts w:ascii="Times New Roman" w:hAnsi="Times New Roman"/>
          <w:sz w:val="24"/>
        </w:rPr>
      </w:pPr>
      <w:r>
        <w:rPr>
          <w:rFonts w:ascii="Times New Roman" w:hAnsi="Times New Roman"/>
          <w:sz w:val="24"/>
        </w:rPr>
        <w:lastRenderedPageBreak/>
        <w:t xml:space="preserve">141.d Ako nisu dostupni revidirani podaci, institucije mogu iskoristiti poslovne procjene. Ako se koriste revidirani podaci, institucije iskazuju revidirane podatke koji bi trebali ostati nepromijenjeni. Odstupanja od tog „nepromijenjenog” načela moguća su u skladu s člankom 315. stavcima 1. i 2. Uredbe (EU) br. 575/2013. </w:t>
      </w:r>
    </w:p>
    <w:p w14:paraId="27F080A5" w14:textId="6DE910D0" w:rsidR="00FA5064" w:rsidRDefault="00DB52C6" w:rsidP="00FA5064">
      <w:pPr>
        <w:spacing w:before="0" w:after="240"/>
        <w:ind w:left="360" w:hanging="360"/>
        <w:rPr>
          <w:rFonts w:ascii="Times New Roman" w:hAnsi="Times New Roman"/>
          <w:sz w:val="24"/>
        </w:rPr>
      </w:pPr>
      <w:r>
        <w:rPr>
          <w:rFonts w:ascii="Times New Roman" w:hAnsi="Times New Roman"/>
          <w:sz w:val="24"/>
        </w:rPr>
        <w:t xml:space="preserve">141.e Institucije u izvješćivanje ne uključuju iznose koji se odnose na stavke utvrđene u skladu s člankom 314. stavkom 7. Uredbe (EU) br. 575/2013 i kako je dodatno određeno u regulatornom tehničkom standardu koji treba izraditi u skladu s člankom 314. stavkom 9. </w:t>
      </w:r>
    </w:p>
    <w:p w14:paraId="65A130C3" w14:textId="77777777"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 xml:space="preserve">Za izračun pokazatelja poslovanja (npr. u slučaju institucija koje imaju društva kćeri čija valuta nije izvještajna valuta institucije) institucije primjenjuju relevantni devizni tečaj za svaku od tri godine na temelju kojeg se pokazatelja poslovanja izračunava u skladu s primjenjivim računovodstvenim okvirom. Stoga se tečaj koji se primjenjuje u predmetnoj godini ne ažurira na svaki datum izvješćivanja. </w:t>
      </w:r>
    </w:p>
    <w:p w14:paraId="06A7780A" w14:textId="58C20260" w:rsidR="006E63FF" w:rsidRPr="001A7684" w:rsidRDefault="008E3C30" w:rsidP="001A7684">
      <w:pPr>
        <w:spacing w:before="0" w:after="240"/>
        <w:ind w:left="360" w:hanging="360"/>
        <w:rPr>
          <w:rFonts w:ascii="Calibri" w:eastAsia="MS PGothic" w:hAnsi="Calibri" w:cs="Arial"/>
          <w:sz w:val="22"/>
        </w:rPr>
      </w:pPr>
      <w:r>
        <w:rPr>
          <w:rFonts w:ascii="Times New Roman" w:hAnsi="Times New Roman"/>
          <w:sz w:val="24"/>
        </w:rPr>
        <w:t>141.g</w:t>
      </w:r>
      <w:r>
        <w:rPr>
          <w:rFonts w:ascii="Calibri" w:hAnsi="Calibri"/>
          <w:sz w:val="22"/>
        </w:rPr>
        <w:t xml:space="preserve"> U pogledu primjene pragova za izračun komponente pokazatelja poslovanja (BIC) u skladu s člankom 313. Uredbe (EU) br. 575/2013, institucije izvan </w:t>
      </w:r>
      <w:proofErr w:type="spellStart"/>
      <w:r>
        <w:rPr>
          <w:rFonts w:ascii="Calibri" w:hAnsi="Calibri"/>
          <w:sz w:val="22"/>
        </w:rPr>
        <w:t>europodručja</w:t>
      </w:r>
      <w:proofErr w:type="spellEnd"/>
      <w:r>
        <w:rPr>
          <w:rFonts w:ascii="Calibri" w:hAnsi="Calibri"/>
          <w:sz w:val="22"/>
        </w:rPr>
        <w:t xml:space="preserve"> koje dostavljaju nadzorne informacije u svojoj lokalnoj valuti upotrebljavaju prosječni tečaj za razdoblje za koje se komponenta pokazatelja poslovanja izračunava (prosjek za prethodne tri financijske godine) u skladu s računovodstvenim okvirom za konverziju praga u njihovu lokalnu valutu.</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tab/>
      </w:r>
      <w:r>
        <w:rPr>
          <w:rFonts w:ascii="Times New Roman" w:hAnsi="Times New Roman"/>
          <w:sz w:val="24"/>
          <w:u w:val="single"/>
        </w:rPr>
        <w:t>C 16.01 Operativni rizik – kapitalni zahtjevi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r>
        <w:rPr>
          <w:rFonts w:ascii="Times New Roman" w:hAnsi="Times New Roman"/>
          <w:sz w:val="24"/>
        </w:rPr>
        <w:t>141.h Informacije u ovom obrascu izračunavaju se uzimajući u obzir iznose za prethodne tri financijske godine.</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Upute za specifične pozicije:</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Stupci</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Pravna osnova i upute</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Vrijednost</w:t>
            </w:r>
          </w:p>
          <w:p w14:paraId="40C487F3" w14:textId="77777777" w:rsidR="0062765D" w:rsidRDefault="0062765D" w:rsidP="0062765D">
            <w:pPr>
              <w:jc w:val="left"/>
              <w:rPr>
                <w:rFonts w:ascii="Times New Roman" w:hAnsi="Times New Roman"/>
                <w:sz w:val="24"/>
              </w:rPr>
            </w:pPr>
            <w:r>
              <w:rPr>
                <w:rFonts w:ascii="Times New Roman" w:hAnsi="Times New Roman"/>
                <w:sz w:val="24"/>
              </w:rPr>
              <w:t>Vrijednost pokazatelja poslovanja i njegove tri komponente: ILDC, SC i FC.</w:t>
            </w:r>
          </w:p>
          <w:p w14:paraId="4EA05B1B" w14:textId="77777777" w:rsidR="0062765D" w:rsidRPr="0062765D" w:rsidRDefault="0062765D" w:rsidP="0062765D">
            <w:pPr>
              <w:jc w:val="left"/>
              <w:rPr>
                <w:rFonts w:ascii="Times New Roman" w:hAnsi="Times New Roman"/>
                <w:sz w:val="24"/>
              </w:rPr>
            </w:pPr>
            <w:r>
              <w:rPr>
                <w:rFonts w:ascii="Times New Roman" w:hAnsi="Times New Roman"/>
                <w:sz w:val="24"/>
              </w:rPr>
              <w:t>Vrijednost uključuje prilagodbe zbog učinka spajanja, stjecanja i prodaja u skladu s člankom 315. stavcima 1. i 2. Uredbe (EU) br. 575/2013.</w:t>
            </w:r>
          </w:p>
          <w:p w14:paraId="160B8F2D" w14:textId="61260FD0" w:rsidR="00BC5ECA" w:rsidRDefault="00BC5ECA" w:rsidP="00BC5ECA">
            <w:pPr>
              <w:jc w:val="left"/>
              <w:rPr>
                <w:rFonts w:ascii="Times New Roman" w:hAnsi="Times New Roman"/>
                <w:sz w:val="24"/>
              </w:rPr>
            </w:pPr>
            <w:r>
              <w:rPr>
                <w:rFonts w:ascii="Times New Roman" w:hAnsi="Times New Roman"/>
                <w:sz w:val="24"/>
              </w:rPr>
              <w:t>U slučaju financijske komponente (FC), vrijednost odražava računovodstvenu vrijednost utvrđenu primjenom računovodstvenog pristupa ili računovodstvenu vrijednost primjenom bonitetne granice (pristup bonitetne granice – PBA) za utvrđivanje stavki iz knjige trgovanja i knjige pozicija kojima se ne trguje. Informacije o primijenjenom pristupu iskazuju se u retku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789" w:type="dxa"/>
          </w:tcPr>
          <w:p w14:paraId="3853732D" w14:textId="32B2FD46"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od čega: prilagodbe zbog spajanja/stjecanja subjekata ili djelatnosti</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t>Dio vrijednosti iskazane u stupcu 0010 koji odgovara komponentama pokazatelja poslovanja koji je nastao zbog spojenih ili stečenih subjekata ili djelatnosti u skladu s člankom 315. stavkom 1. Uredbe (EU) br.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 (Prilagodbe zbog prodaje subjekata ili djelatnosti)</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lastRenderedPageBreak/>
              <w:t>Iznos isključen iz komponenti pokazatelja poslovanja koje se odnose na prodane subjekte ili djelatnosti u skladu s člankom 315. stavkom 2. Uredbe (EU) br.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lastRenderedPageBreak/>
              <w:t>0040</w:t>
            </w:r>
          </w:p>
        </w:tc>
        <w:tc>
          <w:tcPr>
            <w:tcW w:w="7789" w:type="dxa"/>
          </w:tcPr>
          <w:p w14:paraId="4E023876"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 xml:space="preserve">Kapitalni zahtjevi </w:t>
            </w:r>
          </w:p>
          <w:p w14:paraId="035197F4" w14:textId="13991B6C" w:rsidR="0062765D" w:rsidRDefault="0062765D" w:rsidP="0062765D">
            <w:pPr>
              <w:rPr>
                <w:rFonts w:ascii="Times New Roman" w:hAnsi="Times New Roman"/>
                <w:sz w:val="24"/>
              </w:rPr>
            </w:pPr>
            <w:r>
              <w:rPr>
                <w:rFonts w:ascii="Times New Roman" w:hAnsi="Times New Roman"/>
                <w:sz w:val="24"/>
              </w:rPr>
              <w:t>Kapitalni zahtjev se izračunava u skladu s člancima od 312. do 314. Uredbe (EU) br. 575/2013 (komponente pokazatelja poslovanja).</w:t>
            </w:r>
          </w:p>
          <w:p w14:paraId="459E44D5" w14:textId="36477AA5" w:rsidR="00C44D1A" w:rsidRPr="00C44D1A" w:rsidRDefault="00C44D1A" w:rsidP="00C44D1A">
            <w:pPr>
              <w:rPr>
                <w:rFonts w:ascii="Times New Roman" w:hAnsi="Times New Roman"/>
                <w:sz w:val="24"/>
              </w:rPr>
            </w:pPr>
            <w:r>
              <w:rPr>
                <w:rFonts w:ascii="Times New Roman" w:hAnsi="Times New Roman"/>
                <w:sz w:val="24"/>
              </w:rPr>
              <w:t xml:space="preserve">Ako se na instituciju primjenjuje odstupanje iz članka 314. stavka 4. Uredbe (EU) br. 575/2013, institucija kapitalnim zahtjevima izračunanima pod komponentama pokazatelja poslovanja dodaje kapitalne zahtjeve izračunane u skladu s alternativnim standardiziranim pristupom (ASA) za poslovne linije poslovanja sa stanovništvom i/ili poslovnog bankarstva, na koje se primjenjuje odstupanje (jer nisu dio okvira za izračun komponenata pokazatelja poslovanja).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Iznos izloženosti riziku</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Iznos izloženosti riziku (REA) izračunat u skladu s člankom 92. Uredbe (EU) br.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Upute po redcima: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Redci</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Pravna osnova i upute</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Komponenta pokazatelja poslovanja (BIC) i ASA</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Članak 313. i članak 314. stavak 4. Uredbe (EU) br.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Pokazatelj poslovanja</w:t>
            </w:r>
          </w:p>
          <w:p w14:paraId="75392277" w14:textId="77777777" w:rsidR="00A12BD5" w:rsidRDefault="0062765D" w:rsidP="0062765D">
            <w:pPr>
              <w:jc w:val="left"/>
              <w:rPr>
                <w:rFonts w:ascii="Times New Roman" w:hAnsi="Times New Roman"/>
                <w:sz w:val="24"/>
              </w:rPr>
            </w:pPr>
            <w:r>
              <w:rPr>
                <w:rFonts w:ascii="Times New Roman" w:hAnsi="Times New Roman"/>
                <w:sz w:val="24"/>
              </w:rPr>
              <w:t>Vrijednost pokazatelja poslovanja koja se izračunava u skladu s člankom 314. stavkom 1. Uredbe (EU) br. 575/2013.</w:t>
            </w:r>
          </w:p>
          <w:p w14:paraId="55A108AA" w14:textId="4A73CF97" w:rsidR="00A55F29" w:rsidRPr="00A55F29" w:rsidRDefault="00A55F29" w:rsidP="00A55F29">
            <w:pPr>
              <w:jc w:val="left"/>
              <w:rPr>
                <w:rFonts w:ascii="Times New Roman" w:hAnsi="Times New Roman"/>
                <w:sz w:val="24"/>
              </w:rPr>
            </w:pPr>
            <w:r>
              <w:rPr>
                <w:rFonts w:ascii="Times New Roman" w:hAnsi="Times New Roman"/>
                <w:sz w:val="24"/>
              </w:rPr>
              <w:t xml:space="preserve">Ako se na instituciju primjenjuje odstupanje iz članka 314. stavka 4. Uredbe (EU) br. 575/2013, institucija u područje primjene odstupanja ne uključuje podatke o poslovnim linijama poslovanja sa stanovništvom i/ili poslovnog bankarstva.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Komponenta kamata, najmova i dividendi</w:t>
            </w:r>
          </w:p>
          <w:p w14:paraId="47773943" w14:textId="2CF555A2"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 xml:space="preserve">Ukupni ILDC izračunava se u skladu s člankom 314. stavkom 2. Uredbe (EU) br. 575/2013 i, ako je primjenjivo, člankom 314. stavkom 3.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ILDC povezan s pojedinačnom institucijom / konsolidiranom grupom (isključujući subjekte iz članka 314. stavka 3.)</w:t>
            </w:r>
          </w:p>
          <w:p w14:paraId="20179C90" w14:textId="77777777"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 ILDC se izračunava u skladu s člankom 314. stavkom 2. Uredbe (EU) br. 575/2013. </w:t>
            </w:r>
          </w:p>
          <w:p w14:paraId="44DE0AF1" w14:textId="683B00BD"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lastRenderedPageBreak/>
              <w:t xml:space="preserve">U slučaju konsolidiranog izvješćivanja, ako se na instituciju primjenjuje odstupanje iz članka 314. stavka 3. Uredbe (EU) br. 575/2013, institucija ne uključuje podatke koji su dio izračuna ILDC-a izračunanog zasebno za te određene institucije kćeri. Uklanjaju se salda između društava kćeri koja se navode u članku i ostatka grupe.  </w:t>
            </w:r>
          </w:p>
          <w:p w14:paraId="15569619" w14:textId="0D6BDA72"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Ako se na instituciju primjenjuje odstupanje iz članka 314. stavka 4. Uredbe (EU) br. 575/2013, institucija u područje primjene odstupanja ne uključuje podatke o poslovnim linijama poslovanja sa stanovništvom i/ili poslovnog bankarstva.  </w:t>
            </w:r>
          </w:p>
          <w:p w14:paraId="35C8E8B1" w14:textId="398C1E78" w:rsidR="0062765D" w:rsidRPr="00966F77" w:rsidRDefault="0062765D" w:rsidP="0062765D">
            <w:pPr>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ILDC za subjekte iz članka 314. stavka 3.</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U slučaju konsolidiranog izvješćivanja, ako se na instituciju primjenjuje odstupanje iz članka 314. stavka 3., ona iskazuje zbroj ILDC-a za one institucije kćeri za koje se izračunava zasebni ILDC. Pri izračunu zasebnog ILDC-a uklanjaju se salda između društava kćeri i ostatka grupa.</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Komponenta usluga (SC)</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Komponenta usluga se izračunava u skladu s člankom 314. stavkom 5. Uredbe (EU) br. 575/2013.</w:t>
            </w:r>
          </w:p>
          <w:p w14:paraId="79F2D39A" w14:textId="2F1617D4"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Ako se na instituciju primjenjuje odstupanje iz članka 314. stavka 4. Uredbe (EU) br. 575/2013, institucija u područje primjene odstupanja ne uključuje podatke o poslovnim linijama poslovanja sa stanovništvom i/ili poslovnog bankarstva.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Financijska komponenta (FC) </w:t>
            </w:r>
          </w:p>
          <w:p w14:paraId="25D11A82" w14:textId="0487D2A6" w:rsidR="004A5A87" w:rsidRPr="00C2709D" w:rsidRDefault="004A5A87" w:rsidP="0062765D">
            <w:pPr>
              <w:jc w:val="left"/>
              <w:rPr>
                <w:rFonts w:ascii="Times New Roman" w:hAnsi="Times New Roman"/>
                <w:color w:val="000000" w:themeColor="text1"/>
                <w:sz w:val="24"/>
              </w:rPr>
            </w:pPr>
            <w:r>
              <w:rPr>
                <w:rFonts w:ascii="Times New Roman" w:hAnsi="Times New Roman"/>
                <w:color w:val="000000" w:themeColor="text1"/>
                <w:sz w:val="24"/>
              </w:rPr>
              <w:t xml:space="preserve">Financijska komponenta se izračunava u skladu s člankom 314. stavkom 6. Uredbe (EU) br. 575/2013. </w:t>
            </w:r>
          </w:p>
          <w:p w14:paraId="7BCC8437" w14:textId="4EAEDFEB"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Ako se na instituciju primjenjuje odstupanje iz članka 314. stavka 4. Uredbe (EU) br. 575/2013, institucija u područje primjene odstupanja ne uključuje podatke o poslovnim linijama poslovanja sa stanovništvom i/ili poslovnog bankarstva.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ASA na temelju članka 314. stavka 4. (poslovanje sa stanovništvom)</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t>Članak 314. stavak 4. za poslovnu liniju poslovanja sa stanovništvom</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ASA na temelju članka 314. stavka 4. (poslovno bankarstvo)</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Članak 314. stavak 4. za poslovnu liniju poslovnog bankarstva</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Bilješka: ILDC povezan s pojedinačnom institucijom / konsolidiranom grupom (uključujući subjekte iz članka 314. stavka 3.) </w:t>
            </w:r>
          </w:p>
          <w:p w14:paraId="0A3600F0" w14:textId="676E665D" w:rsidR="00623144" w:rsidRPr="00623144" w:rsidRDefault="0062765D" w:rsidP="0062765D">
            <w:pPr>
              <w:jc w:val="left"/>
              <w:rPr>
                <w:rFonts w:ascii="Times New Roman" w:hAnsi="Times New Roman"/>
                <w:bCs/>
                <w:sz w:val="24"/>
              </w:rPr>
            </w:pPr>
            <w:r>
              <w:rPr>
                <w:rFonts w:ascii="Times New Roman" w:hAnsi="Times New Roman"/>
                <w:sz w:val="24"/>
              </w:rPr>
              <w:t xml:space="preserve">Ako se na instituciju primjenjuje odstupanje iz članka 314. stavka 3., ona iskazuje teoretski pojedinačni ili konsolidirani ILDC izračunan u skladu s člankom 314. stavkom 2. Uredbe (EU) br. 575/2013 kao da institucija ne primjenjuje odstupanje.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lastRenderedPageBreak/>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Pristup za izračun financijske komponente (FC)</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Institucije izvješćuju koji su pristup primijenile (računovodstveni pristup ili bonitetna granica) za izračun financijske komponente u skladu s člankom 314. stavkom 6. Uredbe (EU) br.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sz w:val="24"/>
                <w:u w:val="single"/>
              </w:rPr>
              <w:t xml:space="preserve">Ostali operativni troškovi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Ostali operativni troškovi u skladu s člankom 314. stavkom 5. Uredbe (EU) 575/2013.</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tab/>
      </w:r>
      <w:r>
        <w:rPr>
          <w:rFonts w:ascii="Times New Roman" w:hAnsi="Times New Roman"/>
          <w:sz w:val="24"/>
        </w:rPr>
        <w:t>Operativni rizik: Detaljne informacije o gubicima iz prethodne godine (OPR DETALJNIJI PODACI)</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tab/>
      </w:r>
      <w:r>
        <w:rPr>
          <w:rFonts w:ascii="Times New Roman" w:hAnsi="Times New Roman"/>
          <w:sz w:val="24"/>
        </w:rPr>
        <w:t>Opće napomene</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U obrascu C 17.01 (OPR DETALJNIJI PODACI 1) navodi se sažetak informacija o bruto gubicima i povratima gubitaka koje je institucija zabilježila u prethodnoj godini, prema vrstama događaja i poslovnim linijama, na osnovi definicija iz tablice 1. i tablice 2. u ovom odjeljku. U obrascu C 17.02 (OPR DETALJNIJI PODACI 2) navode se detaljne informacije o najvećim štetnim događajima u protekloj godini. Trebalo bi obuhvatiti samo događaje koji su rezultirali gubitkom. </w:t>
      </w:r>
    </w:p>
    <w:p w14:paraId="2FD685B4" w14:textId="42F38B19" w:rsidR="00C30107" w:rsidRDefault="00C30107" w:rsidP="00E434A1">
      <w:pPr>
        <w:pStyle w:val="InstructionsText2"/>
        <w:numPr>
          <w:ilvl w:val="0"/>
          <w:numId w:val="0"/>
        </w:numPr>
      </w:pPr>
      <w:r>
        <w:t>Tablica 1.:  Vrste događaja povezanih s operativnim rizikom</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Kategorija vrste događaja</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Definicija</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Interna prijevara</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Gubici proizašli iz radnji s namjerom prijevare, protupravnog prisvajanja imovine ili zaobilaženja propisa, zakona ili internih akata, isključujući slučajeve razlikovanja/diskriminacije, koji uključuju djelovanje najmanje jednog internog subjekta</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t>Eksterna prijevara</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Gubici proizašli iz radnji treće osobe s namjerom prijevare, protupravnog prisvajanja imovine ili zaobilaženja zakona</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t>Odnosi s radnicima i sigurnost na radnom mjestu</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Gubici proizašli iz povrede zakona ili ugovora kojima se reguliraju radni odnosi, zdravstvena zaštita, sigurnost na radu; gubici na osnovi odšteta zbog ozljeda na radu ili na osnovi slučajeva razlikovanja/diskriminacije</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Klijenti, proizvodi i poslovne prakse</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rPr>
            </w:pPr>
            <w:r>
              <w:rPr>
                <w:rFonts w:ascii="Times New Roman" w:hAnsi="Times New Roman"/>
                <w:sz w:val="24"/>
              </w:rPr>
              <w:t>Gubici nastali zbog nenamjernog ili nemarnog neispunjavanja radnih obveza prema određenim klijentima (uključujući zahtjeve vezane uz povjerenje ili prikladnost poslovanja) ili prirode ili sastava proizvoda</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Šteta na materijalnoj imovini</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Gubici nastali zbog gubitka ili oštećenja materijalne imovine zbog prirodnih katastrofa ili drugih događaja</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lastRenderedPageBreak/>
              <w:t>Prekidi rada i narušavanja rada sustava</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Gubici nastali zbog prekida rada ili narušavanja rada sustava</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t>Izvršenje, isporuka i upravljanje procesima</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Gubici proizašli iz neuspješnog izvršenja poslova ili neadekvatnog upravljanja procesima; gubici nastali zbog odnosa s poslovnim partnerima i pružateljima usluga</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Tablica 2.:  Poslovne linije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t>Poslovne linije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Popis aktivnosti</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Pr>
                <w:rFonts w:ascii="Times New Roman" w:hAnsi="Times New Roman"/>
                <w:sz w:val="24"/>
              </w:rPr>
              <w:t>Korporativno financiranje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Usluge provedbe ponude odnosno prodaje financijskih instrumenta uz obvezu otkupa</w:t>
            </w:r>
          </w:p>
          <w:p w14:paraId="2E81165F" w14:textId="77777777" w:rsidR="00105D77" w:rsidRDefault="00105D77">
            <w:pPr>
              <w:spacing w:before="60" w:after="60"/>
              <w:rPr>
                <w:rFonts w:ascii="Times New Roman" w:hAnsi="Times New Roman"/>
                <w:sz w:val="24"/>
              </w:rPr>
            </w:pPr>
            <w:r>
              <w:rPr>
                <w:rFonts w:ascii="Times New Roman" w:hAnsi="Times New Roman"/>
                <w:sz w:val="24"/>
              </w:rPr>
              <w:t>Usluge povezane s pružanjem usluga provedbe ponude odnosno prodaje dužničkih ili vlasničkih instrumenata</w:t>
            </w:r>
          </w:p>
          <w:p w14:paraId="294412EE" w14:textId="77777777" w:rsidR="00105D77" w:rsidRDefault="00105D77">
            <w:pPr>
              <w:spacing w:before="60" w:after="60"/>
              <w:rPr>
                <w:rFonts w:ascii="Times New Roman" w:hAnsi="Times New Roman"/>
                <w:sz w:val="24"/>
              </w:rPr>
            </w:pPr>
            <w:r>
              <w:rPr>
                <w:rFonts w:ascii="Times New Roman" w:hAnsi="Times New Roman"/>
                <w:sz w:val="24"/>
              </w:rPr>
              <w:t>Investicijsko savjetovanje</w:t>
            </w:r>
          </w:p>
          <w:p w14:paraId="3396F4D3" w14:textId="77777777" w:rsidR="00105D77" w:rsidRDefault="00105D77">
            <w:pPr>
              <w:spacing w:before="60" w:after="60"/>
              <w:rPr>
                <w:rFonts w:ascii="Times New Roman" w:hAnsi="Times New Roman"/>
                <w:sz w:val="24"/>
              </w:rPr>
            </w:pPr>
            <w:r>
              <w:rPr>
                <w:rFonts w:ascii="Times New Roman" w:hAnsi="Times New Roman"/>
                <w:sz w:val="24"/>
              </w:rPr>
              <w:t>Poslovi savjetovanja društava u vezi s strukturom kapitala, poslovnom strategijom i sličnim pitanjima te davanje savjeta i pružanje usluga koje se odnose na spajanja i kupnju društava.</w:t>
            </w:r>
          </w:p>
          <w:p w14:paraId="413B1D9E" w14:textId="77777777" w:rsidR="00105D77" w:rsidRDefault="00105D77">
            <w:pPr>
              <w:spacing w:before="60" w:after="60"/>
              <w:rPr>
                <w:rFonts w:ascii="Times New Roman" w:hAnsi="Times New Roman"/>
                <w:sz w:val="24"/>
              </w:rPr>
            </w:pPr>
            <w:r>
              <w:rPr>
                <w:rFonts w:ascii="Times New Roman" w:hAnsi="Times New Roman"/>
                <w:sz w:val="24"/>
              </w:rPr>
              <w:t>Poslovi investicijskog istraživanja i financijske analize, kao i ostali oblici općenitih preporuka koje se odnose na transakcije s financijskim instrumentima</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Trgovanje i prodaja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Trgovanje za svoj račun</w:t>
            </w:r>
          </w:p>
          <w:p w14:paraId="2C39E21A" w14:textId="77777777" w:rsidR="00105D77" w:rsidRDefault="00105D77">
            <w:pPr>
              <w:spacing w:before="60" w:after="60"/>
              <w:rPr>
                <w:rFonts w:ascii="Times New Roman" w:hAnsi="Times New Roman"/>
                <w:sz w:val="24"/>
              </w:rPr>
            </w:pPr>
            <w:r>
              <w:rPr>
                <w:rFonts w:ascii="Times New Roman" w:hAnsi="Times New Roman"/>
                <w:sz w:val="24"/>
              </w:rPr>
              <w:t>Poslovi posredovanja pri sklapanju poslova na novčanom tržištu</w:t>
            </w:r>
          </w:p>
          <w:p w14:paraId="43A3C940" w14:textId="77777777" w:rsidR="00105D77" w:rsidRDefault="00105D77">
            <w:pPr>
              <w:spacing w:before="60" w:after="60"/>
              <w:rPr>
                <w:rFonts w:ascii="Times New Roman" w:hAnsi="Times New Roman"/>
                <w:sz w:val="24"/>
              </w:rPr>
            </w:pPr>
            <w:r>
              <w:rPr>
                <w:rFonts w:ascii="Times New Roman" w:hAnsi="Times New Roman"/>
                <w:sz w:val="24"/>
              </w:rPr>
              <w:t>Zaprimanje i prijenos naloga u vezi s jednim ili više financijskih instrumenata</w:t>
            </w:r>
          </w:p>
          <w:p w14:paraId="7D6C72DD" w14:textId="77777777" w:rsidR="00105D77" w:rsidRDefault="00105D77">
            <w:pPr>
              <w:spacing w:before="60" w:after="60"/>
              <w:rPr>
                <w:rFonts w:ascii="Times New Roman" w:hAnsi="Times New Roman"/>
                <w:sz w:val="24"/>
              </w:rPr>
            </w:pPr>
            <w:r>
              <w:rPr>
                <w:rFonts w:ascii="Times New Roman" w:hAnsi="Times New Roman"/>
                <w:sz w:val="24"/>
              </w:rPr>
              <w:t>Izvršavanje naloga za račun klijenta</w:t>
            </w:r>
          </w:p>
          <w:p w14:paraId="447F8797" w14:textId="77777777" w:rsidR="00105D77" w:rsidRDefault="00105D77">
            <w:pPr>
              <w:spacing w:before="60" w:after="60"/>
              <w:rPr>
                <w:rFonts w:ascii="Times New Roman" w:hAnsi="Times New Roman"/>
                <w:sz w:val="24"/>
              </w:rPr>
            </w:pPr>
            <w:r>
              <w:rPr>
                <w:rFonts w:ascii="Times New Roman" w:hAnsi="Times New Roman"/>
                <w:sz w:val="24"/>
              </w:rPr>
              <w:t>Usluge provedbe ponude odnosno prodaje financijskih instrumenata bez obveze otkupa</w:t>
            </w:r>
          </w:p>
          <w:p w14:paraId="6B8176B5" w14:textId="77777777" w:rsidR="00105D77" w:rsidRDefault="00105D77">
            <w:pPr>
              <w:spacing w:before="60" w:after="60"/>
              <w:rPr>
                <w:rFonts w:ascii="Times New Roman" w:hAnsi="Times New Roman"/>
                <w:sz w:val="24"/>
              </w:rPr>
            </w:pPr>
            <w:r>
              <w:rPr>
                <w:rFonts w:ascii="Times New Roman" w:hAnsi="Times New Roman"/>
                <w:sz w:val="24"/>
              </w:rPr>
              <w:t>Upravljanje multilateralnom trgovinskom platformom</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t>Brokerski poslovi sa stanovništvom</w:t>
            </w:r>
          </w:p>
          <w:p w14:paraId="1644FF45" w14:textId="77777777" w:rsidR="00105D77" w:rsidRDefault="00105D77">
            <w:pPr>
              <w:spacing w:before="60" w:after="60"/>
              <w:rPr>
                <w:rFonts w:ascii="Times New Roman" w:hAnsi="Times New Roman"/>
                <w:sz w:val="24"/>
              </w:rPr>
            </w:pPr>
            <w:r>
              <w:rPr>
                <w:rFonts w:ascii="Times New Roman" w:hAnsi="Times New Roman"/>
                <w:sz w:val="24"/>
              </w:rPr>
              <w:t>(Poslovi s fizičkim osobama ili malim i srednjim poduzetnicima koji zadovoljavaju kriterije iz članka 123. za kategoriju izloženosti prema stanovništvu)</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Zaprimanje i prijenos naloga u vezi s jednim ili više financijskih instrumenata</w:t>
            </w:r>
          </w:p>
          <w:p w14:paraId="0A298DA8" w14:textId="77777777" w:rsidR="00105D77" w:rsidRDefault="00105D77">
            <w:pPr>
              <w:spacing w:before="60" w:after="60"/>
              <w:rPr>
                <w:rFonts w:ascii="Times New Roman" w:hAnsi="Times New Roman"/>
                <w:sz w:val="24"/>
              </w:rPr>
            </w:pPr>
            <w:r>
              <w:rPr>
                <w:rFonts w:ascii="Times New Roman" w:hAnsi="Times New Roman"/>
                <w:sz w:val="24"/>
              </w:rPr>
              <w:t>Izvršavanje naloga za račun klijenta</w:t>
            </w:r>
          </w:p>
          <w:p w14:paraId="772C1A67" w14:textId="77777777" w:rsidR="00105D77" w:rsidRDefault="00105D77">
            <w:pPr>
              <w:spacing w:before="60" w:after="60"/>
              <w:rPr>
                <w:rFonts w:ascii="Times New Roman" w:hAnsi="Times New Roman"/>
                <w:sz w:val="24"/>
              </w:rPr>
            </w:pPr>
            <w:r>
              <w:rPr>
                <w:rFonts w:ascii="Times New Roman" w:hAnsi="Times New Roman"/>
                <w:sz w:val="24"/>
              </w:rPr>
              <w:t>Usluge provedbe ponude odnosno prodaje financijskih instrumenata bez obveze otkupa</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Poslovno bankarstvo</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Primanje depozita ili drugih povratnih sredstava</w:t>
            </w:r>
          </w:p>
          <w:p w14:paraId="76F23BE8" w14:textId="77777777" w:rsidR="00105D77" w:rsidRDefault="00105D77">
            <w:pPr>
              <w:spacing w:before="60" w:after="60"/>
              <w:rPr>
                <w:rFonts w:ascii="Times New Roman" w:hAnsi="Times New Roman"/>
                <w:sz w:val="24"/>
              </w:rPr>
            </w:pPr>
            <w:r>
              <w:rPr>
                <w:rFonts w:ascii="Times New Roman" w:hAnsi="Times New Roman"/>
                <w:sz w:val="24"/>
              </w:rPr>
              <w:t>Kreditiranje</w:t>
            </w:r>
          </w:p>
          <w:p w14:paraId="45F13788" w14:textId="77777777" w:rsidR="00105D77" w:rsidRDefault="00105D77">
            <w:pPr>
              <w:spacing w:before="60" w:after="60"/>
              <w:rPr>
                <w:rFonts w:ascii="Times New Roman" w:hAnsi="Times New Roman"/>
                <w:sz w:val="24"/>
              </w:rPr>
            </w:pPr>
            <w:r>
              <w:rPr>
                <w:rFonts w:ascii="Times New Roman" w:hAnsi="Times New Roman"/>
                <w:sz w:val="24"/>
              </w:rPr>
              <w:t>Financijski najam</w:t>
            </w:r>
          </w:p>
          <w:p w14:paraId="51EC26CF" w14:textId="77777777" w:rsidR="00105D77" w:rsidRDefault="00105D77">
            <w:pPr>
              <w:spacing w:before="60" w:after="60"/>
              <w:rPr>
                <w:rFonts w:ascii="Times New Roman" w:hAnsi="Times New Roman"/>
                <w:sz w:val="24"/>
              </w:rPr>
            </w:pPr>
            <w:r>
              <w:rPr>
                <w:rFonts w:ascii="Times New Roman" w:hAnsi="Times New Roman"/>
                <w:sz w:val="24"/>
              </w:rPr>
              <w:t>Jamstva i preuzete obveze</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lastRenderedPageBreak/>
              <w:t>Poslovanje sa stanovništvom</w:t>
            </w:r>
          </w:p>
          <w:p w14:paraId="7CAFF922" w14:textId="77777777" w:rsidR="00105D77" w:rsidRDefault="00105D77">
            <w:pPr>
              <w:spacing w:before="60" w:after="60"/>
              <w:rPr>
                <w:rFonts w:ascii="Times New Roman" w:hAnsi="Times New Roman"/>
                <w:sz w:val="24"/>
              </w:rPr>
            </w:pPr>
            <w:r>
              <w:rPr>
                <w:rFonts w:ascii="Times New Roman" w:hAnsi="Times New Roman"/>
                <w:sz w:val="24"/>
              </w:rPr>
              <w:t>(Poslovi s fizičkim osobama ili malim i srednjim poduzetnicima koji zadovoljavaju kriterije iz članka 123. za kategoriju izloženosti prema stanovništvu)</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Primanje depozita ili drugih povratnih sredstava</w:t>
            </w:r>
          </w:p>
          <w:p w14:paraId="36AF04A5" w14:textId="77777777" w:rsidR="00105D77" w:rsidRDefault="00105D77">
            <w:pPr>
              <w:spacing w:before="60" w:after="60"/>
              <w:rPr>
                <w:rFonts w:ascii="Times New Roman" w:hAnsi="Times New Roman"/>
                <w:sz w:val="24"/>
              </w:rPr>
            </w:pPr>
            <w:r>
              <w:rPr>
                <w:rFonts w:ascii="Times New Roman" w:hAnsi="Times New Roman"/>
                <w:sz w:val="24"/>
              </w:rPr>
              <w:t>Kreditiranje</w:t>
            </w:r>
          </w:p>
          <w:p w14:paraId="7351F485" w14:textId="77777777" w:rsidR="00105D77" w:rsidRDefault="00105D77">
            <w:pPr>
              <w:spacing w:before="60" w:after="60"/>
              <w:rPr>
                <w:rFonts w:ascii="Times New Roman" w:hAnsi="Times New Roman"/>
                <w:sz w:val="24"/>
              </w:rPr>
            </w:pPr>
            <w:r>
              <w:rPr>
                <w:rFonts w:ascii="Times New Roman" w:hAnsi="Times New Roman"/>
                <w:sz w:val="24"/>
              </w:rPr>
              <w:t>Financijski najam</w:t>
            </w:r>
          </w:p>
          <w:p w14:paraId="2A1E9691" w14:textId="77777777" w:rsidR="00105D77" w:rsidRDefault="00105D77">
            <w:pPr>
              <w:spacing w:before="60" w:after="60"/>
              <w:rPr>
                <w:rFonts w:ascii="Times New Roman" w:hAnsi="Times New Roman"/>
                <w:sz w:val="24"/>
              </w:rPr>
            </w:pPr>
            <w:r>
              <w:rPr>
                <w:rFonts w:ascii="Times New Roman" w:hAnsi="Times New Roman"/>
                <w:sz w:val="24"/>
              </w:rPr>
              <w:t>Jamstva i preuzete obveze</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t>Plaćanja i namire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Usluge platnog prometa</w:t>
            </w:r>
          </w:p>
          <w:p w14:paraId="44972E69" w14:textId="77777777" w:rsidR="00105D77" w:rsidRDefault="00105D77">
            <w:pPr>
              <w:spacing w:before="60" w:after="60"/>
              <w:rPr>
                <w:rFonts w:ascii="Times New Roman" w:hAnsi="Times New Roman"/>
                <w:sz w:val="24"/>
              </w:rPr>
            </w:pPr>
            <w:r>
              <w:rPr>
                <w:rFonts w:ascii="Times New Roman" w:hAnsi="Times New Roman"/>
                <w:sz w:val="24"/>
              </w:rPr>
              <w:t>Izdavanje instrumenata plaćanja i upravljanje njima</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t>Agencijske usluge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Pr>
                <w:rFonts w:ascii="Times New Roman" w:hAnsi="Times New Roman"/>
                <w:sz w:val="24"/>
              </w:rPr>
              <w:t>Pohrana i administriranje financijskih instrumenata za račun klijenata, uključujući i poslove skrbništva i s tim povezane usluge, kao što su upravljanje novčanim sredstvima odnosno kolateralom</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Upravljanje imovinom</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Upravljanje portfeljima</w:t>
            </w:r>
          </w:p>
          <w:p w14:paraId="1153DFEB" w14:textId="77777777" w:rsidR="00105D77" w:rsidRDefault="00105D77">
            <w:pPr>
              <w:spacing w:before="60" w:after="60"/>
              <w:rPr>
                <w:rFonts w:ascii="Times New Roman" w:hAnsi="Times New Roman"/>
                <w:sz w:val="24"/>
              </w:rPr>
            </w:pPr>
            <w:r>
              <w:rPr>
                <w:rFonts w:ascii="Times New Roman" w:hAnsi="Times New Roman"/>
                <w:sz w:val="24"/>
              </w:rPr>
              <w:t>Upravljanje UCITS-om</w:t>
            </w:r>
          </w:p>
          <w:p w14:paraId="59C1F470" w14:textId="77777777" w:rsidR="00105D77" w:rsidRDefault="00105D77">
            <w:pPr>
              <w:spacing w:before="60" w:after="60"/>
              <w:rPr>
                <w:rFonts w:ascii="Times New Roman" w:hAnsi="Times New Roman"/>
                <w:sz w:val="24"/>
              </w:rPr>
            </w:pPr>
            <w:r>
              <w:rPr>
                <w:rFonts w:ascii="Times New Roman" w:hAnsi="Times New Roman"/>
                <w:sz w:val="24"/>
              </w:rPr>
              <w:t>Ostali oblici upravljanja imovinom</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Poslovne stavke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Pr>
                <w:rFonts w:ascii="Times New Roman" w:hAnsi="Times New Roman"/>
                <w:sz w:val="24"/>
              </w:rPr>
              <w:t xml:space="preserve"> Štetni događaji koji utječu na cijelu instituciju i nisu u prethodno navedenim kategorijama.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143</w:t>
      </w:r>
      <w:r>
        <w:fldChar w:fldCharType="end"/>
      </w:r>
      <w:r>
        <w:t>. Gubici od operativnog rizika povezani s kreditnim rizikom koji se iskazuju u iznosu izloženosti ponderiranom rizikom za kreditni rizik (događaji povezani s kreditnim rizikom i operativnim rizikom) ne uzimaju se u obzir ni u obrascu C 17.01 ni u obrascu C 17.02 u skladu s člankom 317. stavkom 5. Uredbe (EU) br. 575/2013.</w:t>
      </w:r>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t>144</w:t>
      </w:r>
      <w:r>
        <w:fldChar w:fldCharType="end"/>
      </w:r>
      <w:r>
        <w:t xml:space="preserve">. [prazno] </w:t>
      </w:r>
    </w:p>
    <w:p w14:paraId="46FA5B8D" w14:textId="744E080E"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145</w:t>
      </w:r>
      <w:r>
        <w:fldChar w:fldCharType="end"/>
      </w:r>
      <w:r>
        <w:t xml:space="preserve">. „Bruto gubitak” znači gubitak kako je naveden u članku 318. stavku 1. Uredbe (EU) br. 575/2013 koji proizlazi iz događaja povezanog s operativnim rizikom prije povrata bilo koje vrste, ne dovodeći u pitanje „štetne događaje s brzim povratom” kako je definirano u nastavku.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146</w:t>
      </w:r>
      <w:r>
        <w:fldChar w:fldCharType="end"/>
      </w:r>
      <w:r>
        <w:t>. „Povrat” kako je naveden u članku 318. stavku 1. znači jedan ili više neovisnih događaja u vezi s izvornim događajem povezanim s operativnim rizikom, koji su vremenski odvojeni, u kojima se od treće strane primaju sredstva ili priljevi ekonomskih koristi.</w:t>
      </w:r>
    </w:p>
    <w:p w14:paraId="77F96781" w14:textId="2DE959F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147</w:t>
      </w:r>
      <w:r>
        <w:fldChar w:fldCharType="end"/>
      </w:r>
      <w:r>
        <w:t>.</w:t>
      </w:r>
      <w:r>
        <w:tab/>
        <w:t xml:space="preserve"> „Štetni događaji s brzim povratom” znači događaji povezani s operativnim rizikom koji dovode do gubitaka za koje je povrat ostvaren, djelomično ili u cijelosti, u roku od pet radnih dana. U slučaju štetnog događaja s brzim povratom u definiciju bruto gubitka uključuje se samo dio gubitka za koji povrat nije ostvaren u cijelosti (tj. gubitak umanjen za djelomični brzi povrat). Posljedično, štetni događaji koji dovode do gubitaka za koje je povrat ostvaren u cijelosti </w:t>
      </w:r>
      <w:r>
        <w:lastRenderedPageBreak/>
        <w:t>u roku od pet radnih dana ne uključuju se u definiciju bruto gubitka ni u izvješćivanje u obrazac OPR DETALJNIJI PODACI.</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148</w:t>
      </w:r>
      <w:r>
        <w:fldChar w:fldCharType="end"/>
      </w:r>
      <w:r>
        <w:t>.</w:t>
      </w:r>
      <w:r>
        <w:tab/>
        <w:t xml:space="preserve"> „Računovodstveni datum” znači datum kada su gubitak ili rezerva/pričuva prvi put priznati u računu dobiti i gubitka u odnosu na gubitak od operativnog rizika, kako je navedeno u članku 317. stavku 4. točki (a) Uredbe br. 575/2013. Taj datum logično slijedi nakon „datuma događaja” (tj. datuma nastanka ili početka događaja povezanog s operativnim rizikom) i „datuma otkrića” (tj. datuma kada je institucija saznala za događaj povezan s operativnim rizikom). </w:t>
      </w:r>
    </w:p>
    <w:p w14:paraId="6F9C7A18" w14:textId="17AB345C" w:rsidR="00FD54FC" w:rsidRDefault="00E434A1" w:rsidP="00E434A1">
      <w:pPr>
        <w:pStyle w:val="InstructionsText2"/>
        <w:numPr>
          <w:ilvl w:val="0"/>
          <w:numId w:val="0"/>
        </w:numPr>
      </w:pPr>
      <w:r>
        <w:fldChar w:fldCharType="begin"/>
      </w:r>
      <w:r>
        <w:instrText xml:space="preserve"> seq paragraphs </w:instrText>
      </w:r>
      <w:r>
        <w:fldChar w:fldCharType="separate"/>
      </w:r>
      <w:r>
        <w:t>149</w:t>
      </w:r>
      <w:r>
        <w:fldChar w:fldCharType="end"/>
      </w:r>
      <w:r>
        <w:t>.</w:t>
      </w:r>
      <w:r>
        <w:tab/>
        <w:t xml:space="preserve"> Gubici uzrokovani zajedničkim događajem povezanim s operativnim rizikom ili višestrukim događajima povezanima s izvornim događajem povezanim s operativnim rizikom koji dovodi do događaja ili gubitaka (izvorni događaj) grupiraju se za potrebe izračuna praga za izvješćivanje. Ako ukupni neto iznos izračunan za razdoblje od 10 godina prijeđe prag, gubitke i ispravke trebalo bi iskazati nakon računovodstvenog učinka, u skladu s člankom 317. stavkom 3. točkom (c) i člankom 318. stavkom 1. Uredbe (EU) br. 575/2013, iako učinak u određenom razdoblju može biti niži od praga.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150</w:t>
      </w:r>
      <w:r>
        <w:fldChar w:fldCharType="end"/>
      </w:r>
      <w:r>
        <w:t>.</w:t>
      </w:r>
      <w:r>
        <w:tab/>
        <w:t xml:space="preserve"> Vrijednosti iskazane u lipnju pojedine godine privremene su i konačne se vrijednosti iskazuju u prosincu. Prema tome, vrijednosti iz lipnja odnose se na referentno razdoblje od šest mjeseci (tj. od 1. siječnja do 30. lipnja kalendarske godine), a vrijednosti iz prosinca na referentno razdoblje od dvanaest mjeseci (tj. od 1. siječnja do 31. prosinca kalendarske godine). Za podatke koji se iskazuju u lipnju i prosincu „prethodna referentna izvještajna razdoblja” znači sva referentna izvještajna razdoblja do kraja prethodne kalendarske godine i uključujući tu prethodnu godinu.</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tab/>
      </w:r>
      <w:r>
        <w:rPr>
          <w:rFonts w:ascii="Times New Roman" w:hAnsi="Times New Roman"/>
          <w:sz w:val="24"/>
        </w:rPr>
        <w:t>C 17.01: Operativni rizik: gubici i povrati prema poslovnim linijama i vrstama štetnog događaja u prethodnoj godini (OPR DETALJNIJI PODACI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tab/>
      </w:r>
      <w:r>
        <w:rPr>
          <w:rFonts w:ascii="Times New Roman" w:hAnsi="Times New Roman"/>
          <w:sz w:val="24"/>
        </w:rPr>
        <w:t>Opće napomene</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151</w:t>
      </w:r>
      <w:r>
        <w:fldChar w:fldCharType="end"/>
      </w:r>
      <w:r>
        <w:t xml:space="preserve"> U obrascu C 17.01 sažeto su prikazane informacije o gubicima i povratima iznad internih pragova koje je institucija zabilježila u prethodnoj godini prema vrstama događaja i poslovnim linijama u skladu s definicijama iz tablica 1. i 2. u ovom odjeljku. Gubici koji odgovaraju jednom štetnom događaju mogu se rasporediti među nekoliko poslovnih linija.</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152</w:t>
      </w:r>
      <w:r>
        <w:fldChar w:fldCharType="end"/>
      </w:r>
      <w:r>
        <w:t>. U stupcima se iskazuju različite vrste štetnog događaja i ukupni iznosi za svaku poslovnu liniju, zajedno s bilješkom koja pokazuje najniži interni prag koji je primijenjen pri prikupljanju podataka o gubicima, pri čemu se u svakoj poslovnoj liniji iskazuje najniži i najviši prag ako postoji više pragova.</w:t>
      </w:r>
    </w:p>
    <w:p w14:paraId="11517512" w14:textId="6BF52C10"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153</w:t>
      </w:r>
      <w:r>
        <w:fldChar w:fldCharType="end"/>
      </w:r>
      <w:r>
        <w:t>.</w:t>
      </w:r>
      <w:r>
        <w:tab/>
        <w:t xml:space="preserve"> Redci predstavljaju poslovne linije i unutar svake poslovne linije informacije o broju štetnih događaja (novi štetni događaji), iznosu bruto gubitka (novi štetni događaji), broju štetnih događaja koji podliježu ispravcima vrijednosti za gubitke, ispravcima vrijednosti za gubitke koji se odnose na prethodna izvještajna razdoblja, maksimalnom pojedinačnom gubitku, zbroju pet najvećih gubitaka i ukupnim povratima gubitka (izravni povrati gubitka i povrati od osiguranja i drugih mehanizama za prijenos rizika).</w:t>
      </w:r>
    </w:p>
    <w:p w14:paraId="01C6C8D7" w14:textId="4AC621C4" w:rsidR="008E3F40" w:rsidRDefault="00E434A1" w:rsidP="00E434A1">
      <w:pPr>
        <w:pStyle w:val="InstructionsText2"/>
        <w:numPr>
          <w:ilvl w:val="0"/>
          <w:numId w:val="0"/>
        </w:numPr>
      </w:pPr>
      <w:r>
        <w:fldChar w:fldCharType="begin"/>
      </w:r>
      <w:r>
        <w:instrText xml:space="preserve"> seq paragraphs </w:instrText>
      </w:r>
      <w:r>
        <w:fldChar w:fldCharType="separate"/>
      </w:r>
      <w:r>
        <w:t>154</w:t>
      </w:r>
      <w:r>
        <w:fldChar w:fldCharType="end"/>
      </w:r>
      <w:r>
        <w:t xml:space="preserve">. Za ukupne poslovne linije iskazuju se i podaci o broju štetnih događaja i bruto iznosu gubitka u okviru određenih raspona koji se temelje na utvrđenim pragovima, tj. 10 000, 20 000, </w:t>
      </w:r>
      <w:r>
        <w:lastRenderedPageBreak/>
        <w:t>100 000 i 1 000 000. Pragovi su utvrđeni u eurima, a uključeni su u svrhu usporedbe iskazanih gubitaka među institucijama. Ti pragovi stoga ne moraju nužno biti povezani s minimalnim pragovima gubitka upotrijebljenima za interno prikupljanje podataka o gubicima, koji se iskazuju u drugom dijelu obrasca.</w:t>
      </w:r>
    </w:p>
    <w:p w14:paraId="66F6BC90" w14:textId="74B242EF" w:rsidR="008A1E95" w:rsidRPr="00594639" w:rsidRDefault="006B71D2" w:rsidP="008E3C30">
      <w:pPr>
        <w:pStyle w:val="InstructionsText2"/>
        <w:numPr>
          <w:ilvl w:val="0"/>
          <w:numId w:val="0"/>
        </w:numPr>
      </w:pPr>
      <w:r>
        <w:t xml:space="preserve">154.a Povrati gubitka uvijek se iskazuju s pozitivnim predznakom.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tab/>
      </w:r>
      <w:r>
        <w:rPr>
          <w:rFonts w:ascii="Times New Roman" w:hAnsi="Times New Roman"/>
          <w:sz w:val="24"/>
        </w:rPr>
        <w:t>Upute za specifične pozicije</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Stupci</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VRSTE DOGAĐAJA</w:t>
            </w:r>
          </w:p>
          <w:p w14:paraId="77CB6459" w14:textId="34950BD9" w:rsidR="0084728B" w:rsidRPr="002A677E" w:rsidRDefault="00FD54FC" w:rsidP="0084728B">
            <w:pPr>
              <w:rPr>
                <w:rFonts w:ascii="Times New Roman" w:hAnsi="Times New Roman"/>
                <w:sz w:val="24"/>
              </w:rPr>
            </w:pPr>
            <w:r>
              <w:rPr>
                <w:rFonts w:ascii="Times New Roman" w:hAnsi="Times New Roman"/>
                <w:sz w:val="24"/>
              </w:rPr>
              <w:t>Institucije iskazuju gubitke u odgovarajućim stupcima od 0010 do 0070 u skladu s vrstama štetnih događaja.</w:t>
            </w:r>
          </w:p>
          <w:p w14:paraId="3023C2E3" w14:textId="3DB1C18B" w:rsidR="00FD54FC" w:rsidRPr="002A677E" w:rsidRDefault="00FD54FC" w:rsidP="0084728B">
            <w:pPr>
              <w:rPr>
                <w:rFonts w:ascii="Times New Roman" w:hAnsi="Times New Roman"/>
                <w:bCs/>
                <w:sz w:val="24"/>
              </w:rPr>
            </w:pPr>
            <w:r>
              <w:rPr>
                <w:rFonts w:ascii="Times New Roman" w:hAnsi="Times New Roman"/>
                <w:sz w:val="24"/>
              </w:rPr>
              <w:t>Institucije koje su u prosincu 2024. izračunale kapitalni zahtjev u skladu s jednostavnim pristupom mogu iskazati gubitke za koje vrsta štetnog događaja nije utvrđena samo u stupcu 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UKUPNE VRSTE ŠTETNIH DOGAĐAJA</w:t>
            </w:r>
          </w:p>
          <w:p w14:paraId="64EF174C" w14:textId="77777777"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U stupcu 0080 za svaku poslovnu liniju institucije iskazuju ukupni „broj štetnih događaja (novi štetni događaji)”, ukupni „iznos bruto gubitka (novi štetni događaji)”, ukupni „broj štetnih događaja koji podliježu ispravcima vrijednosti za gubitke”, ukupne „ispravke vrijednosti za gubitke koji se odnose na prethodna izvještajna razdoblja”, „maksimalni pojedinačni gubitak”, „zbroj pet najvećih gubitaka”, ukupno „ukupni izravni povrat gubitka” i ukupno „ukupni povrat od osiguranja i drugih mehanizama za prijenos rizika”.</w:t>
            </w:r>
          </w:p>
          <w:p w14:paraId="435DA6FC" w14:textId="40BFB6DE"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Pod uvjetom da je institucija utvrdila sve vrste štetnih događaja za sve gubitke, u stupcu 0080 iskazuje se jednostavno agregiranje broja štetnih događaja, ukupnih iznosa bruto gubitaka, ukupnih iznosa povrata gubitka i „ispravaka vrijednosti za gubitke koji se odnose na prethodna izvještajna razdoblja” iskazanih u stupcima od 0010 do 0070. </w:t>
            </w:r>
          </w:p>
          <w:p w14:paraId="7ADBEC5B" w14:textId="104FB11B"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„Maksimalni pojedinačni gubitak” iskazan u stupcu 0080 jednak je maksimalnom pojedinačnom gubitku u poslovnoj liniji i jednak je maksimalnom iznosu „maksimalnih pojedinačnih gubitaka” iskazanih u stupcima od 0010 do 0070, pod uvjetom da je institucija utvrdila vrste štetnih događaja za sve gubitke.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Za zbroj pet najvećih gubitaka, u stupcu 0080 iskazuje se zbroj pet najvećih gubitaka u okviru jedne poslovne linije.</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BILJEŠKA: PRAG PRIMIJENJEN U PRIKUPLJANJU PODATAKA</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Institucije u stupcima 0090 i 0100 iskazuju minimalne pragove gubitka koji su već definirani i primijenjeni za prikupljanje internih podataka o gubicima.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Ako institucija primjenjuje samo jedan prag za svaku poslovnu liniju, popunjava se samo stupac 0090. </w:t>
            </w:r>
          </w:p>
          <w:p w14:paraId="70501482" w14:textId="498EFA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Ako postoje različiti pragovi koji se primjenjuju u istoj poslovnoj liniji, popunjava se i najviši primjenjivi prag (stupac 0100).</w:t>
            </w:r>
          </w:p>
        </w:tc>
      </w:tr>
    </w:tbl>
    <w:p w14:paraId="7D438528" w14:textId="77777777" w:rsidR="00FD54FC" w:rsidRPr="00966F77"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lastRenderedPageBreak/>
              <w:t>Redci</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POSLOVNE LINIJE: KORPORATIVNO FINANCIRANJE, TRGOVANJE I PRODAJA, BROKERSKI POSLOVI SA STANOVNIŠTVOM, POSLOVNO BANKARSTVO, POSLOVANJE SA STANOVNIŠTVOM, PLAĆANJA I NAMIRE, AGENCIJSKE USLUGE, UPRAVLJANJE IMOVINOM, POSLOVNE STAVKE</w:t>
            </w:r>
          </w:p>
          <w:p w14:paraId="4ABD41A7" w14:textId="4AA98EEC" w:rsidR="00FD54FC" w:rsidRPr="002A677E" w:rsidRDefault="00FD54FC" w:rsidP="00FD54FC">
            <w:pPr>
              <w:pStyle w:val="PlainText"/>
              <w:jc w:val="both"/>
              <w:rPr>
                <w:rFonts w:ascii="Times New Roman" w:hAnsi="Times New Roman"/>
                <w:sz w:val="24"/>
                <w:szCs w:val="24"/>
              </w:rPr>
            </w:pPr>
            <w:r>
              <w:rPr>
                <w:rFonts w:ascii="Times New Roman" w:hAnsi="Times New Roman"/>
                <w:sz w:val="24"/>
              </w:rPr>
              <w:t>Za svaku vrstu i poslovnu liniju štetnog događaja institucija u skladu s internim pragovima iskazuje sljedeće informacije: broj štetnih događaja (novi štetni događaji), iznos bruto gubitka (novi štetni događaji), broj štetnih događaja koji podliježu usklađenjima gubitka, usklađenja gubitka koja se odnose na prethodna izvještajna razdoblja, maksimalni pojedinačni gubitak, zbroj pet najvećih gubitaka, ukupni izravni povrat gubitka i ukupni povrat od osiguranja i drugih mehanizama za prijenos rizika.</w:t>
            </w:r>
          </w:p>
          <w:p w14:paraId="598C709E" w14:textId="77777777" w:rsidR="00FD54FC" w:rsidRPr="002A677E" w:rsidRDefault="00FD54FC" w:rsidP="00FD54FC">
            <w:pPr>
              <w:rPr>
                <w:rFonts w:ascii="Times New Roman" w:hAnsi="Times New Roman"/>
                <w:sz w:val="24"/>
              </w:rPr>
            </w:pPr>
            <w:r>
              <w:rPr>
                <w:rFonts w:ascii="Times New Roman" w:hAnsi="Times New Roman"/>
                <w:sz w:val="24"/>
              </w:rPr>
              <w:t>Za štetni događaj koji utječe na više poslovnih linija „bruto iznos gubitka” raspoređuje se na sve pogođene poslovne linije.</w:t>
            </w:r>
          </w:p>
          <w:p w14:paraId="7BC94C24" w14:textId="643D0143" w:rsidR="00FD54FC" w:rsidRPr="002A677E" w:rsidRDefault="00FD54FC" w:rsidP="00FD54FC">
            <w:pPr>
              <w:rPr>
                <w:rFonts w:ascii="Times New Roman" w:hAnsi="Times New Roman"/>
                <w:bCs/>
                <w:sz w:val="24"/>
              </w:rPr>
            </w:pPr>
            <w:r>
              <w:rPr>
                <w:rFonts w:ascii="Times New Roman" w:hAnsi="Times New Roman"/>
                <w:sz w:val="24"/>
              </w:rPr>
              <w:t>Institucije koje izračunavaju kapitalni zahtjev u prosincu 2024. u skladu s jednostavnim pristupom mogu iskazati gubitke za koje poslovna linija nije utvrđena samo u redcima 0910-0980.</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 (novi štetni događaji)</w:t>
            </w:r>
          </w:p>
          <w:p w14:paraId="0A87F437" w14:textId="77777777" w:rsidR="00FD54FC" w:rsidRPr="002A677E" w:rsidRDefault="00FD54FC" w:rsidP="00FD54FC">
            <w:pPr>
              <w:rPr>
                <w:rFonts w:ascii="Times New Roman" w:hAnsi="Times New Roman"/>
                <w:sz w:val="24"/>
              </w:rPr>
            </w:pPr>
            <w:r>
              <w:rPr>
                <w:rFonts w:ascii="Times New Roman" w:hAnsi="Times New Roman"/>
                <w:sz w:val="24"/>
              </w:rPr>
              <w:t>Broj štetnih događaja je broj štetnih događaja za koje su bruto gubici obračunati u referentnom izvještajnom razdoblju.</w:t>
            </w:r>
          </w:p>
          <w:p w14:paraId="1CB08978" w14:textId="77777777" w:rsidR="00FD54FC" w:rsidRPr="002A677E" w:rsidRDefault="00FD54FC" w:rsidP="00FD54FC">
            <w:pPr>
              <w:rPr>
                <w:rFonts w:ascii="Times New Roman" w:hAnsi="Times New Roman"/>
                <w:sz w:val="24"/>
              </w:rPr>
            </w:pPr>
            <w:r>
              <w:rPr>
                <w:rFonts w:ascii="Times New Roman" w:hAnsi="Times New Roman"/>
                <w:sz w:val="24"/>
              </w:rPr>
              <w:t>Broj štetnih događaja odnosi se na „nove događaje”, odnosno događaje povezane s operativnim rizikom koji su:</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„prvi put obračunati” u referentnom izvještajnom razdoblju ili</w:t>
            </w:r>
          </w:p>
          <w:p w14:paraId="1A1A183C" w14:textId="13664215"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„prvi put obračunati” u prethodnom referentnom izvještajnom razdoblju ako štetni događaj nije bio uključen u prethodno nadzorno izvješće, npr. zato što je utvrđen kao štetni događaj povezan s operativnim rizikom tek u sadašnjem referentnom izvještajnom razdoblju ili zato što je agregirani gubitak koji se može pripisati tom štetnom događaju (odnosno izvorni gubitak uvećan/umanjen za sve ispravke vrijednosti za gubitke provedene u prethodnim referentnim izvještajnim razdobljima) premašio prag za prikupljanje internih podataka tek u sadašnjem referentnom izvještajnom razdoblju.</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„Novi štetni događaji” ne uključuju štetne događaje koji su „prvi put obračunati” u prethodnom referentnom izvještajnom razdoblju, koji su već bili uključeni u prethodna nadzorna izvješća.</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 xml:space="preserve">0020, 0120, 0220, 0320, 0420, 0520, 0620, </w:t>
            </w:r>
            <w:r>
              <w:rPr>
                <w:rFonts w:ascii="Times New Roman" w:hAnsi="Times New Roman"/>
                <w:sz w:val="24"/>
              </w:rPr>
              <w:lastRenderedPageBreak/>
              <w:t>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Iznos bruto gubitka (novi štetni događaji)</w:t>
            </w:r>
          </w:p>
          <w:p w14:paraId="2E85E133" w14:textId="4AF33778" w:rsidR="00FD54FC" w:rsidRPr="002A677E" w:rsidRDefault="00FD54FC" w:rsidP="00FD54FC">
            <w:pPr>
              <w:rPr>
                <w:rFonts w:ascii="Times New Roman" w:hAnsi="Times New Roman"/>
                <w:sz w:val="24"/>
              </w:rPr>
            </w:pPr>
            <w:r>
              <w:rPr>
                <w:rFonts w:ascii="Times New Roman" w:hAnsi="Times New Roman"/>
                <w:sz w:val="24"/>
              </w:rPr>
              <w:t>Iznosi bruto gubitka su iznosi bruto gubitka koji se odnose na štetne događaje povezane s operativnim rizikom u skladu s člankom 318. stavkom 2. Uredbe (EU) br. 575/2013. Svi gubici koji se odnose na pojedinačni štetni događaj i koji su obračunati u referentnom izvještajnom razdoblju zbrajaju se i smatraju bruto gubitkom za taj štetni događaj za to referentno izvještajno razdoblje.</w:t>
            </w:r>
          </w:p>
          <w:p w14:paraId="611D2B8E" w14:textId="77777777" w:rsidR="00FD54FC" w:rsidRPr="002A677E" w:rsidRDefault="00FD54FC" w:rsidP="00FD54FC">
            <w:pPr>
              <w:rPr>
                <w:rFonts w:ascii="Times New Roman" w:hAnsi="Times New Roman"/>
                <w:sz w:val="24"/>
              </w:rPr>
            </w:pPr>
            <w:r>
              <w:rPr>
                <w:rFonts w:ascii="Times New Roman" w:hAnsi="Times New Roman"/>
                <w:sz w:val="24"/>
              </w:rPr>
              <w:t xml:space="preserve">Iskazani iznos bruto gubitka odnosi se na „nove štetne događaje” iz prethodnog retka. Za štetne događaje koji su „prvi put obračunati” u prethodnom referentnom </w:t>
            </w:r>
            <w:r>
              <w:rPr>
                <w:rFonts w:ascii="Times New Roman" w:hAnsi="Times New Roman"/>
                <w:sz w:val="24"/>
              </w:rPr>
              <w:lastRenderedPageBreak/>
              <w:t>izvještajnom razdoblju i koji nisu bili uključeni ni u jedno prethodno nadzorno izvješće ukupni akumulirani gubitak do referentnog izvještajnog datuma (odnosno izvorni gubitak uvećan/umanjen za sve ispravke vrijednosti za gubitke provedene u prethodnim referentnim izvještajnim razdobljima) iskazuje se kao bruto gubitak na referentni izvještajni datum.</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t>Za iznose koji se trebaju iskazati ne uzimaju se u obzir ostvareni povrati.</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 koji podliježu ispravcima vrijednosti za gubitke</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Broj štetnih događaja koji podliježu ispravcima vrijednosti za gubitke jednak je broju štetnih događaja povezanih s operativnim rizikom koji su „prvi put obračunati” u prethodnim referentnim izvještajnim razdobljima i koji su već uključeni u prethodna izvješća, za koja su ispravci vrijednosti za gubitke provedeni u sadašnjem referentnom izvještajnom razdoblju. </w:t>
            </w:r>
          </w:p>
          <w:p w14:paraId="35A5D3D6" w14:textId="77777777" w:rsidR="00FD54FC" w:rsidRPr="002A677E" w:rsidRDefault="001F6487" w:rsidP="005F1EB8">
            <w:pPr>
              <w:rPr>
                <w:b/>
                <w:sz w:val="24"/>
              </w:rPr>
            </w:pPr>
            <w:r>
              <w:rPr>
                <w:rFonts w:ascii="Times New Roman" w:hAnsi="Times New Roman"/>
                <w:sz w:val="24"/>
              </w:rPr>
              <w:t>Ako je za štetni događaj provedeno više od jednog ispravka vrijednosti za gubitke u referentnom izvještajnom razdoblju, zbroj tih ispravaka vrijednosti za gubitke računa se kao jedan ispravak u tom razdoblju.</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Ispravci vrijednosti za gubitke koji se odnose na prethodna izvještajna razdoblja</w:t>
            </w:r>
          </w:p>
          <w:p w14:paraId="13788219" w14:textId="77777777" w:rsidR="00FD54FC" w:rsidRPr="002A677E" w:rsidRDefault="00FD54FC" w:rsidP="00FD54FC">
            <w:pPr>
              <w:rPr>
                <w:rFonts w:ascii="Times New Roman" w:hAnsi="Times New Roman"/>
                <w:sz w:val="24"/>
              </w:rPr>
            </w:pPr>
            <w:r>
              <w:rPr>
                <w:rFonts w:ascii="Times New Roman" w:hAnsi="Times New Roman"/>
                <w:sz w:val="24"/>
              </w:rPr>
              <w:t>Ispravci vrijednosti za gubitke koji se odnose na prethodna referentna izvještajna razdoblja jednaki su zbroju sljedećih elemenata (pozitivnih ili negativnih):</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iznosa bruto gubitka koji se odnose na pozitivne ispravke vrijednosti za gubitke tijekom referentnog izvještajnog razdoblja (npr. povećanje pričuva, povezani štetni događaji, dodatne namire) za događaje povezane s operativnim rizikom koji su „prvi put obračunati” i iskazani u prethodnim referentnim izvještajnim razdobljima;</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iznosa bruto gubitka koji se odnose na negativne ispravke vrijednosti za gubitke tijekom referentnog izvještajnog razdoblja (npr. zbog smanjenja pričuva) za štetne događaje povezane s gubitkom od operativnog rizika koji su „prvi put obračunati” i iskazani u prethodnim referentnim izvještajnim razdobljima. </w:t>
            </w:r>
          </w:p>
          <w:p w14:paraId="6796D1A0" w14:textId="77777777" w:rsidR="00FD54FC" w:rsidRPr="002A677E" w:rsidRDefault="001F6487" w:rsidP="00FD54FC">
            <w:pPr>
              <w:rPr>
                <w:rFonts w:ascii="Times New Roman" w:hAnsi="Times New Roman"/>
                <w:sz w:val="24"/>
              </w:rPr>
            </w:pPr>
            <w:r>
              <w:rPr>
                <w:rFonts w:ascii="Times New Roman" w:hAnsi="Times New Roman"/>
                <w:sz w:val="24"/>
              </w:rPr>
              <w:t>Ako je za štetni događaj provedeno više od jednog ispravka vrijednosti za gubitke u referentnom izvještajnom razdoblju, zbrajaju se iznosi svih tih ispravaka vrijednosti za gubitke, uzimajući u obzir predznak ispravaka (pozitivan, negativan). Taj se zbroj smatra ispravkom vrijednosti za gubitke za taj štetni događaj za to referentno izvještajno razdoblje.</w:t>
            </w:r>
          </w:p>
          <w:p w14:paraId="1FF4DC2A" w14:textId="77777777" w:rsidR="00FD54FC" w:rsidRPr="002A677E" w:rsidRDefault="001F6487" w:rsidP="00FD54FC">
            <w:pPr>
              <w:rPr>
                <w:rFonts w:ascii="Times New Roman" w:hAnsi="Times New Roman"/>
                <w:sz w:val="24"/>
              </w:rPr>
            </w:pPr>
            <w:r>
              <w:rPr>
                <w:rFonts w:ascii="Times New Roman" w:hAnsi="Times New Roman"/>
                <w:sz w:val="24"/>
              </w:rPr>
              <w:t>Ako zbog negativnog ispravka vrijednosti za gubitke iznos ispravljene vrijednosti za gubitke koji se može pripisati štetnom događaju bude manji od praga institucije za prikupljanje podataka, institucija iskazuje ukupni iznos gubitka za taj štetni događaj koji je akumuliran do zadnjeg puta kad je događaj iskazan za referentni datum u prosincu (odnosno izvorni gubitak uvećan/umanjen za sve ispravke vrijednosti za gubitke provedene u prethodnim referentnim izvještajnim razdobljima) s negativnim predznakom umjesto iznosa negativnog ispravka vrijednosti za gubitke.</w:t>
            </w:r>
          </w:p>
          <w:p w14:paraId="0FAF0676" w14:textId="77777777" w:rsidR="00FD54FC" w:rsidRPr="002A677E" w:rsidRDefault="00FD54FC" w:rsidP="00EB62C2">
            <w:pPr>
              <w:rPr>
                <w:b/>
                <w:sz w:val="24"/>
              </w:rPr>
            </w:pPr>
            <w:r>
              <w:rPr>
                <w:rFonts w:ascii="Times New Roman" w:hAnsi="Times New Roman"/>
                <w:sz w:val="24"/>
              </w:rPr>
              <w:t>Za iznose koji se trebaju iskazati ne uzimaju se u obzir ostvareni povrati.</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lastRenderedPageBreak/>
              <w:t>0050, 0150, 0250, 0350, 0450, 0550, 0650, 0750, 0850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Maksimalni pojedinačni gubitak</w:t>
            </w:r>
          </w:p>
          <w:p w14:paraId="388ADCDC" w14:textId="77777777" w:rsidR="00FD54FC" w:rsidRPr="002A677E" w:rsidRDefault="00FD54FC" w:rsidP="00FD54FC">
            <w:pPr>
              <w:rPr>
                <w:rFonts w:ascii="Times New Roman" w:hAnsi="Times New Roman"/>
                <w:sz w:val="24"/>
              </w:rPr>
            </w:pPr>
            <w:r>
              <w:rPr>
                <w:rFonts w:ascii="Times New Roman" w:hAnsi="Times New Roman"/>
                <w:sz w:val="24"/>
              </w:rPr>
              <w:t>Maksimalni pojedinačni gubitak jednak je većem iznosu od dva sljedeća iznosa:</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najveći iznos bruto gubitka koji se odnosi na štetni događaj koji je iskazan prvi put u referentnom izvještajnom razdoblju i</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najveći pozitivni iznos ispravka vrijednosti za gubitke (kako je prethodno navedeno u redcima 0040, 0140, …, 0840) koji se odnosi na štetni događaj koji je iskazan prvi put u prethodnom referentnom izvještajnom razdoblju.</w:t>
            </w:r>
          </w:p>
          <w:p w14:paraId="1AFA00C9" w14:textId="77777777" w:rsidR="00FD54FC" w:rsidRPr="002A677E" w:rsidRDefault="00FD54FC" w:rsidP="00F52FC6">
            <w:pPr>
              <w:rPr>
                <w:sz w:val="24"/>
              </w:rPr>
            </w:pPr>
            <w:r>
              <w:rPr>
                <w:rFonts w:ascii="Times New Roman" w:hAnsi="Times New Roman"/>
                <w:sz w:val="24"/>
              </w:rPr>
              <w:t>Za iznose koji se trebaju iskazati ne uzimaju se u obzir ostvareni povrati.</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Zbroj pet najvećih gubitaka</w:t>
            </w:r>
          </w:p>
          <w:p w14:paraId="3D9655C2" w14:textId="77777777" w:rsidR="00FD54FC" w:rsidRPr="002A677E" w:rsidRDefault="00FD54FC" w:rsidP="00FD54FC">
            <w:pPr>
              <w:rPr>
                <w:rFonts w:ascii="Times New Roman" w:hAnsi="Times New Roman"/>
                <w:sz w:val="24"/>
              </w:rPr>
            </w:pPr>
            <w:r>
              <w:rPr>
                <w:rFonts w:ascii="Times New Roman" w:hAnsi="Times New Roman"/>
                <w:sz w:val="24"/>
              </w:rPr>
              <w:t>Zbroj pet najvećih gubitaka je zbroj pet najvećih iznosa među sljedećim:</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iznosi bruto gubitka za štetne događaje koji su iskazani prvi put u referentnom izvještajnom razdoblju i</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pozitivni iznosi ispravaka vrijednosti za gubitke (kako je prethodno definirano u redcima 0040, 0140, …, 0840) koji se odnose na štetne događaje koji su iskazani prvi put u prethodnom referentnom izvještajnom razdoblju. Iznos koji se može smatrati jednim od pet najvećih iznosa jednak je iznosu samog ispravka vrijednosti za gubitke, a ne ukupnom gubitku povezanom s odgovarajućim štetnim događajem prije ili nakon ispravka vrijednosti za gubitke.</w:t>
            </w:r>
          </w:p>
          <w:p w14:paraId="00CACAFA" w14:textId="77777777" w:rsidR="00FD54FC" w:rsidRPr="002A677E" w:rsidRDefault="00FD54FC" w:rsidP="00F52FC6">
            <w:pPr>
              <w:rPr>
                <w:sz w:val="24"/>
              </w:rPr>
            </w:pPr>
            <w:r>
              <w:rPr>
                <w:rFonts w:ascii="Times New Roman" w:hAnsi="Times New Roman"/>
                <w:sz w:val="24"/>
              </w:rPr>
              <w:t>Za iznose koji se trebaju iskazati ne uzimaju se u obzir ostvareni povrati.</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Ukupni izravni povrat gubitka</w:t>
            </w:r>
          </w:p>
          <w:p w14:paraId="0E30E677" w14:textId="793292FF" w:rsidR="00FD54FC" w:rsidRPr="002A677E" w:rsidRDefault="00FD54FC" w:rsidP="00FD54FC">
            <w:pPr>
              <w:rPr>
                <w:rFonts w:ascii="Times New Roman" w:hAnsi="Times New Roman"/>
                <w:sz w:val="24"/>
              </w:rPr>
            </w:pPr>
            <w:r>
              <w:rPr>
                <w:rFonts w:ascii="Times New Roman" w:hAnsi="Times New Roman"/>
                <w:sz w:val="24"/>
              </w:rPr>
              <w:t xml:space="preserve">Izravni povrati gubitka su svi ostvareni povrati gubitka osim onih koji su obuhvaćeni osiguranjem kako je navedeno u retku ove tablice u nastavku. </w:t>
            </w:r>
          </w:p>
          <w:p w14:paraId="49A16F4E" w14:textId="77777777" w:rsidR="00FD54FC" w:rsidRDefault="00FD54FC" w:rsidP="00FD54FC">
            <w:pPr>
              <w:rPr>
                <w:rFonts w:ascii="Times New Roman" w:hAnsi="Times New Roman"/>
                <w:sz w:val="24"/>
              </w:rPr>
            </w:pPr>
            <w:r>
              <w:rPr>
                <w:rFonts w:ascii="Times New Roman" w:hAnsi="Times New Roman"/>
                <w:sz w:val="24"/>
              </w:rPr>
              <w:t>Ukupni izravni povrat gubitka je zbroj svih izravnih povrata i usklađenja izravnih povrata obračunatih u izvještajnom razdoblju koji se odnose na štetne događaje povezane s operativnim rizikom koji su prvi put obračunati u referentnom izvještajnom razdoblju ili u prethodnim referentnim izvještajnim razdobljima.</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14:paraId="0C974825" w14:textId="243E2BDC"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Ukupan povrat od osiguranja </w:t>
            </w:r>
          </w:p>
          <w:p w14:paraId="22B75DB4" w14:textId="24AD70C9" w:rsidR="00FD54FC" w:rsidRPr="002A677E" w:rsidRDefault="00FD54FC" w:rsidP="00FD54FC">
            <w:pPr>
              <w:rPr>
                <w:rFonts w:ascii="Times New Roman" w:hAnsi="Times New Roman"/>
                <w:sz w:val="24"/>
              </w:rPr>
            </w:pPr>
            <w:r>
              <w:rPr>
                <w:rFonts w:ascii="Times New Roman" w:hAnsi="Times New Roman"/>
                <w:sz w:val="24"/>
              </w:rPr>
              <w:t xml:space="preserve">Povrati od osiguranja su povrati od osiguranja u skladu s člankom 317. stavkom 1. i člankom 318. Uredbe (EU) br. 575/2013. </w:t>
            </w:r>
          </w:p>
          <w:p w14:paraId="6F9286F3" w14:textId="3EB99CA9" w:rsidR="00FD54FC" w:rsidRPr="002A677E" w:rsidRDefault="00FD54FC" w:rsidP="00070AF9">
            <w:pPr>
              <w:rPr>
                <w:sz w:val="24"/>
              </w:rPr>
            </w:pPr>
            <w:r>
              <w:rPr>
                <w:rFonts w:ascii="Times New Roman" w:hAnsi="Times New Roman"/>
                <w:sz w:val="24"/>
              </w:rPr>
              <w:t>Ukupni povrat od osiguranja zbroj je svih povrata od osiguranja i usklađenja takvih povrata obračunatih u izvještajnom referentnom razdoblju koji se odnose na štetne događaje povezane s operativnim rizikom koji su prvi put obračunati u referentnom izvještajnom razdoblju ili u prethodnim referentnim izvještajnim razdobljima.</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UKUPNE POSLOVNE LINIJE</w:t>
            </w:r>
          </w:p>
          <w:p w14:paraId="62DF7EDA" w14:textId="77777777" w:rsidR="00FD54FC" w:rsidRPr="002A677E" w:rsidRDefault="00FD54FC" w:rsidP="00F114E6">
            <w:pPr>
              <w:rPr>
                <w:rFonts w:ascii="Times New Roman" w:hAnsi="Times New Roman"/>
                <w:sz w:val="24"/>
              </w:rPr>
            </w:pPr>
            <w:r>
              <w:rPr>
                <w:rFonts w:ascii="Times New Roman" w:hAnsi="Times New Roman"/>
                <w:sz w:val="24"/>
              </w:rPr>
              <w:t>Za svaku vrstu štetnog događaja (stupac od 0010 do 0080) moraju se iskazati informacije o ukupnim poslovnim linijama.</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lastRenderedPageBreak/>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w:t>
            </w:r>
          </w:p>
          <w:p w14:paraId="34FAAF76" w14:textId="71BBD004" w:rsidR="00FD54FC" w:rsidRPr="002A677E" w:rsidRDefault="00FD54FC" w:rsidP="00FD54FC">
            <w:pPr>
              <w:rPr>
                <w:rFonts w:ascii="Times New Roman" w:hAnsi="Times New Roman"/>
                <w:sz w:val="24"/>
              </w:rPr>
            </w:pPr>
            <w:r>
              <w:rPr>
                <w:rFonts w:ascii="Times New Roman" w:hAnsi="Times New Roman"/>
                <w:sz w:val="24"/>
              </w:rPr>
              <w:t>U retku 0910 iskazuje se broj štetnih događaja iznad internog praga prema vrsti štetnog događaja za ukupne poslovne linije. Navedena vrijednost može biti manja od agregiranja broja štetnih događaja prema poslovnim linijama jer se štetni događaji s višestrukim utjecajima (utjecaji na različite poslovne linije) smatraju jednim. Može biti i veća ako institucija koja je u prosincu 2024. svoje kapitalne zahtjeve izračunala u skladu s jednostavnim pristupom ne može u svakom pojedinom slučaju utvrditi poslovne linije na koje je utjecao gubitak.</w:t>
            </w:r>
          </w:p>
          <w:p w14:paraId="1029FFB0" w14:textId="77777777" w:rsidR="00FD54FC" w:rsidRPr="002A677E" w:rsidRDefault="00FD54FC" w:rsidP="00FD54FC">
            <w:pPr>
              <w:rPr>
                <w:rFonts w:ascii="Times New Roman" w:hAnsi="Times New Roman"/>
                <w:sz w:val="24"/>
              </w:rPr>
            </w:pPr>
            <w:r>
              <w:rPr>
                <w:rFonts w:ascii="Times New Roman" w:hAnsi="Times New Roman"/>
                <w:sz w:val="24"/>
              </w:rPr>
              <w:t>U redcima 0911 – 0914 iskazuje se broj štetnih događaja za koje je iznos bruto gubitka razvrstan u raspone definirane u odgovarajućim redcima obrasca.</w:t>
            </w:r>
          </w:p>
          <w:p w14:paraId="3642B0CB" w14:textId="732C4B5C" w:rsidR="00FD54FC" w:rsidRPr="002A677E" w:rsidRDefault="00FD54FC" w:rsidP="00FD54FC">
            <w:pPr>
              <w:rPr>
                <w:rFonts w:ascii="Times New Roman" w:hAnsi="Times New Roman"/>
                <w:sz w:val="24"/>
              </w:rPr>
            </w:pPr>
            <w:r>
              <w:rPr>
                <w:rFonts w:ascii="Times New Roman" w:hAnsi="Times New Roman"/>
                <w:sz w:val="24"/>
              </w:rPr>
              <w:t>Pod uvjetom da je institucija sve svoje gubitke pripisala poslovnoj liniji ili da je utvrdila vrste štetnih događaja za sve gubitke, za stupac 0080 primjenjuje se sljedeće, prema potrebi:</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Ukupni broj štetnih događaja iskazanih u redcima od 0910 do 0914 jednak je horizontalnom agregiranju broja štetnih događaja u odgovarajućem retku jer se u tim vrijednostima štetni događaji koji utječu na različite poslovne linije već smatraju jednim štetnim događajem.</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Vrijednost iskazana u stupcu 0080 retku 0910 nije nužno jednaka vertikalnom agregiranju broja štetnih događaja koji su uključeni u stupcu 0080 jer jedan štetni događaj može istodobno utjecati na različite poslovne linije.</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Iznos bruto gubitka (novi štetni događaji)</w:t>
            </w:r>
          </w:p>
          <w:p w14:paraId="5A8AAD03" w14:textId="058A16DC" w:rsidR="00FD54FC" w:rsidRPr="002A677E" w:rsidRDefault="00FD54FC" w:rsidP="00FD54FC">
            <w:pPr>
              <w:rPr>
                <w:rFonts w:ascii="Times New Roman" w:hAnsi="Times New Roman"/>
                <w:sz w:val="24"/>
              </w:rPr>
            </w:pPr>
            <w:r>
              <w:rPr>
                <w:rFonts w:ascii="Times New Roman" w:hAnsi="Times New Roman"/>
                <w:sz w:val="24"/>
              </w:rPr>
              <w:t xml:space="preserve">Pod uvjetom da je institucija sve svoje gubitke pripisala poslovnoj liniji, iznos bruto gubitka (novi štetni događaji) iskazan u retku 0920 jednak je jednostavnom agregiranju iznosa bruto gubitka novih štetnih događaja za svaku poslovnu liniju.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U redcima 0921 – 0924 iskazuje se iznos bruto gubitka za štetne događaje za koje je iznos bruto gubitka razvrstan u raspone definirane u odgovarajućim redcima.</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Broj štetnih događaja koji podliježu ispravcima vrijednosti za gubitke</w:t>
            </w:r>
          </w:p>
          <w:p w14:paraId="7C0FBBBE" w14:textId="1D9BA1FB" w:rsidR="00FD54FC" w:rsidRPr="002A677E" w:rsidRDefault="00FD54FC" w:rsidP="00FD54FC">
            <w:pPr>
              <w:rPr>
                <w:rFonts w:ascii="Times New Roman" w:hAnsi="Times New Roman"/>
                <w:sz w:val="24"/>
              </w:rPr>
            </w:pPr>
            <w:r>
              <w:rPr>
                <w:rFonts w:ascii="Times New Roman" w:hAnsi="Times New Roman"/>
                <w:sz w:val="24"/>
              </w:rPr>
              <w:t>U retku 0930 iskazuje se ukupni broj štetnih događaja koji podliježu ispravcima vrijednosti za gubitke kako je iskazano u redcima 0030, 0130, …, 0830. Ta vrijednost može biti manja od agregiranja broja štetnih događaja koji podliježu ispravcima vrijednosti za gubitke prema poslovnim linijama jer se štetni događaji s višestrukim utjecajima (utjecaji na različite poslovne linije) smatraju jednim. Može biti i veća ako institucija u prosincu 2024. svoje kapitalne zahtjeve izračunala u skladu s jednostavnim pristupom ne može u svakom pojedinom slučaju utvrditi poslovne linije na koje je utjecao gubitak.</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Broj štetnih događaja koji podliježu ispravcima vrijednosti za gubitke raščlanjuje se na broj štetnih događaja za koje je u referentnom izvještajnom razdoblju proveden pozitivni ispravak vrijednosti za gubitke i na broj štetnih događaja za koje je u referentnom izvještajnom razdoblju proveden negativni ispravak vrijednosti za gubitke (svi su iskazani s pozitivnim predznakom).</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Ispravci vrijednosti za gubitke koji se odnose na prethodna izvještajna razdoblja</w:t>
            </w:r>
          </w:p>
          <w:p w14:paraId="3A4A4FF4" w14:textId="280DCB1D" w:rsidR="00FD54FC" w:rsidRPr="002A677E" w:rsidRDefault="00FD54FC" w:rsidP="00FD54FC">
            <w:pPr>
              <w:rPr>
                <w:rFonts w:ascii="Times New Roman" w:hAnsi="Times New Roman"/>
                <w:sz w:val="24"/>
              </w:rPr>
            </w:pPr>
            <w:r>
              <w:rPr>
                <w:rFonts w:ascii="Times New Roman" w:hAnsi="Times New Roman"/>
                <w:sz w:val="24"/>
              </w:rPr>
              <w:lastRenderedPageBreak/>
              <w:t>U retku 0940 iskazuju se ukupni iznosi ispravaka vrijednosti za gubitke koji se odnose na prethodna izvještajna razdoblja prema poslovnim linijama (kako je iskazano u redcima 0040, 0140, …, 0840). Pod uvjetom da je institucija sve svoje gubitke pripisala poslovnoj liniji, iznos iskazan u retku 0940 jednak je jednostavnom agregiranju ispravaka vrijednosti za gubitke koji se odnose na prethodna izvještajna razdoblja iskazana za različite poslovne linije.</w:t>
            </w:r>
          </w:p>
          <w:p w14:paraId="4FEA0713" w14:textId="77777777" w:rsidR="00FD54FC" w:rsidRPr="002A677E" w:rsidRDefault="00FD54FC" w:rsidP="00EB6FC2">
            <w:pPr>
              <w:rPr>
                <w:rFonts w:ascii="Times New Roman" w:hAnsi="Times New Roman"/>
                <w:sz w:val="24"/>
              </w:rPr>
            </w:pPr>
            <w:r>
              <w:rPr>
                <w:rFonts w:ascii="Times New Roman" w:hAnsi="Times New Roman"/>
                <w:sz w:val="24"/>
              </w:rPr>
              <w:t>Iznos ispravaka vrijednosti za gubitke raščlanjuje se na iznos koji se odnosi na štetne događaje za koje je u referentnom izvještajnom razdoblju proveden pozitivni ispravak vrijednosti za gubitke (redak 0945, iskazano u pozitivnim vrijednostima) i na iznos koji se odnosi na štetne događaje za koje je u izvještajnom razdoblju proveden negativni ispravak vrijednosti za gubitke (redak 0946, iskazano u negativnim vrijednostima). Ako zbog negativnog ispravka vrijednosti za gubitke iznos ispravka vrijednosti za gubitke koji se može pripisati štetnom događaju bude manji od praga institucije za prikupljanje podataka, institucije iskazuje ukupni iznos gubitka za taj događaj koji je akumuliran do zadnjeg puta kad je štetni događaj iskazan za referentni datum u prosincu (odnosno izvorni gubitak uvećan/umanjen za sve ispravke vrijednosti za gubitke provedene u prethodnim referentnim izvještajnim razdobljima) s negativnim predznakom u retku 0946 umjesto iznosa negativnog ispravka vrijednosti za gubitke.</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Maksimalni pojedinačni gubitak</w:t>
            </w:r>
          </w:p>
          <w:p w14:paraId="475751C9" w14:textId="4A0524CC" w:rsidR="00FD54FC" w:rsidRPr="002A677E" w:rsidRDefault="00FD54FC" w:rsidP="00FD54FC">
            <w:pPr>
              <w:rPr>
                <w:rFonts w:ascii="Times New Roman" w:hAnsi="Times New Roman"/>
                <w:sz w:val="24"/>
              </w:rPr>
            </w:pPr>
            <w:r>
              <w:rPr>
                <w:rFonts w:ascii="Times New Roman" w:hAnsi="Times New Roman"/>
                <w:sz w:val="24"/>
              </w:rPr>
              <w:t>Pod uvjetom da je institucija sve svoje gubitke pripisala definiranoj poslovnoj liniji, maksimalni pojedinačni gubitak je maksimalni gubitak iznad internog praga za svaku vrstu štetnog događaja i među svim poslovnim linijama. Te vrijednosti mogu biti veće od maksimalnog pojedinačnog gubitka u svakoj poslovnoj liniji ako štetni događaj utječe na različite poslovne linije.</w:t>
            </w:r>
          </w:p>
          <w:p w14:paraId="7BE96ED9" w14:textId="718AAC52" w:rsidR="00FD54FC" w:rsidRPr="002A677E" w:rsidRDefault="00FD54FC" w:rsidP="00FD54FC">
            <w:pPr>
              <w:rPr>
                <w:rFonts w:ascii="Times New Roman" w:hAnsi="Times New Roman"/>
                <w:sz w:val="24"/>
              </w:rPr>
            </w:pPr>
            <w:r>
              <w:rPr>
                <w:rFonts w:ascii="Times New Roman" w:hAnsi="Times New Roman"/>
                <w:sz w:val="24"/>
              </w:rPr>
              <w:t>Pod uvjetom da je institucija sve svoje gubitke pripisala definiranoj poslovnoj liniji i da je utvrdila vrste štetnih događaja za sve gubitke, za stupac 0080 primjenjuje se sljedeće:</w:t>
            </w:r>
          </w:p>
          <w:p w14:paraId="454E8214" w14:textId="77777777"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maksimalni iskazani pojedinačni gubitak jednak je najvećoj vrijednosti iskazanoj u stupcima 0010 – 0070 ovog retka.</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ako postoje štetni događaji koji utječu na različite poslovne linije, iznos iskazan u {r0950, c0080} može biti veći od iznosa „maksimalnog pojedinačnog gubitka” prema poslovnoj liniji iskazanih u ostalim redcima stupca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Zbroj pet najvećih gubitaka</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Iskazuje se zbroj pet najvećih bruto gubitaka za svaku vrstu štetnog događaja i među svim poslovnim linijama. Taj zbroj može biti veći od najvećeg zbroja pet najvećih gubitaka zabilježenih u svakoj poslovnoj liniji. Taj je zbroj potrebno iskazati bez obzira na broj gubitaka. </w:t>
            </w:r>
          </w:p>
          <w:p w14:paraId="462BED5E" w14:textId="12CDE9EE" w:rsidR="00FD54FC" w:rsidRPr="002A677E" w:rsidRDefault="00FD54FC" w:rsidP="00AB6610">
            <w:pPr>
              <w:rPr>
                <w:rStyle w:val="InstructionsTabelleberschrift"/>
                <w:rFonts w:ascii="Times New Roman" w:hAnsi="Times New Roman"/>
                <w:sz w:val="24"/>
              </w:rPr>
            </w:pPr>
            <w:r>
              <w:rPr>
                <w:rFonts w:ascii="Times New Roman" w:hAnsi="Times New Roman"/>
                <w:sz w:val="24"/>
              </w:rPr>
              <w:t>Ako je institucija sve svoje gubitke pripisala definiranoj poslovnoj liniji i ako je utvrdila vrste štetnih događaja za sve gubitke, za stupac 0080 zbroj pet najvećih gubitaka jednak je zbroju pet najvećih gubitaka u cijeloj matrici, što znači da nije nužno jednak maksimalnoj vrijednosti „zbroja pet najvećih gubitaka” u retku 0960 ni maksimalnoj vrijednosti „zbroja pet najvećih gubitaka” u stupcu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izravni povrat gubitka</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lastRenderedPageBreak/>
              <w:t>Pod uvjetom da je institucija sve svoje gubitke pripisala definiranoj poslovnoj liniji, ukupni izravni povrat gubitka jednak je jednostavnom agregiranju ukupnog izravnog povrata gubitka za svaku poslovnu liniju.</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Ukupan povrat od osiguranja </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t>Pod uvjetom da je institucija sve svoje gubitke pripisala definiranoj poslovnoj liniji, ukupni povrat od osiguranja jednak je jednostavnom agregiranju ukupnog povrata gubitka od osiguranja za svaku poslovnu liniju.</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tab/>
      </w:r>
      <w:r>
        <w:rPr>
          <w:rFonts w:ascii="Times New Roman" w:hAnsi="Times New Roman"/>
          <w:sz w:val="24"/>
        </w:rPr>
        <w:t>C 17.02: Operativni rizik: Detaljne informacije o najvećim štetnim događajima iz prethodne godine (OPR DETALJNIJI PODACI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tab/>
      </w:r>
      <w:r>
        <w:rPr>
          <w:rFonts w:ascii="Times New Roman" w:hAnsi="Times New Roman"/>
          <w:sz w:val="24"/>
        </w:rPr>
        <w:t>Opće napomene</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t>155</w:t>
      </w:r>
      <w:r>
        <w:fldChar w:fldCharType="end"/>
      </w:r>
      <w:r>
        <w:t>. U obrascu C 17.02 navode se informacije o pojedinačnim štetnim događajima (jedan redak po štetnom događaju).</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t>156</w:t>
      </w:r>
      <w:r>
        <w:fldChar w:fldCharType="end"/>
      </w:r>
      <w:r>
        <w:t>.</w:t>
      </w:r>
      <w:r>
        <w:tab/>
        <w:t xml:space="preserve"> Informacije koje se navode u ovom obrascu odnose se na „nove štetne događaje”, odnosno događaje povezane s operativnim rizikom.</w:t>
      </w:r>
    </w:p>
    <w:p w14:paraId="43C23B10" w14:textId="77777777" w:rsidR="00FD54FC" w:rsidRPr="002A677E" w:rsidRDefault="00125707" w:rsidP="00E434A1">
      <w:pPr>
        <w:pStyle w:val="InstructionsText2"/>
        <w:numPr>
          <w:ilvl w:val="0"/>
          <w:numId w:val="0"/>
        </w:numPr>
      </w:pPr>
      <w:r>
        <w:t>(a)</w:t>
      </w:r>
      <w:r>
        <w:tab/>
        <w:t>„prvi put obračunati” u referentnom izvještajnom razdoblju ili</w:t>
      </w:r>
    </w:p>
    <w:p w14:paraId="0D60A55D" w14:textId="77777777" w:rsidR="00FD54FC" w:rsidRPr="002A677E" w:rsidRDefault="00125707" w:rsidP="00E434A1">
      <w:pPr>
        <w:pStyle w:val="InstructionsText2"/>
        <w:numPr>
          <w:ilvl w:val="0"/>
          <w:numId w:val="0"/>
        </w:numPr>
      </w:pPr>
      <w:r>
        <w:t>(b)</w:t>
      </w:r>
      <w:r>
        <w:tab/>
        <w:t>„prvi put obračunati” u prethodnom referentnom izvještajnom razdoblju ako štetni događaj nije bio uključen u prethodno nadzorno izvješće, npr. zato što je utvrđen kao štetni događaj povezan s operativnim rizikom tek u sadašnjem referentnom izvještajnom razdoblju ili zato što je akumulirani gubitak koji se može pripisati tom štetnom događaju (odnosno izvorni gubitak uvećan/umanjen za sve ispravke vrijednosti za gubitke provedene u prethodnim referentnim izvještajnim razdobljima) premašio prag za prikupljanje internih podataka tek u sadašnjem referentnom izvještajnom razdoblju.</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t>157</w:t>
      </w:r>
      <w:r>
        <w:fldChar w:fldCharType="end"/>
      </w:r>
      <w:r>
        <w:t>. Iskazuju se samo štetni događaji koji podrazumijevaju iznos bruto gubitka od 100 000 EUR ili više.</w:t>
      </w:r>
    </w:p>
    <w:p w14:paraId="5F2CAE8D" w14:textId="77777777" w:rsidR="00FD54FC" w:rsidRPr="002A677E" w:rsidRDefault="00FD54FC" w:rsidP="00E434A1">
      <w:pPr>
        <w:pStyle w:val="InstructionsText2"/>
        <w:numPr>
          <w:ilvl w:val="0"/>
          <w:numId w:val="0"/>
        </w:numPr>
      </w:pPr>
      <w:r>
        <w:t>Podložno primjeni tog praga, u obrazac se uključuju:</w:t>
      </w:r>
    </w:p>
    <w:p w14:paraId="503143B8" w14:textId="1D0A0564" w:rsidR="00FD54FC" w:rsidRPr="002A677E" w:rsidRDefault="00125707" w:rsidP="00E434A1">
      <w:pPr>
        <w:pStyle w:val="InstructionsText2"/>
        <w:numPr>
          <w:ilvl w:val="0"/>
          <w:numId w:val="0"/>
        </w:numPr>
      </w:pPr>
      <w:r>
        <w:t>(a)</w:t>
      </w:r>
      <w:r>
        <w:tab/>
        <w:t>najveći događaj za svaku vrstu događaja pod uvjetom da je institucija utvrdila vrste događaja za gubitke i</w:t>
      </w:r>
    </w:p>
    <w:p w14:paraId="0CFFC449" w14:textId="77777777" w:rsidR="00FD54FC" w:rsidRPr="002A677E" w:rsidRDefault="00125707" w:rsidP="00E434A1">
      <w:pPr>
        <w:pStyle w:val="InstructionsText2"/>
        <w:numPr>
          <w:ilvl w:val="0"/>
          <w:numId w:val="0"/>
        </w:numPr>
      </w:pPr>
      <w:r>
        <w:t>(b)</w:t>
      </w:r>
      <w:r>
        <w:tab/>
        <w:t>barem deset najvećih preostalih događaja neovisno o tome je li utvrđena vrsta događaja prema iznosu bruto gubitka</w:t>
      </w:r>
    </w:p>
    <w:p w14:paraId="4B19E136" w14:textId="77777777" w:rsidR="00FD54FC" w:rsidRPr="002A677E" w:rsidRDefault="00125707" w:rsidP="00E434A1">
      <w:pPr>
        <w:pStyle w:val="InstructionsText2"/>
        <w:numPr>
          <w:ilvl w:val="0"/>
          <w:numId w:val="0"/>
        </w:numPr>
      </w:pPr>
      <w:r>
        <w:t>(c)</w:t>
      </w:r>
      <w:r>
        <w:tab/>
        <w:t>štetni događaji rangiraju se na temelju bruto gubitka koji im se pripisuje</w:t>
      </w:r>
    </w:p>
    <w:p w14:paraId="3AE1B367" w14:textId="77777777" w:rsidR="00FD54FC" w:rsidRPr="002A677E" w:rsidRDefault="00125707" w:rsidP="00E434A1">
      <w:pPr>
        <w:pStyle w:val="InstructionsText2"/>
        <w:numPr>
          <w:ilvl w:val="0"/>
          <w:numId w:val="0"/>
        </w:numPr>
      </w:pPr>
      <w:r>
        <w:t>(d)</w:t>
      </w:r>
      <w:r>
        <w:tab/>
        <w:t>štetni događaj uzima se u obzir samo jedanput.</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tab/>
      </w:r>
      <w:r>
        <w:rPr>
          <w:rFonts w:ascii="Times New Roman" w:hAnsi="Times New Roman"/>
          <w:sz w:val="24"/>
        </w:rPr>
        <w:t>Upute za specifične pozicije</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Stupci</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lastRenderedPageBreak/>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Identifikacijski broj događaja</w:t>
            </w:r>
          </w:p>
          <w:p w14:paraId="6710BBCF" w14:textId="77777777" w:rsidR="00FD54FC" w:rsidRPr="002A677E" w:rsidRDefault="00FD54FC" w:rsidP="00FD54FC">
            <w:pPr>
              <w:rPr>
                <w:rFonts w:ascii="Times New Roman" w:hAnsi="Times New Roman"/>
                <w:sz w:val="24"/>
              </w:rPr>
            </w:pPr>
            <w:r>
              <w:rPr>
                <w:rFonts w:ascii="Times New Roman" w:hAnsi="Times New Roman"/>
                <w:sz w:val="24"/>
              </w:rPr>
              <w:t xml:space="preserve">Identifikacijski broj događaja je identifikator retka i jedinstven je za svaki redak u obrascu. </w:t>
            </w:r>
          </w:p>
          <w:p w14:paraId="0801D83B" w14:textId="77777777" w:rsidR="00FD54FC" w:rsidRPr="002A677E" w:rsidRDefault="00FD54FC" w:rsidP="00FD54FC">
            <w:pPr>
              <w:rPr>
                <w:rFonts w:ascii="Times New Roman" w:hAnsi="Times New Roman"/>
                <w:sz w:val="24"/>
              </w:rPr>
            </w:pPr>
            <w:r>
              <w:rPr>
                <w:rFonts w:ascii="Times New Roman" w:hAnsi="Times New Roman"/>
                <w:sz w:val="24"/>
              </w:rPr>
              <w:t>Ako je dostupan interni identifikacijski broj, institucije dostavljaju taj interni identifikacijski broj. U protivnome, identifikacijski broj navodi se numeričkim redoslijedom 1, 2, 3 itd.</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Računovodstveni datum</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Računovodstveni datum znači datum kada su gubitak ili rezerva/pričuva prvi put priznati u računu dobiti i gubitka u odnosu na gubitak od operativnog rizika.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događaja</w:t>
            </w:r>
          </w:p>
          <w:p w14:paraId="49262D6C" w14:textId="77777777" w:rsidR="00FD54FC" w:rsidRPr="002A677E" w:rsidRDefault="00FD54FC" w:rsidP="00871877">
            <w:pPr>
              <w:rPr>
                <w:rFonts w:ascii="Times New Roman" w:hAnsi="Times New Roman"/>
                <w:sz w:val="24"/>
              </w:rPr>
            </w:pPr>
            <w:r>
              <w:rPr>
                <w:rFonts w:ascii="Times New Roman" w:hAnsi="Times New Roman"/>
                <w:sz w:val="24"/>
              </w:rPr>
              <w:t>Datum događaja jest datum nastanka ili početka štetnog događaja povezanog s operativnim rizikom.</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otkrića</w:t>
            </w:r>
          </w:p>
          <w:p w14:paraId="520821A8" w14:textId="77777777" w:rsidR="00FD54FC" w:rsidRPr="002A677E" w:rsidRDefault="00FD54FC" w:rsidP="00FD54FC">
            <w:pPr>
              <w:rPr>
                <w:rFonts w:ascii="Times New Roman" w:hAnsi="Times New Roman"/>
                <w:sz w:val="24"/>
              </w:rPr>
            </w:pPr>
            <w:r>
              <w:rPr>
                <w:rFonts w:ascii="Times New Roman" w:hAnsi="Times New Roman"/>
                <w:sz w:val="24"/>
              </w:rPr>
              <w:t>Datum otkrića jest datum kada je institucija saznala za štetni događaj povezan s operativnim rizikom.</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Vrste štetnih događaja</w:t>
            </w:r>
          </w:p>
          <w:p w14:paraId="73A75C19" w14:textId="1C0C4757" w:rsidR="00FD54FC" w:rsidRPr="002A677E" w:rsidRDefault="00F41508" w:rsidP="00EB6FC2">
            <w:pPr>
              <w:rPr>
                <w:rFonts w:ascii="Times New Roman" w:hAnsi="Times New Roman"/>
                <w:sz w:val="24"/>
              </w:rPr>
            </w:pPr>
            <w:r>
              <w:rPr>
                <w:rFonts w:ascii="Times New Roman" w:hAnsi="Times New Roman"/>
                <w:sz w:val="24"/>
              </w:rPr>
              <w:t xml:space="preserve">Vrste štetnih događaja kako su definirane u tablici 1. odjeljku 4.2.1. ovog Priloga.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w:t>
            </w:r>
          </w:p>
          <w:p w14:paraId="5E868659" w14:textId="77777777" w:rsidR="00FD54FC" w:rsidRPr="002A677E" w:rsidRDefault="00FD54FC" w:rsidP="0023276A">
            <w:pPr>
              <w:rPr>
                <w:rFonts w:ascii="Times New Roman" w:hAnsi="Times New Roman"/>
                <w:sz w:val="24"/>
              </w:rPr>
            </w:pPr>
            <w:r>
              <w:rPr>
                <w:rFonts w:ascii="Times New Roman" w:hAnsi="Times New Roman"/>
                <w:sz w:val="24"/>
              </w:rPr>
              <w:t>Bruto gubitak koji se odnosi na štetni događaj iskazan u redcima 0020, 0120 itd. obrasca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 ne uključujući izravne povrate</w:t>
            </w:r>
          </w:p>
          <w:p w14:paraId="371DD3AD" w14:textId="77777777" w:rsidR="00FD54FC" w:rsidRPr="002A677E" w:rsidRDefault="00FD54FC" w:rsidP="0023276A">
            <w:pPr>
              <w:rPr>
                <w:rFonts w:ascii="Times New Roman" w:hAnsi="Times New Roman"/>
                <w:sz w:val="24"/>
              </w:rPr>
            </w:pPr>
            <w:r>
              <w:rPr>
                <w:rFonts w:ascii="Times New Roman" w:hAnsi="Times New Roman"/>
                <w:sz w:val="24"/>
              </w:rPr>
              <w:t>Bruto gubitak koji se odnosi na štetni događaj iskazan u redcima 0020, 0120 itd. obrasca C 17.01, isključujući izravne povrate koji se odnose na taj štetni događaj.</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 prema poslovnoj liniji</w:t>
            </w:r>
          </w:p>
          <w:p w14:paraId="15FC08A2" w14:textId="6BE4BE54" w:rsidR="00FD54FC" w:rsidRPr="002A677E" w:rsidRDefault="00FD54FC" w:rsidP="007062FD">
            <w:pPr>
              <w:rPr>
                <w:rFonts w:ascii="Times New Roman" w:hAnsi="Times New Roman"/>
                <w:sz w:val="24"/>
              </w:rPr>
            </w:pPr>
            <w:r>
              <w:rPr>
                <w:rFonts w:ascii="Times New Roman" w:hAnsi="Times New Roman"/>
                <w:sz w:val="24"/>
              </w:rPr>
              <w:t xml:space="preserve">Bruto gubitak kako je iskazan u stupcu 0060 raspoređuje se na relevantne poslovne linije iz tablice 2. odjeljka 4.2.1.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Naziv pravne osobe</w:t>
            </w:r>
          </w:p>
          <w:p w14:paraId="196BBE73" w14:textId="7342A187" w:rsidR="00FD54FC" w:rsidRPr="002A677E" w:rsidRDefault="00FD54FC" w:rsidP="00FD54FC">
            <w:pPr>
              <w:rPr>
                <w:rFonts w:ascii="Times New Roman" w:hAnsi="Times New Roman"/>
                <w:sz w:val="24"/>
              </w:rPr>
            </w:pPr>
            <w:r>
              <w:rPr>
                <w:rFonts w:ascii="Times New Roman" w:hAnsi="Times New Roman"/>
                <w:sz w:val="24"/>
              </w:rPr>
              <w:t>Naziv pravne osobe navedeno u stupcu 0011 obrasca C 06.02 u kojoj je nastao gubitak ili najveći udio gubitka ako je pogođeno nekoliko subjekata.</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Oznaka</w:t>
            </w:r>
          </w:p>
          <w:p w14:paraId="2B51325F" w14:textId="351ACEFF" w:rsidR="000D0A23" w:rsidRPr="002A677E" w:rsidRDefault="0062362F" w:rsidP="009B627A">
            <w:pPr>
              <w:rPr>
                <w:rFonts w:ascii="Times New Roman" w:hAnsi="Times New Roman"/>
                <w:sz w:val="24"/>
              </w:rPr>
            </w:pPr>
            <w:r>
              <w:rPr>
                <w:rFonts w:ascii="Times New Roman" w:hAnsi="Times New Roman"/>
                <w:sz w:val="24"/>
              </w:rPr>
              <w:t>Oznaka pravne osobe iskazane u stupcu 0021 obrasca C 06.02 u kojoj je nastao gubitak ili najveći udio gubitka ako je pogođeno nekoliko subjekata.</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VRSTA OZNAKE</w:t>
            </w:r>
          </w:p>
          <w:p w14:paraId="13D1F0E6" w14:textId="1E045D4E" w:rsidR="000D0A23" w:rsidRPr="002A677E" w:rsidRDefault="000D0A23" w:rsidP="009B627A">
            <w:pPr>
              <w:rPr>
                <w:rStyle w:val="InstructionsTabelleberschrift"/>
                <w:rFonts w:ascii="Times New Roman" w:hAnsi="Times New Roman"/>
                <w:sz w:val="24"/>
              </w:rPr>
            </w:pPr>
            <w:r>
              <w:rPr>
                <w:rStyle w:val="InstructionsTabelleText"/>
                <w:rFonts w:ascii="Times New Roman" w:hAnsi="Times New Roman"/>
                <w:sz w:val="24"/>
              </w:rPr>
              <w:lastRenderedPageBreak/>
              <w:t xml:space="preserve">Institucije navode vrstu oznake iskazane u </w:t>
            </w:r>
            <w:r>
              <w:rPr>
                <w:rStyle w:val="FormatvorlageInstructionsTabelleText"/>
                <w:rFonts w:ascii="Times New Roman" w:hAnsi="Times New Roman"/>
                <w:sz w:val="24"/>
              </w:rPr>
              <w:t>stupcu 0181 kao „oznaka LEI” ili „oznaka koja nije LEI”, također u skladu sa stupcem 0026 obrasca 06.02. Vrsta oznake uvijek se navodi.</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lastRenderedPageBreak/>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jedinica</w:t>
            </w:r>
          </w:p>
          <w:p w14:paraId="7468F598" w14:textId="77777777" w:rsidR="00FD54FC" w:rsidRPr="002A677E" w:rsidRDefault="00FD54FC" w:rsidP="00FD54FC">
            <w:pPr>
              <w:rPr>
                <w:rFonts w:ascii="Times New Roman" w:hAnsi="Times New Roman"/>
                <w:sz w:val="24"/>
              </w:rPr>
            </w:pPr>
            <w:r>
              <w:rPr>
                <w:rFonts w:ascii="Times New Roman" w:hAnsi="Times New Roman"/>
                <w:sz w:val="24"/>
              </w:rPr>
              <w:t>Poslovna jedinica ili korporativni odjel institucije u kojemu se dogodio gubitak ili najveći udio gubitka ako je pogođeno nekoliko poslovnih jedinica ili korporativnih odjela.</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14:paraId="5B222555" w14:textId="77777777" w:rsidR="00FD54FC" w:rsidRPr="002A677E" w:rsidRDefault="00FD54FC" w:rsidP="00FD239F">
            <w:pPr>
              <w:rPr>
                <w:rFonts w:ascii="Times New Roman" w:hAnsi="Times New Roman"/>
                <w:sz w:val="24"/>
              </w:rPr>
            </w:pPr>
            <w:r>
              <w:rPr>
                <w:rFonts w:ascii="Times New Roman" w:hAnsi="Times New Roman"/>
                <w:sz w:val="24"/>
              </w:rPr>
              <w:t xml:space="preserve">Narativni opis štetnog događaja, prema potrebi općenit ili </w:t>
            </w:r>
            <w:proofErr w:type="spellStart"/>
            <w:r>
              <w:rPr>
                <w:rFonts w:ascii="Times New Roman" w:hAnsi="Times New Roman"/>
                <w:sz w:val="24"/>
              </w:rPr>
              <w:t>anonimiziran</w:t>
            </w:r>
            <w:proofErr w:type="spellEnd"/>
            <w:r>
              <w:rPr>
                <w:rFonts w:ascii="Times New Roman" w:hAnsi="Times New Roman"/>
                <w:sz w:val="24"/>
              </w:rPr>
              <w:t>, koji sadržava barem informacije o samom događaju i informacije o pokretačima ili uzrocima štetnog događaja ako su poznati.</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dovita primjena"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dovita primjena"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dovita primjen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dovita primjena"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Redovita primjena</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6F77"/>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aliases w:val="Title 2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hr-HR"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4.xml><?xml version="1.0" encoding="utf-8"?>
<ds:datastoreItem xmlns:ds="http://schemas.openxmlformats.org/officeDocument/2006/customXml" ds:itemID="{F5B97B27-14A6-4A0C-B9BB-EE4151935F96}"/>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5547</Words>
  <Characters>33906</Characters>
  <Application>Microsoft Office Word</Application>
  <DocSecurity>0</DocSecurity>
  <Lines>826</Lines>
  <Paragraphs>406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39047</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2024-11-05T14:50:00Z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2024-11-05T14:50:41Z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3da5e266-3ea4-44ce-8501-f672a1bf1b81</vt:lpwstr>
  </property>
  <property fmtid="{D5CDD505-2E9C-101B-9397-08002B2CF9AE}" pid="9" name="MSIP_Label_6bd9ddd1-4d20-43f6-abfa-fc3c07406f94_ContentBits">
    <vt:lpwstr>0</vt:lpwstr>
  </property>
</Properties>
</file>