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GA</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IARSCRÍBHINN XII</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‘IARSCRÍBHINN XXVII</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TREORACHA TUAIRISCITHE CHUN G-SIInna A SHAINAITHINT AGUS RÁTAÍ MAOLÁNACHA G-SII A SHANNADH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Clár Ábhar</w:t>
      </w:r>
    </w:p>
    <w:p w14:paraId="40A6BB69" w14:textId="01293596" w:rsidR="007F3029" w:rsidRDefault="00745369">
      <w:pPr>
        <w:pStyle w:val="TOC2"/>
        <w:rPr>
          <w:rFonts w:asciiTheme="minorHAnsi" w:eastAsiaTheme="minorEastAsia" w:hAnsiTheme="minorHAnsi" w:cstheme="minorBidi"/>
          <w:b w:val="0"/>
          <w:smallCaps w:val="0"/>
          <w:kern w:val="2"/>
          <w:sz w:val="22"/>
          <w:lang w:val="en-IE" w:eastAsia="en-IE"/>
          <w14:ligatures w14:val="standardContextual"/>
        </w:rPr>
      </w:pPr>
      <w:r w:rsidRPr="00B74E74">
        <w:rPr>
          <w:rFonts w:ascii="Times New Roman" w:hAnsi="Times New Roman"/>
          <w:sz w:val="24"/>
        </w:rPr>
        <w:fldChar w:fldCharType="begin"/>
      </w:r>
      <w:r w:rsidR="002648B0" w:rsidRPr="00B74E74">
        <w:rPr>
          <w:rFonts w:ascii="Times New Roman" w:hAnsi="Times New Roman"/>
          <w:sz w:val="24"/>
        </w:rPr>
        <w:instrText xml:space="preserve"> TOC \o "1-3" \h \z \u </w:instrText>
      </w:r>
      <w:r w:rsidRPr="00B74E74">
        <w:rPr>
          <w:rFonts w:ascii="Times New Roman" w:hAnsi="Times New Roman"/>
          <w:sz w:val="24"/>
        </w:rPr>
        <w:fldChar w:fldCharType="separate"/>
      </w:r>
      <w:hyperlink w:anchor="_Toc187670465" w:history="1">
        <w:r w:rsidR="007F3029" w:rsidRPr="001119CC">
          <w:rPr>
            <w:rStyle w:val="Hyperlink"/>
          </w:rPr>
          <w:t>CUID I: TREORACHA GINEARÁLTA</w:t>
        </w:r>
        <w:r w:rsidR="007F3029">
          <w:rPr>
            <w:webHidden/>
          </w:rPr>
          <w:tab/>
        </w:r>
        <w:r w:rsidR="007F3029">
          <w:rPr>
            <w:webHidden/>
          </w:rPr>
          <w:fldChar w:fldCharType="begin"/>
        </w:r>
        <w:r w:rsidR="007F3029">
          <w:rPr>
            <w:webHidden/>
          </w:rPr>
          <w:instrText xml:space="preserve"> PAGEREF _Toc187670465 \h </w:instrText>
        </w:r>
        <w:r w:rsidR="007F3029">
          <w:rPr>
            <w:webHidden/>
          </w:rPr>
        </w:r>
        <w:r w:rsidR="007F3029">
          <w:rPr>
            <w:webHidden/>
          </w:rPr>
          <w:fldChar w:fldCharType="separate"/>
        </w:r>
        <w:r w:rsidR="007F3029">
          <w:rPr>
            <w:webHidden/>
          </w:rPr>
          <w:t>2</w:t>
        </w:r>
        <w:r w:rsidR="007F3029">
          <w:rPr>
            <w:webHidden/>
          </w:rPr>
          <w:fldChar w:fldCharType="end"/>
        </w:r>
      </w:hyperlink>
    </w:p>
    <w:p w14:paraId="577081D6" w14:textId="1D64AE23" w:rsidR="007F3029" w:rsidRDefault="00A70CE3">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466" w:history="1">
        <w:r w:rsidR="007F3029" w:rsidRPr="001119CC">
          <w:rPr>
            <w:rStyle w:val="Hyperlink"/>
          </w:rPr>
          <w:t>1.</w:t>
        </w:r>
        <w:r w:rsidR="007F3029">
          <w:rPr>
            <w:rFonts w:asciiTheme="minorHAnsi" w:eastAsiaTheme="minorEastAsia" w:hAnsiTheme="minorHAnsi" w:cstheme="minorBidi"/>
            <w:b w:val="0"/>
            <w:smallCaps w:val="0"/>
            <w:kern w:val="2"/>
            <w:sz w:val="22"/>
            <w:lang w:val="en-IE" w:eastAsia="en-IE"/>
            <w14:ligatures w14:val="standardContextual"/>
          </w:rPr>
          <w:tab/>
        </w:r>
        <w:r w:rsidR="007F3029" w:rsidRPr="001119CC">
          <w:rPr>
            <w:rStyle w:val="Hyperlink"/>
          </w:rPr>
          <w:t>Struchtúr agus gnásanna</w:t>
        </w:r>
        <w:r w:rsidR="007F3029">
          <w:rPr>
            <w:webHidden/>
          </w:rPr>
          <w:tab/>
        </w:r>
        <w:r w:rsidR="007F3029">
          <w:rPr>
            <w:webHidden/>
          </w:rPr>
          <w:fldChar w:fldCharType="begin"/>
        </w:r>
        <w:r w:rsidR="007F3029">
          <w:rPr>
            <w:webHidden/>
          </w:rPr>
          <w:instrText xml:space="preserve"> PAGEREF _Toc187670466 \h </w:instrText>
        </w:r>
        <w:r w:rsidR="007F3029">
          <w:rPr>
            <w:webHidden/>
          </w:rPr>
        </w:r>
        <w:r w:rsidR="007F3029">
          <w:rPr>
            <w:webHidden/>
          </w:rPr>
          <w:fldChar w:fldCharType="separate"/>
        </w:r>
        <w:r w:rsidR="007F3029">
          <w:rPr>
            <w:webHidden/>
          </w:rPr>
          <w:t>2</w:t>
        </w:r>
        <w:r w:rsidR="007F3029">
          <w:rPr>
            <w:webHidden/>
          </w:rPr>
          <w:fldChar w:fldCharType="end"/>
        </w:r>
      </w:hyperlink>
    </w:p>
    <w:p w14:paraId="1231CEA7" w14:textId="487ACA1D" w:rsidR="007F3029" w:rsidRDefault="00A70CE3">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467" w:history="1">
        <w:r w:rsidR="007F3029" w:rsidRPr="001119CC">
          <w:rPr>
            <w:rStyle w:val="Hyperlink"/>
          </w:rPr>
          <w:t>1.1.</w:t>
        </w:r>
        <w:r w:rsidR="007F3029">
          <w:rPr>
            <w:rFonts w:asciiTheme="minorHAnsi" w:eastAsiaTheme="minorEastAsia" w:hAnsiTheme="minorHAnsi" w:cstheme="minorBidi"/>
            <w:b w:val="0"/>
            <w:smallCaps w:val="0"/>
            <w:kern w:val="2"/>
            <w:sz w:val="22"/>
            <w:lang w:val="en-IE" w:eastAsia="en-IE"/>
            <w14:ligatures w14:val="standardContextual"/>
          </w:rPr>
          <w:tab/>
        </w:r>
        <w:r w:rsidR="007F3029" w:rsidRPr="001119CC">
          <w:rPr>
            <w:rStyle w:val="Hyperlink"/>
          </w:rPr>
          <w:t>Struchtúr</w:t>
        </w:r>
        <w:r w:rsidR="007F3029">
          <w:rPr>
            <w:webHidden/>
          </w:rPr>
          <w:tab/>
        </w:r>
        <w:r w:rsidR="007F3029">
          <w:rPr>
            <w:webHidden/>
          </w:rPr>
          <w:fldChar w:fldCharType="begin"/>
        </w:r>
        <w:r w:rsidR="007F3029">
          <w:rPr>
            <w:webHidden/>
          </w:rPr>
          <w:instrText xml:space="preserve"> PAGEREF _Toc187670467 \h </w:instrText>
        </w:r>
        <w:r w:rsidR="007F3029">
          <w:rPr>
            <w:webHidden/>
          </w:rPr>
        </w:r>
        <w:r w:rsidR="007F3029">
          <w:rPr>
            <w:webHidden/>
          </w:rPr>
          <w:fldChar w:fldCharType="separate"/>
        </w:r>
        <w:r w:rsidR="007F3029">
          <w:rPr>
            <w:webHidden/>
          </w:rPr>
          <w:t>2</w:t>
        </w:r>
        <w:r w:rsidR="007F3029">
          <w:rPr>
            <w:webHidden/>
          </w:rPr>
          <w:fldChar w:fldCharType="end"/>
        </w:r>
      </w:hyperlink>
    </w:p>
    <w:p w14:paraId="1BD1A354" w14:textId="4B8EAFBF" w:rsidR="007F3029" w:rsidRDefault="00A70CE3">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468" w:history="1">
        <w:r w:rsidR="007F3029" w:rsidRPr="001119CC">
          <w:rPr>
            <w:rStyle w:val="Hyperlink"/>
          </w:rPr>
          <w:t>1.2.</w:t>
        </w:r>
        <w:r w:rsidR="007F3029">
          <w:rPr>
            <w:rFonts w:asciiTheme="minorHAnsi" w:eastAsiaTheme="minorEastAsia" w:hAnsiTheme="minorHAnsi" w:cstheme="minorBidi"/>
            <w:b w:val="0"/>
            <w:smallCaps w:val="0"/>
            <w:kern w:val="2"/>
            <w:sz w:val="22"/>
            <w:lang w:val="en-IE" w:eastAsia="en-IE"/>
            <w14:ligatures w14:val="standardContextual"/>
          </w:rPr>
          <w:tab/>
        </w:r>
        <w:r w:rsidR="007F3029" w:rsidRPr="001119CC">
          <w:rPr>
            <w:rStyle w:val="Hyperlink"/>
          </w:rPr>
          <w:t>Gnás uimhriúcháin</w:t>
        </w:r>
        <w:r w:rsidR="007F3029">
          <w:rPr>
            <w:webHidden/>
          </w:rPr>
          <w:tab/>
        </w:r>
        <w:r w:rsidR="007F3029">
          <w:rPr>
            <w:webHidden/>
          </w:rPr>
          <w:fldChar w:fldCharType="begin"/>
        </w:r>
        <w:r w:rsidR="007F3029">
          <w:rPr>
            <w:webHidden/>
          </w:rPr>
          <w:instrText xml:space="preserve"> PAGEREF _Toc187670468 \h </w:instrText>
        </w:r>
        <w:r w:rsidR="007F3029">
          <w:rPr>
            <w:webHidden/>
          </w:rPr>
        </w:r>
        <w:r w:rsidR="007F3029">
          <w:rPr>
            <w:webHidden/>
          </w:rPr>
          <w:fldChar w:fldCharType="separate"/>
        </w:r>
        <w:r w:rsidR="007F3029">
          <w:rPr>
            <w:webHidden/>
          </w:rPr>
          <w:t>2</w:t>
        </w:r>
        <w:r w:rsidR="007F3029">
          <w:rPr>
            <w:webHidden/>
          </w:rPr>
          <w:fldChar w:fldCharType="end"/>
        </w:r>
      </w:hyperlink>
    </w:p>
    <w:p w14:paraId="54738C01" w14:textId="67DB74DF" w:rsidR="007F3029" w:rsidRDefault="00A70CE3">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469" w:history="1">
        <w:r w:rsidR="007F3029" w:rsidRPr="001119CC">
          <w:rPr>
            <w:rStyle w:val="Hyperlink"/>
          </w:rPr>
          <w:t>1.3.</w:t>
        </w:r>
        <w:r w:rsidR="007F3029">
          <w:rPr>
            <w:rFonts w:asciiTheme="minorHAnsi" w:eastAsiaTheme="minorEastAsia" w:hAnsiTheme="minorHAnsi" w:cstheme="minorBidi"/>
            <w:b w:val="0"/>
            <w:smallCaps w:val="0"/>
            <w:kern w:val="2"/>
            <w:sz w:val="22"/>
            <w:lang w:val="en-IE" w:eastAsia="en-IE"/>
            <w14:ligatures w14:val="standardContextual"/>
          </w:rPr>
          <w:tab/>
        </w:r>
        <w:r w:rsidR="007F3029" w:rsidRPr="001119CC">
          <w:rPr>
            <w:rStyle w:val="Hyperlink"/>
          </w:rPr>
          <w:t>Gnás maidir le comharthaí</w:t>
        </w:r>
        <w:r w:rsidR="007F3029">
          <w:rPr>
            <w:webHidden/>
          </w:rPr>
          <w:tab/>
        </w:r>
        <w:r w:rsidR="007F3029">
          <w:rPr>
            <w:webHidden/>
          </w:rPr>
          <w:fldChar w:fldCharType="begin"/>
        </w:r>
        <w:r w:rsidR="007F3029">
          <w:rPr>
            <w:webHidden/>
          </w:rPr>
          <w:instrText xml:space="preserve"> PAGEREF _Toc187670469 \h </w:instrText>
        </w:r>
        <w:r w:rsidR="007F3029">
          <w:rPr>
            <w:webHidden/>
          </w:rPr>
        </w:r>
        <w:r w:rsidR="007F3029">
          <w:rPr>
            <w:webHidden/>
          </w:rPr>
          <w:fldChar w:fldCharType="separate"/>
        </w:r>
        <w:r w:rsidR="007F3029">
          <w:rPr>
            <w:webHidden/>
          </w:rPr>
          <w:t>2</w:t>
        </w:r>
        <w:r w:rsidR="007F3029">
          <w:rPr>
            <w:webHidden/>
          </w:rPr>
          <w:fldChar w:fldCharType="end"/>
        </w:r>
      </w:hyperlink>
    </w:p>
    <w:p w14:paraId="6FCEEEEF" w14:textId="08045B46" w:rsidR="007F3029" w:rsidRDefault="00A70CE3">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470" w:history="1">
        <w:r w:rsidR="007F3029" w:rsidRPr="001119CC">
          <w:rPr>
            <w:rStyle w:val="Hyperlink"/>
          </w:rPr>
          <w:t>CUID II: TREORACHA A BHAINEANN LE TEIMPLÉID</w:t>
        </w:r>
        <w:r w:rsidR="007F3029">
          <w:rPr>
            <w:webHidden/>
          </w:rPr>
          <w:tab/>
        </w:r>
        <w:r w:rsidR="007F3029">
          <w:rPr>
            <w:webHidden/>
          </w:rPr>
          <w:fldChar w:fldCharType="begin"/>
        </w:r>
        <w:r w:rsidR="007F3029">
          <w:rPr>
            <w:webHidden/>
          </w:rPr>
          <w:instrText xml:space="preserve"> PAGEREF _Toc187670470 \h </w:instrText>
        </w:r>
        <w:r w:rsidR="007F3029">
          <w:rPr>
            <w:webHidden/>
          </w:rPr>
        </w:r>
        <w:r w:rsidR="007F3029">
          <w:rPr>
            <w:webHidden/>
          </w:rPr>
          <w:fldChar w:fldCharType="separate"/>
        </w:r>
        <w:r w:rsidR="007F3029">
          <w:rPr>
            <w:webHidden/>
          </w:rPr>
          <w:t>3</w:t>
        </w:r>
        <w:r w:rsidR="007F3029">
          <w:rPr>
            <w:webHidden/>
          </w:rPr>
          <w:fldChar w:fldCharType="end"/>
        </w:r>
      </w:hyperlink>
    </w:p>
    <w:p w14:paraId="70B1283A" w14:textId="3BE9A4F7" w:rsidR="007F3029" w:rsidRDefault="00A70CE3">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471" w:history="1">
        <w:r w:rsidR="007F3029" w:rsidRPr="001119CC">
          <w:rPr>
            <w:rStyle w:val="Hyperlink"/>
          </w:rPr>
          <w:t>1.</w:t>
        </w:r>
        <w:r w:rsidR="007F3029">
          <w:rPr>
            <w:rFonts w:asciiTheme="minorHAnsi" w:eastAsiaTheme="minorEastAsia" w:hAnsiTheme="minorHAnsi" w:cstheme="minorBidi"/>
            <w:b w:val="0"/>
            <w:smallCaps w:val="0"/>
            <w:kern w:val="2"/>
            <w:sz w:val="22"/>
            <w:lang w:val="en-IE" w:eastAsia="en-IE"/>
            <w14:ligatures w14:val="standardContextual"/>
          </w:rPr>
          <w:tab/>
        </w:r>
        <w:r w:rsidR="007F3029" w:rsidRPr="001119CC">
          <w:rPr>
            <w:rStyle w:val="Hyperlink"/>
          </w:rPr>
          <w:t>Barúlacha ginearálta</w:t>
        </w:r>
        <w:r w:rsidR="007F3029">
          <w:rPr>
            <w:webHidden/>
          </w:rPr>
          <w:tab/>
        </w:r>
        <w:r w:rsidR="007F3029">
          <w:rPr>
            <w:webHidden/>
          </w:rPr>
          <w:fldChar w:fldCharType="begin"/>
        </w:r>
        <w:r w:rsidR="007F3029">
          <w:rPr>
            <w:webHidden/>
          </w:rPr>
          <w:instrText xml:space="preserve"> PAGEREF _Toc187670471 \h </w:instrText>
        </w:r>
        <w:r w:rsidR="007F3029">
          <w:rPr>
            <w:webHidden/>
          </w:rPr>
        </w:r>
        <w:r w:rsidR="007F3029">
          <w:rPr>
            <w:webHidden/>
          </w:rPr>
          <w:fldChar w:fldCharType="separate"/>
        </w:r>
        <w:r w:rsidR="007F3029">
          <w:rPr>
            <w:webHidden/>
          </w:rPr>
          <w:t>3</w:t>
        </w:r>
        <w:r w:rsidR="007F3029">
          <w:rPr>
            <w:webHidden/>
          </w:rPr>
          <w:fldChar w:fldCharType="end"/>
        </w:r>
      </w:hyperlink>
    </w:p>
    <w:p w14:paraId="57613E5E" w14:textId="70D95C24" w:rsidR="007F3029" w:rsidRDefault="00A70CE3">
      <w:pPr>
        <w:pStyle w:val="TOC2"/>
        <w:rPr>
          <w:rFonts w:asciiTheme="minorHAnsi" w:eastAsiaTheme="minorEastAsia" w:hAnsiTheme="minorHAnsi" w:cstheme="minorBidi"/>
          <w:b w:val="0"/>
          <w:smallCaps w:val="0"/>
          <w:kern w:val="2"/>
          <w:sz w:val="22"/>
          <w:lang w:val="en-IE" w:eastAsia="en-IE"/>
          <w14:ligatures w14:val="standardContextual"/>
        </w:rPr>
      </w:pPr>
      <w:hyperlink w:anchor="_Toc187670472" w:history="1">
        <w:r w:rsidR="007F3029" w:rsidRPr="001119CC">
          <w:rPr>
            <w:rStyle w:val="Hyperlink"/>
          </w:rPr>
          <w:t>2.</w:t>
        </w:r>
        <w:r w:rsidR="007F3029">
          <w:rPr>
            <w:rFonts w:asciiTheme="minorHAnsi" w:eastAsiaTheme="minorEastAsia" w:hAnsiTheme="minorHAnsi" w:cstheme="minorBidi"/>
            <w:b w:val="0"/>
            <w:smallCaps w:val="0"/>
            <w:kern w:val="2"/>
            <w:sz w:val="22"/>
            <w:lang w:val="en-IE" w:eastAsia="en-IE"/>
            <w14:ligatures w14:val="standardContextual"/>
          </w:rPr>
          <w:tab/>
        </w:r>
        <w:r w:rsidR="007F3029" w:rsidRPr="001119CC">
          <w:rPr>
            <w:rStyle w:val="Hyperlink"/>
          </w:rPr>
          <w:t>Treoracha a bhaineann le suíomhanna sonracha</w:t>
        </w:r>
        <w:r w:rsidR="007F3029">
          <w:rPr>
            <w:webHidden/>
          </w:rPr>
          <w:tab/>
        </w:r>
        <w:r w:rsidR="007F3029">
          <w:rPr>
            <w:webHidden/>
          </w:rPr>
          <w:fldChar w:fldCharType="begin"/>
        </w:r>
        <w:r w:rsidR="007F3029">
          <w:rPr>
            <w:webHidden/>
          </w:rPr>
          <w:instrText xml:space="preserve"> PAGEREF _Toc187670472 \h </w:instrText>
        </w:r>
        <w:r w:rsidR="007F3029">
          <w:rPr>
            <w:webHidden/>
          </w:rPr>
        </w:r>
        <w:r w:rsidR="007F3029">
          <w:rPr>
            <w:webHidden/>
          </w:rPr>
          <w:fldChar w:fldCharType="separate"/>
        </w:r>
        <w:r w:rsidR="007F3029">
          <w:rPr>
            <w:webHidden/>
          </w:rPr>
          <w:t>3</w:t>
        </w:r>
        <w:r w:rsidR="007F3029">
          <w:rPr>
            <w:webHidden/>
          </w:rPr>
          <w:fldChar w:fldCharType="end"/>
        </w:r>
      </w:hyperlink>
    </w:p>
    <w:p w14:paraId="7AC7042C" w14:textId="48A27B62"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B74E74">
        <w:rPr>
          <w:rFonts w:ascii="Times New Roman" w:hAnsi="Times New Roman"/>
          <w:sz w:val="24"/>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87670465"/>
      <w:r>
        <w:lastRenderedPageBreak/>
        <w:t>CUID I:</w:t>
      </w:r>
      <w:bookmarkEnd w:id="2"/>
      <w:r>
        <w:t xml:space="preserve"> TREORACHA GINEARÁLTA</w:t>
      </w:r>
      <w:bookmarkEnd w:id="3"/>
      <w:bookmarkEnd w:id="4"/>
      <w:bookmarkEnd w:id="5"/>
    </w:p>
    <w:p w14:paraId="134C985E" w14:textId="77777777"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87670466"/>
      <w:r>
        <w:rPr>
          <w:sz w:val="24"/>
        </w:rPr>
        <w:t>1.</w:t>
      </w:r>
      <w:r>
        <w:rPr>
          <w:sz w:val="24"/>
        </w:rPr>
        <w:tab/>
        <w:t>Struchtúr agus gnásanna</w:t>
      </w:r>
      <w:bookmarkEnd w:id="6"/>
      <w:bookmarkEnd w:id="7"/>
      <w:bookmarkEnd w:id="8"/>
    </w:p>
    <w:p w14:paraId="7C7E012C" w14:textId="77777777"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187670467"/>
      <w:bookmarkStart w:id="12" w:name="_Toc264038399"/>
      <w:bookmarkStart w:id="13" w:name="_Toc294018834"/>
      <w:r>
        <w:rPr>
          <w:sz w:val="24"/>
        </w:rPr>
        <w:t>1.1.</w:t>
      </w:r>
      <w:r>
        <w:rPr>
          <w:sz w:val="24"/>
        </w:rPr>
        <w:tab/>
        <w:t>Struchtúr</w:t>
      </w:r>
      <w:bookmarkEnd w:id="9"/>
      <w:bookmarkEnd w:id="10"/>
      <w:bookmarkEnd w:id="11"/>
    </w:p>
    <w:p w14:paraId="6C67B776" w14:textId="4E28F620" w:rsidR="005643EA" w:rsidRPr="00B74E74" w:rsidRDefault="00125707" w:rsidP="00B26332">
      <w:pPr>
        <w:pStyle w:val="InstructionsText2"/>
        <w:ind w:left="993"/>
      </w:pPr>
      <w:r>
        <w:t>1.</w:t>
      </w:r>
      <w:r>
        <w:tab/>
        <w:t>Is éard atá sna ceanglais tuairiscithe seo a bhfuil sé d’aidhm acu tacú le hinstitiúidí domhanda a bhfuil tábhacht shistéamach leo (G-SIInna) a shainaithint agus lena sanntar rátaí maolánacha G-SII comhfhreagracha, teimpléad amháin lena léirítear faisnéis faoi tháscairí a bhfuil tábhacht shistéamach dhomhanda leo agus míreanna áirithe is gá chun modheolaíocht an Aontais a chur i bhfeidhm chun G-SIInna a shainaithint agus rátaí maolánacha G-SII comhfhreagracha a shannadh.</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87670468"/>
      <w:r>
        <w:rPr>
          <w:sz w:val="24"/>
        </w:rPr>
        <w:t>1.2.</w:t>
      </w:r>
      <w:r>
        <w:rPr>
          <w:sz w:val="24"/>
        </w:rPr>
        <w:tab/>
        <w:t>Gnás uimhriúcháin</w:t>
      </w:r>
      <w:bookmarkEnd w:id="14"/>
      <w:bookmarkEnd w:id="15"/>
      <w:bookmarkEnd w:id="16"/>
    </w:p>
    <w:p w14:paraId="3C0F0268" w14:textId="5212C39C" w:rsidR="002648B0" w:rsidRPr="00B74E74" w:rsidRDefault="006137FD" w:rsidP="00AB7C07">
      <w:pPr>
        <w:pStyle w:val="InstructionsText2"/>
        <w:ind w:left="993"/>
      </w:pPr>
      <w:r>
        <w:t>2.</w:t>
      </w:r>
      <w:r>
        <w:tab/>
        <w:t>Cloítear sa doiciméad leis an ngnás lipéadaithe mar a leagtar amach i bpointí 3 go 5 i gcás ina dtagraítear do cholúin, rónna agus cealla na dteimpléad. Úsáidtear na cóid uimhriúla sin go forleathan sna rialacha bailíochtaithe.</w:t>
      </w:r>
    </w:p>
    <w:p w14:paraId="26DC2799" w14:textId="2C43513E" w:rsidR="005643EA" w:rsidRPr="00B74E74" w:rsidRDefault="006137FD" w:rsidP="00AB7C07">
      <w:pPr>
        <w:pStyle w:val="InstructionsText2"/>
        <w:ind w:left="993"/>
      </w:pPr>
      <w:r>
        <w:t>3.</w:t>
      </w:r>
      <w:r>
        <w:tab/>
        <w:t>Cloítear leis an nodaireacht ghinearálta seo a leanas sna treoracha: {Teimpléad; Ró; Colún}.</w:t>
      </w:r>
    </w:p>
    <w:p w14:paraId="6A9F72AA" w14:textId="632C824C" w:rsidR="005643EA" w:rsidRPr="00B74E74" w:rsidRDefault="006137FD" w:rsidP="00AB7C07">
      <w:pPr>
        <w:pStyle w:val="InstructionsText2"/>
        <w:ind w:left="993"/>
      </w:pPr>
      <w:r>
        <w:t>4.</w:t>
      </w:r>
      <w:r>
        <w:tab/>
        <w:t>I gcás tagairtí a dhéantar laistigh de theimpléad, agus nach n‑úsáidtear ach pointí sonraí an teimpléid sin dá bhrí sin, ní áirítear teimpléad leis an nodaireacht: {Ró; Colún}. I gcás teimpléid nach bhfuil ach aon cholún amháin iontu, ní thagraítear ach do rónna {Teimpléad; Ró}.</w:t>
      </w:r>
    </w:p>
    <w:p w14:paraId="01FECE3C" w14:textId="482B71E1" w:rsidR="002648B0" w:rsidRPr="00B74E74" w:rsidRDefault="006137FD" w:rsidP="00AB7C07">
      <w:pPr>
        <w:pStyle w:val="InstructionsText2"/>
        <w:ind w:left="993"/>
      </w:pPr>
      <w:r>
        <w:t>5.</w:t>
      </w:r>
      <w:r>
        <w:tab/>
        <w:t>Úsáidtear réiltín le léiriú go ndéanann an tagairt na rónna nó na colúin a shonraítear roimhe a ghabháil.</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87670469"/>
      <w:r>
        <w:rPr>
          <w:sz w:val="24"/>
        </w:rPr>
        <w:t>1.3.</w:t>
      </w:r>
      <w:r>
        <w:rPr>
          <w:sz w:val="24"/>
        </w:rPr>
        <w:tab/>
        <w:t>Gnás maidir le comharthaí</w:t>
      </w:r>
      <w:bookmarkEnd w:id="12"/>
      <w:bookmarkEnd w:id="13"/>
      <w:bookmarkEnd w:id="17"/>
      <w:bookmarkEnd w:id="18"/>
      <w:bookmarkEnd w:id="19"/>
    </w:p>
    <w:p w14:paraId="0C0832BC" w14:textId="4A4E8717" w:rsidR="002648B0" w:rsidRPr="00B74E74" w:rsidRDefault="006137FD" w:rsidP="00AB7C07">
      <w:pPr>
        <w:pStyle w:val="InstructionsText2"/>
        <w:ind w:left="993"/>
      </w:pPr>
      <w:r>
        <w:t>6.</w:t>
      </w:r>
      <w:r>
        <w:tab/>
        <w:t>Déanfar aon mhéid lena méadaítear luach an táscaire, na sócmhainní, na ndliteanas nó na neamhchosaintí a thuairisciú mar fhigiúr deimhneach. Déanfar aon mhéid lena laghdaítear luach an táscaire, na sócmhainní, na ndliteanas nó na neamhchosaintí a thuairisciú mar fhigiúr diúltach. I gcás ina bhfuil comhartha diúltach (-) roimh lipéad ítime, níltear ag súil go dtuairiscítear aon fhigiúr deimhneach don ítim sin.</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EC067D">
      <w:pPr>
        <w:pStyle w:val="Heading2"/>
      </w:pPr>
      <w:bookmarkStart w:id="21" w:name="_Toc360188322"/>
      <w:bookmarkStart w:id="22" w:name="_Toc473560870"/>
      <w:bookmarkStart w:id="23" w:name="_Toc187670470"/>
      <w:r>
        <w:lastRenderedPageBreak/>
        <w:t>CUID II: TREORACHA A BHAINEANN LE TEIMPLÉID</w:t>
      </w:r>
      <w:bookmarkEnd w:id="21"/>
      <w:bookmarkEnd w:id="22"/>
      <w:bookmarkEnd w:id="23"/>
    </w:p>
    <w:p w14:paraId="5E8C221B" w14:textId="6A60103B"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87670471"/>
      <w:r>
        <w:rPr>
          <w:sz w:val="24"/>
        </w:rPr>
        <w:t>1.</w:t>
      </w:r>
      <w:r>
        <w:rPr>
          <w:sz w:val="24"/>
        </w:rPr>
        <w:tab/>
      </w:r>
      <w:bookmarkStart w:id="27" w:name="_Toc308175819"/>
      <w:bookmarkStart w:id="28" w:name="_Toc360188324"/>
      <w:bookmarkStart w:id="29" w:name="_Toc473560872"/>
      <w:bookmarkEnd w:id="24"/>
      <w:bookmarkEnd w:id="25"/>
      <w:r>
        <w:rPr>
          <w:sz w:val="24"/>
        </w:rPr>
        <w:t>Barúlacha ginearálta</w:t>
      </w:r>
      <w:bookmarkEnd w:id="26"/>
      <w:bookmarkEnd w:id="27"/>
      <w:bookmarkEnd w:id="28"/>
      <w:bookmarkEnd w:id="29"/>
    </w:p>
    <w:p w14:paraId="410557ED" w14:textId="58FCFFD9" w:rsidR="006137FD" w:rsidRPr="00B74E74" w:rsidRDefault="00004542" w:rsidP="00AB7C07">
      <w:pPr>
        <w:pStyle w:val="InstructionsText2"/>
        <w:ind w:left="993"/>
      </w:pPr>
      <w:r>
        <w:t>8.</w:t>
      </w:r>
      <w:r>
        <w:tab/>
        <w:t>Tá an teimpléad roinnte ina dhá roinn. Tá san áireamh leis an roinn uachtarach faoi tháscairí G-SII na táscairí chun institiúidí domhanda a bhfuil tábhacht shistéamach leo a aithint mar a shainmhínítear sa mhodheolaíocht a d’fhorbair Coiste Basel um Maoirseacht ar Bhaincéireacht. Sa roinn íochtarach, tá líon míreanna is gá chun na táscairí ábhartha a ríomh i gcomhréir leis an modheolaíocht mar a shainmhínítear ar bhonn Airteagal 131(18) de Threoir 2013/36/AE</w:t>
      </w:r>
      <w:r w:rsidR="00FE1150" w:rsidRPr="00B74E74">
        <w:rPr>
          <w:rStyle w:val="FootnoteReference"/>
          <w:rFonts w:ascii="Times New Roman" w:hAnsi="Times New Roman"/>
          <w:sz w:val="24"/>
          <w:szCs w:val="24"/>
          <w:vertAlign w:val="superscript"/>
        </w:rPr>
        <w:footnoteReference w:id="2"/>
      </w:r>
      <w:r>
        <w:t xml:space="preserve">. </w:t>
      </w:r>
    </w:p>
    <w:p w14:paraId="285BFC5F" w14:textId="4372324A" w:rsidR="005643EA" w:rsidRPr="00B74E74" w:rsidRDefault="00004542" w:rsidP="00AB7C07">
      <w:pPr>
        <w:pStyle w:val="InstructionsText2"/>
        <w:ind w:left="993"/>
      </w:pPr>
      <w:r>
        <w:t>9.</w:t>
      </w:r>
      <w:r>
        <w:tab/>
        <w:t>I gcás inarb ábhartha, beidh an fhaisnéis a sholáthraítear sa teimpléad seo comhsheasmhach leis an bhfaisnéis a sholáthraítear d’údaráis ábhartha chun críocha bhailiú na luachanna táscaire ag údaráis ábhartha mar a leagtar amach in Airteagal 3(2) de Rialachán Tarmligthe (AE) Uimh. 1222/2014 ón gCoimisiún</w:t>
      </w:r>
      <w:r w:rsidR="00FE1150" w:rsidRPr="00B74E74">
        <w:rPr>
          <w:rStyle w:val="FootnoteReference"/>
          <w:rFonts w:ascii="Times New Roman" w:hAnsi="Times New Roman"/>
          <w:sz w:val="24"/>
          <w:szCs w:val="24"/>
          <w:vertAlign w:val="superscript"/>
        </w:rPr>
        <w:footnoteReference w:id="3"/>
      </w:r>
      <w:r>
        <w:t>.</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87670472"/>
      <w:r>
        <w:rPr>
          <w:sz w:val="24"/>
        </w:rPr>
        <w:t>2.</w:t>
      </w:r>
      <w:r>
        <w:rPr>
          <w:sz w:val="24"/>
        </w:rPr>
        <w:tab/>
        <w:t xml:space="preserve">Treoracha a bhaineann le </w:t>
      </w:r>
      <w:bookmarkEnd w:id="30"/>
      <w:bookmarkEnd w:id="31"/>
      <w:r>
        <w:rPr>
          <w:sz w:val="24"/>
        </w:rPr>
        <w:t>suíomhanna sonracha</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Ró</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Tagairtí dlí agus treoracha</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 – 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Táscairí G-SII</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Beidh an míniú a thugtar ar na táscairí mar an gcéanna leis an míniú a cuireadh i bhfeidhm chun críocha an fhaisnéis a liostaítear san Iarscríbhinn a ghabhann le Rialachán Tarmligthe (AE) Uimh. 1222/2014 ón gCoimisiún a chinneadh.</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I gcás ina mbeidh athruithe ar na sainmhínithe sa mhodheolaíocht sin, is iad na sainmhínithe leasaithe sin sa mhodheolaíocht atá infheidhme maidir le luachanna na dtáscairí a chinneadh ag deireadh na bliana airgeadais (‘modheolaíocht deireadh bliana’) a úsáidfear chun faisnéis a thuairisciú ag deireadh na chéad cheathrún, na dara ceathrún agus na tríú ceathrún den bhliain airgeadais chéanna. I gcás ina mbíonn an teimpléad d’Iarscríbhinn XXVI faoi réir leasuithe i gcaitheamh na bliana airgeadais i gceist, cuirfear an mhodheolaíocht deireadh bliana i bhfeidhm ó na chéad dátaí tagartha is infheidhme tar éis theacht i bhfeidhm an Rialacháin leasaithigh.</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Maidir le táscairí ar bearta sreafa iad, déanfar iad a thuairisciú ar bhonn carnach ó thús na bliana féilire nó na bliana airgeadais, de réir mar is infheidhme.</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36DE376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Neamhchosaintí iomlána, lena</w:t>
            </w:r>
            <w:r w:rsidR="007F3029">
              <w:rPr>
                <w:rStyle w:val="InstructionsTabelleberschrift"/>
                <w:rFonts w:ascii="Times New Roman" w:hAnsi="Times New Roman"/>
                <w:sz w:val="24"/>
              </w:rPr>
              <w:t xml:space="preserve"> n</w:t>
            </w:r>
            <w:r w:rsidR="007F3029">
              <w:rPr>
                <w:rStyle w:val="InstructionsTabelleberschrift"/>
                <w:rFonts w:ascii="Times New Roman" w:hAnsi="Times New Roman"/>
                <w:sz w:val="24"/>
              </w:rPr>
              <w:noBreakHyphen/>
            </w:r>
            <w:r>
              <w:rPr>
                <w:rStyle w:val="InstructionsTabelleberschrift"/>
                <w:rFonts w:ascii="Times New Roman" w:hAnsi="Times New Roman"/>
                <w:sz w:val="24"/>
              </w:rPr>
              <w:t>áirítear fochuideachtaí árachais</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37EA5BD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Sócmhainní inchórais airgeadais, lena</w:t>
            </w:r>
            <w:r w:rsidR="007F3029">
              <w:rPr>
                <w:rStyle w:val="InstructionsTabelleberschrift"/>
                <w:rFonts w:ascii="Times New Roman" w:hAnsi="Times New Roman"/>
                <w:sz w:val="24"/>
              </w:rPr>
              <w:t xml:space="preserve"> n</w:t>
            </w:r>
            <w:r w:rsidR="007F3029">
              <w:rPr>
                <w:rStyle w:val="InstructionsTabelleberschrift"/>
                <w:rFonts w:ascii="Times New Roman" w:hAnsi="Times New Roman"/>
                <w:sz w:val="24"/>
              </w:rPr>
              <w:noBreakHyphen/>
            </w:r>
            <w:r>
              <w:rPr>
                <w:rStyle w:val="InstructionsTabelleberschrift"/>
                <w:rFonts w:ascii="Times New Roman" w:hAnsi="Times New Roman"/>
                <w:sz w:val="24"/>
              </w:rPr>
              <w:t xml:space="preserve">áirítear fochuideachtaí árachais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620" w:type="dxa"/>
          </w:tcPr>
          <w:p w14:paraId="20A17A52" w14:textId="5CE19F2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inchórais airgeadais, lena</w:t>
            </w:r>
            <w:r w:rsidR="007F3029">
              <w:rPr>
                <w:rStyle w:val="InstructionsTabelleberschrift"/>
                <w:rFonts w:ascii="Times New Roman" w:hAnsi="Times New Roman"/>
                <w:sz w:val="24"/>
              </w:rPr>
              <w:t xml:space="preserve"> n</w:t>
            </w:r>
            <w:r w:rsidR="007F3029">
              <w:rPr>
                <w:rStyle w:val="InstructionsTabelleberschrift"/>
                <w:rFonts w:ascii="Times New Roman" w:hAnsi="Times New Roman"/>
                <w:sz w:val="24"/>
              </w:rPr>
              <w:noBreakHyphen/>
            </w:r>
            <w:r>
              <w:rPr>
                <w:rStyle w:val="InstructionsTabelleberschrift"/>
                <w:rFonts w:ascii="Times New Roman" w:hAnsi="Times New Roman"/>
                <w:sz w:val="24"/>
              </w:rPr>
              <w:t xml:space="preserve">áirítear fochuideachtaí árachais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2DAF6EA4"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Urrúis gan íoc, lena</w:t>
            </w:r>
            <w:r w:rsidR="007F3029">
              <w:rPr>
                <w:rStyle w:val="InstructionsTabelleberschrift"/>
                <w:rFonts w:ascii="Times New Roman" w:hAnsi="Times New Roman"/>
                <w:sz w:val="24"/>
              </w:rPr>
              <w:t xml:space="preserve"> n</w:t>
            </w:r>
            <w:r w:rsidR="007F3029">
              <w:rPr>
                <w:rStyle w:val="InstructionsTabelleberschrift"/>
                <w:rFonts w:ascii="Times New Roman" w:hAnsi="Times New Roman"/>
                <w:sz w:val="24"/>
              </w:rPr>
              <w:noBreakHyphen/>
            </w:r>
            <w:r>
              <w:rPr>
                <w:rStyle w:val="InstructionsTabelleberschrift"/>
                <w:rFonts w:ascii="Times New Roman" w:hAnsi="Times New Roman"/>
                <w:sz w:val="24"/>
              </w:rPr>
              <w:t>áirítear urrúis arna</w:t>
            </w:r>
            <w:r w:rsidR="007F3029">
              <w:rPr>
                <w:rStyle w:val="InstructionsTabelleberschrift"/>
                <w:rFonts w:ascii="Times New Roman" w:hAnsi="Times New Roman"/>
                <w:sz w:val="24"/>
              </w:rPr>
              <w:t xml:space="preserve"> n</w:t>
            </w:r>
            <w:r w:rsidR="007F3029">
              <w:rPr>
                <w:rStyle w:val="InstructionsTabelleberschrift"/>
                <w:rFonts w:ascii="Times New Roman" w:hAnsi="Times New Roman"/>
                <w:sz w:val="24"/>
              </w:rPr>
              <w:noBreakHyphen/>
            </w:r>
            <w:r>
              <w:rPr>
                <w:rStyle w:val="InstructionsTabelleberschrift"/>
                <w:rFonts w:ascii="Times New Roman" w:hAnsi="Times New Roman"/>
                <w:sz w:val="24"/>
              </w:rPr>
              <w:t xml:space="preserve">eisiúint ag fochuideachtaí árachais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Gníomhaíocht íocaíochtaí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Sócmhainní faoi chumhdach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Gníomhaíocht frithgheallta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Méid trádála – ioncam seasta</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Méid trádála – cothromais agus urrúis eile</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7695628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Méid barúlach díorthach OTC, lena</w:t>
            </w:r>
            <w:r w:rsidR="007F3029">
              <w:rPr>
                <w:rStyle w:val="InstructionsTabelleberschrift"/>
                <w:rFonts w:ascii="Times New Roman" w:hAnsi="Times New Roman"/>
                <w:sz w:val="24"/>
              </w:rPr>
              <w:t xml:space="preserve"> n</w:t>
            </w:r>
            <w:r w:rsidR="007F3029">
              <w:rPr>
                <w:rStyle w:val="InstructionsTabelleberschrift"/>
                <w:rFonts w:ascii="Times New Roman" w:hAnsi="Times New Roman"/>
                <w:sz w:val="24"/>
              </w:rPr>
              <w:noBreakHyphen/>
            </w:r>
            <w:r>
              <w:rPr>
                <w:rStyle w:val="InstructionsTabelleberschrift"/>
                <w:rFonts w:ascii="Times New Roman" w:hAnsi="Times New Roman"/>
                <w:sz w:val="24"/>
              </w:rPr>
              <w:t xml:space="preserve">áirítear fochuideachtaí árachais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Urrúis trádála agus AFS</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0E1507F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Sócmhainní Leibhéal 3, lena</w:t>
            </w:r>
            <w:r w:rsidR="007F3029">
              <w:rPr>
                <w:rStyle w:val="InstructionsTabelleberschrift"/>
                <w:rFonts w:ascii="Times New Roman" w:hAnsi="Times New Roman"/>
                <w:sz w:val="24"/>
              </w:rPr>
              <w:t xml:space="preserve"> n</w:t>
            </w:r>
            <w:r w:rsidR="007F3029">
              <w:rPr>
                <w:rStyle w:val="InstructionsTabelleberschrift"/>
                <w:rFonts w:ascii="Times New Roman" w:hAnsi="Times New Roman"/>
                <w:sz w:val="24"/>
              </w:rPr>
              <w:noBreakHyphen/>
            </w:r>
            <w:r>
              <w:rPr>
                <w:rStyle w:val="InstructionsTabelleberschrift"/>
                <w:rFonts w:ascii="Times New Roman" w:hAnsi="Times New Roman"/>
                <w:sz w:val="24"/>
              </w:rPr>
              <w:t>áirítear fochuideachtaí árachais</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Éilimh thrasdlínse</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trasdlínse</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Ítimí a láimhseálann an tAontas Baincéireachta Eorpach (EBU) mar dhlínse aonair</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Chun críocha na hítimí a shonraítear thíos a chinneadh agus in éagmais sonraíochtaí sna treoracha thíos, déanfar na sainmhínithe agus na coincheapa a chuirtear i bhfeidhm a ailíniú, a mhéid is féidir, leis na sainmhínithe agus na coincheapa a shainmhínítear sna Treoirlínte maidir le staitisticí baincéireachta idirnáisiúnta BIS a thuairisciú.</w:t>
            </w:r>
          </w:p>
          <w:p w14:paraId="624545C8" w14:textId="56D889B0" w:rsidR="00461B95" w:rsidRPr="00B74E74" w:rsidRDefault="00461B95"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De mhaolú air sin, maidir le gníomhaíochtaí na</w:t>
            </w:r>
            <w:r w:rsidR="007F3029">
              <w:rPr>
                <w:rStyle w:val="FormatvorlageInstructionsTabelleText"/>
                <w:rFonts w:ascii="Times New Roman" w:hAnsi="Times New Roman"/>
                <w:sz w:val="24"/>
              </w:rPr>
              <w:t xml:space="preserve"> n</w:t>
            </w:r>
            <w:r w:rsidR="007F3029">
              <w:rPr>
                <w:rStyle w:val="FormatvorlageInstructionsTabelleText"/>
                <w:rFonts w:ascii="Times New Roman" w:hAnsi="Times New Roman"/>
                <w:sz w:val="24"/>
              </w:rPr>
              <w:noBreakHyphen/>
            </w:r>
            <w:r>
              <w:rPr>
                <w:rStyle w:val="FormatvorlageInstructionsTabelleText"/>
                <w:rFonts w:ascii="Times New Roman" w:hAnsi="Times New Roman"/>
                <w:sz w:val="24"/>
              </w:rPr>
              <w:t>eintiteas tuairiscithe sna Ballstáit rannpháirteacha dá dtagraítear in Airteagal 4 de Rialachán (AE) Uimh.</w:t>
            </w:r>
            <w:r w:rsidR="00A70CE3">
              <w:rPr>
                <w:rStyle w:val="FormatvorlageInstructionsTabelleText"/>
                <w:rFonts w:ascii="Times New Roman" w:hAnsi="Times New Roman"/>
                <w:sz w:val="24"/>
              </w:rPr>
              <w:t> </w:t>
            </w:r>
            <w:r>
              <w:rPr>
                <w:rStyle w:val="FormatvorlageInstructionsTabelleText"/>
                <w:rFonts w:ascii="Times New Roman" w:hAnsi="Times New Roman"/>
                <w:sz w:val="24"/>
              </w:rPr>
              <w:t>806/2014 ó Pharlaimint na hEorpa agus ón gComhairle</w:t>
            </w:r>
            <w:r w:rsidRPr="00B74E74">
              <w:rPr>
                <w:rStyle w:val="FootnoteReference"/>
                <w:rFonts w:ascii="Times New Roman" w:hAnsi="Times New Roman"/>
                <w:sz w:val="24"/>
                <w:szCs w:val="24"/>
                <w:vertAlign w:val="superscript"/>
              </w:rPr>
              <w:footnoteReference w:id="4"/>
            </w:r>
            <w:r>
              <w:rPr>
                <w:rStyle w:val="FormatvorlageInstructionsTabelleText"/>
                <w:rFonts w:ascii="Times New Roman" w:hAnsi="Times New Roman"/>
                <w:sz w:val="24"/>
              </w:rPr>
              <w:t>, déanfar iad a eisiamh, i.e. measfar gur aon dlínse amháin iad na Ballstáit rannpháirteacha.</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Éilimh eachtracha iomlána ar bhonn riosca deiridh</w:t>
            </w:r>
          </w:p>
          <w:p w14:paraId="3ECF379D" w14:textId="64770710"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Is éard a bheidh sna héilimh eachtracha iomlána suim na</w:t>
            </w:r>
            <w:r w:rsidR="007F3029">
              <w:rPr>
                <w:rStyle w:val="FormatvorlageInstructionsTabelleText"/>
                <w:rFonts w:ascii="Times New Roman" w:hAnsi="Times New Roman"/>
                <w:sz w:val="24"/>
              </w:rPr>
              <w:t xml:space="preserve"> n</w:t>
            </w:r>
            <w:r w:rsidR="007F3029">
              <w:rPr>
                <w:rStyle w:val="FormatvorlageInstructionsTabelleText"/>
                <w:rFonts w:ascii="Times New Roman" w:hAnsi="Times New Roman"/>
                <w:sz w:val="24"/>
              </w:rPr>
              <w:noBreakHyphen/>
            </w:r>
            <w:r>
              <w:rPr>
                <w:rStyle w:val="FormatvorlageInstructionsTabelleText"/>
                <w:rFonts w:ascii="Times New Roman" w:hAnsi="Times New Roman"/>
                <w:sz w:val="24"/>
              </w:rPr>
              <w:t xml:space="preserve">éileamh trasteorann agus éilimh áitiúla cleamhnaithe eachtracha san airgeadra áitiúil nó seachtrach. Eisiafar éilimh ó shuíomhanna i gconarthaí díorthach. Maidir le ‘éilimh’, ‘éilimh thrasteorann’, ‘éilimh áitiúla cleamhnaithe eachtracha san airgeadra áitiúil agus seachtrach’, beidh an bhrí chéanna leo agus a shainmhínítear sna Treoirlínte maidir le staitisticí baincéireachta idirnáisiúnta BIS a thuairisciú.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Ciallóidh ‘ar bhonn riosca deiridh’, chun a chinneadh cé acu an éileamh trasteorann nó áitiúil an t‑éileamh i gceist, go sannfar an suíomh do thríú páirtí atá ar conradh chun fiachais nó oibleagáidí an chontrapháirtí phríomha a ghlacadh má theipeann ar an gcontrapháirtí sin feidhmiú, i gcás inarb ann do thríú páirtí den sórt sin. Déanfar an sannadh sin i gcomhréir leis na forálacha </w:t>
            </w:r>
            <w:r>
              <w:rPr>
                <w:rStyle w:val="FormatvorlageInstructionsTabelleText"/>
                <w:rFonts w:ascii="Times New Roman" w:hAnsi="Times New Roman"/>
                <w:sz w:val="24"/>
              </w:rPr>
              <w:lastRenderedPageBreak/>
              <w:t>maidir le haistrithe riosca dá bhforáiltear sna Treoirlínte maidir le staitisticí baincéireachta idirnáisiúnta BIS a thuairisciú.</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Éilimh díorthach eachtracha ar bhonn riosca deiridh</w:t>
            </w:r>
          </w:p>
          <w:p w14:paraId="0B6542C2" w14:textId="3155300D"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Luach cóir deimhneach na</w:t>
            </w:r>
            <w:r w:rsidR="007F3029">
              <w:rPr>
                <w:rStyle w:val="FormatvorlageInstructionsTabelleText"/>
                <w:rFonts w:ascii="Times New Roman" w:hAnsi="Times New Roman"/>
                <w:sz w:val="24"/>
              </w:rPr>
              <w:t xml:space="preserve"> n</w:t>
            </w:r>
            <w:r w:rsidR="007F3029">
              <w:rPr>
                <w:rStyle w:val="FormatvorlageInstructionsTabelleText"/>
                <w:rFonts w:ascii="Times New Roman" w:hAnsi="Times New Roman"/>
                <w:sz w:val="24"/>
              </w:rPr>
              <w:noBreakHyphen/>
            </w:r>
            <w:r>
              <w:rPr>
                <w:rStyle w:val="FormatvorlageInstructionsTabelleText"/>
                <w:rFonts w:ascii="Times New Roman" w:hAnsi="Times New Roman"/>
                <w:sz w:val="24"/>
              </w:rPr>
              <w:t xml:space="preserve">éileamh díorthach ar éilimh thrasteorann nó éilimh áitiúla cleamhnaithe eachtracha san airgeadra áitiúil nó seachtrach iad. </w:t>
            </w:r>
          </w:p>
          <w:p w14:paraId="3184A088" w14:textId="11511B2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Díorthaigh lena</w:t>
            </w:r>
            <w:r w:rsidR="007F3029">
              <w:rPr>
                <w:rStyle w:val="FormatvorlageInstructionsTabelleText"/>
                <w:rFonts w:ascii="Times New Roman" w:hAnsi="Times New Roman"/>
                <w:sz w:val="24"/>
              </w:rPr>
              <w:t xml:space="preserve"> n</w:t>
            </w:r>
            <w:r w:rsidR="007F3029">
              <w:rPr>
                <w:rStyle w:val="FormatvorlageInstructionsTabelleText"/>
                <w:rFonts w:ascii="Times New Roman" w:hAnsi="Times New Roman"/>
                <w:sz w:val="24"/>
              </w:rPr>
              <w:noBreakHyphen/>
            </w:r>
            <w:r>
              <w:rPr>
                <w:rStyle w:val="FormatvorlageInstructionsTabelleText"/>
                <w:rFonts w:ascii="Times New Roman" w:hAnsi="Times New Roman"/>
                <w:sz w:val="24"/>
              </w:rPr>
              <w:t>áirítear réamhchonarthaí, babhtálacha, agus roghanna a bhaineann le hionstraimí malairte eachtraí, ráta úis, cothromais, tráchtearraí agus creidmheasa. Áirítear leis sin díorthaigh chreidmheasa a ceannaíodh lena bhfálaítear nó lena ndéantar cosaint creidmheasa a dhíoltar a fhritháireamh nó díorthaigh chreidmheasa arna sealbhú le trádáil.</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gcás díorthaigh chreidmheasa den sórt sin a ceannaíodh, ní dhéanfar luach an díorthaigh a uasteorannú ag luach an éilimh láithrigh dar ceannaíodh é lena ráthú.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Ní fhéadfaí luachanna córa deimhneacha conarthaí díorthach a fhritháireamh in aghaidh luachanna córa diúltacha ach amháin i gcás ina ndearnadh na suíomhanna a fhorghníomhú leis an gcontrapháirtí céanna faoi chomhaontú glanluachála is infheidhme le dlí. Ní áireofar san ítim seo ach tacair ghlanluachála a bhfuil luach deimhneach acu.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Déanfar na héilimh díorthach a thuairisciú glan ar aon chomhthaobhacht airgid.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Chun faisnéis a thuairisciú ar bhonn riosca deiridh, beidh feidhm ag an méid seo a leanas:</w:t>
            </w:r>
          </w:p>
          <w:p w14:paraId="11BDA188" w14:textId="6AA9AC04"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I gcás ina mbainfidh an riosca deiridh leis an gcontrapháirtí, meastar go bhfuil díorthach ina dhíorthach eachtrach mura bhfuil an contrapháirtí i ndlínse baile na</w:t>
            </w:r>
            <w:r w:rsidR="007F3029">
              <w:rPr>
                <w:rStyle w:val="FormatvorlageInstructionsTabelleText"/>
                <w:rFonts w:ascii="Times New Roman" w:hAnsi="Times New Roman"/>
                <w:sz w:val="24"/>
              </w:rPr>
              <w:t xml:space="preserve"> n</w:t>
            </w:r>
            <w:r w:rsidR="007F3029">
              <w:rPr>
                <w:rStyle w:val="FormatvorlageInstructionsTabelleText"/>
                <w:rFonts w:ascii="Times New Roman" w:hAnsi="Times New Roman"/>
                <w:sz w:val="24"/>
              </w:rPr>
              <w:noBreakHyphen/>
            </w:r>
            <w:r>
              <w:rPr>
                <w:rStyle w:val="FormatvorlageInstructionsTabelleText"/>
                <w:rFonts w:ascii="Times New Roman" w:hAnsi="Times New Roman"/>
                <w:sz w:val="24"/>
              </w:rPr>
              <w:t xml:space="preserve">eintiteas tuairiscithe. </w:t>
            </w:r>
          </w:p>
          <w:p w14:paraId="4EE29D54" w14:textId="462117D5"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I gcás ina mbainfidh an riosca deiridh leis an ráthóir, meastar go bhfuil díorthach ina dhíorthach eachtrach mura bhfuil an ráthóir i ndlínse baile na</w:t>
            </w:r>
            <w:r w:rsidR="007F3029">
              <w:rPr>
                <w:rStyle w:val="FormatvorlageInstructionsTabelleText"/>
                <w:rFonts w:ascii="Times New Roman" w:hAnsi="Times New Roman"/>
                <w:sz w:val="24"/>
              </w:rPr>
              <w:t xml:space="preserve"> n</w:t>
            </w:r>
            <w:r w:rsidR="007F3029">
              <w:rPr>
                <w:rStyle w:val="FormatvorlageInstructionsTabelleText"/>
                <w:rFonts w:ascii="Times New Roman" w:hAnsi="Times New Roman"/>
                <w:sz w:val="24"/>
              </w:rPr>
              <w:noBreakHyphen/>
            </w:r>
            <w:r>
              <w:rPr>
                <w:rStyle w:val="FormatvorlageInstructionsTabelleText"/>
                <w:rFonts w:ascii="Times New Roman" w:hAnsi="Times New Roman"/>
                <w:sz w:val="24"/>
              </w:rPr>
              <w:t>eintiteas tuairiscithe.</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4AFA7D61" w14:textId="444DEFE1"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Dliteanais eachtracha ar bhonn riosca láithreach, lena</w:t>
            </w:r>
            <w:r w:rsidR="007F3029">
              <w:rPr>
                <w:rStyle w:val="InstructionsTabelleberschrift"/>
                <w:rFonts w:ascii="Times New Roman" w:hAnsi="Times New Roman"/>
                <w:sz w:val="24"/>
              </w:rPr>
              <w:t xml:space="preserve"> n</w:t>
            </w:r>
            <w:r w:rsidR="007F3029">
              <w:rPr>
                <w:rStyle w:val="InstructionsTabelleberschrift"/>
                <w:rFonts w:ascii="Times New Roman" w:hAnsi="Times New Roman"/>
                <w:sz w:val="24"/>
              </w:rPr>
              <w:noBreakHyphen/>
            </w:r>
            <w:r>
              <w:rPr>
                <w:rStyle w:val="InstructionsTabelleberschrift"/>
                <w:rFonts w:ascii="Times New Roman" w:hAnsi="Times New Roman"/>
                <w:sz w:val="24"/>
              </w:rPr>
              <w:t>áirítear díorthaigh</w:t>
            </w:r>
          </w:p>
          <w:p w14:paraId="2232ACAE" w14:textId="62F4B3E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Is éard a bheidh i gceist le dliteanais eachtracha, lena</w:t>
            </w:r>
            <w:r w:rsidR="007F3029">
              <w:rPr>
                <w:rStyle w:val="FormatvorlageInstructionsTabelleText"/>
                <w:rFonts w:ascii="Times New Roman" w:hAnsi="Times New Roman"/>
                <w:sz w:val="24"/>
              </w:rPr>
              <w:t xml:space="preserve"> n</w:t>
            </w:r>
            <w:r w:rsidR="007F3029">
              <w:rPr>
                <w:rStyle w:val="FormatvorlageInstructionsTabelleText"/>
                <w:rFonts w:ascii="Times New Roman" w:hAnsi="Times New Roman"/>
                <w:sz w:val="24"/>
              </w:rPr>
              <w:noBreakHyphen/>
            </w:r>
            <w:r>
              <w:rPr>
                <w:rStyle w:val="FormatvorlageInstructionsTabelleText"/>
                <w:rFonts w:ascii="Times New Roman" w:hAnsi="Times New Roman"/>
                <w:sz w:val="24"/>
              </w:rPr>
              <w:t>áirítear díorthaigh, suim na ndliteanas eachtrach agus na ndliteanas eachtrach a thagann de dhíorthaigh. Eisiafar ón ítim seo dliteanais urrús ar sócmhainní airgeadais intrádála iad a eisíonn an institiúid tuairiscithe.</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Beidh an míniú ar dhíorthaigh mar an gcéanna leis an míniú a cuireadh i bhfeidhm i ró 0150.</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Ní fhéadfar luachanna córa diúltacha conarthaí díorthach a fhritháireamh in aghaidh luachanna córa deimhneacha ach amháin i gcás ina ndearnadh na suíomhanna a fhorghníomhú leis an gcontrapháirtí céanna faoi chomhaontú glanluachála is infheidhme le dlí. Déanfar na dliteanais díorthach a thuairisciú glan ar aon chomhthaobhacht (airgid agus neamhairgid). </w:t>
            </w:r>
          </w:p>
          <w:p w14:paraId="2F888DBB" w14:textId="7E07D34E"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‘Ciallóidh ‘ar bhonn riosca láithreach’, chun a chinneadh cé acu an éileamh trasteorann nó áitiúil an</w:t>
            </w:r>
            <w:r w:rsidR="007F3029">
              <w:rPr>
                <w:rStyle w:val="FormatvorlageInstructionsTabelleText"/>
                <w:rFonts w:ascii="Times New Roman" w:hAnsi="Times New Roman"/>
                <w:sz w:val="24"/>
              </w:rPr>
              <w:t xml:space="preserve"> t</w:t>
            </w:r>
            <w:r w:rsidR="007F3029">
              <w:rPr>
                <w:rStyle w:val="FormatvorlageInstructionsTabelleText"/>
                <w:rFonts w:ascii="Times New Roman" w:hAnsi="Times New Roman"/>
                <w:sz w:val="24"/>
              </w:rPr>
              <w:noBreakHyphen/>
            </w:r>
            <w:r>
              <w:rPr>
                <w:rStyle w:val="FormatvorlageInstructionsTabelleText"/>
                <w:rFonts w:ascii="Times New Roman" w:hAnsi="Times New Roman"/>
                <w:sz w:val="24"/>
              </w:rPr>
              <w:t>éileamh i gceist, go sannfar an suíomh do chontrapháirtí díreach an chonartha.’</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11C0B" w14:textId="77777777" w:rsidR="008E1930" w:rsidRDefault="008E1930" w:rsidP="00D946DB">
      <w:pPr>
        <w:spacing w:before="0" w:after="0"/>
      </w:pPr>
      <w:r>
        <w:separator/>
      </w:r>
    </w:p>
  </w:endnote>
  <w:endnote w:type="continuationSeparator" w:id="0">
    <w:p w14:paraId="6EE80AA2" w14:textId="77777777" w:rsidR="008E1930" w:rsidRDefault="008E1930" w:rsidP="00D946DB">
      <w:pPr>
        <w:spacing w:before="0" w:after="0"/>
      </w:pPr>
      <w:r>
        <w:continuationSeparator/>
      </w:r>
    </w:p>
  </w:endnote>
  <w:endnote w:type="continuationNotice" w:id="1">
    <w:p w14:paraId="57F693E7" w14:textId="77777777" w:rsidR="008E1930" w:rsidRDefault="008E193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2E8C" w14:textId="2828EE3F" w:rsidR="005E1B10" w:rsidRPr="00ED1956" w:rsidRDefault="005E1B10">
    <w:pPr>
      <w:pStyle w:val="Footer"/>
      <w:jc w:val="right"/>
      <w:rPr>
        <w:rFonts w:ascii="Times New Roman" w:hAnsi="Times New Roman"/>
        <w:sz w:val="22"/>
        <w:szCs w:val="22"/>
      </w:rPr>
    </w:pPr>
    <w:r w:rsidRPr="00ED1956">
      <w:rPr>
        <w:rFonts w:ascii="Times New Roman" w:hAnsi="Times New Roman"/>
        <w:sz w:val="22"/>
      </w:rPr>
      <w:fldChar w:fldCharType="begin"/>
    </w:r>
    <w:r w:rsidRPr="00ED1956">
      <w:rPr>
        <w:rFonts w:ascii="Times New Roman" w:hAnsi="Times New Roman"/>
        <w:sz w:val="22"/>
      </w:rPr>
      <w:instrText xml:space="preserve"> PAGE   \* MERGEFORMAT </w:instrText>
    </w:r>
    <w:r w:rsidRPr="00ED1956">
      <w:rPr>
        <w:rFonts w:ascii="Times New Roman" w:hAnsi="Times New Roman"/>
        <w:sz w:val="22"/>
      </w:rPr>
      <w:fldChar w:fldCharType="separate"/>
    </w:r>
    <w:r w:rsidR="00830872">
      <w:rPr>
        <w:rFonts w:ascii="Times New Roman" w:hAnsi="Times New Roman"/>
        <w:sz w:val="22"/>
      </w:rPr>
      <w:t>2</w:t>
    </w:r>
    <w:r w:rsidRPr="00ED1956">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C43E" w14:textId="0ED9D703" w:rsidR="005E1B10" w:rsidRPr="00E85358" w:rsidRDefault="005E1B10">
    <w:pPr>
      <w:pStyle w:val="Footer"/>
      <w:jc w:val="right"/>
      <w:rPr>
        <w:sz w:val="22"/>
        <w:szCs w:val="22"/>
      </w:rPr>
    </w:pPr>
    <w:r w:rsidRPr="00E85358">
      <w:rPr>
        <w:sz w:val="22"/>
      </w:rPr>
      <w:fldChar w:fldCharType="begin"/>
    </w:r>
    <w:r w:rsidRPr="00E85358">
      <w:rPr>
        <w:sz w:val="22"/>
      </w:rPr>
      <w:instrText xml:space="preserve"> PAGE   \* MERGEFORMAT </w:instrText>
    </w:r>
    <w:r w:rsidRPr="00E85358">
      <w:rPr>
        <w:sz w:val="22"/>
      </w:rPr>
      <w:fldChar w:fldCharType="separate"/>
    </w:r>
    <w:r w:rsidR="00830872">
      <w:rPr>
        <w:sz w:val="22"/>
      </w:rPr>
      <w:t>1</w:t>
    </w:r>
    <w:r w:rsidRPr="00E85358">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C733" w14:textId="66BADAE5" w:rsidR="005E1B10" w:rsidRPr="00ED1956" w:rsidRDefault="005E1B10">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30872">
      <w:rPr>
        <w:rFonts w:ascii="Times New Roman" w:hAnsi="Times New Roman"/>
        <w:sz w:val="20"/>
      </w:rPr>
      <w:t>5</w:t>
    </w:r>
    <w:r w:rsidRPr="00ED1956">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85E2B" w14:textId="77777777" w:rsidR="008E1930" w:rsidRDefault="008E1930" w:rsidP="00D946DB">
      <w:pPr>
        <w:spacing w:before="0" w:after="0"/>
      </w:pPr>
      <w:r>
        <w:separator/>
      </w:r>
    </w:p>
  </w:footnote>
  <w:footnote w:type="continuationSeparator" w:id="0">
    <w:p w14:paraId="76BA63ED" w14:textId="77777777" w:rsidR="008E1930" w:rsidRDefault="008E1930" w:rsidP="00D946DB">
      <w:pPr>
        <w:spacing w:before="0" w:after="0"/>
      </w:pPr>
      <w:r>
        <w:continuationSeparator/>
      </w:r>
    </w:p>
  </w:footnote>
  <w:footnote w:type="continuationNotice" w:id="1">
    <w:p w14:paraId="5E4F1B46" w14:textId="77777777" w:rsidR="008E1930" w:rsidRDefault="008E1930">
      <w:pPr>
        <w:spacing w:before="0" w:after="0"/>
      </w:pPr>
    </w:p>
  </w:footnote>
  <w:footnote w:id="2">
    <w:p w14:paraId="3EB62D1F" w14:textId="0E7EF02D"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r>
      <w:r>
        <w:rPr>
          <w:rFonts w:ascii="Times New Roman" w:hAnsi="Times New Roman"/>
          <w:color w:val="444444"/>
          <w:sz w:val="20"/>
        </w:rPr>
        <w:t>Treoir 2013/36/AE ó Pharlaimint na hEorpa agus ón gComhairle an 26 Meitheamh 2013 maidir le rochtain ar ghníomhaíochtaí institiúidí creidmheasa agus maoirseacht stuamachta ar institiúidí creidmheasa, lena leasaítear Treoir 2002/87/CE agus lena</w:t>
      </w:r>
      <w:r w:rsidR="007F3029">
        <w:rPr>
          <w:rFonts w:ascii="Times New Roman" w:hAnsi="Times New Roman"/>
          <w:color w:val="444444"/>
          <w:sz w:val="20"/>
        </w:rPr>
        <w:t xml:space="preserve"> n</w:t>
      </w:r>
      <w:r w:rsidR="007F3029">
        <w:rPr>
          <w:rFonts w:ascii="Times New Roman" w:hAnsi="Times New Roman"/>
          <w:color w:val="444444"/>
          <w:sz w:val="20"/>
        </w:rPr>
        <w:noBreakHyphen/>
      </w:r>
      <w:r>
        <w:rPr>
          <w:rFonts w:ascii="Times New Roman" w:hAnsi="Times New Roman"/>
          <w:color w:val="444444"/>
          <w:sz w:val="20"/>
        </w:rPr>
        <w:t>aisghairtear Treoir 2006/48/CE agus Treoir 2006/49/CE (IO</w:t>
      </w:r>
      <w:r w:rsidR="00A70CE3">
        <w:rPr>
          <w:rFonts w:ascii="Times New Roman" w:hAnsi="Times New Roman"/>
          <w:color w:val="444444"/>
          <w:sz w:val="20"/>
        </w:rPr>
        <w:t> </w:t>
      </w:r>
      <w:r>
        <w:rPr>
          <w:rFonts w:ascii="Times New Roman" w:hAnsi="Times New Roman"/>
          <w:color w:val="444444"/>
          <w:sz w:val="20"/>
        </w:rPr>
        <w:t>L 176, 27.6.2013, lch. 338).</w:t>
      </w:r>
    </w:p>
  </w:footnote>
  <w:footnote w:id="3">
    <w:p w14:paraId="7392EC52" w14:textId="7DB1A3C0"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color w:val="444444"/>
          <w:sz w:val="20"/>
        </w:rPr>
        <w:t>Rialachán Tarmligthe (AE) Uimh. 1222/2014 ón gCoimisiún an 8 Deireadh Fómhair 2014 lena bhforlíontar Treoir 2013/36/AE ó Pharlaimint na hEorpa agus ón gComhairle maidir le caighdeáin theicniúla rialála chun an mhodheolaíocht a shonrú chun institiúidí domhanda a bhfuil tábhacht shistéamach leo a shainaithint agus chun fochatagóirí institiúidí domhanda a bhfuil tábhacht shistéamach leo a shainiú (</w:t>
      </w:r>
      <w:r>
        <w:rPr>
          <w:rFonts w:ascii="Times New Roman" w:hAnsi="Times New Roman"/>
          <w:sz w:val="20"/>
        </w:rPr>
        <w:t>IO</w:t>
      </w:r>
      <w:r w:rsidR="00A70CE3">
        <w:rPr>
          <w:rFonts w:ascii="Times New Roman" w:hAnsi="Times New Roman"/>
          <w:sz w:val="20"/>
        </w:rPr>
        <w:t> </w:t>
      </w:r>
      <w:r>
        <w:rPr>
          <w:rFonts w:ascii="Times New Roman" w:hAnsi="Times New Roman"/>
          <w:sz w:val="20"/>
        </w:rPr>
        <w:t>L 330, 15.11.2014, lch. 27</w:t>
      </w:r>
      <w:r>
        <w:rPr>
          <w:rFonts w:ascii="Times New Roman" w:hAnsi="Times New Roman"/>
          <w:color w:val="444444"/>
          <w:sz w:val="20"/>
        </w:rPr>
        <w:t>).</w:t>
      </w:r>
    </w:p>
  </w:footnote>
  <w:footnote w:id="4">
    <w:p w14:paraId="7E81C75F" w14:textId="1FA56BCE" w:rsidR="00461B95" w:rsidRPr="00EF0DDB" w:rsidRDefault="00461B95">
      <w:pPr>
        <w:pStyle w:val="FootnoteText"/>
      </w:pPr>
      <w:r>
        <w:rPr>
          <w:rStyle w:val="FootnoteReference"/>
        </w:rPr>
        <w:footnoteRef/>
      </w:r>
      <w:r>
        <w:t xml:space="preserve"> Rialachán (AE) Uimh. 806/2014 ó Pharlaimint na hEorpa agus ón gComhairle an 15 Iúil 2014 lena mbunaítear rialacha aonfhoirmeacha agus nós imeachta aonfhoirmeach maidir le réiteach institiúidí creidmheasa agus gnólachtaí infheistíochta áirithe faoi chuimsiú Sásra Réitigh Aonair agus Ciste Réitigh Aonair agus lena leasaítear Rialachán (AE) Uimh. 1093/2010 (IO</w:t>
      </w:r>
      <w:r w:rsidR="00A70CE3">
        <w:t> </w:t>
      </w:r>
      <w:r>
        <w:t>L 225, 30.7.2014, lch.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452281957">
    <w:abstractNumId w:val="0"/>
  </w:num>
  <w:num w:numId="2" w16cid:durableId="340857899">
    <w:abstractNumId w:val="13"/>
  </w:num>
  <w:num w:numId="3" w16cid:durableId="145823919">
    <w:abstractNumId w:val="19"/>
  </w:num>
  <w:num w:numId="4" w16cid:durableId="1562251425">
    <w:abstractNumId w:val="9"/>
  </w:num>
  <w:num w:numId="5" w16cid:durableId="882910832">
    <w:abstractNumId w:val="16"/>
  </w:num>
  <w:num w:numId="6" w16cid:durableId="1731686899">
    <w:abstractNumId w:val="8"/>
  </w:num>
  <w:num w:numId="7" w16cid:durableId="1767339546">
    <w:abstractNumId w:val="18"/>
  </w:num>
  <w:num w:numId="8" w16cid:durableId="691567033">
    <w:abstractNumId w:val="2"/>
  </w:num>
  <w:num w:numId="9" w16cid:durableId="1769350772">
    <w:abstractNumId w:val="14"/>
  </w:num>
  <w:num w:numId="10" w16cid:durableId="987897072">
    <w:abstractNumId w:val="7"/>
  </w:num>
  <w:num w:numId="11" w16cid:durableId="1086027923">
    <w:abstractNumId w:val="11"/>
  </w:num>
  <w:num w:numId="12" w16cid:durableId="1453672259">
    <w:abstractNumId w:val="3"/>
  </w:num>
  <w:num w:numId="13" w16cid:durableId="1817724997">
    <w:abstractNumId w:val="15"/>
  </w:num>
  <w:num w:numId="14" w16cid:durableId="1326518656">
    <w:abstractNumId w:val="12"/>
  </w:num>
  <w:num w:numId="15" w16cid:durableId="649166100">
    <w:abstractNumId w:val="5"/>
  </w:num>
  <w:num w:numId="16" w16cid:durableId="896745221">
    <w:abstractNumId w:val="10"/>
  </w:num>
  <w:num w:numId="17" w16cid:durableId="1366370383">
    <w:abstractNumId w:val="4"/>
  </w:num>
  <w:num w:numId="18" w16cid:durableId="637613261">
    <w:abstractNumId w:val="17"/>
  </w:num>
  <w:num w:numId="19" w16cid:durableId="709916230">
    <w:abstractNumId w:val="1"/>
  </w:num>
  <w:num w:numId="20" w16cid:durableId="521436377">
    <w:abstractNumId w:val="6"/>
  </w:num>
  <w:num w:numId="21" w16cid:durableId="1984770215">
    <w:abstractNumId w:val="5"/>
  </w:num>
  <w:num w:numId="22" w16cid:durableId="1465729266">
    <w:abstractNumId w:val="15"/>
  </w:num>
  <w:num w:numId="23" w16cid:durableId="956762503">
    <w:abstractNumId w:val="15"/>
  </w:num>
  <w:num w:numId="24" w16cid:durableId="891580337">
    <w:abstractNumId w:val="15"/>
  </w:num>
  <w:num w:numId="25" w16cid:durableId="1472943607">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29"/>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1930"/>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0CE3"/>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ga-I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ga-IE"/>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ga-I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ga-I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ga-I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ga-I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ga-I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ga-I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ga-I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ga-I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ga-I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ga-I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C5D54-2A50-4C0D-BCD8-3613886A454C}">
  <ds:schemaRefs>
    <ds:schemaRef ds:uri="http://schemas.openxmlformats.org/officeDocument/2006/bibliography"/>
  </ds:schemaRefs>
</ds:datastoreItem>
</file>

<file path=customXml/itemProps2.xml><?xml version="1.0" encoding="utf-8"?>
<ds:datastoreItem xmlns:ds="http://schemas.openxmlformats.org/officeDocument/2006/customXml" ds:itemID="{EBD7CC04-245C-409D-83AD-612286054869}"/>
</file>

<file path=customXml/itemProps3.xml><?xml version="1.0" encoding="utf-8"?>
<ds:datastoreItem xmlns:ds="http://schemas.openxmlformats.org/officeDocument/2006/customXml" ds:itemID="{DC464757-5A3B-43C1-8D28-FFEB5BD259A8}"/>
</file>

<file path=customXml/itemProps4.xml><?xml version="1.0" encoding="utf-8"?>
<ds:datastoreItem xmlns:ds="http://schemas.openxmlformats.org/officeDocument/2006/customXml" ds:itemID="{8464F658-A94A-4E78-B0FA-D95B2E42BFB4}"/>
</file>

<file path=docProps/app.xml><?xml version="1.0" encoding="utf-8"?>
<Properties xmlns="http://schemas.openxmlformats.org/officeDocument/2006/extended-properties" xmlns:vt="http://schemas.openxmlformats.org/officeDocument/2006/docPropsVTypes">
  <Template>Normal.dotm</Template>
  <TotalTime>0</TotalTime>
  <Pages>6</Pages>
  <Words>1352</Words>
  <Characters>8430</Characters>
  <Application>Microsoft Office Word</Application>
  <DocSecurity>0</DocSecurity>
  <Lines>196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2025-01-13T16:07:00Z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2025-01-13T14:24:14Z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ef04187f-00b4-4ae5-9ba3-2a9ac83e9cc5</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