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25BF1" w14:textId="77777777" w:rsidR="00CE3400" w:rsidRDefault="00CE3400" w:rsidP="00CE3400">
      <w:pPr>
        <w:jc w:val="center"/>
        <w:rPr>
          <w:sz w:val="24"/>
          <w:szCs w:val="22"/>
          <w:rFonts w:ascii="Times New Roman" w:hAnsi="Times New Roman"/>
        </w:rPr>
      </w:pPr>
      <w:bookmarkStart w:id="0" w:name="_Toc262568021"/>
      <w:bookmarkStart w:id="1" w:name="_Toc295829847"/>
      <w:r>
        <w:rPr>
          <w:sz w:val="24"/>
          <w:rFonts w:ascii="Times New Roman" w:hAnsi="Times New Roman"/>
        </w:rPr>
        <w:t xml:space="preserve">FI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LIITE II</w:t>
      </w:r>
    </w:p>
    <w:p w14:paraId="30547FF9" w14:textId="77777777" w:rsidR="00B376B6" w:rsidRPr="00037E7B" w:rsidRDefault="00B376B6" w:rsidP="00B376B6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”LIITE II</w:t>
      </w:r>
    </w:p>
    <w:p w14:paraId="34BE32D9" w14:textId="77777777" w:rsidR="00B376B6" w:rsidRPr="00037E7B" w:rsidRDefault="00B376B6" w:rsidP="00B376B6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OMIEN VAROJEN JA OMIEN VAROJEN VAATIMUSTEN RAPORTOINTIA KOSKEVAT OHJEET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OSA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LOMAKKEISIIN LIITTYVÄT OHJEET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bCs/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10.</w:t>
      </w:r>
      <w:r>
        <w:rPr>
          <w:sz w:val="24"/>
          <w:rFonts w:ascii="Times New Roman" w:hAnsi="Times New Roman"/>
        </w:rPr>
        <w:t xml:space="preserve"> </w:t>
      </w:r>
      <w:r>
        <w:rPr>
          <w:sz w:val="24"/>
          <w:u w:val="single"/>
          <w:rFonts w:ascii="Times New Roman" w:hAnsi="Times New Roman"/>
        </w:rPr>
        <w:t xml:space="preserve">C 36.00 KRYPTOVAROIHIN LIITTYVÄT VASTUUT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10.1 </w:t>
      </w:r>
      <w:r>
        <w:rPr>
          <w:sz w:val="24"/>
          <w:rFonts w:ascii="Times New Roman" w:hAnsi="Times New Roman"/>
        </w:rPr>
        <w:t xml:space="preserve">Yleiset huomiot</w:t>
      </w:r>
    </w:p>
    <w:p w14:paraId="6942FA35" w14:textId="77777777" w:rsidR="005F103E" w:rsidRDefault="005F103E" w:rsidP="00CF4FBC">
      <w:pPr>
        <w:pStyle w:val="InstructionsText2"/>
      </w:pPr>
      <w:r>
        <w:t xml:space="preserve">Tätä lomaketta on käytettävä tietojen antamiseen kryptovaroihin liittyvistä vastuista asetuksen (EU) N:o 575/2013 501 d artiklan 2 ja 3 kohdan mukaisesti.</w:t>
      </w:r>
    </w:p>
    <w:p w14:paraId="4985A436" w14:textId="77777777" w:rsidR="005F103E" w:rsidRDefault="005F103E" w:rsidP="005F103E">
      <w:pPr>
        <w:pStyle w:val="InstructionsText2"/>
      </w:pPr>
      <w:r>
        <w:t xml:space="preserve">Kryptovaroihin liittyvät vastuut ilmoitetaan ainoastaan tässä lomakkeessa.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 xml:space="preserve">10.2 Tiettyjä kohtia koskevat ohjeet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 xml:space="preserve">Sarake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 xml:space="preserve">Lainsäädäntöviittaukset ja ohjeet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Vastuuarvo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Kryptovaroihin liittyvien vastuiden arvo asetuksen (EU) N:o 575/2013 501 d artiklan 2 kohdassa tarkoitettujen erityyppisten kryptovarojen osalta.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Riskipainotetut vastuuerät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 xml:space="preserve">Asetuksen (EU) N:o 575/2013 501 d artiklan 2 kohta.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Asetuksen (EU) N:o 575/2013 501 d artiklan 2 kohdan mukaisesti lasketut erityyppisten kryptovaroihin liittyvien vastuiden riskipainotetut vastuuerät.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 xml:space="preserve">Rivi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 xml:space="preserve">Lainsäädäntöviittaukset ja ohjeet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 xml:space="preserve"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Vastuut yhteensä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rFonts w:ascii="Times New Roman" w:hAnsi="Times New Roman" w:cs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Rivien 0020, 0030 ja 0040 summana lasketut kokonaisarvot.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Sarakkeessa 0020 ilmoitettavan arvon on oltava yhtä suuri kuin lomakkeen C 02.00 (Omien varojen vaatimukset) rivillä 0780 ilmoitettu kokonaisriskin määrä.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 xml:space="preserve"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b/>
                <w:bCs w:val="0"/>
                <w:sz w:val="24"/>
                <w:szCs w:val="24"/>
                <w:u w:val="single"/>
                <w:rFonts w:ascii="Times New Roman" w:hAnsi="Times New Roman" w:cs="Times New Roman"/>
              </w:rPr>
            </w:pP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Tokenisoituihin perinteisiin varoihin liittyvät kryptovaroihin liittyvät vastuut</w:t>
            </w:r>
            <w:r>
              <w:rPr>
                <w:rStyle w:val="cf01"/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t xml:space="preserve">Asetuksen (EU) N:o 575/2013 501 d artiklan 2 kohdan a alakohta.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 xml:space="preserve"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Omaisuusreferenssitokeneihin liittyvät vastuut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t xml:space="preserve">Asetuksen (EU) N:o 575/2013 501 d artiklan 2 kohdan b alakohta.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t xml:space="preserve"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Muihin kryptovaroihin liittyvät vastuut</w:t>
            </w:r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t xml:space="preserve">Asetuksen (EU) N:o 575/2013 501 d artiklan 2 kohdan c alakohta.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u w:val="none"/>
              </w:rPr>
              <w:t xml:space="preserve">Muut kryptovaroihin liittyvät vastuut, jotka eroavat asetuksen (EU) N:o 575/2013 501 d artiklan 2 kohdan a ja b alakohdan vastuista.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 xml:space="preserve">Rivi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Lisätietoerä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 xml:space="preserve"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Muihin kryptovaroihin liittyvät vastuut ilmaistuna prosenttiosuutena laitoksen ensisijaisesta pääomasta (T1)</w:t>
            </w:r>
            <w:r>
              <w:rPr>
                <w:rStyle w:val="InstructionsTabelleberschrift"/>
                <w:sz w:val="24"/>
                <w:u w:val="none"/>
                <w:rFonts w:ascii="Times New Roman" w:hAnsi="Times New Roman"/>
              </w:rPr>
              <w:t xml:space="preserve">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Asetuksen (EU) N:o 575/2013 501 d artiklan 3 kohta.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5885" w14:textId="71A1082C" w:rsidR="00C3070C" w:rsidRPr="00ED1956" w:rsidRDefault="00C3070C">
    <w:pPr>
      <w:pStyle w:val="Footer"/>
      <w:jc w:val="right"/>
      <w:rPr>
        <w:sz w:val="20"/>
        <w:szCs w:val="20"/>
        <w:rFonts w:ascii="Times New Roman" w:hAnsi="Times New Roman"/>
      </w:rPr>
    </w:pPr>
    <w:r w:rsidRPr="00ED1956">
      <w:rPr>
        <w:sz w:val="20"/>
        <w:rFonts w:ascii="Times New Roman" w:hAnsi="Times New Roman"/>
      </w:rPr>
      <w:fldChar w:fldCharType="begin"/>
    </w:r>
    <w:r w:rsidRPr="00ED1956">
      <w:rPr>
        <w:sz w:val="20"/>
        <w:rFonts w:ascii="Times New Roman" w:hAnsi="Times New Roman"/>
      </w:rPr>
      <w:instrText xml:space="preserve"> PAGE   \* MERGEFORMAT </w:instrText>
    </w:r>
    <w:r w:rsidRPr="00ED1956">
      <w:rPr>
        <w:sz w:val="20"/>
        <w:rFonts w:ascii="Times New Roman" w:hAnsi="Times New Roman"/>
      </w:rPr>
      <w:fldChar w:fldCharType="separate"/>
    </w:r>
    <w:r w:rsidR="008F3052">
      <w:rPr>
        <w:sz w:val="20"/>
        <w:rFonts w:ascii="Times New Roman" w:hAnsi="Times New Roman"/>
      </w:rPr>
      <w:t>42</w:t>
    </w:r>
    <w:r w:rsidRPr="00ED1956">
      <w:rPr>
        <w:sz w:val="20"/>
        <w:rFonts w:ascii="Times New Roman" w:hAnsi="Times New Roman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98C1" w14:textId="7C971337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DBBC0" w14:textId="5C594065" w:rsidR="00C3070C" w:rsidRDefault="00C3070C">
    <w:pPr>
      <w:pStyle w:val="Header"/>
    </w:pPr>
    <w: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fi-FI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val="fi-FI"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val="fi-FI"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val="fi-FI"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val="fi-FI"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val="fi-FI"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val="fi-FI"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val="fi-FI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fi-FI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fi-FI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fi-FI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val="fi-FI"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fi-FI"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val="fi-FI"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val="fi-FI"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val="fi-FI"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val="fi-FI"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fi-FI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val="fi-FI"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fi-F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fi-FI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val="fi-FI"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val="fi-FI"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fi-FI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val="fi-FI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fi-FI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fi-FI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val="fi-FI"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fi-FI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fi-FI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fi-FI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fi-FI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val="fi-FI"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val="fi-FI"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val="fi-FI"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val="fi-FI"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fi-FI"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val="fi-FI"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val="fi-FI"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val="fi-FI"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i-FI"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val="fi-FI"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val="fi-FI"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val="fi-FI"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val="fi-FI"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val="fi-FI"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val="fi-FI"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val="fi-FI"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i-FI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fi-FI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val="fi-FI"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fi-FI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fi-FI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val="fi-FI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fi-FI"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fi-FI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fi-FI"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C6A181-9264-41E2-BC39-BEAFCF7B6471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2024-06-21T12:22:00Z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