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2A61" w14:textId="77777777" w:rsidR="00F07734" w:rsidRDefault="00F07734" w:rsidP="00F07734">
      <w:pPr>
        <w:jc w:val="center"/>
        <w:rPr>
          <w:sz w:val="24"/>
          <w:szCs w:val="22"/>
          <w:rFonts w:ascii="Times New Roman" w:hAnsi="Times New Roman"/>
        </w:rPr>
      </w:pPr>
      <w:bookmarkStart w:id="0" w:name="_Toc360188322"/>
      <w:bookmarkStart w:id="1" w:name="_Toc473560870"/>
      <w:bookmarkStart w:id="2" w:name="_Toc151714358"/>
      <w:r>
        <w:rPr>
          <w:sz w:val="24"/>
          <w:rFonts w:ascii="Times New Roman" w:hAnsi="Times New Roman"/>
        </w:rPr>
        <w:t xml:space="preserve">HR</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sz w:val="24"/>
          <w:rFonts w:ascii="Times New Roman" w:hAnsi="Times New Roman"/>
        </w:rPr>
      </w:pPr>
      <w:r>
        <w:rPr>
          <w:sz w:val="24"/>
          <w:rFonts w:ascii="Times New Roman" w:hAnsi="Times New Roman"/>
        </w:rPr>
        <w:t xml:space="preserve">PRILOG II.</w:t>
      </w:r>
    </w:p>
    <w:p w14:paraId="6A7FAFF0" w14:textId="77777777" w:rsidR="00320FF3" w:rsidRPr="00037E7B" w:rsidRDefault="00320FF3" w:rsidP="00320FF3">
      <w:pPr>
        <w:jc w:val="center"/>
        <w:rPr>
          <w:sz w:val="24"/>
          <w:rFonts w:ascii="Times New Roman" w:hAnsi="Times New Roman"/>
        </w:rPr>
      </w:pPr>
      <w:r>
        <w:rPr>
          <w:sz w:val="24"/>
          <w:rFonts w:ascii="Times New Roman" w:hAnsi="Times New Roman"/>
        </w:rPr>
        <w:t xml:space="preserve">„PRILOG II.</w:t>
      </w:r>
    </w:p>
    <w:p w14:paraId="3F8D89B8" w14:textId="77777777" w:rsidR="00320FF3" w:rsidRPr="00037E7B" w:rsidRDefault="00320FF3" w:rsidP="00320FF3">
      <w:pPr>
        <w:jc w:val="center"/>
        <w:rPr>
          <w:b/>
          <w:sz w:val="24"/>
          <w:rFonts w:ascii="Times New Roman" w:hAnsi="Times New Roman"/>
        </w:rPr>
      </w:pPr>
      <w:r>
        <w:rPr>
          <w:b/>
          <w:sz w:val="24"/>
          <w:rFonts w:ascii="Times New Roman" w:hAnsi="Times New Roman"/>
        </w:rPr>
        <w:t xml:space="preserve">UPUTE ZA IZVJEŠĆIVANJE O REGULATORNOM KAPITALU I KAPITALNIM ZAHTJEVIMA</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 xml:space="preserve">DIO II.:</w:t>
      </w:r>
      <w:r>
        <w:t xml:space="preserve"> </w:t>
      </w:r>
      <w:r>
        <w:t xml:space="preserve">UPUTE ZA POJEDINE OBRASCE</w:t>
      </w:r>
      <w:bookmarkEnd w:id="0"/>
      <w:bookmarkEnd w:id="1"/>
      <w:bookmarkEnd w:id="2"/>
    </w:p>
    <w:p w14:paraId="3279C58A" w14:textId="77777777" w:rsidR="00CC7D2C" w:rsidRPr="002A677E" w:rsidRDefault="00CC7D2C" w:rsidP="005F25FD">
      <w:pPr>
        <w:pStyle w:val="Instructionsberschrift2"/>
        <w:numPr>
          <w:ilvl w:val="0"/>
          <w:numId w:val="0"/>
        </w:numPr>
        <w:ind w:left="357" w:hanging="357"/>
      </w:pPr>
      <w:bookmarkStart w:id="3" w:name="_Toc360188323"/>
      <w:bookmarkStart w:id="4" w:name="_Toc473560871"/>
      <w:bookmarkStart w:id="5" w:name="_Toc151714359"/>
      <w:r>
        <w:t xml:space="preserve">1.</w:t>
      </w:r>
      <w:r>
        <w:tab/>
      </w:r>
      <w:r>
        <w:t xml:space="preserve">Pregled adekvatnosti kapitala</w:t>
      </w:r>
      <w:bookmarkEnd w:id="3"/>
      <w:r>
        <w:t xml:space="preserve"> („CA”)</w:t>
      </w:r>
      <w:bookmarkEnd w:id="4"/>
      <w:bookmarkEnd w:id="5"/>
    </w:p>
    <w:p w14:paraId="049C1634" w14:textId="77777777" w:rsidR="00CC7D2C" w:rsidRPr="002A677E"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t xml:space="preserve">1.1.</w:t>
      </w:r>
      <w:r>
        <w:tab/>
      </w:r>
      <w:r>
        <w:t xml:space="preserve">Opće napomene</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11</w:t>
      </w:r>
      <w:r>
        <w:fldChar w:fldCharType="end"/>
      </w:r>
      <w:r>
        <w:t xml:space="preserve">.</w:t>
      </w:r>
      <w:r>
        <w:tab/>
      </w:r>
      <w:r>
        <w:t xml:space="preserve">Obrasci CA sadržavaju informacije o brojnicima prvog stupa (regulatorni kapital, osnovni kapital, redovni osnovni kapital), nazivniku (kapitalni zahtjevi) i primjeni prijelaznih odredaba Uredbe (EU) br. 575/2013 i Direktive 2013/36/EU i strukturirani su u pet obrazaca:</w:t>
      </w:r>
      <w:r>
        <w:t xml:space="preserve"> </w:t>
      </w:r>
    </w:p>
    <w:p w14:paraId="416DAF6C" w14:textId="77777777" w:rsidR="00CC7D2C" w:rsidRPr="002A677E" w:rsidRDefault="00CC7D2C" w:rsidP="00D1404A">
      <w:pPr>
        <w:pStyle w:val="InstructionsText2"/>
        <w:numPr>
          <w:ilvl w:val="0"/>
          <w:numId w:val="0"/>
        </w:numPr>
        <w:ind w:left="993"/>
      </w:pPr>
      <w:r>
        <w:t xml:space="preserve">(a)</w:t>
      </w:r>
      <w:r>
        <w:tab/>
      </w:r>
      <w:r>
        <w:t xml:space="preserve">Obrazac CA1 sadržava iznos regulatornog kapitala institucija, raščlanjenog na stavke potrebne da bi se došlo do tog iznosa.</w:t>
      </w:r>
      <w:r>
        <w:t xml:space="preserve"> </w:t>
      </w:r>
      <w:r>
        <w:t xml:space="preserve">Dobiveni iznos regulatornog kapitala uključuje zbirni učinak primjene prijelaznih odredaba Uredbe (EU) br. 575/2013 i Direktive 2013/36/EU prema vrsti kapitala;</w:t>
      </w:r>
    </w:p>
    <w:p w14:paraId="27EFA8F6" w14:textId="7AE1365E" w:rsidR="00CC7D2C" w:rsidRPr="002A677E" w:rsidRDefault="00CC7D2C" w:rsidP="00D1404A">
      <w:pPr>
        <w:pStyle w:val="InstructionsText2"/>
        <w:numPr>
          <w:ilvl w:val="0"/>
          <w:numId w:val="0"/>
        </w:numPr>
        <w:ind w:left="993"/>
      </w:pPr>
      <w:r>
        <w:t xml:space="preserve">(b)</w:t>
      </w:r>
      <w:r>
        <w:tab/>
      </w:r>
      <w:r>
        <w:t xml:space="preserve">U obrascu CA2 sažeto se iskazuju iznosi ukupne izloženosti riziku (TREA) s primjenom donje granice i bez primjene donje granice te iznosi ukupne izloženosti riziku dobiveni primjenom standardiziranog izračuna (S-TREA) kako su definirani u članku 92. stavcima 3., 4. i 5. Uredbe (EU) br. 575/2013;</w:t>
      </w:r>
    </w:p>
    <w:p w14:paraId="3031C055" w14:textId="77777777" w:rsidR="00CC7D2C" w:rsidRPr="002A677E" w:rsidRDefault="00CC7D2C" w:rsidP="00D1404A">
      <w:pPr>
        <w:pStyle w:val="InstructionsText2"/>
        <w:numPr>
          <w:ilvl w:val="0"/>
          <w:numId w:val="0"/>
        </w:numPr>
        <w:ind w:left="993"/>
      </w:pPr>
      <w:r>
        <w:t xml:space="preserve">(c)</w:t>
      </w:r>
      <w:r>
        <w:tab/>
      </w:r>
      <w:r>
        <w:t xml:space="preserve">Obrazac CA3 sadržava stope za koje je Uredbom (EU) br. 575/2013 određena najniža razina, stope iz stupa 2. i druge povezane podatke;</w:t>
      </w:r>
    </w:p>
    <w:p w14:paraId="7FAC43FB" w14:textId="77777777" w:rsidR="00CC7D2C" w:rsidRPr="002A677E" w:rsidRDefault="00CC7D2C" w:rsidP="00D1404A">
      <w:pPr>
        <w:pStyle w:val="InstructionsText2"/>
        <w:numPr>
          <w:ilvl w:val="0"/>
          <w:numId w:val="0"/>
        </w:numPr>
        <w:ind w:left="993"/>
      </w:pPr>
      <w:r>
        <w:t xml:space="preserve">(d)</w:t>
      </w:r>
      <w:r>
        <w:tab/>
      </w:r>
      <w:r>
        <w:t xml:space="preserve">Obrazac CA4 sadržava bilješke potrebne, među ostalim, za izračun stavki iz obrasca CA1 te informacije o zaštitnim slojevima kapitala u skladu s Direktivom 2013/36/EU;</w:t>
      </w:r>
      <w:r>
        <w:t xml:space="preserve"> </w:t>
      </w:r>
    </w:p>
    <w:p w14:paraId="0EB902DA" w14:textId="77777777" w:rsidR="00CC7D2C" w:rsidRPr="002A677E" w:rsidRDefault="00CC7D2C" w:rsidP="00D1404A">
      <w:pPr>
        <w:pStyle w:val="InstructionsText2"/>
        <w:numPr>
          <w:ilvl w:val="0"/>
          <w:numId w:val="0"/>
        </w:numPr>
        <w:ind w:left="993"/>
      </w:pPr>
      <w:r>
        <w:t xml:space="preserve">(e)</w:t>
      </w:r>
      <w:r>
        <w:tab/>
      </w:r>
      <w:r>
        <w:t xml:space="preserve">Obrazac CA5 sadržava podatke potrebne za izračun učinka prijelaznih odredaba Uredbe (EU) br. 575/2013 na regulatorni kapital.</w:t>
      </w:r>
      <w:r>
        <w:t xml:space="preserve"> </w:t>
      </w:r>
      <w:r>
        <w:t xml:space="preserve">Obrazac CA5 prestat će postojati nakon isteka tih prijelaznih odredaba.</w:t>
      </w:r>
    </w:p>
    <w:p w14:paraId="6AAF12AD"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12</w:t>
      </w:r>
      <w:r>
        <w:fldChar w:fldCharType="end"/>
      </w:r>
      <w:r>
        <w:t xml:space="preserve">.</w:t>
      </w:r>
      <w:r>
        <w:tab/>
      </w:r>
      <w:r>
        <w:t xml:space="preserve">Obrasce koriste svi subjekti koji izvješćuju, bez obzira na računovodstvene standarde koje primjenjuju, iako su neke stavke u brojniku specifične za subjekte koji primjenjuju pravila vrednovanja iz MRS-ova/MSFI-ja.</w:t>
      </w:r>
      <w:r>
        <w:t xml:space="preserve"> </w:t>
      </w:r>
      <w:r>
        <w:t xml:space="preserve">Općenito su informacije u nazivniku povezane s konačnim rezultatima koji se iskazuju u odgovarajućim obrascima za izračun iznosa ukupne izloženosti riziku.</w:t>
      </w:r>
    </w:p>
    <w:p w14:paraId="596C5A80"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13</w:t>
      </w:r>
      <w:r>
        <w:fldChar w:fldCharType="end"/>
      </w:r>
      <w:r>
        <w:t xml:space="preserve">.</w:t>
      </w:r>
      <w:r>
        <w:tab/>
      </w:r>
      <w:r>
        <w:t xml:space="preserve">Ukupni regulatorni kapital čine različite vrste kapitala: </w:t>
      </w:r>
      <w:r>
        <w:t xml:space="preserve"> </w:t>
      </w:r>
      <w:r>
        <w:t xml:space="preserve">osnovni kapital (T1), koji je zbroj redovnog osnovnog kapitala (CET1) i dodatnog osnovnog kapitala (AT1) te dopunskog kapitala (T2).</w:t>
      </w:r>
      <w:r>
        <w:t xml:space="preserve"> </w:t>
      </w:r>
    </w:p>
    <w:p w14:paraId="2CD8D0AB" w14:textId="77777777" w:rsidR="00CC7D2C" w:rsidRPr="002A677E" w:rsidRDefault="00CC7D2C" w:rsidP="00D1404A">
      <w:pPr>
        <w:pStyle w:val="InstructionsText2"/>
        <w:numPr>
          <w:ilvl w:val="0"/>
          <w:numId w:val="0"/>
        </w:numPr>
      </w:pPr>
      <w:r>
        <w:lastRenderedPageBreak/>
        <w:fldChar w:fldCharType="begin" w:dirty="true"/>
      </w:r>
      <w:r>
        <w:instrText>seq paragraphs</w:instrText>
      </w:r>
      <w:r>
        <w:fldChar w:fldCharType="separate"/>
      </w:r>
      <w:r>
        <w:t>14</w:t>
      </w:r>
      <w:r>
        <w:fldChar w:fldCharType="end"/>
      </w:r>
      <w:r>
        <w:t xml:space="preserve">.</w:t>
      </w:r>
      <w:r>
        <w:tab/>
      </w:r>
      <w:r>
        <w:t xml:space="preserve">Prijelazne odredbe Uredbe (EU) br. 575/2013 i Direktive 2013/36/EU u obrascima CA tretiraju se kako slijedi:</w:t>
      </w:r>
    </w:p>
    <w:p w14:paraId="14CA06BE" w14:textId="77777777" w:rsidR="00CC7D2C" w:rsidRPr="002A677E" w:rsidRDefault="00CC7D2C" w:rsidP="00D1404A">
      <w:pPr>
        <w:pStyle w:val="InstructionsText2"/>
        <w:numPr>
          <w:ilvl w:val="0"/>
          <w:numId w:val="0"/>
        </w:numPr>
        <w:ind w:left="993"/>
      </w:pPr>
      <w:r>
        <w:t xml:space="preserve">(a)</w:t>
      </w:r>
      <w:r>
        <w:tab/>
      </w:r>
      <w:r>
        <w:t xml:space="preserve">Za stavke u obrascu CA1 općenito nisu u obzir uzeta prijelazna usklađenja.</w:t>
      </w:r>
      <w:r>
        <w:t xml:space="preserve"> </w:t>
      </w:r>
      <w:r>
        <w:t xml:space="preserve">To znači da se vrijednosti stavki iz obrasca CA1 izračunavaju u skladu sa završnim odredbama (tj. kao da nema prijelaznih odredaba), izuzev stavki u kojima je sažeto prikazan učinak tih prijelaznih odredaba.</w:t>
      </w:r>
      <w:r>
        <w:t xml:space="preserve"> </w:t>
      </w:r>
      <w:r>
        <w:t xml:space="preserve">Za svaku vrstu kapitala (tj. redovni osnovni kapital, </w:t>
      </w:r>
      <w:r>
        <w:t xml:space="preserve"> </w:t>
      </w:r>
      <w:r>
        <w:t xml:space="preserve">dodatni osnovni kapital i dopunski kapital) postoje tri različite stavke u koje su uključena sva usklađenja nastala zbog tih prijelaznih odredaba.</w:t>
      </w:r>
    </w:p>
    <w:p w14:paraId="2571599A" w14:textId="77777777" w:rsidR="00CC7D2C" w:rsidRPr="002A677E" w:rsidRDefault="00CC7D2C" w:rsidP="00D1404A">
      <w:pPr>
        <w:pStyle w:val="InstructionsText2"/>
        <w:numPr>
          <w:ilvl w:val="0"/>
          <w:numId w:val="0"/>
        </w:numPr>
        <w:ind w:left="993"/>
      </w:pPr>
      <w:r>
        <w:t xml:space="preserve">(b)</w:t>
      </w:r>
      <w:r>
        <w:tab/>
      </w:r>
      <w:r>
        <w:t xml:space="preserve">Prijelazne odredbe mogu utjecati i na manjak dodatnog osnovnog i dopunskog kapitala (tj. odbitak koji premašuje dodatni osnovni ili dopunski kapital, uređen člankom 36. stavkom 1. točkom (j) odnosno člankom 56. točkom (e) Uredbe (EU) br. 575/2013) te stoga stavke koje sadržavaju te manjkove mogu neizravno odražavati učinak prijelaznih odredaba.</w:t>
      </w:r>
    </w:p>
    <w:p w14:paraId="088733BA" w14:textId="77777777" w:rsidR="00CC7D2C" w:rsidRPr="002A677E" w:rsidRDefault="00CC7D2C" w:rsidP="00D1404A">
      <w:pPr>
        <w:pStyle w:val="InstructionsText2"/>
        <w:numPr>
          <w:ilvl w:val="0"/>
          <w:numId w:val="0"/>
        </w:numPr>
        <w:ind w:left="993"/>
      </w:pPr>
      <w:r>
        <w:t xml:space="preserve">(c)</w:t>
      </w:r>
      <w:r>
        <w:tab/>
      </w:r>
      <w:r>
        <w:t xml:space="preserve">Obrazac CA5 koristi se isključivo za izvješćivanje o učinku primjene prijelaznih odredaba iz Uredbe (EU) br. 575/2013 na regulatorni kapital.</w:t>
      </w:r>
      <w:r>
        <w:t xml:space="preserve"> </w:t>
      </w:r>
    </w:p>
    <w:p w14:paraId="45D824B0" w14:textId="77777777" w:rsidR="00CC7D2C" w:rsidRPr="002A677E" w:rsidRDefault="00CC7D2C" w:rsidP="00D1404A">
      <w:pPr>
        <w:pStyle w:val="InstructionsText2"/>
        <w:numPr>
          <w:ilvl w:val="0"/>
          <w:numId w:val="0"/>
        </w:numPr>
      </w:pPr>
      <w:r>
        <w:fldChar w:fldCharType="begin" w:dirty="true"/>
      </w:r>
      <w:r>
        <w:instrText>seq paragraphs</w:instrText>
      </w:r>
      <w:r>
        <w:fldChar w:fldCharType="separate"/>
      </w:r>
      <w:r>
        <w:t>15</w:t>
      </w:r>
      <w:r>
        <w:fldChar w:fldCharType="end"/>
      </w:r>
      <w:r>
        <w:t xml:space="preserve">.</w:t>
      </w:r>
      <w:r>
        <w:tab/>
      </w:r>
      <w:r>
        <w:t xml:space="preserve">Tretman zahtjeva iz drugog stupa može se razlikovati u Uniji (članak 104.a stavak 1. Direktive 2013/36/EU potrebno je prenijeti u nacionalno zakonodavstvo).</w:t>
      </w:r>
      <w:r>
        <w:t xml:space="preserve"> </w:t>
      </w:r>
      <w:r>
        <w:t xml:space="preserve">Samo se učinak zahtjeva iz drugog stupa na stopu solventnosti ili ciljnu stopu uključuje u izvješćivanje o solventnosti propisano Uredbom (EU) br. 575/2013.</w:t>
      </w:r>
      <w:r>
        <w:t xml:space="preserve"> </w:t>
      </w:r>
    </w:p>
    <w:p w14:paraId="10043DAC" w14:textId="77777777" w:rsidR="00CC7D2C" w:rsidRPr="002A677E" w:rsidRDefault="00CC7D2C" w:rsidP="00D1404A">
      <w:pPr>
        <w:pStyle w:val="InstructionsText2"/>
        <w:numPr>
          <w:ilvl w:val="0"/>
          <w:numId w:val="0"/>
        </w:numPr>
        <w:ind w:left="993"/>
      </w:pPr>
      <w:r>
        <w:t xml:space="preserve">a)</w:t>
      </w:r>
      <w:r>
        <w:tab/>
      </w:r>
      <w:r>
        <w:t xml:space="preserve">Obrasci CA1, CA2 ili CA5 sadržavaju samo podatke o pitanjima iz drugog stupa.</w:t>
      </w:r>
    </w:p>
    <w:p w14:paraId="0DBE98C6" w14:textId="77777777" w:rsidR="00CC7D2C" w:rsidRPr="002A677E" w:rsidRDefault="00CC7D2C" w:rsidP="00D1404A">
      <w:pPr>
        <w:pStyle w:val="InstructionsText2"/>
        <w:numPr>
          <w:ilvl w:val="0"/>
          <w:numId w:val="0"/>
        </w:numPr>
        <w:ind w:left="993"/>
      </w:pPr>
      <w:r>
        <w:t xml:space="preserve">b)</w:t>
      </w:r>
      <w:r>
        <w:tab/>
      </w:r>
      <w:r>
        <w:t xml:space="preserve">Obrazac CA3 sadržava utjecaj dodatnih zahtjeva iz drugog stupa na stopu solventnosti na agregiranoj osnovi.</w:t>
      </w:r>
      <w:r>
        <w:t xml:space="preserve"> </w:t>
      </w:r>
      <w:r>
        <w:t xml:space="preserve">Navode se uglavnom same ciljne stope.</w:t>
      </w:r>
      <w:r>
        <w:t xml:space="preserve"> </w:t>
      </w:r>
      <w:r>
        <w:t xml:space="preserve">Nema dodatnih povezanosti s obrascima CA1, CA2 ili CA5.</w:t>
      </w:r>
    </w:p>
    <w:p w14:paraId="63F79AA0" w14:textId="77777777" w:rsidR="00CC7D2C" w:rsidRDefault="00CC7D2C" w:rsidP="00D1404A">
      <w:pPr>
        <w:pStyle w:val="InstructionsText2"/>
        <w:numPr>
          <w:ilvl w:val="0"/>
          <w:numId w:val="0"/>
        </w:numPr>
        <w:ind w:left="993"/>
      </w:pPr>
      <w:r>
        <w:t xml:space="preserve">c)</w:t>
      </w:r>
      <w:r>
        <w:tab/>
      </w:r>
      <w:r>
        <w:t xml:space="preserve">Obrazac CA4 sadržava jednu rubriku o dodatnim kapitalnim zahtjevima koji se odnose na drugi stup. Ta rubrika nije povezana pravilima validacije sa stopama kapitala iz obrasca CA3 i uzima u obzir članak 104.a stavak 1. Direktive 2013/36/EU u kojem se izričito navode dodatni kapitalni zahtjevi kao jedna mogućnost za odluke u okviru drugog stupa.</w:t>
      </w:r>
    </w:p>
    <w:p w14:paraId="2CF3DCE5" w14:textId="22DB17A6" w:rsidR="00CC7D2C" w:rsidRDefault="00CC7D2C" w:rsidP="00D1404A">
      <w:pPr>
        <w:pStyle w:val="InstructionsText2"/>
        <w:numPr>
          <w:ilvl w:val="0"/>
          <w:numId w:val="0"/>
        </w:numPr>
      </w:pPr>
      <w:r>
        <w:t xml:space="preserve">15.a</w:t>
      </w:r>
      <w:r>
        <w:t xml:space="preserve"> </w:t>
      </w:r>
      <w:r>
        <w:t xml:space="preserve">Primjena zahtjevâ za minimalnu donju granicu može utjecati na TREA-u kao i na kapitalne zahtjeve čiji izračun ovisi o TREA-i:</w:t>
      </w:r>
      <w:r>
        <w:t xml:space="preserve"> </w:t>
      </w:r>
      <w:r>
        <w:t xml:space="preserve">stope kapitala, zahtjeve iz drugog stupa i zaštitne slojeve kapitala.</w:t>
      </w:r>
      <w:r>
        <w:t xml:space="preserve"> </w:t>
      </w:r>
      <w:r>
        <w:t xml:space="preserve">Ako nadležno tijelo primijeni odstupanje iz članka 92. stavka 3. drugog podstavka Uredbe (EU) br. 575/2013, informacije o zahtjevima za minimalnu donju granicu iskazuju se na odgovarajući način:</w:t>
      </w:r>
      <w:r>
        <w:t xml:space="preserve">  </w:t>
      </w:r>
    </w:p>
    <w:p w14:paraId="226DFED5" w14:textId="77777777" w:rsidR="00CC7D2C" w:rsidRPr="005B630F" w:rsidRDefault="00CC7D2C" w:rsidP="00D1404A">
      <w:pPr>
        <w:pStyle w:val="InstructionsText2"/>
        <w:numPr>
          <w:ilvl w:val="0"/>
          <w:numId w:val="0"/>
        </w:numPr>
        <w:ind w:left="993"/>
      </w:pPr>
      <w:r>
        <w:t xml:space="preserve">a)</w:t>
      </w:r>
      <w:r>
        <w:tab/>
      </w:r>
      <w:r>
        <w:t xml:space="preserve">obrazac CA2 sadržava iznose ukupne izloženosti riziku s primjenom donje granice i bez primjene donje granice te iznose ukupne izloženosti riziku dobiven primjenom standardiziranog izračuna.</w:t>
      </w:r>
      <w:r>
        <w:t xml:space="preserve"> </w:t>
      </w:r>
      <w:r>
        <w:t xml:space="preserve">TREA s primjenom donje granice i TREA dobivena primjenom standardiziranog izračuna odražavaju učinak prijelaznih aranžmana za minimalnu donju granicu kako je definirano u članku 465. Uredbe (EU) br. 575/2013</w:t>
      </w:r>
    </w:p>
    <w:p w14:paraId="70D5E959" w14:textId="77777777" w:rsidR="00CC7D2C" w:rsidRDefault="00CC7D2C" w:rsidP="00D1404A">
      <w:pPr>
        <w:pStyle w:val="InstructionsText2"/>
        <w:numPr>
          <w:ilvl w:val="0"/>
          <w:numId w:val="0"/>
        </w:numPr>
        <w:ind w:left="993"/>
      </w:pPr>
      <w:r>
        <w:t xml:space="preserve">b)</w:t>
      </w:r>
      <w:r>
        <w:tab/>
      </w:r>
      <w:r>
        <w:t xml:space="preserve">obrazac CA3 sadržava stope kapitala s primjenom donje granice i bez primjene donje granice i stopu ukupnog kapitalnog zahtjeva u okviru SREP-a (TSCR) prije i nakon primjene gornje granice iz članka 104.a Direktive 2013/36/EU te stope kapitala bez primjene prijelaznih aranžmana za minimalnu donju granicu.</w:t>
      </w:r>
    </w:p>
    <w:p w14:paraId="5965EF78" w14:textId="77777777" w:rsidR="00CC7D2C" w:rsidRDefault="00CC7D2C" w:rsidP="00D1404A">
      <w:pPr>
        <w:pStyle w:val="InstructionsText2"/>
        <w:numPr>
          <w:ilvl w:val="0"/>
          <w:numId w:val="0"/>
        </w:numPr>
        <w:ind w:left="993"/>
      </w:pPr>
      <w:r>
        <w:t xml:space="preserve">15.b</w:t>
      </w:r>
      <w:r>
        <w:t xml:space="preserve"> </w:t>
      </w:r>
      <w:r>
        <w:t xml:space="preserve">Obrazac CA4 sadržava iznose prilagodbi donje granice s primjenom i bez primjene prijelaznih aranžmana za minimalnu donju granicu te primjenjivi postotak minimalne donje granice u skladu s člankom 465. stavkom 1. Uredbe (EU) br. 575/2013.</w:t>
      </w:r>
    </w:p>
    <w:p w14:paraId="36A0BD6A" w14:textId="5DE2A828" w:rsidR="00CC7D2C" w:rsidRDefault="00DA32D5" w:rsidP="00A85510">
      <w:pPr>
        <w:pStyle w:val="InstructionsText2"/>
        <w:numPr>
          <w:ilvl w:val="0"/>
          <w:numId w:val="0"/>
        </w:numPr>
        <w:rPr>
          <w:noProof/>
        </w:rPr>
      </w:pPr>
      <w:r>
        <w:t xml:space="preserve">15.c</w:t>
      </w:r>
      <w:r>
        <w:t xml:space="preserve">  </w:t>
      </w:r>
      <w:r>
        <w:t xml:space="preserve">Obrazac C 06.02 sadržava prilagodbu donje granice u TREA-i za subjekte obuhvaćene konsolidacijom.</w:t>
      </w:r>
    </w:p>
    <w:p w14:paraId="4F8F57C9" w14:textId="572FD9C8" w:rsidR="00CC7D2C" w:rsidRPr="002A677E" w:rsidRDefault="00CC7D2C" w:rsidP="00A85510">
      <w:pPr>
        <w:pStyle w:val="InstructionsText2"/>
        <w:numPr>
          <w:ilvl w:val="0"/>
          <w:numId w:val="0"/>
        </w:numPr>
        <w:rPr>
          <w:noProof/>
        </w:rPr>
      </w:pPr>
      <w:r>
        <w:t xml:space="preserve">15.d</w:t>
      </w:r>
      <w:r>
        <w:t xml:space="preserve"> </w:t>
      </w:r>
      <w:r>
        <w:t xml:space="preserve">Obrasci C10.00, C13.01, C14.01 i C34.02 sadržavaju informacije o vrijednostima izloženosti i TREA-i dobivenima primjenom standardiziranog izračuna u skladu s člankom 92. stavkom 5. Uredbe (EU) br. 575/2013 i, ako je primjenjivo, o učinku prijelaznih aranžmana na izračun S-TREA-e.</w:t>
      </w:r>
      <w:r>
        <w:t xml:space="preserve">   </w:t>
      </w:r>
    </w:p>
    <w:p w14:paraId="49279069" w14:textId="77777777" w:rsidR="00CC7D2C" w:rsidRPr="002A677E" w:rsidRDefault="00CC7D2C" w:rsidP="00D1404A">
      <w:pPr>
        <w:pStyle w:val="InstructionsText2"/>
        <w:numPr>
          <w:ilvl w:val="0"/>
          <w:numId w:val="0"/>
        </w:numPr>
        <w:ind w:left="993"/>
      </w:pPr>
    </w:p>
    <w:p w14:paraId="0DDBF68C" w14:textId="77777777" w:rsidR="00CC7D2C" w:rsidRPr="002A677E"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Pr>
          <w:u w:val="none"/>
        </w:rPr>
        <w:t xml:space="preserve">1.2.</w:t>
      </w:r>
      <w:r>
        <w:rPr>
          <w:u w:val="none"/>
        </w:rPr>
        <w:tab/>
      </w:r>
      <w:r>
        <w:t xml:space="preserve">C 01.00 – REGULATORNI KAPITAL (CA1)</w:t>
      </w:r>
      <w:bookmarkEnd w:id="10"/>
      <w:bookmarkEnd w:id="11"/>
      <w:r>
        <w:t xml:space="preserve"> </w:t>
      </w:r>
      <w:bookmarkEnd w:id="12"/>
      <w:bookmarkEnd w:id="13"/>
    </w:p>
    <w:p w14:paraId="4A8E09A3" w14:textId="77777777" w:rsidR="00CC7D2C" w:rsidRPr="002A677E"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Pr>
          <w:u w:val="none"/>
        </w:rPr>
        <w:t xml:space="preserve">1.2.1.</w:t>
      </w:r>
      <w:r>
        <w:rPr>
          <w:u w:val="none"/>
        </w:rPr>
        <w:tab/>
      </w:r>
      <w:r>
        <w:t xml:space="preserve">Upute za specifične </w:t>
      </w:r>
      <w:bookmarkEnd w:id="14"/>
      <w:bookmarkEnd w:id="15"/>
      <w:r>
        <w:t xml:space="preserve">pozicije</w:t>
      </w:r>
      <w:bookmarkEnd w:id="16"/>
      <w:bookmarkEnd w:id="17"/>
      <w:bookmarkEnd w:id="18"/>
    </w:p>
    <w:p w14:paraId="46149592" w14:textId="77777777" w:rsidR="00CC7D2C" w:rsidRPr="002A677E"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Redak</w:t>
            </w:r>
          </w:p>
        </w:tc>
        <w:tc>
          <w:tcPr>
            <w:tcW w:w="7620" w:type="dxa"/>
            <w:shd w:val="clear" w:color="auto" w:fill="D9D9D9"/>
          </w:tcPr>
          <w:p w14:paraId="00BD61FC"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Pravna osnova i upute</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0010</w:t>
            </w:r>
          </w:p>
        </w:tc>
        <w:tc>
          <w:tcPr>
            <w:tcW w:w="7620" w:type="dxa"/>
          </w:tcPr>
          <w:p w14:paraId="7F7B229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Regulatorni kapital</w:t>
            </w:r>
          </w:p>
          <w:p w14:paraId="31EC155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118. i članak 72.</w:t>
            </w:r>
            <w:r>
              <w:t xml:space="preserve"> Uredbe (EU) br. 575/2013</w:t>
            </w:r>
          </w:p>
          <w:p w14:paraId="48FA791A"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Regulatorni kapital institucije sastoji se od zbroja osnovnog kapitala i dopunskog kapitala.</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0015</w:t>
            </w:r>
          </w:p>
        </w:tc>
        <w:tc>
          <w:tcPr>
            <w:tcW w:w="7620" w:type="dxa"/>
          </w:tcPr>
          <w:p w14:paraId="4CE80E5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Osnovni kapital</w:t>
            </w:r>
          </w:p>
          <w:p w14:paraId="7D7B993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25.</w:t>
            </w:r>
            <w:r>
              <w:t xml:space="preserve"> Uredbe (EU) br. 575/2013</w:t>
            </w:r>
          </w:p>
          <w:p w14:paraId="09B0C85E"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Osnovni kapital zbroj je redovnog osnovnog kapitala i dodatnog osnovnog kapitala.</w:t>
            </w:r>
            <w:r>
              <w:rPr>
                <w:rStyle w:val="FormatvorlageInstructionsTabelleText"/>
                <w:sz w:val="24"/>
                <w:rFonts w:ascii="Times New Roman" w:hAnsi="Times New Roman"/>
              </w:rPr>
              <w:t xml:space="preserve">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0020</w:t>
            </w:r>
          </w:p>
        </w:tc>
        <w:tc>
          <w:tcPr>
            <w:tcW w:w="7620" w:type="dxa"/>
          </w:tcPr>
          <w:p w14:paraId="3365454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w:t>
            </w:r>
            <w:r>
              <w:rPr>
                <w:rStyle w:val="InstructionsTabelleberschrift"/>
                <w:sz w:val="24"/>
                <w:rFonts w:ascii="Times New Roman" w:hAnsi="Times New Roman"/>
              </w:rPr>
              <w:tab/>
            </w:r>
            <w:r>
              <w:rPr>
                <w:rStyle w:val="InstructionsTabelleberschrift"/>
                <w:sz w:val="24"/>
                <w:rFonts w:ascii="Times New Roman" w:hAnsi="Times New Roman"/>
              </w:rPr>
              <w:t xml:space="preserve">Redovni osnovni kapital</w:t>
            </w:r>
          </w:p>
          <w:p w14:paraId="4F1E707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50.</w:t>
            </w:r>
            <w:r>
              <w:t xml:space="preserve"> Uredbe (EU) br.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0030</w:t>
            </w:r>
          </w:p>
        </w:tc>
        <w:tc>
          <w:tcPr>
            <w:tcW w:w="7620" w:type="dxa"/>
          </w:tcPr>
          <w:p w14:paraId="7D4F1E65" w14:textId="77777777" w:rsidR="00CC7D2C" w:rsidRPr="001235ED"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kapitala i premija na dionice koji se priznaju kao redovni osnovni kapital</w:t>
            </w:r>
          </w:p>
          <w:p w14:paraId="5F4E10C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26. stavak 1. točke (a) i (b), članci od 27. do 30., članak 36. stavak 1. točka (f) i članak 42.</w:t>
            </w:r>
            <w:r>
              <w:t xml:space="preserve"> Uredbe (EU) br.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620" w:type="dxa"/>
          </w:tcPr>
          <w:p w14:paraId="14B2355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w:t>
            </w:r>
            <w:r>
              <w:rPr>
                <w:rStyle w:val="InstructionsTabelleberschrift"/>
                <w:sz w:val="24"/>
                <w:rFonts w:ascii="Times New Roman" w:hAnsi="Times New Roman"/>
              </w:rPr>
              <w:tab/>
            </w:r>
            <w:r>
              <w:rPr>
                <w:rStyle w:val="InstructionsTabelleberschrift"/>
                <w:sz w:val="24"/>
                <w:rFonts w:ascii="Times New Roman" w:hAnsi="Times New Roman"/>
              </w:rPr>
              <w:t xml:space="preserve">U potpunosti plaćeni instrumenti kapitala</w:t>
            </w:r>
          </w:p>
          <w:p w14:paraId="13B60A6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26. stavak 1. točka (a) i članci od 27. do 31.</w:t>
            </w:r>
            <w:r>
              <w:t xml:space="preserve"> Uredbe (EU) br. 575/2013</w:t>
            </w:r>
          </w:p>
          <w:p w14:paraId="49B9CE2F"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Uključuju se</w:t>
            </w:r>
            <w:r>
              <w:t xml:space="preserve"> </w:t>
            </w:r>
            <w:r>
              <w:rPr>
                <w:rStyle w:val="FormatvorlageInstructionsTabelleText"/>
                <w:sz w:val="24"/>
                <w:rFonts w:ascii="Times New Roman" w:hAnsi="Times New Roman"/>
              </w:rPr>
              <w:t xml:space="preserve">instrumenti kapitala uzajamnih institucija, zadruga ili sličnih institucija (članci 27. i 29.</w:t>
            </w:r>
            <w:r>
              <w:t xml:space="preserve"> Uredbe (EU) br. 575/2013).</w:t>
            </w:r>
          </w:p>
          <w:p w14:paraId="7827C6D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Ne uključuje se premija na dionice povezana s instrumentima.</w:t>
            </w:r>
          </w:p>
          <w:p w14:paraId="2903801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kapitala koje upisuju tijela javne vlasti u izvanrednim situacijama uključuju se ako su </w:t>
            </w:r>
            <w:r>
              <w:rPr>
                <w:rStyle w:val="FormatvorlageInstructionsTabelleText"/>
                <w:sz w:val="24"/>
                <w:rStyle w:val="FormatvorlageInstructionsTabelleText"/>
                <w:sz w:val="24"/>
                <w:rFonts w:ascii="Times New Roman" w:hAnsi="Times New Roman"/>
              </w:rPr>
              <w:t xml:space="preserve">ispunjeni</w:t>
            </w:r>
            <w:r>
              <w:rPr>
                <w:rStyle w:val="FormatvorlageInstructionsTabelleText"/>
                <w:sz w:val="24"/>
                <w:rFonts w:ascii="Times New Roman" w:hAnsi="Times New Roman"/>
              </w:rPr>
              <w:t xml:space="preserve"> svi uvjeti iz članka 31.</w:t>
            </w:r>
            <w:r>
              <w:t xml:space="preserve"> Uredbe (EU) br. 575/2013.</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0045</w:t>
            </w:r>
          </w:p>
        </w:tc>
        <w:tc>
          <w:tcPr>
            <w:tcW w:w="7620" w:type="dxa"/>
          </w:tcPr>
          <w:p w14:paraId="03643B4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kapitala koje upisuju tijela javne vlasti u izvanrednim situacijama</w:t>
            </w:r>
          </w:p>
          <w:p w14:paraId="3743B5F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31.</w:t>
            </w:r>
            <w:r>
              <w:t xml:space="preserve"> Uredbe (EU) br. 575/2013</w:t>
            </w:r>
          </w:p>
          <w:p w14:paraId="3BA8990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Instrumenti kapitala koje upisuju tijela javne vlasti u izvanrednim situacijama uključuju se u redovni osnovni kapital ako su </w:t>
            </w:r>
            <w:r>
              <w:rPr>
                <w:rStyle w:val="InstructionsTabelleberschrift"/>
                <w:b w:val="0"/>
                <w:sz w:val="24"/>
                <w:u w:val="none"/>
                <w:rStyle w:val="InstructionsTabelleberschrift"/>
                <w:b w:val="0"/>
                <w:sz w:val="24"/>
                <w:u w:val="none"/>
                <w:rFonts w:ascii="Times New Roman" w:hAnsi="Times New Roman"/>
              </w:rPr>
              <w:t xml:space="preserve">ispunjeni</w:t>
            </w:r>
            <w:r>
              <w:rPr>
                <w:rStyle w:val="InstructionsTabelleberschrift"/>
                <w:b w:val="0"/>
                <w:sz w:val="24"/>
                <w:u w:val="none"/>
                <w:rFonts w:ascii="Times New Roman" w:hAnsi="Times New Roman"/>
              </w:rPr>
              <w:t xml:space="preserve"> svi uvjeti iz članka 31.</w:t>
            </w:r>
            <w:r>
              <w:t xml:space="preserve"> Uredbe (EU) br. 575/2013.</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620" w:type="dxa"/>
          </w:tcPr>
          <w:p w14:paraId="52A1357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1.1.1.1.2.*</w:t>
            </w:r>
            <w:r>
              <w:rPr>
                <w:rStyle w:val="InstructionsTabelleberschrift"/>
                <w:sz w:val="24"/>
                <w:rFonts w:ascii="Times New Roman" w:hAnsi="Times New Roman"/>
              </w:rPr>
              <w:tab/>
            </w:r>
            <w:r>
              <w:rPr>
                <w:rStyle w:val="InstructionsTabelleberschrift"/>
                <w:sz w:val="24"/>
                <w:rFonts w:ascii="Times New Roman" w:hAnsi="Times New Roman"/>
              </w:rPr>
              <w:t xml:space="preserve">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kapitala koji se ne priznaju</w:t>
            </w:r>
          </w:p>
          <w:p w14:paraId="0D8C40B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28. stavak 1. točke (b), (l) i (m) </w:t>
            </w:r>
            <w:r>
              <w:t xml:space="preserve">Uredbe (EU) br. 575/2013</w:t>
            </w:r>
          </w:p>
          <w:p w14:paraId="589C62D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Uvjeti u tim točkama odražavaju različite pozicije kapitala koje su reverzibilne i stoga se iznos koji se ovdje iskazuje može priznati u naknadnim razdobljima.</w:t>
            </w:r>
          </w:p>
          <w:p w14:paraId="02886CD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premiju na dionice povezanu s instrumentima.</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620" w:type="dxa"/>
          </w:tcPr>
          <w:p w14:paraId="60A3F399"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1.1.1.1.3.</w:t>
            </w:r>
            <w:r>
              <w:rPr>
                <w:rStyle w:val="InstructionsTabelleberschrift"/>
                <w:sz w:val="24"/>
                <w:rFonts w:ascii="Times New Roman" w:hAnsi="Times New Roman"/>
              </w:rPr>
              <w:tab/>
            </w:r>
            <w:r>
              <w:rPr>
                <w:rStyle w:val="InstructionsTabelleberschrift"/>
                <w:sz w:val="24"/>
                <w:rFonts w:ascii="Times New Roman" w:hAnsi="Times New Roman"/>
              </w:rPr>
              <w:t xml:space="preserve">Premija na dionice</w:t>
            </w:r>
          </w:p>
          <w:p w14:paraId="0CC528E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124., članak 26. stavak 1. točka (b)</w:t>
            </w:r>
            <w:r>
              <w:t xml:space="preserve"> Uredbe (EU) br. 575/2013</w:t>
            </w:r>
          </w:p>
          <w:p w14:paraId="02BDC94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Premija na dionice ima isto značenje kao i u primjenjivom računovodstvenom standardu.</w:t>
            </w:r>
            <w:r>
              <w:rPr>
                <w:rStyle w:val="FormatvorlageInstructionsTabelleText"/>
                <w:sz w:val="24"/>
                <w:rFonts w:ascii="Times New Roman" w:hAnsi="Times New Roman"/>
              </w:rPr>
              <w:t xml:space="preserve"> </w:t>
            </w:r>
          </w:p>
          <w:p w14:paraId="45DE9F1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u ovoj stavci dio je koji se odnosi na „u potpunosti plaćene instrumente kapitala”.</w:t>
            </w:r>
            <w:r>
              <w:rPr>
                <w:rStyle w:val="FormatvorlageInstructionsTabelleText"/>
                <w:sz w:val="24"/>
                <w:rFonts w:ascii="Times New Roman" w:hAnsi="Times New Roman"/>
              </w:rPr>
              <w:t xml:space="preserve">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620" w:type="dxa"/>
          </w:tcPr>
          <w:p w14:paraId="783E59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w:t>
            </w:r>
            <w:r>
              <w:rPr>
                <w:rStyle w:val="InstructionsTabelleberschrift"/>
                <w:sz w:val="24"/>
                <w:rFonts w:ascii="Times New Roman" w:hAnsi="Times New Roman"/>
              </w:rPr>
              <w:tab/>
            </w:r>
            <w:r>
              <w:rPr>
                <w:rStyle w:val="InstructionsTabelleberschrift"/>
                <w:sz w:val="24"/>
                <w:rFonts w:ascii="Times New Roman" w:hAnsi="Times New Roman"/>
              </w:rPr>
              <w:t xml:space="preserve">(–) Vlastiti instrumenti redovnog osnovnog kapitala</w:t>
            </w:r>
          </w:p>
          <w:p w14:paraId="0AF323C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(f) i članak 42.</w:t>
            </w:r>
            <w:r>
              <w:t xml:space="preserve"> Uredbe (EU) br. 575/2013</w:t>
            </w:r>
          </w:p>
          <w:p w14:paraId="2CAF507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Vlastiti redovni osnovni kapital koji drže institucija koja izvješćuje ili grupa na izvještajni datum i iznosi instrumenata redovnog osnovnog kapitala koji se odbijaju u skladu s člankom 28. stavkom 2. Delegirane uredbe Komisije (EU) br. 241/2014</w:t>
            </w:r>
            <w:r w:rsidRPr="002A677E">
              <w:rPr>
                <w:rStyle w:val="FootnoteReference"/>
                <w:bCs/>
                <w:vertAlign w:val="superscript"/>
              </w:rPr>
              <w:footnoteReference w:id="1"/>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r>
              <w:t xml:space="preserve">Uz iznimke iz članka 42. Uredbe (EU) br. 575/2013.</w:t>
            </w:r>
          </w:p>
          <w:p w14:paraId="5CADFB2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ne iskazuju ulaganja u dionice uključena kao „instrumenti kapitala koji se ne priznaju”.</w:t>
            </w:r>
          </w:p>
          <w:p w14:paraId="1988196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uključuje premiju na dionice povezanu s vlastitim dionicama.</w:t>
            </w:r>
          </w:p>
          <w:p w14:paraId="154333E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Stavke od 1.1.1.1.4 do 1.1.1.1.4.3 ne uključuju stvarne ili potencijalne obveze kupnje vlastitih instrumenata redovnog osnovnog kapitala.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Stvarne ili potencijalne obveze kupnje vlastitih instrumenata redovnog osnovnog kapitala iskazuju se zasebno u stavci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620" w:type="dxa"/>
          </w:tcPr>
          <w:p w14:paraId="631AA05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1.1.1.1.4.1.</w:t>
            </w:r>
            <w:r>
              <w:rPr>
                <w:rStyle w:val="InstructionsTabelleberschrift"/>
                <w:sz w:val="24"/>
                <w:rFonts w:ascii="Times New Roman" w:hAnsi="Times New Roman"/>
              </w:rPr>
              <w:tab/>
            </w:r>
            <w:r>
              <w:rPr>
                <w:rStyle w:val="InstructionsTabelleberschrift"/>
                <w:sz w:val="24"/>
                <w:rFonts w:ascii="Times New Roman" w:hAnsi="Times New Roman"/>
              </w:rPr>
              <w:t xml:space="preserve">(–) Izravna ulaganja u instrumente redovnog osnovnog kapitala</w:t>
            </w:r>
          </w:p>
          <w:p w14:paraId="0F857D1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(f) i članak 42.</w:t>
            </w:r>
            <w:r>
              <w:t xml:space="preserve"> Uredbe (EU) br. 575/2013</w:t>
            </w:r>
          </w:p>
          <w:p w14:paraId="0F1D145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redovnog osnovnog kapitala uključeni u stavku 1.1.1.1. koje drže institucije konsolidirane grupe i iznosi instrumenata redovnog osnovnog kapitala koji se odbijaju u skladu s člankom 28. stavkom 2. Delegirane uredbe (EU) br. 241/2014</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p>
          <w:p w14:paraId="69A2AC9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uključuje ulaganja u knjizi trgovanja izračunata na temelju neto duge pozicije, kako je navedeno u članku 42. točki (a)</w:t>
            </w:r>
            <w:r>
              <w:t xml:space="preserve"> Uredbe (EU) br. 575/2013</w:t>
            </w:r>
            <w:r>
              <w:rPr>
                <w:rStyle w:val="FormatvorlageInstructionsTabelleText"/>
                <w:sz w:val="24"/>
                <w:rFonts w:ascii="Times New Roman" w:hAnsi="Times New Roman"/>
              </w:rPr>
              <w:t xml:space="preserve">.</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620" w:type="dxa"/>
          </w:tcPr>
          <w:p w14:paraId="54D7C92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1.1.1.1.4.2.</w:t>
            </w:r>
            <w:r>
              <w:rPr>
                <w:rStyle w:val="InstructionsTabelleberschrift"/>
                <w:sz w:val="24"/>
                <w:rFonts w:ascii="Times New Roman" w:hAnsi="Times New Roman"/>
              </w:rPr>
              <w:tab/>
            </w:r>
            <w:r>
              <w:rPr>
                <w:rStyle w:val="InstructionsTabelleberschrift"/>
                <w:sz w:val="24"/>
                <w:rFonts w:ascii="Times New Roman" w:hAnsi="Times New Roman"/>
              </w:rPr>
              <w:t xml:space="preserve">(–) Neizravna ulaganja u instrumente redovnog osnovnog kapitala</w:t>
            </w:r>
          </w:p>
          <w:p w14:paraId="754C577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114., članak 36. stavak 1. točka (f) i članak 42. </w:t>
            </w:r>
            <w:r>
              <w:t xml:space="preserve">Uredbe (EU) br.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0091</w:t>
            </w:r>
          </w:p>
        </w:tc>
        <w:tc>
          <w:tcPr>
            <w:tcW w:w="7620" w:type="dxa"/>
          </w:tcPr>
          <w:p w14:paraId="113BCBFC"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1.1.1.1.4.3.</w:t>
            </w:r>
            <w:r>
              <w:rPr>
                <w:rStyle w:val="InstructionsTabelleberschrift"/>
                <w:sz w:val="24"/>
                <w:rFonts w:ascii="Times New Roman" w:hAnsi="Times New Roman"/>
              </w:rPr>
              <w:tab/>
            </w:r>
            <w:r>
              <w:rPr>
                <w:rStyle w:val="InstructionsTabelleberschrift"/>
                <w:sz w:val="24"/>
                <w:rFonts w:ascii="Times New Roman" w:hAnsi="Times New Roman"/>
              </w:rPr>
              <w:t xml:space="preserve">(–) Sintetska ulaganja u instrumente redovnog osnovnog kapitala</w:t>
            </w:r>
          </w:p>
          <w:p w14:paraId="3E0D4BE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Članak 4. stavak 1. točka 126., članak 36. stavak 1. točka (f) i članak 42. </w:t>
            </w:r>
            <w:r>
              <w:t xml:space="preserve">Uredbe (EU) br.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0092</w:t>
            </w:r>
          </w:p>
        </w:tc>
        <w:tc>
          <w:tcPr>
            <w:tcW w:w="7620" w:type="dxa"/>
          </w:tcPr>
          <w:p w14:paraId="70A174E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1.1.1.1.5.</w:t>
            </w:r>
            <w:r>
              <w:rPr>
                <w:rStyle w:val="InstructionsTabelleberschrift"/>
                <w:sz w:val="24"/>
                <w:rFonts w:ascii="Times New Roman" w:hAnsi="Times New Roman"/>
              </w:rPr>
              <w:tab/>
            </w:r>
            <w:r>
              <w:rPr>
                <w:rStyle w:val="InstructionsTabelleberschrift"/>
                <w:sz w:val="24"/>
                <w:rFonts w:ascii="Times New Roman" w:hAnsi="Times New Roman"/>
              </w:rPr>
              <w:t xml:space="preserve">(–) Stvarne ili potencijalne obveze kupnje vlastitih instrumenata redovnog osnovnog kapitala</w:t>
            </w:r>
          </w:p>
          <w:p w14:paraId="7D0F7B5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(f) i članak 42.</w:t>
            </w:r>
            <w:r>
              <w:t xml:space="preserve"> Uredbe (EU) br. 575/2013</w:t>
            </w:r>
          </w:p>
          <w:p w14:paraId="55FBB150"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U skladu s člankom 36. stavkom 1.</w:t>
            </w:r>
            <w:r>
              <w:rPr>
                <w:sz w:val="24"/>
                <w:rFonts w:ascii="Times New Roman" w:hAnsi="Times New Roman"/>
              </w:rPr>
              <w:t xml:space="preserve"> </w:t>
            </w:r>
            <w:r>
              <w:rPr>
                <w:sz w:val="24"/>
                <w:rStyle w:val="FormatvorlageInstructionsTabelleText"/>
                <w:rFonts w:ascii="Times New Roman" w:hAnsi="Times New Roman"/>
              </w:rPr>
              <w:t xml:space="preserve">točkom (f)</w:t>
            </w:r>
            <w:r>
              <w:t xml:space="preserve"> Uredbe (EU) br. 575/2013 odbijaju se „vlastiti instrumenti redovnog osnovnog kapitala za koje institucija ima stvarnu ili potencijalnu obvezu kupnje na temelju postojeće ugovorne obveze”.</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0130</w:t>
            </w:r>
          </w:p>
        </w:tc>
        <w:tc>
          <w:tcPr>
            <w:tcW w:w="7620" w:type="dxa"/>
          </w:tcPr>
          <w:p w14:paraId="578DA5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w:t>
            </w:r>
            <w:r>
              <w:rPr>
                <w:rStyle w:val="InstructionsTabelleberschrift"/>
                <w:sz w:val="24"/>
                <w:rFonts w:ascii="Times New Roman" w:hAnsi="Times New Roman"/>
              </w:rPr>
              <w:tab/>
            </w:r>
            <w:r>
              <w:rPr>
                <w:rStyle w:val="InstructionsTabelleberschrift"/>
                <w:sz w:val="24"/>
                <w:rFonts w:ascii="Times New Roman" w:hAnsi="Times New Roman"/>
              </w:rPr>
              <w:t xml:space="preserve">Zadržana dobit</w:t>
            </w:r>
          </w:p>
          <w:p w14:paraId="7009A7FF"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26. stavak 1. točka (c) i članak 26. stavak 2.</w:t>
            </w:r>
            <w:r>
              <w:t xml:space="preserve"> Uredbe (EU) br. 575/2013</w:t>
            </w:r>
          </w:p>
          <w:p w14:paraId="3D7EC55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Zadržana dobit uključuje zadržanu dobit prethodne godine uvećanu za priznatu dobit tekuće godine ostvarenu tijekom poslovne godine ili dobit tekuće godine ostvarenu na kraju poslovne godine.</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620" w:type="dxa"/>
          </w:tcPr>
          <w:p w14:paraId="6B4BF9A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1.1.1.2.1.</w:t>
            </w:r>
            <w:r>
              <w:rPr>
                <w:rStyle w:val="InstructionsTabelleberschrift"/>
                <w:sz w:val="24"/>
                <w:rFonts w:ascii="Times New Roman" w:hAnsi="Times New Roman"/>
              </w:rPr>
              <w:tab/>
            </w:r>
            <w:r>
              <w:rPr>
                <w:rStyle w:val="InstructionsTabelleberschrift"/>
                <w:sz w:val="24"/>
                <w:rFonts w:ascii="Times New Roman" w:hAnsi="Times New Roman"/>
              </w:rPr>
              <w:t xml:space="preserve">Zadržana dobit iz proteklih godina</w:t>
            </w:r>
          </w:p>
          <w:p w14:paraId="5CB4D03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123. i članak 26. stavak 1. točka (c)</w:t>
            </w:r>
            <w:r>
              <w:t xml:space="preserve"> Uredbe (EU) br. 575/2013</w:t>
            </w:r>
          </w:p>
          <w:p w14:paraId="1FA473F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Člankom 4. stavkom 1. točkom 123.</w:t>
            </w:r>
            <w:r>
              <w:t xml:space="preserve"> Uredbe (EU) br. 575/2013 </w:t>
            </w:r>
            <w:r>
              <w:rPr>
                <w:rStyle w:val="FormatvorlageInstructionsTabelleText"/>
                <w:sz w:val="24"/>
                <w:rFonts w:ascii="Times New Roman" w:hAnsi="Times New Roman"/>
              </w:rPr>
              <w:t xml:space="preserve">zadržana dobit definirana je kao „prenesena dobit i gubitak koji proizlaze iz dobiti ili gubitka proteklih godina, u skladu s primjenjivim računovodstvenim okvirom”.</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620" w:type="dxa"/>
          </w:tcPr>
          <w:p w14:paraId="574DC66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1.1.1.2.2.</w:t>
            </w:r>
            <w:r>
              <w:rPr>
                <w:rStyle w:val="InstructionsTabelleberschrift"/>
                <w:sz w:val="24"/>
                <w:rFonts w:ascii="Times New Roman" w:hAnsi="Times New Roman"/>
              </w:rPr>
              <w:tab/>
            </w:r>
            <w:r>
              <w:rPr>
                <w:rStyle w:val="InstructionsTabelleberschrift"/>
                <w:sz w:val="24"/>
                <w:rFonts w:ascii="Times New Roman" w:hAnsi="Times New Roman"/>
              </w:rPr>
              <w:t xml:space="preserve">Priznata dobit ili gubitak</w:t>
            </w:r>
          </w:p>
          <w:p w14:paraId="5DC0BAE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121., članak 26. stavak 2. i članak 36. stavak 1. točka (a)</w:t>
            </w:r>
            <w:r>
              <w:t xml:space="preserve"> Uredbe (EU) br. 575/2013</w:t>
            </w:r>
          </w:p>
          <w:p w14:paraId="45CE075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Člankom 26. stavkom 2.</w:t>
            </w:r>
            <w:r>
              <w:t xml:space="preserve"> Uredbe (EU) br. 575/2013 </w:t>
            </w:r>
            <w:r>
              <w:rPr>
                <w:rStyle w:val="FormatvorlageInstructionsTabelleText"/>
                <w:sz w:val="24"/>
                <w:rFonts w:ascii="Times New Roman" w:hAnsi="Times New Roman"/>
              </w:rPr>
              <w:t xml:space="preserve">dopušteno je uz prethodno odobrenje nadležnih tijela uključiti dobit tekuće godine ostvarenu tijekom poslovne godine ili na kraju poslovne godine kao zadržanu dobit, ako su ispunjeni neki uvjeti.</w:t>
            </w:r>
            <w:r>
              <w:rPr>
                <w:rStyle w:val="FormatvorlageInstructionsTabelleText"/>
                <w:sz w:val="24"/>
                <w:rFonts w:ascii="Times New Roman" w:hAnsi="Times New Roman"/>
              </w:rPr>
              <w:t xml:space="preserve"> </w:t>
            </w:r>
          </w:p>
          <w:p w14:paraId="0BFC073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 druge strane, gubici se odbijaju od redovnog osnovnog kapitala, kako je navedeno u članku 36. stavku 1. točki (a)</w:t>
            </w:r>
            <w:r>
              <w:t xml:space="preserve"> Uredbe (EU) br. 575/2013</w:t>
            </w:r>
            <w:r>
              <w:rPr>
                <w:rStyle w:val="FormatvorlageInstructionsTabelleText"/>
                <w:sz w:val="24"/>
                <w:rFonts w:ascii="Times New Roman" w:hAnsi="Times New Roman"/>
              </w:rPr>
              <w:t xml:space="preserve">.</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620" w:type="dxa"/>
          </w:tcPr>
          <w:p w14:paraId="6792BC6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1.1.1.2.2.1.</w:t>
            </w:r>
            <w:r>
              <w:rPr>
                <w:rStyle w:val="InstructionsTabelleberschrift"/>
                <w:sz w:val="24"/>
                <w:rFonts w:ascii="Times New Roman" w:hAnsi="Times New Roman"/>
              </w:rPr>
              <w:tab/>
            </w:r>
            <w:r>
              <w:rPr>
                <w:rStyle w:val="InstructionsTabelleberschrift"/>
                <w:sz w:val="24"/>
                <w:rFonts w:ascii="Times New Roman" w:hAnsi="Times New Roman"/>
              </w:rPr>
              <w:t xml:space="preserve">Dobit ili gubitak koji pripadaju vlasnicima matičnog društva</w:t>
            </w:r>
          </w:p>
          <w:p w14:paraId="03530D4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26. stavak 2. i članak 36. stavak 1. točka (a)</w:t>
            </w:r>
            <w:r>
              <w:t xml:space="preserve"> Uredbe (EU) br. 575/2013</w:t>
            </w:r>
          </w:p>
          <w:p w14:paraId="2431C77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dobit je ili gubitak iskazan u računovodstvenom računu dobiti i gubitka.</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0170</w:t>
            </w:r>
          </w:p>
        </w:tc>
        <w:tc>
          <w:tcPr>
            <w:tcW w:w="7620" w:type="dxa"/>
          </w:tcPr>
          <w:p w14:paraId="0803ED0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1.1.1.2.2.2.</w:t>
            </w:r>
            <w:r>
              <w:rPr>
                <w:rStyle w:val="InstructionsTabelleberschrift"/>
                <w:sz w:val="24"/>
                <w:rFonts w:ascii="Times New Roman" w:hAnsi="Times New Roman"/>
              </w:rPr>
              <w:tab/>
            </w:r>
            <w:r>
              <w:rPr>
                <w:rStyle w:val="InstructionsTabelleberschrift"/>
                <w:sz w:val="24"/>
                <w:rFonts w:ascii="Times New Roman" w:hAnsi="Times New Roman"/>
              </w:rPr>
              <w:t xml:space="preserve">(–) Dio dobiti tekuće godine ostvarene tijekom poslovne godine ili dobiti tekuće godine ostvarene na kraju poslovne godine koji nije priznat</w:t>
            </w:r>
          </w:p>
          <w:p w14:paraId="19A847A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26. stavak 2.</w:t>
            </w:r>
            <w:r>
              <w:t xml:space="preserve"> Uredbe (EU) br. 575/2013.</w:t>
            </w:r>
          </w:p>
          <w:p w14:paraId="67D1E16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ne iskazuje nikakva vrijednost ako je u referentnom razdoblju institucija zabilježila gubitke jer se gubici u cijelosti odbijaju od redovnog osnovnog kapitala.</w:t>
            </w:r>
          </w:p>
          <w:p w14:paraId="79C02EE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Ako institucija iskazuje dobit, iskazuje se dio koji se ne priznaje u skladu s člankom 26. stavkom 2.</w:t>
            </w:r>
            <w:r>
              <w:t xml:space="preserve"> Uredbe (EU) br. 575/2013 </w:t>
            </w:r>
            <w:r>
              <w:rPr>
                <w:rStyle w:val="FormatvorlageInstructionsTabelleText"/>
                <w:sz w:val="24"/>
                <w:rFonts w:ascii="Times New Roman" w:hAnsi="Times New Roman"/>
              </w:rPr>
              <w:t xml:space="preserve">(tj. nerevidirana dobit i predvidivi troškovi ili dividende).</w:t>
            </w:r>
          </w:p>
          <w:p w14:paraId="5CD4975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Potrebno je napomenuti da su u slučaju dobiti iznos koji je potrebno odbiti barem dividende tijekom poslovne godine.</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w:t>
            </w:r>
          </w:p>
        </w:tc>
        <w:tc>
          <w:tcPr>
            <w:tcW w:w="7620" w:type="dxa"/>
          </w:tcPr>
          <w:p w14:paraId="5FFD1E16"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1.1.1.3.</w:t>
            </w:r>
            <w:r>
              <w:rPr>
                <w:rStyle w:val="InstructionsTabelleberschrift"/>
                <w:sz w:val="24"/>
                <w:rFonts w:ascii="Times New Roman" w:hAnsi="Times New Roman"/>
              </w:rPr>
              <w:tab/>
            </w:r>
            <w:r>
              <w:rPr>
                <w:rStyle w:val="InstructionsTabelleberschrift"/>
                <w:sz w:val="24"/>
                <w:rFonts w:ascii="Times New Roman" w:hAnsi="Times New Roman"/>
              </w:rPr>
              <w:t xml:space="preserve">Akumulirana ostala sveobuhvatna dobit</w:t>
            </w:r>
          </w:p>
          <w:p w14:paraId="0C78170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100. i članak 26. stavak 1. točka (d)</w:t>
            </w:r>
            <w:r>
              <w:t xml:space="preserve"> Uredbe (EU) br. 575/2013</w:t>
            </w:r>
          </w:p>
          <w:p w14:paraId="761708C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porezne troškove predvidive u trenutku izračuna i prije primjene bonitetnih filtara.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koji se iskazuje utvrđuje se u skladu s člankom 13. stavkom 4. Delegirane uredbe Komisije (EU) br. 241/2014.</w:t>
            </w:r>
            <w:r>
              <w:rPr>
                <w:rStyle w:val="FormatvorlageInstructionsTabelleText"/>
                <w:sz w:val="24"/>
                <w:rFonts w:ascii="Times New Roman" w:hAnsi="Times New Roman"/>
              </w:rPr>
              <w:t xml:space="preserve">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0200</w:t>
            </w:r>
          </w:p>
        </w:tc>
        <w:tc>
          <w:tcPr>
            <w:tcW w:w="7620" w:type="dxa"/>
          </w:tcPr>
          <w:p w14:paraId="53DBC46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1.1.1.4.</w:t>
            </w:r>
            <w:r>
              <w:rPr>
                <w:rStyle w:val="InstructionsTabelleberschrift"/>
                <w:sz w:val="24"/>
                <w:rFonts w:ascii="Times New Roman" w:hAnsi="Times New Roman"/>
              </w:rPr>
              <w:tab/>
            </w:r>
            <w:r>
              <w:rPr>
                <w:rStyle w:val="InstructionsTabelleberschrift"/>
                <w:sz w:val="24"/>
                <w:rFonts w:ascii="Times New Roman" w:hAnsi="Times New Roman"/>
              </w:rPr>
              <w:t xml:space="preserve">Ostale rezerve</w:t>
            </w:r>
          </w:p>
          <w:p w14:paraId="3109F9E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117. i članak 26. stavak 1. točka (e) </w:t>
            </w:r>
            <w:r>
              <w:t xml:space="preserve">Uredbe (EU) br. 575/2013</w:t>
            </w:r>
          </w:p>
          <w:p w14:paraId="66C5215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Ostale rezerve definirane su u</w:t>
            </w:r>
            <w:r>
              <w:t xml:space="preserve"> Uredbi (EU) br. 575/2013 </w:t>
            </w:r>
            <w:r>
              <w:rPr>
                <w:rStyle w:val="FormatvorlageInstructionsTabelleText"/>
                <w:sz w:val="24"/>
                <w:rFonts w:ascii="Times New Roman" w:hAnsi="Times New Roman"/>
              </w:rPr>
              <w:t xml:space="preserve">kao „rezerve u smislu primjenjivog računovodstvenog okvira koje se moraju objaviti u skladu s primjenjivim računovodstvenim standardom, isključujući iznose koji su već uključeni u akumuliranu ostalu sveobuhvatnu dobit ili zadržanu dobit”.</w:t>
            </w:r>
          </w:p>
          <w:p w14:paraId="339D855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porezne troškove predvidive u trenutku izračuna.</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620" w:type="dxa"/>
          </w:tcPr>
          <w:p w14:paraId="18AA3C1E"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1.1.1.5.</w:t>
            </w:r>
            <w:r>
              <w:rPr>
                <w:rStyle w:val="InstructionsTabelleberschrift"/>
                <w:sz w:val="24"/>
                <w:rFonts w:ascii="Times New Roman" w:hAnsi="Times New Roman"/>
              </w:rPr>
              <w:tab/>
            </w:r>
            <w:r>
              <w:rPr>
                <w:rStyle w:val="InstructionsTabelleberschrift"/>
                <w:sz w:val="24"/>
                <w:rFonts w:ascii="Times New Roman" w:hAnsi="Times New Roman"/>
              </w:rPr>
              <w:t xml:space="preserve">Rezerve za opće bankovne rizike</w:t>
            </w:r>
          </w:p>
          <w:p w14:paraId="55D1150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112. i članak 26. stavak 1. točka (f) </w:t>
            </w:r>
            <w:r>
              <w:t xml:space="preserve">Uredbe (EU) br. 575/2013</w:t>
            </w:r>
          </w:p>
          <w:p w14:paraId="511F937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Sredstva za opće bankovne rizike definirana su u članku 38.</w:t>
            </w:r>
            <w:r>
              <w:t xml:space="preserve"> Direktive 86/635/EEZ </w:t>
            </w:r>
            <w:r>
              <w:rPr>
                <w:rStyle w:val="FormatvorlageInstructionsTabelleText"/>
                <w:sz w:val="24"/>
                <w:rFonts w:ascii="Times New Roman" w:hAnsi="Times New Roman"/>
              </w:rPr>
              <w:t xml:space="preserve">kao „iznosi koje kreditna institucija odluči odvojiti za pokrivanje rizika, tamo gdje to nalažu određeni rizici vezani uz bankarstvo”.</w:t>
            </w:r>
          </w:p>
          <w:p w14:paraId="436A113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porezne troškove predvidive u trenutku izračuna.</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0220</w:t>
            </w:r>
          </w:p>
        </w:tc>
        <w:tc>
          <w:tcPr>
            <w:tcW w:w="7620" w:type="dxa"/>
          </w:tcPr>
          <w:p w14:paraId="7888E19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1.1.1.6.</w:t>
            </w:r>
            <w:r>
              <w:rPr>
                <w:rStyle w:val="InstructionsTabelleberschrift"/>
                <w:sz w:val="24"/>
                <w:rFonts w:ascii="Times New Roman" w:hAnsi="Times New Roman"/>
              </w:rPr>
              <w:tab/>
            </w:r>
            <w:r>
              <w:rPr>
                <w:rStyle w:val="InstructionsTabelleberschrift"/>
                <w:sz w:val="24"/>
                <w:rFonts w:ascii="Times New Roman" w:hAnsi="Times New Roman"/>
              </w:rPr>
              <w:t xml:space="preserve">Prijelazna usklađenja na temelju instrumenata redovnog osnovnog kapitala koji se nastavljaju priznavati</w:t>
            </w:r>
          </w:p>
          <w:p w14:paraId="36448E4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483. stavci 1., 2. i 3. i članci od 484. do 487.</w:t>
            </w:r>
            <w:r>
              <w:t xml:space="preserve"> Uredbe (EU) br. 575/2013</w:t>
            </w:r>
          </w:p>
          <w:p w14:paraId="7F12AA2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instrumenata kapitala koji se nastavljaju priznavati u prijelaznom razdoblju kao redovni osnovni kapital.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koji se iskazuje dobiva se izravno iz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0230</w:t>
            </w:r>
          </w:p>
        </w:tc>
        <w:tc>
          <w:tcPr>
            <w:tcW w:w="7620" w:type="dxa"/>
          </w:tcPr>
          <w:p w14:paraId="5BB5D00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1.1.1.7.</w:t>
            </w:r>
            <w:r>
              <w:rPr>
                <w:rStyle w:val="InstructionsTabelleberschrift"/>
                <w:sz w:val="24"/>
                <w:rFonts w:ascii="Times New Roman" w:hAnsi="Times New Roman"/>
              </w:rPr>
              <w:tab/>
            </w:r>
            <w:r>
              <w:rPr>
                <w:rStyle w:val="InstructionsTabelleberschrift"/>
                <w:sz w:val="24"/>
                <w:rFonts w:ascii="Times New Roman" w:hAnsi="Times New Roman"/>
              </w:rPr>
              <w:t xml:space="preserve">Manjinski udjel priznat u redovnom osnovnom kapitalu</w:t>
            </w:r>
          </w:p>
          <w:p w14:paraId="68F9D05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120. i članak 84.</w:t>
            </w:r>
            <w:r>
              <w:t xml:space="preserve"> Uredbe (EU) br. 575/2013</w:t>
            </w:r>
          </w:p>
          <w:p w14:paraId="52BA7DD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Zbroj svih iznosa manjinskih udjela društava kćeri koji je uključen u konsolidirani redovni osnovni kapital.</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620" w:type="dxa"/>
          </w:tcPr>
          <w:p w14:paraId="6768190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1.1.1.8.</w:t>
            </w:r>
            <w:r>
              <w:rPr>
                <w:rStyle w:val="InstructionsTabelleberschrift"/>
                <w:sz w:val="24"/>
                <w:rFonts w:ascii="Times New Roman" w:hAnsi="Times New Roman"/>
              </w:rPr>
              <w:tab/>
            </w:r>
            <w:r>
              <w:rPr>
                <w:rStyle w:val="InstructionsTabelleberschrift"/>
                <w:sz w:val="24"/>
                <w:rFonts w:ascii="Times New Roman" w:hAnsi="Times New Roman"/>
              </w:rPr>
              <w:t xml:space="preserve">Prijelazna usklađenja na temelju dodatnih manjinskih udjela</w:t>
            </w:r>
          </w:p>
          <w:p w14:paraId="1F945D1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Članci 479. i 480.</w:t>
            </w:r>
            <w:r>
              <w:t xml:space="preserve"> Uredbe (EU) br. 575/2013</w:t>
            </w:r>
          </w:p>
          <w:p w14:paraId="19C2E18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Usklađenja manjinskih udjela zbog prijelaznih odredaba.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Ova se stavka dobiva izravno iz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620" w:type="dxa"/>
          </w:tcPr>
          <w:p w14:paraId="71C8550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w:t>
            </w:r>
            <w:r>
              <w:rPr>
                <w:rStyle w:val="InstructionsTabelleberschrift"/>
                <w:sz w:val="24"/>
                <w:rFonts w:ascii="Times New Roman" w:hAnsi="Times New Roman"/>
              </w:rPr>
              <w:tab/>
            </w:r>
            <w:r>
              <w:rPr>
                <w:rStyle w:val="InstructionsTabelleberschrift"/>
                <w:sz w:val="24"/>
                <w:rFonts w:ascii="Times New Roman" w:hAnsi="Times New Roman"/>
              </w:rPr>
              <w:t xml:space="preserve">Usklađenja redovnog osnovnog kapitala zbog bonitetnih filtara</w:t>
            </w:r>
          </w:p>
          <w:p w14:paraId="2D72696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Članci od 32. do 35.</w:t>
            </w:r>
            <w:r>
              <w:t xml:space="preserve"> Uredbe (EU) br. 575/2013</w:t>
            </w:r>
            <w:r>
              <w:t xml:space="preserve">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620" w:type="dxa"/>
          </w:tcPr>
          <w:p w14:paraId="196B3C2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1.1.1.9.1.</w:t>
            </w:r>
            <w:r>
              <w:rPr>
                <w:rStyle w:val="InstructionsTabelleberschrift"/>
                <w:sz w:val="24"/>
                <w:rFonts w:ascii="Times New Roman" w:hAnsi="Times New Roman"/>
              </w:rPr>
              <w:tab/>
            </w:r>
            <w:r>
              <w:rPr>
                <w:rStyle w:val="InstructionsTabelleberschrift"/>
                <w:sz w:val="24"/>
                <w:rFonts w:ascii="Times New Roman" w:hAnsi="Times New Roman"/>
              </w:rPr>
              <w:t xml:space="preserve">(–) Povećanja vlasničkog kapitala koja proizlaze iz sekuritizirane imovine</w:t>
            </w:r>
          </w:p>
          <w:p w14:paraId="41EEDB3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32. stavak 1.</w:t>
            </w:r>
            <w:r>
              <w:t xml:space="preserve"> Uredbe (EU) br. 575/2013.</w:t>
            </w:r>
          </w:p>
          <w:p w14:paraId="035B9D6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povećanje je kapitala institucije koje proizlazi iz sekuritizirane imovine u skladu s primjenjivim računovodstvenim standardom.</w:t>
            </w:r>
          </w:p>
          <w:p w14:paraId="6CB3220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Na primjer, ova stavka uključuje budući maržni prihod na temelju kojeg institucija ostvaruje dobitak od prodaje ili, za inicijatore, neto dobitke od kapitaliziranog budućeg prihoda od sekuritizirane imovine koji pružaju kreditno poboljšanje sekuritizacijskim pozicijama.</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620" w:type="dxa"/>
          </w:tcPr>
          <w:p w14:paraId="63F6090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1.1.1.9.2.</w:t>
            </w:r>
            <w:r>
              <w:rPr>
                <w:rStyle w:val="InstructionsTabelleberschrift"/>
                <w:sz w:val="24"/>
                <w:rFonts w:ascii="Times New Roman" w:hAnsi="Times New Roman"/>
              </w:rPr>
              <w:tab/>
            </w:r>
            <w:r>
              <w:rPr>
                <w:rStyle w:val="InstructionsTabelleberschrift"/>
                <w:sz w:val="24"/>
                <w:rFonts w:ascii="Times New Roman" w:hAnsi="Times New Roman"/>
              </w:rPr>
              <w:t xml:space="preserve">Rezerva na osnovi zaštite novčanog toka</w:t>
            </w:r>
          </w:p>
          <w:p w14:paraId="70C550D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33. stavak 1. točka (a)</w:t>
            </w:r>
            <w:r>
              <w:t xml:space="preserve"> Uredbe (EU) br. 575/2013</w:t>
            </w:r>
          </w:p>
          <w:p w14:paraId="5CBB5F9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može biti pozitivan ili negativan.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Pozitivan je ako se zaštita novčanih tokova temelji na gubitku (tj. ako se njome smanjuje računovodstveni kapital) i obrnuto.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Stoga je predznak suprotan predznaku koji se koristi u računovodstvenim izvještajima.</w:t>
            </w:r>
          </w:p>
          <w:p w14:paraId="1B4FC84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ne uključuje porezne troškove očekivane u trenutku izračuna.</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0280</w:t>
            </w:r>
          </w:p>
        </w:tc>
        <w:tc>
          <w:tcPr>
            <w:tcW w:w="7620" w:type="dxa"/>
          </w:tcPr>
          <w:p w14:paraId="5CB0645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1.1.1.9.3.</w:t>
            </w:r>
            <w:r>
              <w:rPr>
                <w:rStyle w:val="InstructionsTabelleberschrift"/>
                <w:sz w:val="24"/>
                <w:rFonts w:ascii="Times New Roman" w:hAnsi="Times New Roman"/>
              </w:rPr>
              <w:tab/>
            </w:r>
            <w:r>
              <w:rPr>
                <w:rStyle w:val="InstructionsTabelleberschrift"/>
                <w:sz w:val="24"/>
                <w:rFonts w:ascii="Times New Roman" w:hAnsi="Times New Roman"/>
              </w:rPr>
              <w:t xml:space="preserve">Kumulativni dobici i gubici po obvezama vrednovanima po fer vrijednosti zbog promjena vlastitog kreditnog rizika</w:t>
            </w:r>
          </w:p>
          <w:p w14:paraId="7606E0C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33. stavak 1. točka (b)</w:t>
            </w:r>
            <w:r>
              <w:t xml:space="preserve"> Uredbe (EU) br. 575/2013</w:t>
            </w:r>
          </w:p>
          <w:p w14:paraId="00EA3DD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može biti pozitivan ili negativan.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Pozitivan je ako postoji gubitak nastao zbog promjena vlastitog kreditnog rizika (tj. ako se njime smanjuje računovodstveni kapital) i obrnuto.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Stoga je predznak suprotan predznaku koji se koristi u računovodstvenim izvještajima.</w:t>
            </w:r>
          </w:p>
          <w:p w14:paraId="3552106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Nerevidirana dobit ne uključuje se u ovu stavku.</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0285</w:t>
            </w:r>
          </w:p>
        </w:tc>
        <w:tc>
          <w:tcPr>
            <w:tcW w:w="7620" w:type="dxa"/>
          </w:tcPr>
          <w:p w14:paraId="026986A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1.1.1.9.4.</w:t>
            </w:r>
            <w:r>
              <w:rPr>
                <w:rStyle w:val="InstructionsTabelleberschrift"/>
                <w:sz w:val="24"/>
                <w:rFonts w:ascii="Times New Roman" w:hAnsi="Times New Roman"/>
              </w:rPr>
              <w:tab/>
            </w:r>
            <w:r>
              <w:rPr>
                <w:rStyle w:val="InstructionsTabelleberschrift"/>
                <w:sz w:val="24"/>
                <w:rFonts w:ascii="Times New Roman" w:hAnsi="Times New Roman"/>
              </w:rPr>
              <w:t xml:space="preserve">Dobici ili gubici nastali vrednovanjem po fer vrijednosti, koji proizlaze iz kreditnog rizika same institucije povezanog s obvezama po izvedenicama</w:t>
            </w:r>
          </w:p>
          <w:p w14:paraId="255F9C6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33. stavak 1. točka (c) i članak 33. stavak 2.</w:t>
            </w:r>
            <w:r>
              <w:t xml:space="preserve"> Uredbe (EU) br. 575/2013</w:t>
            </w:r>
          </w:p>
          <w:p w14:paraId="60001AE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može biti pozitivan ili negativan.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Pozitivan je ako postoji gubitak nastao zbog promjena vlastitog kreditnog rizika i obrnuto.</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Stoga je predznak suprotan predznaku koji se koristi u računovodstvenim izvještajima.</w:t>
            </w:r>
          </w:p>
          <w:p w14:paraId="7F153CA9"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Nerevidirana dobit ne uključuje se u ovu stavku.</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620" w:type="dxa"/>
          </w:tcPr>
          <w:p w14:paraId="35568F9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1.1.1.9.5.</w:t>
            </w:r>
            <w:r>
              <w:rPr>
                <w:rStyle w:val="InstructionsTabelleberschrift"/>
                <w:sz w:val="24"/>
                <w:rFonts w:ascii="Times New Roman" w:hAnsi="Times New Roman"/>
              </w:rPr>
              <w:tab/>
            </w:r>
            <w:r>
              <w:rPr>
                <w:rStyle w:val="InstructionsTabelleberschrift"/>
                <w:sz w:val="24"/>
                <w:rFonts w:ascii="Times New Roman" w:hAnsi="Times New Roman"/>
              </w:rPr>
              <w:t xml:space="preserve">(–) Vrijednosna usklađenja zbog zahtjeva za bonitetno vrednovanje</w:t>
            </w:r>
          </w:p>
          <w:p w14:paraId="54D0A16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Članci 34. i 105.</w:t>
            </w:r>
            <w:r>
              <w:t xml:space="preserve"> Uredbe (EU) br. 575/2013</w:t>
            </w:r>
          </w:p>
          <w:p w14:paraId="62CDA43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Usklađenja na fer vrijednost pozicija uključenih u knjigu trgovanja ili knjigu pozicija kojima se ne trguje zbog strožih standarda za bonitetno vrednovanje određenih u članku 105.</w:t>
            </w:r>
            <w:r>
              <w:t xml:space="preserve"> Uredbe (EU) br.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620" w:type="dxa"/>
          </w:tcPr>
          <w:p w14:paraId="686EA37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w:t>
            </w:r>
            <w:r>
              <w:rPr>
                <w:rStyle w:val="InstructionsTabelleberschrift"/>
                <w:sz w:val="24"/>
                <w:rFonts w:ascii="Times New Roman" w:hAnsi="Times New Roman"/>
              </w:rPr>
              <w:tab/>
            </w:r>
            <w:r>
              <w:rPr>
                <w:rStyle w:val="InstructionsTabelleberschrift"/>
                <w:sz w:val="24"/>
                <w:rFonts w:ascii="Times New Roman" w:hAnsi="Times New Roman"/>
              </w:rPr>
              <w:t xml:space="preserve">(-) Goodwill</w:t>
            </w:r>
          </w:p>
          <w:p w14:paraId="77829B8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113., članak 36. stavak 1. točka (b) i članak 37.</w:t>
            </w:r>
            <w:r>
              <w:t xml:space="preserve"> Uredbe (EU) br.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620" w:type="dxa"/>
          </w:tcPr>
          <w:p w14:paraId="5449950D"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1.1.1.10.1.</w:t>
            </w:r>
            <w:r>
              <w:rPr>
                <w:rStyle w:val="InstructionsTabelleberschrift"/>
                <w:sz w:val="24"/>
                <w:rFonts w:ascii="Times New Roman" w:hAnsi="Times New Roman"/>
              </w:rPr>
              <w:tab/>
            </w:r>
            <w:r>
              <w:rPr>
                <w:rStyle w:val="InstructionsTabelleberschrift"/>
                <w:sz w:val="24"/>
                <w:rFonts w:ascii="Times New Roman" w:hAnsi="Times New Roman"/>
              </w:rPr>
              <w:t xml:space="preserve">(–) Goodwill koji se iskazuje kao nematerijalna imovina</w:t>
            </w:r>
          </w:p>
          <w:p w14:paraId="25E7F91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113. i članak 36. stavak 1. točka (b) </w:t>
            </w:r>
            <w:r>
              <w:t xml:space="preserve">Uredbe (EU) br. 575/2013</w:t>
            </w:r>
          </w:p>
          <w:p w14:paraId="4F4C2B1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Goodwill ima isto značenje kao i u primjenjivom računovodstvenom standardu.</w:t>
            </w:r>
          </w:p>
          <w:p w14:paraId="381D161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ovdje iskazuje jednak je iznosu iskazanom u bilanci.</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620" w:type="dxa"/>
          </w:tcPr>
          <w:p w14:paraId="5CECE2E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1.1.1.10.2.</w:t>
            </w:r>
            <w:r>
              <w:rPr>
                <w:rStyle w:val="InstructionsTabelleberschrift"/>
                <w:sz w:val="24"/>
                <w:rFonts w:ascii="Times New Roman" w:hAnsi="Times New Roman"/>
              </w:rPr>
              <w:tab/>
            </w:r>
            <w:r>
              <w:rPr>
                <w:rStyle w:val="InstructionsTabelleberschrift"/>
                <w:sz w:val="24"/>
                <w:rFonts w:ascii="Times New Roman" w:hAnsi="Times New Roman"/>
              </w:rPr>
              <w:t xml:space="preserve">(–) Goodwill uključen u vrednovanje značajnih ulaganja</w:t>
            </w:r>
          </w:p>
          <w:p w14:paraId="06C9D31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37. točka (b) i članak 43.</w:t>
            </w:r>
            <w:r>
              <w:t xml:space="preserve"> Uredbe (EU) br.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0330</w:t>
            </w:r>
          </w:p>
        </w:tc>
        <w:tc>
          <w:tcPr>
            <w:tcW w:w="7620" w:type="dxa"/>
          </w:tcPr>
          <w:p w14:paraId="68D3D53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1.1.1.10.3.</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povezane s goodwillom</w:t>
            </w:r>
          </w:p>
          <w:p w14:paraId="21A6F5D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37. točka (a)</w:t>
            </w:r>
            <w:r>
              <w:t xml:space="preserve"> Uredbe (EU) br. 575/2013</w:t>
            </w:r>
          </w:p>
          <w:p w14:paraId="1D32440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odgođenih poreznih obveza koji bi mogao prestati postojati kad bi se goodwill umanjio ili prestao priznavati u skladu s primjenjivim računovodstvenim standardom.</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0335</w:t>
            </w:r>
          </w:p>
        </w:tc>
        <w:tc>
          <w:tcPr>
            <w:tcW w:w="7620" w:type="dxa"/>
          </w:tcPr>
          <w:p w14:paraId="6CABDF2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1.1.1.10.4.</w:t>
            </w:r>
            <w:r>
              <w:rPr>
                <w:rStyle w:val="InstructionsTabelleberschrift"/>
                <w:sz w:val="24"/>
                <w:rFonts w:ascii="Times New Roman" w:hAnsi="Times New Roman"/>
              </w:rPr>
              <w:tab/>
            </w:r>
            <w:r>
              <w:rPr>
                <w:rStyle w:val="InstructionsTabelleberschrift"/>
                <w:sz w:val="24"/>
                <w:rFonts w:ascii="Times New Roman" w:hAnsi="Times New Roman"/>
              </w:rPr>
              <w:t xml:space="preserve">Računovodstvena revalorizacija goodwilla društava kćeri koji proizlazi iz konsolidacije društava kćeri i koji se može pripisati trećim osobama</w:t>
            </w:r>
          </w:p>
          <w:p w14:paraId="189C2EF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37. točka (c)</w:t>
            </w:r>
            <w:r>
              <w:t xml:space="preserve"> Uredbe (EU) br. 575/2013</w:t>
            </w:r>
          </w:p>
          <w:p w14:paraId="3AC266EA"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Iznos računovodstvene revalorizacije goodwilla društava kćeri koji proizlazi iz konsolidacije društava kćeri i koji se može pripisati osobama koje nisu društva obuhvaćena konsolidacijom u skladu s dijelom prvim glavom II. poglavljem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0340</w:t>
            </w:r>
          </w:p>
        </w:tc>
        <w:tc>
          <w:tcPr>
            <w:tcW w:w="7620" w:type="dxa"/>
          </w:tcPr>
          <w:p w14:paraId="4AEF749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1.1.1.11.</w:t>
            </w:r>
            <w:r>
              <w:rPr>
                <w:rStyle w:val="InstructionsTabelleberschrift"/>
                <w:sz w:val="24"/>
                <w:rFonts w:ascii="Times New Roman" w:hAnsi="Times New Roman"/>
              </w:rPr>
              <w:tab/>
            </w:r>
            <w:r>
              <w:rPr>
                <w:rStyle w:val="InstructionsTabelleberschrift"/>
                <w:sz w:val="24"/>
                <w:rFonts w:ascii="Times New Roman" w:hAnsi="Times New Roman"/>
              </w:rPr>
              <w:t xml:space="preserve">(–) Ostala nematerijalna imovina</w:t>
            </w:r>
          </w:p>
          <w:p w14:paraId="5F591EF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115., članak 36. stavak 1. točka (b) i članak 37. točke (a) i (c)</w:t>
            </w:r>
            <w:r>
              <w:t xml:space="preserve"> Uredbe (EU) br. 575/2013</w:t>
            </w:r>
          </w:p>
          <w:p w14:paraId="790606E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Ostala nematerijalna imovina nematerijalna je imovina u skladu s primjenjivim računovodstvenim standardom, umanjena za goodwill, također u skladu s primjenjivim računovodstvenim standardom.</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620" w:type="dxa"/>
          </w:tcPr>
          <w:p w14:paraId="526AA3A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1.1.1.11.1.</w:t>
            </w:r>
            <w:r>
              <w:rPr>
                <w:rStyle w:val="InstructionsTabelleberschrift"/>
                <w:sz w:val="24"/>
                <w:rFonts w:ascii="Times New Roman" w:hAnsi="Times New Roman"/>
              </w:rPr>
              <w:tab/>
            </w:r>
            <w:r>
              <w:rPr>
                <w:rStyle w:val="InstructionsTabelleberschrift"/>
                <w:sz w:val="24"/>
                <w:rFonts w:ascii="Times New Roman" w:hAnsi="Times New Roman"/>
              </w:rPr>
              <w:t xml:space="preserve">(–) Ostala nematerijalna imovina prije odbitka odgođenih poreznih obveza</w:t>
            </w:r>
          </w:p>
          <w:p w14:paraId="6016516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115. i članak 36. stavak 1. točka (b) </w:t>
            </w:r>
            <w:r>
              <w:t xml:space="preserve">Uredbe (EU) br. 575/2013</w:t>
            </w:r>
          </w:p>
          <w:p w14:paraId="533CEA2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Ostala nematerijalna imovina je nematerijalna imovina u skladu s primjenjivim računovodstvenim standardom, umanjena za goodwill, također u skladu s primjenjivim računovodstvenim standardom.</w:t>
            </w:r>
          </w:p>
          <w:p w14:paraId="62EFB3E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ovdje iskazuje odgovara iznosu nematerijalne imovine uključene u bilancu u skladu s primjenjivim računovodstvenim standardom i iznosu razborito vrednovane imovine u obliku softvera koji nije odbijen od stavki redovnog osnovnog kapitala u skladu s člankom 36. stavkom 1. točkom (b) Uredbe (EU) br.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0352</w:t>
            </w:r>
          </w:p>
        </w:tc>
        <w:tc>
          <w:tcPr>
            <w:tcW w:w="7620" w:type="dxa"/>
          </w:tcPr>
          <w:p w14:paraId="7BD6FF6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1.1.1.11.1.1 (–) Od čega imovina u obliku softvera koja se iskazuje kao ostala nematerijalna imovina prije odbitka odgođenih poreznih obveza</w:t>
            </w:r>
          </w:p>
          <w:p w14:paraId="02123AF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115. i članak 36. stavak 1. točka (b) </w:t>
            </w:r>
            <w:r>
              <w:t xml:space="preserve">Uredbe (EU) br. 575/2013</w:t>
            </w:r>
          </w:p>
          <w:p w14:paraId="106CD01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imovine u obliku softvera iskazane kao nematerijalna imovina koji je odbijen od stavki redovnog osnovnog kapitala u skladu s člankom 36. stavkom 1. točkom (b) Uredbe (EU) br. 575/2013 i člankom 13.a Delegirane uredbe (EU) br. 241/2014</w:t>
            </w:r>
            <w:r>
              <w:t xml:space="preserve">.</w:t>
            </w:r>
            <w:r>
              <w:t xml:space="preserve"> </w:t>
            </w:r>
            <w:r>
              <w:rPr>
                <w:rStyle w:val="FormatvorlageInstructionsTabelleText"/>
                <w:sz w:val="24"/>
                <w:rFonts w:ascii="Times New Roman" w:hAnsi="Times New Roman"/>
              </w:rPr>
              <w:t xml:space="preserve">Na iskazani iznos ne utječu učinci primjene postupka iz članka 37. točke (a)</w:t>
            </w:r>
            <w:r>
              <w:t xml:space="preserve"> Uredbe (EU) br. 575/2013, </w:t>
            </w:r>
            <w:r>
              <w:rPr>
                <w:rStyle w:val="FormatvorlageInstructionsTabelleText"/>
                <w:sz w:val="24"/>
                <w:rFonts w:ascii="Times New Roman" w:hAnsi="Times New Roman"/>
              </w:rPr>
              <w:t xml:space="preserve">koji se odnose na odgođene porezne obveze povezane s tom imovinom u obliku softvera.</w:t>
            </w:r>
          </w:p>
          <w:p w14:paraId="39783C08"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Ako institucija odluči da neće primijeniti postupak iz članka 13.a Delegirane uredbe (EU) br. 241/2014 nego da će umjesto toga u cijelosti odbiti svoju imovinu u obliku softvera u skladu s člankom 3.</w:t>
            </w:r>
            <w:r>
              <w:t xml:space="preserve"> Uredbe (EU) br. 575/2013, </w:t>
            </w:r>
            <w:r>
              <w:rPr>
                <w:rStyle w:val="FormatvorlageInstructionsTabelleText"/>
                <w:sz w:val="24"/>
                <w:rFonts w:ascii="Times New Roman" w:hAnsi="Times New Roman"/>
              </w:rPr>
              <w:t xml:space="preserve">iznos koji se iskazuje u ovom retku odgovara iznosu imovine u obliku softvera koja je iskazana kao nematerijalna imovina u skladu s primjenjivim računovodstvenim standardom.</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620" w:type="dxa"/>
          </w:tcPr>
          <w:p w14:paraId="2777485A"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1.1.1.11.2.</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povezane s ostalom nematerijalnom imovinom</w:t>
            </w:r>
          </w:p>
          <w:p w14:paraId="261F60B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37. točka (a)</w:t>
            </w:r>
            <w:r>
              <w:t xml:space="preserve"> Uredbe (EU) br. 575/2013</w:t>
            </w:r>
          </w:p>
          <w:p w14:paraId="1CCE12E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odgođene porezne obveze koji bi prestao postojati kad bi se vrijednost nematerijalne imovine, osim goodwilla i razborito vrednovane imovine u obliku softvera izuzete od odbitka od stavki redovnog osnovnog kapitala u skladu s člankom 13.a Delegirane uredbe (EU) br. 241/2014, umanjila ili prestala priznavati u skladu s relevantnim računovodstvenim standardom.</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0362</w:t>
            </w:r>
          </w:p>
        </w:tc>
        <w:tc>
          <w:tcPr>
            <w:tcW w:w="7620" w:type="dxa"/>
          </w:tcPr>
          <w:p w14:paraId="0B84E6B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1.1.1.11.2.1.</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povezane s imovinom u obliku softvera koja je iskazana kao nematerijalna imovina</w:t>
            </w:r>
          </w:p>
          <w:p w14:paraId="0492B11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37. točka (a)</w:t>
            </w:r>
            <w:r>
              <w:t xml:space="preserve"> Uredbe (EU) br. 575/2013</w:t>
            </w:r>
          </w:p>
          <w:p w14:paraId="0A9FF627"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Udio odgođenih poreznih obveza povezanih s iznosom imovine u obliku softvera iskazane kao nematerijalna imovina koji je odbijen od stavki redovnog osnovnog kapitala u skladu s člankom 36. stavkom 1. točkom (b)</w:t>
            </w:r>
            <w:r>
              <w:t xml:space="preserve"> Uredbe (EU) br. 575/2013 i člankom </w:t>
            </w:r>
            <w:r>
              <w:rPr>
                <w:rStyle w:val="FormatvorlageInstructionsTabelleText"/>
                <w:sz w:val="24"/>
                <w:rFonts w:ascii="Times New Roman" w:hAnsi="Times New Roman"/>
              </w:rPr>
              <w:t xml:space="preserve">13.a Delegirane uredbe (EU) br. 241/2014 ili člankom 3.</w:t>
            </w:r>
            <w:r>
              <w:t xml:space="preserve"> Uredbe (EU) br. 575/2013</w:t>
            </w:r>
            <w:r>
              <w:rPr>
                <w:rStyle w:val="FormatvorlageInstructionsTabelleText"/>
                <w:sz w:val="24"/>
                <w:rFonts w:ascii="Times New Roman" w:hAnsi="Times New Roman"/>
              </w:rPr>
              <w:t xml:space="preserve">.</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0365</w:t>
            </w:r>
          </w:p>
        </w:tc>
        <w:tc>
          <w:tcPr>
            <w:tcW w:w="7620" w:type="dxa"/>
          </w:tcPr>
          <w:p w14:paraId="168B905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1.1.1.11.3.</w:t>
            </w:r>
            <w:r>
              <w:rPr>
                <w:rStyle w:val="InstructionsTabelleberschrift"/>
                <w:sz w:val="24"/>
                <w:rFonts w:ascii="Times New Roman" w:hAnsi="Times New Roman"/>
              </w:rPr>
              <w:tab/>
            </w:r>
            <w:r>
              <w:rPr>
                <w:rStyle w:val="InstructionsTabelleberschrift"/>
                <w:sz w:val="24"/>
                <w:rFonts w:ascii="Times New Roman" w:hAnsi="Times New Roman"/>
              </w:rPr>
              <w:t xml:space="preserve">Računovodstvena revalorizacija druge nematerijalne imovine društava kćeri koja proizlazi iz konsolidacije društava kćeri koja se može pripisati trećim osobama</w:t>
            </w:r>
          </w:p>
          <w:p w14:paraId="032DDB9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37. točka (c)</w:t>
            </w:r>
            <w:r>
              <w:t xml:space="preserve"> Uredbe (EU) br. 575/2013</w:t>
            </w:r>
          </w:p>
          <w:p w14:paraId="114DCBE2"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Iznos računovodstvene revalorizacije nematerijalne imovine društava kćeri, osim goodwilla, koji proizlazi iz konsolidacije društava kćeri i može se pripisati osobama koje nisu društva obuhvaćena konsolidacijom u skladu s dijelom prvim glavom II. poglavljem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0370</w:t>
            </w:r>
          </w:p>
        </w:tc>
        <w:tc>
          <w:tcPr>
            <w:tcW w:w="7620" w:type="dxa"/>
          </w:tcPr>
          <w:p w14:paraId="5C807D2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1.1.1.12.</w:t>
            </w:r>
            <w:r>
              <w:rPr>
                <w:rStyle w:val="InstructionsTabelleberschrift"/>
                <w:sz w:val="24"/>
                <w:rFonts w:ascii="Times New Roman" w:hAnsi="Times New Roman"/>
              </w:rPr>
              <w:tab/>
            </w:r>
            <w:r>
              <w:rPr>
                <w:rStyle w:val="InstructionsTabelleberschrift"/>
                <w:sz w:val="24"/>
                <w:rFonts w:ascii="Times New Roman" w:hAnsi="Times New Roman"/>
              </w:rPr>
              <w:t xml:space="preserve">(–) Odgođena porezna imovina koja ovisi o budućoj profitabilnosti i ne proizlazi iz privremenih razlika i ne uključuje povezane porezne obveze</w:t>
            </w:r>
          </w:p>
          <w:p w14:paraId="484EA3E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(c) i članak 38.</w:t>
            </w:r>
            <w:r>
              <w:t xml:space="preserve"> Uredbe (EU) br.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0380</w:t>
            </w:r>
          </w:p>
        </w:tc>
        <w:tc>
          <w:tcPr>
            <w:tcW w:w="7620" w:type="dxa"/>
          </w:tcPr>
          <w:p w14:paraId="2913B51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1.1.1.13.</w:t>
            </w:r>
            <w:r>
              <w:rPr>
                <w:rStyle w:val="InstructionsTabelleberschrift"/>
                <w:sz w:val="24"/>
                <w:rFonts w:ascii="Times New Roman" w:hAnsi="Times New Roman"/>
              </w:rPr>
              <w:tab/>
            </w:r>
            <w:r>
              <w:rPr>
                <w:rStyle w:val="InstructionsTabelleberschrift"/>
                <w:sz w:val="24"/>
                <w:rFonts w:ascii="Times New Roman" w:hAnsi="Times New Roman"/>
              </w:rPr>
              <w:t xml:space="preserve">(-) Manjak ispravaka vrijednosti za kreditni rizik u odnosu na očekivane gubitke primjenom IRB pristupa</w:t>
            </w:r>
          </w:p>
          <w:p w14:paraId="7417308F"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(d), članci 40., 158. i 159.</w:t>
            </w:r>
            <w:r>
              <w:t xml:space="preserve"> Uredbe (EU) br. 575/2013</w:t>
            </w:r>
          </w:p>
          <w:p w14:paraId="38AECBC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umanjuje se za iznos povećanja odgođene porezne imovine koji ovisi o budućoj profitabilnosti ili za druge dodatne porezne učinke do kojih bi moglo doći ako bi se rezervacije podigle na razinu očekivanih gubitaka (članak 40.</w:t>
            </w:r>
            <w:r>
              <w:t xml:space="preserve"> Uredbe (EU) br. 575/2013</w:t>
            </w:r>
            <w:r>
              <w:rPr>
                <w:rStyle w:val="FormatvorlageInstructionsTabelleText"/>
                <w:sz w:val="24"/>
                <w:rFonts w:ascii="Times New Roman" w:hAnsi="Times New Roman"/>
              </w:rPr>
              <w:t xml:space="preserve">).</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0390</w:t>
            </w:r>
          </w:p>
        </w:tc>
        <w:tc>
          <w:tcPr>
            <w:tcW w:w="7620" w:type="dxa"/>
          </w:tcPr>
          <w:p w14:paraId="31CF1C7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w:t>
            </w:r>
            <w:r>
              <w:rPr>
                <w:rStyle w:val="InstructionsTabelleberschrift"/>
                <w:sz w:val="24"/>
                <w:rFonts w:ascii="Times New Roman" w:hAnsi="Times New Roman"/>
              </w:rPr>
              <w:tab/>
            </w:r>
            <w:r>
              <w:rPr>
                <w:rStyle w:val="InstructionsTabelleberschrift"/>
                <w:sz w:val="24"/>
                <w:rFonts w:ascii="Times New Roman" w:hAnsi="Times New Roman"/>
              </w:rPr>
              <w:t xml:space="preserve">(–) Imovina mirovinskog fonda definiranih primanja</w:t>
            </w:r>
          </w:p>
          <w:p w14:paraId="7183E08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109., članak 36. stavak 1. točka (e) i članak 41.</w:t>
            </w:r>
            <w:r>
              <w:t xml:space="preserve"> Uredbe (EU) br.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0400</w:t>
            </w:r>
          </w:p>
        </w:tc>
        <w:tc>
          <w:tcPr>
            <w:tcW w:w="7620" w:type="dxa"/>
          </w:tcPr>
          <w:p w14:paraId="698251B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1.1.1.14.1.</w:t>
            </w:r>
            <w:r>
              <w:rPr>
                <w:rStyle w:val="InstructionsTabelleberschrift"/>
                <w:sz w:val="24"/>
                <w:rFonts w:ascii="Times New Roman" w:hAnsi="Times New Roman"/>
              </w:rPr>
              <w:tab/>
            </w:r>
            <w:r>
              <w:rPr>
                <w:rStyle w:val="InstructionsTabelleberschrift"/>
                <w:sz w:val="24"/>
                <w:rFonts w:ascii="Times New Roman" w:hAnsi="Times New Roman"/>
              </w:rPr>
              <w:t xml:space="preserve">(–) Imovina mirovinskog fonda definiranih primanja</w:t>
            </w:r>
            <w:r>
              <w:rPr>
                <w:rStyle w:val="InstructionsTabelleberschrift"/>
                <w:sz w:val="24"/>
                <w:rFonts w:ascii="Times New Roman" w:hAnsi="Times New Roman"/>
              </w:rPr>
              <w:t xml:space="preserve"> </w:t>
            </w:r>
          </w:p>
          <w:p w14:paraId="47851A1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109. i članak 36. stavak 1. točka (e) </w:t>
            </w:r>
            <w:r>
              <w:t xml:space="preserve">Uredbe (EU) br. 575/2013</w:t>
            </w:r>
          </w:p>
          <w:p w14:paraId="5846CAE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Imovina mirovinskog fonda definiranih primanja definirana je kao „imovina mirovinskog fonda ili plana, prema potrebi, koja je izračunata nakon što je od nje oduzet iznos obveza u okviru istog fonda ili plana”.</w:t>
            </w:r>
          </w:p>
          <w:p w14:paraId="2EE3FFD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odgovara iznosu iskazanom u bilanci (ako je iskazan zasebno).</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0410</w:t>
            </w:r>
          </w:p>
        </w:tc>
        <w:tc>
          <w:tcPr>
            <w:tcW w:w="7620" w:type="dxa"/>
          </w:tcPr>
          <w:p w14:paraId="1EAAB866"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1.1.1.14.2.</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povezane s imovinom mirovinskog fonda definiranih primanja</w:t>
            </w:r>
          </w:p>
          <w:p w14:paraId="1670EF2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točke 108. i 109. i članak 41. stavak 1. točka (a)</w:t>
            </w:r>
            <w:r>
              <w:t xml:space="preserve"> Uredbe (EU) br. 575/2013</w:t>
            </w:r>
          </w:p>
          <w:p w14:paraId="0592A92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odgođenih poreznih obveza koji bi mogao prestati postojati kad bi se imovina mirovinskog fonda definiranih primanja umanjila ili prestala priznavati u skladu s primjenjivim računovodstvenim standardom.</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620" w:type="dxa"/>
          </w:tcPr>
          <w:p w14:paraId="1DFF31B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1.1.1.14.3.</w:t>
            </w:r>
            <w:r>
              <w:rPr>
                <w:rStyle w:val="InstructionsTabelleberschrift"/>
                <w:sz w:val="24"/>
                <w:rFonts w:ascii="Times New Roman" w:hAnsi="Times New Roman"/>
              </w:rPr>
              <w:tab/>
            </w:r>
            <w:r>
              <w:rPr>
                <w:rStyle w:val="InstructionsTabelleberschrift"/>
                <w:sz w:val="24"/>
                <w:rFonts w:ascii="Times New Roman" w:hAnsi="Times New Roman"/>
              </w:rPr>
              <w:t xml:space="preserve">Imovina mirovinskog fonda definiranih primanja koju institucija može neograničen koristiti</w:t>
            </w:r>
          </w:p>
          <w:p w14:paraId="62235EB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109. i članak 41. stavak 1. točka (b) </w:t>
            </w:r>
            <w:r>
              <w:t xml:space="preserve">Uredbe (EU) br. 575/2013</w:t>
            </w:r>
          </w:p>
          <w:p w14:paraId="01F4C05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se u ovoj stavci iskazuje samo ako postoji prethodno odobrenje nadležnog tijela za umanjenje iznosa imovine mirovinskog fonda definiranih primanja koji se odbija.</w:t>
            </w:r>
          </w:p>
          <w:p w14:paraId="2584604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Imovini uključenoj u ovaj redak dodjeljuje se ponder rizika za zahtjeve za kreditni rizik.</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0430</w:t>
            </w:r>
          </w:p>
        </w:tc>
        <w:tc>
          <w:tcPr>
            <w:tcW w:w="7620" w:type="dxa"/>
          </w:tcPr>
          <w:p w14:paraId="730E741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1.1.1.15.</w:t>
            </w:r>
            <w:r>
              <w:rPr>
                <w:rStyle w:val="InstructionsTabelleberschrift"/>
                <w:sz w:val="24"/>
                <w:rFonts w:ascii="Times New Roman" w:hAnsi="Times New Roman"/>
              </w:rPr>
              <w:tab/>
            </w:r>
            <w:r>
              <w:rPr>
                <w:rStyle w:val="InstructionsTabelleberschrift"/>
                <w:sz w:val="24"/>
                <w:rFonts w:ascii="Times New Roman" w:hAnsi="Times New Roman"/>
              </w:rPr>
              <w:t xml:space="preserve">(–) Recipročna međusobna ulaganja u redovni osnovni kapital</w:t>
            </w:r>
          </w:p>
          <w:p w14:paraId="0C88A31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122., članak 36. stavak 1. točka (g) i članak 44.</w:t>
            </w:r>
            <w:r>
              <w:t xml:space="preserve"> Uredbe (EU) br. 575/2013</w:t>
            </w:r>
          </w:p>
          <w:p w14:paraId="70E4C82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Ulaganja u instrumente dopunskog kapitala subjekata financijskog sektora (kako su definirani u članku 4. stavku 1. točki 27.</w:t>
            </w:r>
            <w:r>
              <w:t xml:space="preserve"> Uredbe (EU) br. 575/2013</w:t>
            </w:r>
            <w:r>
              <w:rPr>
                <w:rStyle w:val="FormatvorlageInstructionsTabelleText"/>
                <w:sz w:val="24"/>
                <w:rFonts w:ascii="Times New Roman" w:hAnsi="Times New Roman"/>
              </w:rPr>
              <w:t xml:space="preserve">) ako postoji recipročno međusobno ulaganje za koje nadležno tijelo smatra da mu je cilj umjetno povećati regulatorni kapital institucije.</w:t>
            </w:r>
          </w:p>
          <w:p w14:paraId="13E029A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izračunava se na osnovi bruto dugih pozicija i uključuje stavke osigurateljnog osnovnog kapitala.</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0440</w:t>
            </w:r>
          </w:p>
        </w:tc>
        <w:tc>
          <w:tcPr>
            <w:tcW w:w="7620" w:type="dxa"/>
          </w:tcPr>
          <w:p w14:paraId="0F16834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1.1.1.16.</w:t>
            </w:r>
            <w:r>
              <w:rPr>
                <w:rStyle w:val="InstructionsTabelleberschrift"/>
                <w:sz w:val="24"/>
                <w:rFonts w:ascii="Times New Roman" w:hAnsi="Times New Roman"/>
              </w:rPr>
              <w:tab/>
            </w:r>
            <w:r>
              <w:rPr>
                <w:rStyle w:val="InstructionsTabelleberschrift"/>
                <w:sz w:val="24"/>
                <w:rFonts w:ascii="Times New Roman" w:hAnsi="Times New Roman"/>
              </w:rPr>
              <w:t xml:space="preserve">(–) Odbitak od stavki dodatnog osnovnog kapitala koji premašuje dodatni osnovni kapital</w:t>
            </w:r>
            <w:r>
              <w:rPr>
                <w:rStyle w:val="InstructionsTabelleberschrift"/>
                <w:sz w:val="24"/>
                <w:rFonts w:ascii="Times New Roman" w:hAnsi="Times New Roman"/>
              </w:rPr>
              <w:t xml:space="preserve"> </w:t>
            </w:r>
          </w:p>
          <w:p w14:paraId="6DB76C3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(j)</w:t>
            </w:r>
            <w:r>
              <w:t xml:space="preserve"> Uredbe (EU) br. 575/2013</w:t>
            </w:r>
          </w:p>
          <w:p w14:paraId="30BFA55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izravno se uzima iz obrasca CA1 stavke „Odbitak od stavki dodatnog osnovnog kapitala koji premašuje dodatni osnovni kapital”.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je potrebno odbiti od redovnog osnovnog kapitala.</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620" w:type="dxa"/>
          </w:tcPr>
          <w:p w14:paraId="2417353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1.1.1.17.</w:t>
            </w:r>
            <w:r>
              <w:rPr>
                <w:rStyle w:val="InstructionsTabelleberschrift"/>
                <w:sz w:val="24"/>
                <w:rFonts w:ascii="Times New Roman" w:hAnsi="Times New Roman"/>
              </w:rPr>
              <w:tab/>
            </w:r>
            <w:r>
              <w:rPr>
                <w:rStyle w:val="InstructionsTabelleberschrift"/>
                <w:sz w:val="24"/>
                <w:rFonts w:ascii="Times New Roman" w:hAnsi="Times New Roman"/>
              </w:rPr>
              <w:t xml:space="preserve">(–) Kvalificirani udjeli izvan financijskog sektora na koje se alternativno može primijeniti ponder rizika od 1 250 %</w:t>
            </w:r>
          </w:p>
          <w:p w14:paraId="2960DCD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36., članak 36. stavak 1. točka (k) podtočka i. i članci od 89. do 91. </w:t>
            </w:r>
            <w:r>
              <w:t xml:space="preserve"> Uredbe (EU) br. 575/2013</w:t>
            </w:r>
          </w:p>
          <w:p w14:paraId="0403F80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Kvalificirani udjeli definirani su kao „izravno ili neizravno ulaganje u društvo koje predstavlja 10 </w:t>
            </w:r>
            <w:r>
              <w:rPr>
                <w:rStyle w:val="FormatvorlageInstructionsTabelleText"/>
                <w:sz w:val="24"/>
                <w:rFonts w:ascii="Times New Roman" w:hAnsi="Times New Roman"/>
              </w:rPr>
              <w:t xml:space="preserve">% ili više kapitala ili glasačkih prava ili koje omogućava ostvarivanje značajnog utjecaja na upravljanje tim društvom”.</w:t>
            </w:r>
          </w:p>
          <w:p w14:paraId="274DC2B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skladu s člankom 36. stavkom 1. točkom (k) podtočkom i.</w:t>
            </w:r>
            <w:r>
              <w:t xml:space="preserve"> Uredbe (EU) br. 575/2013, </w:t>
            </w:r>
            <w:r>
              <w:rPr>
                <w:rStyle w:val="FormatvorlageInstructionsTabelleText"/>
                <w:sz w:val="24"/>
                <w:rFonts w:ascii="Times New Roman" w:hAnsi="Times New Roman"/>
              </w:rPr>
              <w:t xml:space="preserve">kvalificirani udjeli mogu se, alternativno, odbiti od redovnog osnovnog kapitala (korištenjem ove stavke) ili se na njih može primijeniti ponder rizika od 1 250</w:t>
            </w:r>
            <w:r>
              <w:rPr>
                <w:rStyle w:val="FormatvorlageInstructionsTabelleText"/>
                <w:sz w:val="24"/>
                <w:rFonts w:ascii="Times New Roman" w:hAnsi="Times New Roman"/>
              </w:rPr>
              <w:t xml:space="preserve">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620" w:type="dxa"/>
          </w:tcPr>
          <w:p w14:paraId="4D56DD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1.1.1.18.</w:t>
            </w:r>
            <w:r>
              <w:rPr>
                <w:rStyle w:val="InstructionsTabelleberschrift"/>
                <w:sz w:val="24"/>
                <w:rFonts w:ascii="Times New Roman" w:hAnsi="Times New Roman"/>
              </w:rPr>
              <w:tab/>
            </w:r>
            <w:r>
              <w:rPr>
                <w:rStyle w:val="InstructionsTabelleberschrift"/>
                <w:sz w:val="24"/>
                <w:rFonts w:ascii="Times New Roman" w:hAnsi="Times New Roman"/>
              </w:rPr>
              <w:t xml:space="preserve">(–) Sekuritizacijske pozicije na koje se alternativno može primijeniti ponder rizika od 1 250</w:t>
            </w:r>
            <w:r>
              <w:rPr>
                <w:rStyle w:val="InstructionsTabelleberschrift"/>
                <w:sz w:val="24"/>
                <w:rFonts w:ascii="Times New Roman" w:hAnsi="Times New Roman"/>
              </w:rPr>
              <w:t xml:space="preserve"> %</w:t>
            </w:r>
          </w:p>
          <w:p w14:paraId="1873153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244. stavak 1. točka (b), članak 245. stavak 1. točka (b) i članak 253. stavak 1.</w:t>
            </w:r>
            <w:r>
              <w:t xml:space="preserve"> Uredbe (EU) br. 575/2013</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p>
          <w:p w14:paraId="120138C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Sekuritizacijske pozicije na koje se primjenjuje ponder rizika od 1 250</w:t>
            </w:r>
            <w:r>
              <w:t xml:space="preserve"> </w:t>
            </w:r>
            <w:r>
              <w:rPr>
                <w:rStyle w:val="FormatvorlageInstructionsTabelleText"/>
                <w:sz w:val="24"/>
                <w:rFonts w:ascii="Times New Roman" w:hAnsi="Times New Roman"/>
              </w:rPr>
              <w:t xml:space="preserve">%, ali se, alternativno, mogu odbiti od redovnog osnovnog kapitala (članak 36. stavak 1. točka (k) podtočka ii.</w:t>
            </w:r>
            <w:r>
              <w:t xml:space="preserve"> Uredbe (EU) br. 575/2013</w:t>
            </w:r>
            <w:r>
              <w:rPr>
                <w:rStyle w:val="FormatvorlageInstructionsTabelleText"/>
                <w:sz w:val="24"/>
                <w:rFonts w:ascii="Times New Roman" w:hAnsi="Times New Roman"/>
              </w:rPr>
              <w:t xml:space="preserve">), iskazuju se u ovoj stavci.</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620" w:type="dxa"/>
          </w:tcPr>
          <w:p w14:paraId="313C7D2D"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1.1.1.19.</w:t>
            </w:r>
            <w:r>
              <w:rPr>
                <w:rStyle w:val="InstructionsTabelleberschrift"/>
                <w:sz w:val="24"/>
                <w:rFonts w:ascii="Times New Roman" w:hAnsi="Times New Roman"/>
              </w:rPr>
              <w:tab/>
            </w:r>
            <w:r>
              <w:rPr>
                <w:rStyle w:val="InstructionsTabelleberschrift"/>
                <w:sz w:val="24"/>
                <w:rFonts w:ascii="Times New Roman" w:hAnsi="Times New Roman"/>
              </w:rPr>
              <w:t xml:space="preserve">(–) Slobodne isporuke na koje se alternativno može primijeniti ponder rizika od 1 250</w:t>
            </w:r>
            <w:r>
              <w:t xml:space="preserve"> </w:t>
            </w:r>
            <w:r>
              <w:rPr>
                <w:rStyle w:val="InstructionsTabelleberschrift"/>
                <w:sz w:val="24"/>
                <w:rFonts w:ascii="Times New Roman" w:hAnsi="Times New Roman"/>
              </w:rPr>
              <w:t xml:space="preserve">%</w:t>
            </w:r>
          </w:p>
          <w:p w14:paraId="789AEE8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(k) podtočka iii. i članak 379. stavak 3.</w:t>
            </w:r>
            <w:r>
              <w:t xml:space="preserve"> Uredbe (EU) br. 575/2013</w:t>
            </w:r>
          </w:p>
          <w:p w14:paraId="6ABDA04F"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Na slobodne isporuke primjenjuje se ponder rizika od 1 250</w:t>
            </w:r>
            <w:r>
              <w:t xml:space="preserve"> </w:t>
            </w:r>
            <w:r>
              <w:rPr>
                <w:rStyle w:val="FormatvorlageInstructionsTabelleText"/>
                <w:sz w:val="24"/>
                <w:rFonts w:ascii="Times New Roman" w:hAnsi="Times New Roman"/>
              </w:rPr>
              <w:t xml:space="preserve">% 5 dana nakon drugog ugovorenog plaćanja ili isporuke do zaključenja transakcije, u skladu s kapitalnim zahtjevima za rizik namire.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Alternativno se mogu odbiti od redovnog osnovnog kapitala (članak 36. stavak 1. točka (k) podtočka iii.</w:t>
            </w:r>
            <w:r>
              <w:t xml:space="preserve"> Uredbe (EU) br. 575/2013</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U potonjem se slučaju iskazuju u ovoj stavci.</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0471</w:t>
            </w:r>
          </w:p>
        </w:tc>
        <w:tc>
          <w:tcPr>
            <w:tcW w:w="7620" w:type="dxa"/>
          </w:tcPr>
          <w:p w14:paraId="2E2F85E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1.1.1.20.</w:t>
            </w:r>
            <w:r>
              <w:rPr>
                <w:rStyle w:val="InstructionsTabelleberschrift"/>
                <w:sz w:val="24"/>
                <w:rFonts w:ascii="Times New Roman" w:hAnsi="Times New Roman"/>
              </w:rPr>
              <w:tab/>
            </w:r>
            <w:r>
              <w:rPr>
                <w:rStyle w:val="InstructionsTabelleberschrift"/>
                <w:sz w:val="24"/>
                <w:rFonts w:ascii="Times New Roman" w:hAnsi="Times New Roman"/>
              </w:rPr>
              <w:t xml:space="preserve">(–) Pozicije u košarici za koje institucija ne može utvrditi ponder rizika u skladu s IRB pristupom i na koje se alternativno može primijeniti ponder rizika od 1 250 %</w:t>
            </w:r>
          </w:p>
          <w:p w14:paraId="70308AF0"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36. stavak 1. točka (k) podtočka iv. i članak 153. stavak 8.</w:t>
            </w:r>
            <w:r>
              <w:t xml:space="preserve"> Uredbe (EU) br. 575/2013</w:t>
            </w:r>
          </w:p>
          <w:p w14:paraId="114F16D8" w14:textId="77777777" w:rsidR="00CC7D2C" w:rsidRPr="002A677E" w:rsidRDefault="00CC7D2C" w:rsidP="00320EFD">
            <w:pPr>
              <w:pStyle w:val="InstructionsText"/>
              <w:rPr>
                <w:rStyle w:val="InstructionsTabelleberschrift"/>
                <w:b w:val="0"/>
                <w:sz w:val="24"/>
                <w:u w:val="none"/>
                <w:rFonts w:ascii="Times New Roman" w:hAnsi="Times New Roman"/>
              </w:rPr>
            </w:pPr>
            <w:r>
              <w:rPr>
                <w:sz w:val="24"/>
                <w:rStyle w:val="FormatvorlageInstructionsTabelleText"/>
                <w:rFonts w:ascii="Times New Roman" w:hAnsi="Times New Roman"/>
              </w:rPr>
              <w:t xml:space="preserve">U skladu s</w:t>
            </w:r>
            <w:r>
              <w:rPr>
                <w:sz w:val="24"/>
                <w:rFonts w:ascii="Times New Roman" w:hAnsi="Times New Roman"/>
              </w:rPr>
              <w:t xml:space="preserve"> </w:t>
            </w:r>
            <w:r>
              <w:rPr>
                <w:sz w:val="24"/>
                <w:rStyle w:val="InstructionsTabelleberschrift"/>
                <w:b w:val="0"/>
                <w:u w:val="none"/>
                <w:rFonts w:ascii="Times New Roman" w:hAnsi="Times New Roman"/>
              </w:rPr>
              <w:t xml:space="preserve">člankom 36. stavkom 1. točkom (k) podtočkom iv.</w:t>
            </w:r>
            <w:r>
              <w:t xml:space="preserve"> Uredbe (EU) br. 575/2013, </w:t>
            </w:r>
            <w:r>
              <w:rPr>
                <w:sz w:val="24"/>
                <w:rFonts w:ascii="Times New Roman" w:hAnsi="Times New Roman"/>
              </w:rPr>
              <w:t xml:space="preserve">pozicije u košarici za koje institucija ne može utvrditi ponder rizika u skladu s IRB pristupom mogu se, alternativno, odbiti od redovnog osnovnog kapitala (korištenjem ove stavke) ili se na njih može primijeniti ponder rizika od 1 250 %.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0472</w:t>
            </w:r>
          </w:p>
        </w:tc>
        <w:tc>
          <w:tcPr>
            <w:tcW w:w="7620" w:type="dxa"/>
          </w:tcPr>
          <w:p w14:paraId="141E9D8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1.1.1.21.</w:t>
            </w:r>
            <w:r>
              <w:rPr>
                <w:rStyle w:val="InstructionsTabelleberschrift"/>
                <w:sz w:val="24"/>
                <w:rFonts w:ascii="Times New Roman" w:hAnsi="Times New Roman"/>
              </w:rPr>
              <w:tab/>
            </w:r>
            <w:r>
              <w:rPr>
                <w:rStyle w:val="InstructionsTabelleberschrift"/>
                <w:sz w:val="24"/>
                <w:rFonts w:ascii="Times New Roman" w:hAnsi="Times New Roman"/>
              </w:rPr>
              <w:t xml:space="preserve">(–) Izloženosti na osnovi vlasničkih ulaganja u skladu s pristupom internih modela na koje se alternativno može primijeniti ponder rizika od 1 250 %</w:t>
            </w:r>
          </w:p>
          <w:p w14:paraId="758EFAFE"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36. stavak 1. točka (k) podtočka v. i članak 155. stavak 4.</w:t>
            </w:r>
            <w:r>
              <w:t xml:space="preserve"> Uredbe (EU) br. 575/2013</w:t>
            </w:r>
          </w:p>
          <w:p w14:paraId="093FDB23"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U skladu s člankom 36. stavkom 1. točkom (k) podtočkom v.</w:t>
            </w:r>
            <w:r>
              <w:t xml:space="preserve"> Uredbe (EU) br. 575/2013, </w:t>
            </w:r>
            <w:r>
              <w:rPr>
                <w:rStyle w:val="FormatvorlageInstructionsTabelleText"/>
                <w:sz w:val="24"/>
                <w:rFonts w:ascii="Times New Roman" w:hAnsi="Times New Roman"/>
              </w:rPr>
              <w:t xml:space="preserve">izloženosti na osnovi vlasničkih ulaganja u skladu s pristupom internih modela mogu se, alternativno, odbiti od redovnog osnovnog kapitala (korištenjem ove stavke) ili se na njih može primijeniti ponder rizika od 1 250 %.</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0480</w:t>
            </w:r>
          </w:p>
        </w:tc>
        <w:tc>
          <w:tcPr>
            <w:tcW w:w="7620" w:type="dxa"/>
          </w:tcPr>
          <w:p w14:paraId="7AF9AE0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1.1.1.22.</w:t>
            </w:r>
            <w:r>
              <w:rPr>
                <w:rStyle w:val="InstructionsTabelleberschrift"/>
                <w:sz w:val="24"/>
                <w:rFonts w:ascii="Times New Roman" w:hAnsi="Times New Roman"/>
              </w:rPr>
              <w:tab/>
            </w:r>
            <w:r>
              <w:rPr>
                <w:rStyle w:val="InstructionsTabelleberschrift"/>
                <w:sz w:val="24"/>
                <w:rFonts w:ascii="Times New Roman" w:hAnsi="Times New Roman"/>
              </w:rPr>
              <w:t xml:space="preserve">(–) Instrumenti redovnog osnovnog kapitala subjekata financijskog sektora ako institucija nema značajno ulaganje</w:t>
            </w:r>
          </w:p>
          <w:p w14:paraId="5795285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27., članak 36. stavak 1. točka (h), članci od 43. do 46., članak 49. stavci 2. i 3. i članak 79.</w:t>
            </w:r>
            <w:r>
              <w:t xml:space="preserve"> Uredbe (EU) br. 575/2013</w:t>
            </w:r>
          </w:p>
          <w:p w14:paraId="103972A4" w14:textId="77777777" w:rsidR="00CC7D2C" w:rsidRPr="002A677E" w:rsidRDefault="00CC7D2C" w:rsidP="00320EFD">
            <w:pPr>
              <w:pStyle w:val="InstructionsText"/>
              <w:rPr>
                <w:rStyle w:val="FormatvorlageInstructionsTabelleText"/>
                <w:sz w:val="24"/>
                <w:rFonts w:ascii="Times New Roman" w:hAnsi="Times New Roman"/>
              </w:rPr>
            </w:pPr>
            <w:r>
              <w:t xml:space="preserve">Dio ulaganja institucije u instrumente subjekata financijskog sektora (kako su definirani u članku 4. stavku 1. točki 27. Uredbe (EU) br. 575/2013) ako institucija nema značajno ulaganje koje je potrebno odbiti od redovnog osnovnog kapitala.</w:t>
            </w:r>
          </w:p>
          <w:p w14:paraId="06EFB9A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alternativne mogućnosti odbitku kad se primjenjuje konsolidacija (članak 49. stavci 2. i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620" w:type="dxa"/>
          </w:tcPr>
          <w:p w14:paraId="4D00A831"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1.1.1.23.</w:t>
            </w:r>
            <w:r>
              <w:rPr>
                <w:rStyle w:val="InstructionsTabelleberschrift"/>
                <w:sz w:val="24"/>
                <w:rFonts w:ascii="Times New Roman" w:hAnsi="Times New Roman"/>
              </w:rPr>
              <w:tab/>
            </w:r>
            <w:r>
              <w:rPr>
                <w:rStyle w:val="InstructionsTabelleberschrift"/>
                <w:sz w:val="24"/>
                <w:rFonts w:ascii="Times New Roman" w:hAnsi="Times New Roman"/>
              </w:rPr>
              <w:t xml:space="preserve">(–) Odgođena porezna imovina koja se može odbiti i koja ovisi o budućoj profitabilnosti i proizlazi iz privremenih razlika</w:t>
            </w:r>
          </w:p>
          <w:p w14:paraId="2D413C9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(c);</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članak 38. i članak 48. stavak 1. točka (a)</w:t>
            </w:r>
            <w:r>
              <w:t xml:space="preserve"> Uredbe (EU) br. 575/2013</w:t>
            </w:r>
          </w:p>
          <w:p w14:paraId="3ABD353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Dio odgođene porezne imovine koja ovisi o budućoj profitabilnosti i proizlazi iz privremenih razlika (ne uključujući dio povezanih odgođenih poreznih obveza raspoređenih na odgođenu poreznu imovinu koja proizlazi iz privremenih razlika) koji je u skladu s člankom 38. stavkom 5. točkom (b) </w:t>
            </w:r>
            <w:r>
              <w:t xml:space="preserve">Uredbe (EU) br. 575/2013 </w:t>
            </w:r>
            <w:r>
              <w:rPr>
                <w:rStyle w:val="FormatvorlageInstructionsTabelleText"/>
                <w:sz w:val="24"/>
                <w:rFonts w:ascii="Times New Roman" w:hAnsi="Times New Roman"/>
              </w:rPr>
              <w:t xml:space="preserve">potrebno odbiti uz primjenu praga od 10</w:t>
            </w:r>
            <w:r>
              <w:rPr>
                <w:rStyle w:val="FormatvorlageInstructionsTabelleText"/>
                <w:sz w:val="24"/>
                <w:rFonts w:ascii="Times New Roman" w:hAnsi="Times New Roman"/>
              </w:rPr>
              <w:t xml:space="preserve"> % iz članka 48. stavka 1. točke (a)</w:t>
            </w:r>
            <w:r>
              <w:t xml:space="preserve"> te uredbe</w:t>
            </w:r>
            <w:r>
              <w:rPr>
                <w:rStyle w:val="FormatvorlageInstructionsTabelleText"/>
                <w:sz w:val="24"/>
                <w:rFonts w:ascii="Times New Roman" w:hAnsi="Times New Roman"/>
              </w:rPr>
              <w:t xml:space="preserve">.</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620" w:type="dxa"/>
          </w:tcPr>
          <w:p w14:paraId="39C628F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1.1.1.24.</w:t>
            </w:r>
            <w:r>
              <w:rPr>
                <w:rStyle w:val="InstructionsTabelleberschrift"/>
                <w:sz w:val="24"/>
                <w:rFonts w:ascii="Times New Roman" w:hAnsi="Times New Roman"/>
              </w:rPr>
              <w:tab/>
            </w:r>
            <w:r>
              <w:rPr>
                <w:rStyle w:val="InstructionsTabelleberschrift"/>
                <w:sz w:val="24"/>
                <w:rFonts w:ascii="Times New Roman" w:hAnsi="Times New Roman"/>
              </w:rPr>
              <w:t xml:space="preserve">(–) Instrumenti redovnog osnovnog kapitala subjekata financijskog sektora ako institucija ima značajno ulaganje</w:t>
            </w:r>
          </w:p>
          <w:p w14:paraId="021EF33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Članak 4. stavak 1. točka 27., članak 36. stavak 1. točka (i), </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članci 43., 45., 47., članak 48. stavak 2. točka (b), članak 49. stavci 1., 2. i 3. i članak 79.</w:t>
            </w:r>
            <w:r>
              <w:t xml:space="preserve"> Uredbe (EU) br. 575/2013</w:t>
            </w:r>
          </w:p>
          <w:p w14:paraId="78642F4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Dio ulaganja institucije u instrumente redovnog osnovnog kapitala subjekata financijskog sektora (kako su definirani u članku 4. stavku 1. točki 27. </w:t>
            </w:r>
            <w:r>
              <w:t xml:space="preserve">Uredbe (EU) br. 575/2013</w:t>
            </w:r>
            <w:r>
              <w:rPr>
                <w:rStyle w:val="FormatvorlageInstructionsTabelleText"/>
                <w:sz w:val="24"/>
                <w:rFonts w:ascii="Times New Roman" w:hAnsi="Times New Roman"/>
              </w:rPr>
              <w:t xml:space="preserve">) ako institucija ima značajno ulaganje koje je potrebno odbiti, uz primjenu praga od 10</w:t>
            </w:r>
            <w:r>
              <w:t xml:space="preserve"> </w:t>
            </w:r>
            <w:r>
              <w:rPr>
                <w:rStyle w:val="FormatvorlageInstructionsTabelleText"/>
                <w:sz w:val="24"/>
                <w:rFonts w:ascii="Times New Roman" w:hAnsi="Times New Roman"/>
              </w:rPr>
              <w:t xml:space="preserve">% iz članka 48. stavka 1. točke (b) </w:t>
            </w:r>
            <w:r>
              <w:t xml:space="preserve">te uredbe</w:t>
            </w:r>
            <w:r>
              <w:rPr>
                <w:rStyle w:val="FormatvorlageInstructionsTabelleText"/>
                <w:sz w:val="24"/>
                <w:rFonts w:ascii="Times New Roman" w:hAnsi="Times New Roman"/>
              </w:rPr>
              <w:t xml:space="preserve">.</w:t>
            </w:r>
          </w:p>
          <w:p w14:paraId="3676DBDD" w14:textId="77777777" w:rsidR="00CC7D2C" w:rsidRPr="002A677E" w:rsidRDefault="00CC7D2C" w:rsidP="00320EFD">
            <w:pPr>
              <w:pStyle w:val="InstructionsText"/>
              <w:rPr>
                <w:rStyle w:val="FormatvorlageInstructionsTabelleText"/>
                <w:sz w:val="24"/>
                <w:rFonts w:ascii="Times New Roman" w:hAnsi="Times New Roman"/>
              </w:rPr>
            </w:pPr>
            <w:r>
              <w:t xml:space="preserve">Vidjeti alternativne mogućnosti odbitku kad se primjenjuje konsolidacija (članak 49. stavci 1., 2. i 3. Uredbe (EU) br. 575/2013).</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620" w:type="dxa"/>
          </w:tcPr>
          <w:p w14:paraId="02BE26C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1.1.1.25.</w:t>
            </w:r>
            <w:r>
              <w:rPr>
                <w:rStyle w:val="InstructionsTabelleberschrift"/>
                <w:sz w:val="24"/>
                <w:rFonts w:ascii="Times New Roman" w:hAnsi="Times New Roman"/>
              </w:rPr>
              <w:tab/>
            </w:r>
            <w:r>
              <w:rPr>
                <w:rStyle w:val="InstructionsTabelleberschrift"/>
                <w:sz w:val="24"/>
                <w:rFonts w:ascii="Times New Roman" w:hAnsi="Times New Roman"/>
              </w:rPr>
              <w:t xml:space="preserve">(–) Iznos koji premašuje prag od 17,65 %</w:t>
            </w:r>
          </w:p>
          <w:p w14:paraId="53E265A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48. stavak 2.</w:t>
            </w:r>
            <w:r>
              <w:t xml:space="preserve"> Uredbe (EU) br. 575/2013.</w:t>
            </w:r>
          </w:p>
          <w:p w14:paraId="2F637F55" w14:textId="77777777" w:rsidR="00CC7D2C" w:rsidRPr="002A677E" w:rsidRDefault="00CC7D2C" w:rsidP="00320EFD">
            <w:pPr>
              <w:pStyle w:val="InstructionsText"/>
              <w:rPr>
                <w:rStyle w:val="FormatvorlageInstructionsTabelleText"/>
                <w:sz w:val="24"/>
                <w:rFonts w:ascii="Times New Roman" w:hAnsi="Times New Roman"/>
              </w:rPr>
            </w:pPr>
            <w:r>
              <w:t xml:space="preserve">Dio odgođene porezne imovine koja ovisi o budućoj profitabilnosti i proizlazi iz privremenih razlika te izravna, neizravna i sintetska ulaganja institucije u instrumente redovnog osnovnog kapitala subjekata financijskog sektora (kako su definirani u članku 4. stavku 1. točki 27. Uredbe (EU) br. 575/2013) ako institucija ima značajno ulaganje koje je potrebno odbiti, uz primjenu praga od 17,65 % iz članka 48. stavka 2. te uredbe.</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0511</w:t>
            </w:r>
          </w:p>
        </w:tc>
        <w:tc>
          <w:tcPr>
            <w:tcW w:w="7620" w:type="dxa"/>
          </w:tcPr>
          <w:p w14:paraId="6D89032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1.1.1.25.1.</w:t>
            </w:r>
            <w:r>
              <w:rPr>
                <w:rStyle w:val="InstructionsTabelleberschrift"/>
                <w:sz w:val="24"/>
                <w:rFonts w:ascii="Times New Roman" w:hAnsi="Times New Roman"/>
              </w:rPr>
              <w:tab/>
            </w:r>
            <w:r>
              <w:rPr>
                <w:rStyle w:val="InstructionsTabelleberschrift"/>
                <w:sz w:val="24"/>
                <w:rFonts w:ascii="Times New Roman" w:hAnsi="Times New Roman"/>
              </w:rPr>
              <w:t xml:space="preserve">(–) Iznos koji premašuje prag od 17,65 % koji se odnosi na instrumente redovnog osnovnog kapitala subjekata financijskog sektora ako institucija ima značajno ulaganje</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0512</w:t>
            </w:r>
          </w:p>
        </w:tc>
        <w:tc>
          <w:tcPr>
            <w:tcW w:w="7620" w:type="dxa"/>
          </w:tcPr>
          <w:p w14:paraId="691F847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1.1.1.25.2.</w:t>
            </w:r>
            <w:r>
              <w:rPr>
                <w:rStyle w:val="InstructionsTabelleberschrift"/>
                <w:sz w:val="24"/>
                <w:rFonts w:ascii="Times New Roman" w:hAnsi="Times New Roman"/>
              </w:rPr>
              <w:tab/>
            </w:r>
            <w:r>
              <w:rPr>
                <w:rStyle w:val="InstructionsTabelleberschrift"/>
                <w:sz w:val="24"/>
                <w:rFonts w:ascii="Times New Roman" w:hAnsi="Times New Roman"/>
              </w:rPr>
              <w:t xml:space="preserve">(–) Iznos koji premašuje prag od 17,65 % koji se odnosi na odgođenu poreznu imovinu koja proizlazi iz privremenih razlika</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0513</w:t>
            </w:r>
          </w:p>
        </w:tc>
        <w:tc>
          <w:tcPr>
            <w:tcW w:w="7620" w:type="dxa"/>
          </w:tcPr>
          <w:p w14:paraId="7A4B520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1.1.1.25A (–) Nedostatno pokriće za neprihodonosne izloženosti</w:t>
            </w:r>
          </w:p>
          <w:p w14:paraId="36971E9A"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Članak 36. stavak 1. točka (m) i članak 47.c</w:t>
            </w:r>
            <w:r>
              <w:t xml:space="preserve"> Uredbe (EU) br.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0514</w:t>
            </w:r>
          </w:p>
        </w:tc>
        <w:tc>
          <w:tcPr>
            <w:tcW w:w="7620" w:type="dxa"/>
          </w:tcPr>
          <w:p w14:paraId="69BEEB9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1.1.1.25B (–) Odbici zajamčene minimalne vrijednosti</w:t>
            </w:r>
          </w:p>
          <w:p w14:paraId="5C5FE4E7"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36. stavak 1. točka (n) i članak 132.c stavak 2. </w:t>
            </w:r>
            <w:r>
              <w:t xml:space="preserve"> Uredbe (EU) br.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0515</w:t>
            </w:r>
          </w:p>
        </w:tc>
        <w:tc>
          <w:tcPr>
            <w:tcW w:w="7620" w:type="dxa"/>
          </w:tcPr>
          <w:p w14:paraId="7CF705A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1.1.1.25C (–) Ostali predvidivi porezni troškovi</w:t>
            </w:r>
          </w:p>
          <w:p w14:paraId="2BA02C96" w14:textId="77777777" w:rsidR="00CC7D2C" w:rsidRPr="002A677E" w:rsidRDefault="00CC7D2C" w:rsidP="00320EFD">
            <w:pPr>
              <w:pStyle w:val="InstructionsText"/>
              <w:rPr>
                <w:rStyle w:val="FormatvorlageInstructionsTabelleText"/>
                <w:b/>
                <w:sz w:val="24"/>
                <w:rFonts w:ascii="Times New Roman" w:hAnsi="Times New Roman"/>
              </w:rPr>
            </w:pPr>
            <w:r>
              <w:rPr>
                <w:rStyle w:val="FormatvorlageInstructionsTabelleText"/>
                <w:sz w:val="24"/>
                <w:rFonts w:ascii="Times New Roman" w:hAnsi="Times New Roman"/>
              </w:rPr>
              <w:t xml:space="preserve">Članak 36. stavak 1. točka (l)</w:t>
            </w:r>
            <w:r>
              <w:t xml:space="preserve"> Uredbe (EU) br. 575/2013</w:t>
            </w:r>
          </w:p>
          <w:p w14:paraId="3ADB3F66"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Porezni troškovi u vezi sa stavkama redovnog osnovnog kapitala predvidivi u trenutku izračuna, osim poreznih troškova koji su već uzeti u obzir u bilo kojem drugim retku u kojem se stavke redovnog osnovnog kapitala iskazuju smanjenjem iznosa dotične stavke redovnog osnovnog kapitala.</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620" w:type="dxa"/>
          </w:tcPr>
          <w:p w14:paraId="1BE8677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1.1.1.26.</w:t>
            </w:r>
            <w:r>
              <w:rPr>
                <w:rStyle w:val="InstructionsTabelleberschrift"/>
                <w:sz w:val="24"/>
                <w:rFonts w:ascii="Times New Roman" w:hAnsi="Times New Roman"/>
              </w:rPr>
              <w:tab/>
            </w:r>
            <w:r>
              <w:rPr>
                <w:rStyle w:val="InstructionsTabelleberschrift"/>
                <w:sz w:val="24"/>
                <w:rFonts w:ascii="Times New Roman" w:hAnsi="Times New Roman"/>
              </w:rPr>
              <w:t xml:space="preserve">Ostala prijelazna usklađenja redovnog osnovnog kapitala</w:t>
            </w:r>
          </w:p>
          <w:p w14:paraId="3DD4F5B3" w14:textId="77777777" w:rsidR="00CC7D2C" w:rsidRPr="002A677E" w:rsidRDefault="00CC7D2C" w:rsidP="00320EFD">
            <w:pPr>
              <w:pStyle w:val="InstructionsText"/>
              <w:rPr>
                <w:rStyle w:val="FormatvorlageInstructionsTabelleText"/>
                <w:sz w:val="24"/>
                <w:rFonts w:ascii="Times New Roman" w:hAnsi="Times New Roman"/>
              </w:rPr>
            </w:pPr>
            <w:r>
              <w:t xml:space="preserve">Članci od 469. do 478. i članak 481. Uredbe (EU) br. 575/2013</w:t>
            </w:r>
          </w:p>
          <w:p w14:paraId="2DE2AED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Usklađenja odbitaka zbog prijelaznih odredaba.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koji se iskazuje dobiva se izravno iz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0524</w:t>
            </w:r>
          </w:p>
        </w:tc>
        <w:tc>
          <w:tcPr>
            <w:tcW w:w="7620" w:type="dxa"/>
          </w:tcPr>
          <w:p w14:paraId="344A23B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1.1.1.27.</w:t>
            </w:r>
            <w:r>
              <w:rPr>
                <w:rStyle w:val="InstructionsTabelleberschrift"/>
                <w:sz w:val="24"/>
                <w:rFonts w:ascii="Times New Roman" w:hAnsi="Times New Roman"/>
              </w:rPr>
              <w:tab/>
            </w:r>
            <w:r>
              <w:rPr>
                <w:rStyle w:val="InstructionsTabelleberschrift"/>
                <w:sz w:val="24"/>
                <w:rFonts w:ascii="Times New Roman" w:hAnsi="Times New Roman"/>
              </w:rPr>
              <w:t xml:space="preserve">(–) Dodatni odbici od redovnog osnovnog kapitala u skladu s člankom 3. Uredbe (EU) br. 575/2013</w:t>
            </w:r>
          </w:p>
          <w:p w14:paraId="1B49427B"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3.</w:t>
            </w:r>
            <w:r>
              <w:t xml:space="preserve"> Uredbe (EU) br. 575/2013</w:t>
            </w:r>
          </w:p>
          <w:p w14:paraId="64882D1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Ako institucija odluči da neće primijeniti postupak iz članka 13.a Delegirane uredbe (EU) br. 241/2014 nego da će umjesto toga u cijelosti odbiti svoju imovinu u obliku softvera u skladu s člankom 3.</w:t>
            </w:r>
            <w:r>
              <w:t xml:space="preserve"> Uredbe (EU) br. 575/2013, </w:t>
            </w:r>
            <w:r>
              <w:rPr>
                <w:rStyle w:val="InstructionsTabelleberschrift"/>
                <w:b w:val="0"/>
                <w:sz w:val="24"/>
                <w:u w:val="none"/>
                <w:rFonts w:ascii="Times New Roman" w:hAnsi="Times New Roman"/>
              </w:rPr>
              <w:t xml:space="preserve">dodatni odbijeni iznos ne iskazuje se u ovom retku nego u retku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0529</w:t>
            </w:r>
          </w:p>
        </w:tc>
        <w:tc>
          <w:tcPr>
            <w:tcW w:w="7620" w:type="dxa"/>
          </w:tcPr>
          <w:p w14:paraId="2DFF9E3A"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1.1.1.28.</w:t>
            </w:r>
            <w:r>
              <w:rPr>
                <w:rStyle w:val="InstructionsTabelleberschrift"/>
                <w:sz w:val="24"/>
                <w:rFonts w:ascii="Times New Roman" w:hAnsi="Times New Roman"/>
              </w:rPr>
              <w:tab/>
            </w:r>
            <w:r>
              <w:rPr>
                <w:rStyle w:val="InstructionsTabelleberschrift"/>
                <w:sz w:val="24"/>
                <w:rFonts w:ascii="Times New Roman" w:hAnsi="Times New Roman"/>
              </w:rPr>
              <w:t xml:space="preserve">Elementi ili odbici od redovnog osnovnog kapitala – ostalo</w:t>
            </w:r>
          </w:p>
          <w:p w14:paraId="4265ECB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Svrha ovog retka je fleksibilnost isključivo za potrebe izvješćivanja.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Popunjava se samo u rijetkim slučajevima kada ne postoji konačna odluka o iskazivanju specifičnih stavki/odbitaka kapitala u postojećom obrascu CA1.</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Stoga se ovaj redak popunjava samo ako se element redovnog osnovnog kapitala ili odbitak od elementa redovnog osnovnog kapitala ne može rasporediti u jedan od redaka od 020 do 524.</w:t>
            </w:r>
            <w:r>
              <w:rPr>
                <w:rStyle w:val="InstructionsTabelleberschrift"/>
                <w:b w:val="0"/>
                <w:sz w:val="24"/>
                <w:u w:val="none"/>
                <w:rFonts w:ascii="Times New Roman" w:hAnsi="Times New Roman"/>
              </w:rPr>
              <w:t xml:space="preserve"> </w:t>
            </w:r>
          </w:p>
          <w:p w14:paraId="5B36F38F"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Ovaj se redak ne koristi za uključivanje stavki kapitala/odbitaka koji nisu obuhvaćeni </w:t>
            </w:r>
            <w:r>
              <w:t xml:space="preserve">Uredbom (EU) br. 575/2013 u izračun stopa solventnosti (npr. uključivanje nacionalnih stavki kapitala/odbitaka koji su izvan područja primjene Uredbe (EU) br. 575/2013</w:t>
            </w:r>
            <w:r>
              <w:rPr>
                <w:rStyle w:val="InstructionsTabelleberschrift"/>
                <w:b w:val="0"/>
                <w:sz w:val="24"/>
                <w:u w:val="none"/>
                <w:rFonts w:ascii="Times New Roman" w:hAnsi="Times New Roman"/>
              </w:rPr>
              <w:t xml:space="preserve">).</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620" w:type="dxa"/>
          </w:tcPr>
          <w:p w14:paraId="4FEC9F4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DODATNI OSNOVNI KAPITAL</w:t>
            </w:r>
          </w:p>
          <w:p w14:paraId="43A675F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61.</w:t>
            </w:r>
            <w:r>
              <w:t xml:space="preserve"> Uredbe (EU) br.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620" w:type="dxa"/>
          </w:tcPr>
          <w:p w14:paraId="571A9A4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kapitala i premija na dionice koji se priznaju kao dodatni osnovni kapital</w:t>
            </w:r>
          </w:p>
          <w:p w14:paraId="329D93D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51. točka (a), članci 52., 53. i 54., članak 56. točka (a) i članak 57</w:t>
            </w:r>
            <w:r>
              <w:t xml:space="preserve">. Uredbe (EU) br.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0551</w:t>
            </w:r>
          </w:p>
        </w:tc>
        <w:tc>
          <w:tcPr>
            <w:tcW w:w="7620" w:type="dxa"/>
          </w:tcPr>
          <w:p w14:paraId="25F84BB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1.1.2.1.1.</w:t>
            </w:r>
            <w:r>
              <w:rPr>
                <w:rStyle w:val="InstructionsTabelleberschrift"/>
                <w:sz w:val="24"/>
                <w:rFonts w:ascii="Times New Roman" w:hAnsi="Times New Roman"/>
              </w:rPr>
              <w:tab/>
            </w:r>
            <w:r>
              <w:rPr>
                <w:rStyle w:val="InstructionsTabelleberschrift"/>
                <w:sz w:val="24"/>
                <w:rFonts w:ascii="Times New Roman" w:hAnsi="Times New Roman"/>
              </w:rPr>
              <w:t xml:space="preserve">U potpunosti plaćeni, izravno izdani instrumenti kapitala</w:t>
            </w:r>
          </w:p>
          <w:p w14:paraId="417CF72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51. točka (a) i članci 52., 53. i 54.</w:t>
            </w:r>
            <w:r>
              <w:t xml:space="preserve"> Uredbe (EU) br. 575/2013</w:t>
            </w:r>
          </w:p>
          <w:p w14:paraId="722381C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premiju na dionice povezanu s instrumentima.</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620" w:type="dxa"/>
          </w:tcPr>
          <w:p w14:paraId="7DD639A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1.1.2.1.2.(*)</w:t>
            </w:r>
            <w:r>
              <w:rPr>
                <w:rStyle w:val="InstructionsTabelleberschrift"/>
                <w:sz w:val="24"/>
                <w:rFonts w:ascii="Times New Roman" w:hAnsi="Times New Roman"/>
              </w:rPr>
              <w:tab/>
            </w:r>
            <w:r>
              <w:rPr>
                <w:rStyle w:val="InstructionsTabelleberschrift"/>
                <w:sz w:val="24"/>
                <w:rFonts w:ascii="Times New Roman" w:hAnsi="Times New Roman"/>
              </w:rPr>
              <w:t xml:space="preserve">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kapitala koji se ne priznaju</w:t>
            </w:r>
          </w:p>
          <w:p w14:paraId="1E6ED08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52. stavak 1. točke (c), (e) i (f)</w:t>
            </w:r>
            <w:r>
              <w:t xml:space="preserve"> Uredbe (EU) br. 575/2013</w:t>
            </w:r>
          </w:p>
          <w:p w14:paraId="1C43881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Uvjeti u tim točkama odražavaju različite pozicije kapitala koje su reverzibilne i stoga se iznos koji se ovdje iskazuje može priznati u naknadnim razdobljima.</w:t>
            </w:r>
          </w:p>
          <w:p w14:paraId="65C7BBA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premiju na dionice povezanu s instrumentima.</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0571</w:t>
            </w:r>
          </w:p>
        </w:tc>
        <w:tc>
          <w:tcPr>
            <w:tcW w:w="7620" w:type="dxa"/>
          </w:tcPr>
          <w:p w14:paraId="414AA00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1.1.2.1.3.</w:t>
            </w:r>
            <w:r>
              <w:rPr>
                <w:rStyle w:val="InstructionsTabelleberschrift"/>
                <w:sz w:val="24"/>
                <w:rFonts w:ascii="Times New Roman" w:hAnsi="Times New Roman"/>
              </w:rPr>
              <w:tab/>
            </w:r>
            <w:r>
              <w:rPr>
                <w:rStyle w:val="InstructionsTabelleberschrift"/>
                <w:sz w:val="24"/>
                <w:rFonts w:ascii="Times New Roman" w:hAnsi="Times New Roman"/>
              </w:rPr>
              <w:t xml:space="preserve">Premija na dionice</w:t>
            </w:r>
          </w:p>
          <w:p w14:paraId="66E8FE8F"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51. točka (b)</w:t>
            </w:r>
            <w:r>
              <w:t xml:space="preserve"> Uredbe (EU) br. 575/2013</w:t>
            </w:r>
          </w:p>
          <w:p w14:paraId="137AADA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Premija na dionice ima isto značenje kao i u primjenjivom računovodstvenom standardu.</w:t>
            </w:r>
          </w:p>
          <w:p w14:paraId="6463F91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u ovoj stavci dio je koji se odnosi na „u potpunosti plaćene i izravno izdane instrumente kapitala”.</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0580</w:t>
            </w:r>
          </w:p>
        </w:tc>
        <w:tc>
          <w:tcPr>
            <w:tcW w:w="7620" w:type="dxa"/>
          </w:tcPr>
          <w:p w14:paraId="65B3E26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1.1.2.1.4.</w:t>
            </w:r>
            <w:r>
              <w:rPr>
                <w:rStyle w:val="InstructionsTabelleberschrift"/>
                <w:sz w:val="24"/>
                <w:rFonts w:ascii="Times New Roman" w:hAnsi="Times New Roman"/>
              </w:rPr>
              <w:tab/>
            </w:r>
            <w:r>
              <w:rPr>
                <w:rStyle w:val="InstructionsTabelleberschrift"/>
                <w:sz w:val="24"/>
                <w:rFonts w:ascii="Times New Roman" w:hAnsi="Times New Roman"/>
              </w:rPr>
              <w:t xml:space="preserve">(–) Vlastiti instrumenti dodatnog osnovnog kapitala</w:t>
            </w:r>
          </w:p>
          <w:p w14:paraId="4102A44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52. stavak 1. točka (b), članak 56. točka (a) i članak 57.</w:t>
            </w:r>
            <w:r>
              <w:t xml:space="preserve"> Uredbe (EU) br. 575/2013</w:t>
            </w:r>
          </w:p>
          <w:p w14:paraId="1D64029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Vlastiti instrumenti dodatnog osnovnog kapitala koje drži institucija koja izvješćuje ili grupa na izvještajni datum i iznosi instrumenata dodatnog osnovnog kapitala koji se odbijaju u skladu s člankom 28. stavkom 2. Delegirane uredbe Komisije (EU) br. 241/2014</w:t>
            </w:r>
            <w:r>
              <w:rPr>
                <w:rStyle w:val="FormatvorlageInstructionsTabelleText"/>
                <w:sz w:val="24"/>
                <w:rFonts w:ascii="Times New Roman" w:hAnsi="Times New Roman"/>
              </w:rPr>
              <w:t xml:space="preserve">.</w:t>
            </w:r>
            <w:r>
              <w:rPr>
                <w:rStyle w:val="FormatvorlageInstructionsTabelleText"/>
                <w:sz w:val="24"/>
                <w:rFonts w:ascii="Times New Roman" w:hAnsi="Times New Roman"/>
              </w:rPr>
              <w:t xml:space="preserve"> </w:t>
            </w:r>
            <w:r>
              <w:t xml:space="preserve">Uz iznimke iz članka 57. Uredbe (EU) br. 575/2013.</w:t>
            </w:r>
          </w:p>
          <w:p w14:paraId="20C5394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ne iskazuju ulaganja u dionice uključena kao „instrumenti kapitala koji se ne priznaju”.</w:t>
            </w:r>
          </w:p>
          <w:p w14:paraId="4933E08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uključuje premiju na dionice povezanu s vlastitim dionicama.</w:t>
            </w:r>
          </w:p>
          <w:p w14:paraId="6639F65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Stavke od 1.1.2.1.4. do 1.1.2.1.4.3. ne uključuju stvarne ili potencijalne obveze kupnje vlastitih instrumenata dodatnog osnovnog kapitala.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Stvarne ili potencijalne obveze kupnje vlastitih instrumenata dodatnog osnovnog kapitala iskazuju se zasebno u stavci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620" w:type="dxa"/>
          </w:tcPr>
          <w:p w14:paraId="6A00726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1.1.2.1.4.1.</w:t>
            </w:r>
            <w:r>
              <w:rPr>
                <w:rStyle w:val="InstructionsTabelleberschrift"/>
                <w:sz w:val="24"/>
                <w:rFonts w:ascii="Times New Roman" w:hAnsi="Times New Roman"/>
              </w:rPr>
              <w:tab/>
            </w:r>
            <w:r>
              <w:rPr>
                <w:rStyle w:val="InstructionsTabelleberschrift"/>
                <w:sz w:val="24"/>
                <w:rFonts w:ascii="Times New Roman" w:hAnsi="Times New Roman"/>
              </w:rPr>
              <w:t xml:space="preserve">(–) Izravna ulaganja u instrumente dodatnog osnovnog kapitala</w:t>
            </w:r>
          </w:p>
          <w:p w14:paraId="2E3166D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Članak 4. stavak 1. točka 144., članak 52. stavak 1. točka (b), članak 56. točka (a) i članak 57.</w:t>
            </w:r>
            <w:r>
              <w:t xml:space="preserve"> Uredbe (EU) br. 575/2013</w:t>
            </w:r>
          </w:p>
          <w:p w14:paraId="3842C09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dodatnog osnovnog kapitala uključeni u stavku 1.1.2.1.1. koje drže institucije konsolidirane grupe i iznosi instrumenata dodatnog osnovnog kapitala koji se odbijaju u skladu s člankom 28. stavkom 2. Delegirane uredbe (EU) br. 241/2014.</w:t>
            </w:r>
            <w:r>
              <w:rPr>
                <w:rStyle w:val="FormatvorlageInstructionsTabelleText"/>
                <w:sz w:val="24"/>
                <w:rFonts w:ascii="Times New Roman" w:hAnsi="Times New Roman"/>
              </w:rPr>
              <w:t xml:space="preserve">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0620</w:t>
            </w:r>
          </w:p>
        </w:tc>
        <w:tc>
          <w:tcPr>
            <w:tcW w:w="7620" w:type="dxa"/>
          </w:tcPr>
          <w:p w14:paraId="266D193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1.1.2.1.4.2.</w:t>
            </w:r>
            <w:r>
              <w:rPr>
                <w:rStyle w:val="InstructionsTabelleberschrift"/>
                <w:sz w:val="24"/>
                <w:rFonts w:ascii="Times New Roman" w:hAnsi="Times New Roman"/>
              </w:rPr>
              <w:tab/>
            </w:r>
            <w:r>
              <w:rPr>
                <w:rStyle w:val="InstructionsTabelleberschrift"/>
                <w:sz w:val="24"/>
                <w:rFonts w:ascii="Times New Roman" w:hAnsi="Times New Roman"/>
              </w:rPr>
              <w:t xml:space="preserve">(–) Neizravna ulaganja u instrumente dodatnog osnovnog kapitala</w:t>
            </w:r>
          </w:p>
          <w:p w14:paraId="426CCC8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52. stavak 1. točka (b) podtočka ii., članak 56. točka (a) i članak 57.</w:t>
            </w:r>
            <w:r>
              <w:t xml:space="preserve"> Uredbe (EU) br.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0621</w:t>
            </w:r>
          </w:p>
        </w:tc>
        <w:tc>
          <w:tcPr>
            <w:tcW w:w="7620" w:type="dxa"/>
          </w:tcPr>
          <w:p w14:paraId="285A9726" w14:textId="77777777" w:rsidR="00CC7D2C" w:rsidRPr="002A677E" w:rsidRDefault="00CC7D2C" w:rsidP="00320EFD">
            <w:pPr>
              <w:pStyle w:val="InstructionsText"/>
            </w:pPr>
            <w:r>
              <w:rPr>
                <w:rStyle w:val="InstructionsTabelleberschrift"/>
                <w:sz w:val="24"/>
                <w:rFonts w:ascii="Times New Roman" w:hAnsi="Times New Roman"/>
              </w:rPr>
              <w:t xml:space="preserve">1.1.2.1.4.3.</w:t>
            </w:r>
            <w:r>
              <w:rPr>
                <w:rStyle w:val="InstructionsTabelleberschrift"/>
                <w:sz w:val="24"/>
                <w:rFonts w:ascii="Times New Roman" w:hAnsi="Times New Roman"/>
              </w:rPr>
              <w:tab/>
            </w:r>
            <w:r>
              <w:rPr>
                <w:rStyle w:val="InstructionsTabelleberschrift"/>
                <w:sz w:val="24"/>
                <w:rFonts w:ascii="Times New Roman" w:hAnsi="Times New Roman"/>
              </w:rPr>
              <w:t xml:space="preserve">(–) Sintetska ulaganja u instrumente dodatnog osnovnog kapitala</w:t>
            </w:r>
          </w:p>
          <w:p w14:paraId="366556FC"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 </w:t>
            </w:r>
            <w:r>
              <w:rPr>
                <w:rStyle w:val="FormatvorlageInstructionsTabelleText"/>
                <w:sz w:val="24"/>
                <w:rFonts w:ascii="Times New Roman" w:hAnsi="Times New Roman"/>
              </w:rPr>
              <w:t xml:space="preserve">Članak 4. stavak 1. točka 126., članak 52. stavak 1. točka (b), članak 56. točka (a) i članak 57.</w:t>
            </w:r>
            <w:r>
              <w:t xml:space="preserve"> Uredbe (EU) br.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0622</w:t>
            </w:r>
          </w:p>
        </w:tc>
        <w:tc>
          <w:tcPr>
            <w:tcW w:w="7620" w:type="dxa"/>
          </w:tcPr>
          <w:p w14:paraId="430AAA7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1.1.2.1.5.</w:t>
            </w:r>
            <w:r>
              <w:rPr>
                <w:rStyle w:val="InstructionsTabelleberschrift"/>
                <w:sz w:val="24"/>
                <w:rFonts w:ascii="Times New Roman" w:hAnsi="Times New Roman"/>
              </w:rPr>
              <w:tab/>
            </w:r>
            <w:r>
              <w:rPr>
                <w:rStyle w:val="InstructionsTabelleberschrift"/>
                <w:sz w:val="24"/>
                <w:rFonts w:ascii="Times New Roman" w:hAnsi="Times New Roman"/>
              </w:rPr>
              <w:t xml:space="preserve">(–) Stvarne ili potencijalne obveze kupnje vlastitih instrumenata dodatnog osnovnog kapitala</w:t>
            </w:r>
          </w:p>
          <w:p w14:paraId="0B39AA4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56. točka (a) i članak 57. </w:t>
            </w:r>
            <w:r>
              <w:t xml:space="preserve"> Uredbe (EU) br. 575/2013</w:t>
            </w:r>
          </w:p>
          <w:p w14:paraId="3E46885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u w:val="none"/>
              </w:rPr>
              <w:t xml:space="preserve">U skladu s </w:t>
            </w:r>
            <w:r>
              <w:rPr>
                <w:rStyle w:val="FormatvorlageInstructionsTabelleText"/>
              </w:rPr>
              <w:t xml:space="preserve">člankom 56. točkom (a)</w:t>
            </w:r>
            <w:r>
              <w:t xml:space="preserve"> Uredbe (EU) br. 575/2013, odbijaju se </w:t>
            </w:r>
            <w:r>
              <w:rPr>
                <w:rStyle w:val="InstructionsTabelleberschrift"/>
                <w:b w:val="0"/>
                <w:sz w:val="24"/>
                <w:u w:val="none"/>
                <w:rFonts w:ascii="Times New Roman" w:hAnsi="Times New Roman"/>
              </w:rPr>
              <w:t xml:space="preserve">„</w:t>
            </w:r>
            <w:r>
              <w:t xml:space="preserve">vlastiti instrumenti dodatnog osnovnog kapitala za koje bi institucija mogla imati obvezu kupnje na temelju postojećih ugovornih obveza”.</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0660</w:t>
            </w:r>
          </w:p>
        </w:tc>
        <w:tc>
          <w:tcPr>
            <w:tcW w:w="7620" w:type="dxa"/>
          </w:tcPr>
          <w:p w14:paraId="78F0EE7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1.1.2.2.</w:t>
            </w:r>
            <w:r>
              <w:rPr>
                <w:rStyle w:val="InstructionsTabelleberschrift"/>
                <w:sz w:val="24"/>
                <w:rFonts w:ascii="Times New Roman" w:hAnsi="Times New Roman"/>
              </w:rPr>
              <w:tab/>
            </w:r>
            <w:r>
              <w:rPr>
                <w:rStyle w:val="InstructionsTabelleberschrift"/>
                <w:sz w:val="24"/>
                <w:rFonts w:ascii="Times New Roman" w:hAnsi="Times New Roman"/>
              </w:rPr>
              <w:t xml:space="preserve">Prijelazna usklađenja na temelju instrumenata dodatnog osnovnog kapitala koji se nastavljaju priznavati</w:t>
            </w:r>
          </w:p>
          <w:p w14:paraId="4DF87BE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483. stavci 4. i 5., članci od 484. do 487. i članci 489. i 491.</w:t>
            </w:r>
            <w:r>
              <w:t xml:space="preserve"> Uredbe (EU) br. 575/2013</w:t>
            </w:r>
          </w:p>
          <w:p w14:paraId="50B5594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instrumenata kapitala koji se nastavljaju priznavati u prijelaznom razdoblju kao dodatni osnovni kapital.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koji se iskazuje dobiva se izravno iz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0670</w:t>
            </w:r>
          </w:p>
        </w:tc>
        <w:tc>
          <w:tcPr>
            <w:tcW w:w="7620" w:type="dxa"/>
          </w:tcPr>
          <w:p w14:paraId="6E86816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društava kćeri koji su priznati u dodatnom osnovnom kapitalu</w:t>
            </w:r>
          </w:p>
          <w:p w14:paraId="391F334C" w14:textId="77777777" w:rsidR="00CC7D2C" w:rsidRPr="002A677E" w:rsidRDefault="00CC7D2C" w:rsidP="00320EFD">
            <w:pPr>
              <w:pStyle w:val="InstructionsText"/>
              <w:rPr>
                <w:rStyle w:val="FormatvorlageInstructionsTabelleText"/>
                <w:sz w:val="24"/>
                <w:rFonts w:ascii="Times New Roman" w:hAnsi="Times New Roman"/>
              </w:rPr>
            </w:pPr>
            <w:r>
              <w:t xml:space="preserve">Članci 83., 85. i 86. Uredbe (EU) br. 575/2013</w:t>
            </w:r>
          </w:p>
          <w:p w14:paraId="7CFFAD3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Zbroj svih iznosa kvalificiranog osnovnog kapitala društava kćeri koji je uključen u konsolidirani dodatni osnovni kapital.</w:t>
            </w:r>
          </w:p>
          <w:p w14:paraId="77A5298A" w14:textId="77777777" w:rsidR="00CC7D2C" w:rsidRPr="002A677E" w:rsidRDefault="00CC7D2C" w:rsidP="00320EFD">
            <w:pPr>
              <w:pStyle w:val="InstructionsText"/>
              <w:rPr>
                <w:rStyle w:val="FormatvorlageInstructionsTabelleText"/>
                <w:sz w:val="24"/>
                <w:rFonts w:ascii="Times New Roman" w:hAnsi="Times New Roman"/>
              </w:rPr>
            </w:pPr>
            <w:r>
              <w:t xml:space="preserve">Uključuje se kvalificirani dodatni osnovni kapital koji izdaje subjekt posebne namjene (članak 83. Uredbe (EU) br. 575/2013).</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0680</w:t>
            </w:r>
          </w:p>
        </w:tc>
        <w:tc>
          <w:tcPr>
            <w:tcW w:w="7620" w:type="dxa"/>
          </w:tcPr>
          <w:p w14:paraId="1E4C091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1.1.2.4.</w:t>
            </w:r>
            <w:r>
              <w:rPr>
                <w:rStyle w:val="InstructionsTabelleberschrift"/>
                <w:sz w:val="24"/>
                <w:rFonts w:ascii="Times New Roman" w:hAnsi="Times New Roman"/>
              </w:rPr>
              <w:tab/>
            </w:r>
            <w:r>
              <w:rPr>
                <w:rStyle w:val="InstructionsTabelleberschrift"/>
                <w:sz w:val="24"/>
                <w:rFonts w:ascii="Times New Roman" w:hAnsi="Times New Roman"/>
              </w:rPr>
              <w:t xml:space="preserve">Prijelazna usklađenja na temelju dodatnog priznavanja instrumenata društava kćeri u dodatnom osnovnom kapitalu</w:t>
            </w:r>
          </w:p>
          <w:p w14:paraId="6604AC5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480.</w:t>
            </w:r>
            <w:r>
              <w:t xml:space="preserve"> Uredbe (EU) br. 575/2013</w:t>
            </w:r>
          </w:p>
          <w:p w14:paraId="5C5547C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Usklađenja kvalificiranog osnovnog kapitala uključenog u konsolidirani dodatni osnovni kapital zbog prijelaznih odredaba.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Ova se stavka dobiva izravno iz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0690</w:t>
            </w:r>
          </w:p>
        </w:tc>
        <w:tc>
          <w:tcPr>
            <w:tcW w:w="7620" w:type="dxa"/>
          </w:tcPr>
          <w:p w14:paraId="04C1AD9C"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1.1.2.5.</w:t>
            </w:r>
            <w:r>
              <w:rPr>
                <w:rStyle w:val="InstructionsTabelleberschrift"/>
                <w:sz w:val="24"/>
                <w:rFonts w:ascii="Times New Roman" w:hAnsi="Times New Roman"/>
              </w:rPr>
              <w:tab/>
            </w:r>
            <w:r>
              <w:rPr>
                <w:rStyle w:val="InstructionsTabelleberschrift"/>
                <w:sz w:val="24"/>
                <w:rFonts w:ascii="Times New Roman" w:hAnsi="Times New Roman"/>
              </w:rPr>
              <w:t xml:space="preserve">(–) Recipročna međusobna ulaganja u dodatni osnovni kapital</w:t>
            </w:r>
          </w:p>
          <w:p w14:paraId="152DEC0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Članak 4. stavak 1. točka 122., članak 56. točka (b) i članak 58.</w:t>
            </w:r>
            <w:r>
              <w:t xml:space="preserve"> Uredbe (EU) br. 575/2013</w:t>
            </w:r>
          </w:p>
          <w:p w14:paraId="1DC47E6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Ulaganja u instrumente dodatnog kapitala subjekata financijskog sektora (kako su definirani u članku 4. stavku 1. točki 27.</w:t>
            </w:r>
            <w:r>
              <w:t xml:space="preserve"> Uredbe (EU) br. 575/2013</w:t>
            </w:r>
            <w:r>
              <w:rPr>
                <w:rStyle w:val="FormatvorlageInstructionsTabelleText"/>
                <w:sz w:val="24"/>
                <w:rFonts w:ascii="Times New Roman" w:hAnsi="Times New Roman"/>
              </w:rPr>
              <w:t xml:space="preserve">) ako postoji recipročno međusobno ulaganje za koje nadležno tijelo smatra da mu je cilj umjetno povećati regulatorni kapital institucije.</w:t>
            </w:r>
          </w:p>
          <w:p w14:paraId="1632995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izračunava se na osnovi bruto dugih pozicija i uključuje stavke osigurateljnog dodatnog osnovnog kapitala.</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0700</w:t>
            </w:r>
          </w:p>
        </w:tc>
        <w:tc>
          <w:tcPr>
            <w:tcW w:w="7620" w:type="dxa"/>
          </w:tcPr>
          <w:p w14:paraId="4ADE7D96"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1.1.2.6.</w:t>
            </w:r>
            <w:r>
              <w:rPr>
                <w:rStyle w:val="InstructionsTabelleberschrift"/>
                <w:sz w:val="24"/>
                <w:rFonts w:ascii="Times New Roman" w:hAnsi="Times New Roman"/>
              </w:rPr>
              <w:tab/>
            </w:r>
            <w:r>
              <w:rPr>
                <w:rStyle w:val="InstructionsTabelleberschrift"/>
                <w:sz w:val="24"/>
                <w:rFonts w:ascii="Times New Roman" w:hAnsi="Times New Roman"/>
              </w:rPr>
              <w:t xml:space="preserve">(–) Instrumenti dodatnog osnovnog kapitala subjekata financijskog sektora ako institucija nema značajno ulaganje</w:t>
            </w:r>
          </w:p>
          <w:p w14:paraId="5484CEA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27., članak 56. točka (c),</w:t>
            </w:r>
            <w:r>
              <w:rPr>
                <w:rStyle w:val="FormatvorlageInstructionsTabelleText"/>
                <w:sz w:val="24"/>
                <w:rFonts w:ascii="Times New Roman" w:hAnsi="Times New Roman"/>
              </w:rPr>
              <w:t xml:space="preserve"> </w:t>
            </w:r>
            <w:r>
              <w:t xml:space="preserve">članci 59., 60. i 79. Uredbe (EU) br. 575/2013</w:t>
            </w:r>
          </w:p>
          <w:p w14:paraId="05F839AE" w14:textId="77777777" w:rsidR="00CC7D2C" w:rsidRPr="002A677E" w:rsidRDefault="00CC7D2C" w:rsidP="00320EFD">
            <w:pPr>
              <w:pStyle w:val="InstructionsText"/>
              <w:rPr>
                <w:rStyle w:val="FormatvorlageInstructionsTabelleText"/>
                <w:sz w:val="24"/>
                <w:rFonts w:ascii="Times New Roman" w:hAnsi="Times New Roman"/>
              </w:rPr>
            </w:pPr>
            <w:r>
              <w:t xml:space="preserve">Dio ulaganja institucije u instrumente subjekata financijskog sektora (kako su definirani u članku 4. stavku 1. točki 27. Uredbe (EU) br. 575/2013) ako institucija nema značajno ulaganje koje je potrebno odbiti od redovnog osnovnog kapitala.</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620" w:type="dxa"/>
          </w:tcPr>
          <w:p w14:paraId="51226A5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1.1.2.7.</w:t>
            </w:r>
            <w:r>
              <w:rPr>
                <w:rStyle w:val="InstructionsTabelleberschrift"/>
                <w:sz w:val="24"/>
                <w:rFonts w:ascii="Times New Roman" w:hAnsi="Times New Roman"/>
              </w:rPr>
              <w:tab/>
            </w:r>
            <w:r>
              <w:rPr>
                <w:rStyle w:val="InstructionsTabelleberschrift"/>
                <w:sz w:val="24"/>
                <w:rFonts w:ascii="Times New Roman" w:hAnsi="Times New Roman"/>
              </w:rPr>
              <w:t xml:space="preserve">(–) Instrumenti dodatnog osnovnog kapitala subjekata financijskog sektora ako institucija ima značajno ulaganje</w:t>
            </w:r>
          </w:p>
          <w:p w14:paraId="30560816" w14:textId="77777777" w:rsidR="00CC7D2C" w:rsidRPr="002A677E" w:rsidRDefault="00CC7D2C" w:rsidP="00320EFD">
            <w:pPr>
              <w:pStyle w:val="InstructionsText"/>
              <w:rPr>
                <w:rStyle w:val="FormatvorlageInstructionsTabelleText"/>
                <w:sz w:val="24"/>
                <w:rFonts w:ascii="Times New Roman" w:hAnsi="Times New Roman"/>
              </w:rPr>
            </w:pPr>
            <w:r>
              <w:t xml:space="preserve">Članak 4. stavak 1. točka 27., članak 56. točka (d), članci 59 i 79. Uredbe (EU) br. 575/2013</w:t>
            </w:r>
          </w:p>
          <w:p w14:paraId="6F80F939" w14:textId="77777777" w:rsidR="00CC7D2C" w:rsidRPr="002A677E" w:rsidRDefault="00CC7D2C" w:rsidP="00320EFD">
            <w:pPr>
              <w:pStyle w:val="InstructionsText"/>
              <w:rPr>
                <w:rStyle w:val="FormatvorlageInstructionsTabelleText"/>
                <w:sz w:val="24"/>
                <w:rFonts w:ascii="Times New Roman" w:hAnsi="Times New Roman"/>
              </w:rPr>
            </w:pPr>
            <w:r>
              <w:t xml:space="preserve">Ulaganja institucije u instrumente dodatnog kapitala subjekata financijskog sektora (kako su definirani u članku 4. stavku 1. točki 27. Uredbe (EU) br. 575/2013) ako investicijsko društvo ima značajno ulaganje u cijelosti se odbijaju</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620" w:type="dxa"/>
          </w:tcPr>
          <w:p w14:paraId="2E18A0DF"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1.1.2.8.</w:t>
            </w:r>
            <w:r>
              <w:rPr>
                <w:rStyle w:val="InstructionsTabelleberschrift"/>
                <w:sz w:val="24"/>
                <w:rFonts w:ascii="Times New Roman" w:hAnsi="Times New Roman"/>
              </w:rPr>
              <w:tab/>
            </w:r>
            <w:r>
              <w:rPr>
                <w:rStyle w:val="InstructionsTabelleberschrift"/>
                <w:sz w:val="24"/>
                <w:rFonts w:ascii="Times New Roman" w:hAnsi="Times New Roman"/>
              </w:rPr>
              <w:t xml:space="preserve">(–) Odbitak od stavki dopunskog kapitala koji premašuje dopunski kapital</w:t>
            </w:r>
            <w:r>
              <w:rPr>
                <w:rStyle w:val="InstructionsTabelleberschrift"/>
                <w:sz w:val="24"/>
                <w:rFonts w:ascii="Times New Roman" w:hAnsi="Times New Roman"/>
              </w:rPr>
              <w:t xml:space="preserve"> </w:t>
            </w:r>
          </w:p>
          <w:p w14:paraId="01E05C03" w14:textId="77777777" w:rsidR="00CC7D2C" w:rsidRPr="002A677E" w:rsidRDefault="00CC7D2C" w:rsidP="00320EFD">
            <w:pPr>
              <w:pStyle w:val="InstructionsText"/>
              <w:rPr>
                <w:rStyle w:val="FormatvorlageInstructionsTabelleText"/>
                <w:sz w:val="24"/>
                <w:rFonts w:ascii="Times New Roman" w:hAnsi="Times New Roman"/>
              </w:rPr>
            </w:pPr>
            <w:r>
              <w:t xml:space="preserve">Članak 56. točka (e) Uredbe (EU) br. 575/2013</w:t>
            </w:r>
          </w:p>
          <w:p w14:paraId="1736A02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izravno se uzima iz obrasca CA1 stavke „Odbitak od stavki dopunskog kapitala koji premašuje dopunski kapital” (odbijen od dodatnog osnovnog kapitala).</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620" w:type="dxa"/>
          </w:tcPr>
          <w:p w14:paraId="5EA98D6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1.1.2.9.</w:t>
            </w:r>
            <w:r>
              <w:rPr>
                <w:rStyle w:val="InstructionsTabelleberschrift"/>
                <w:sz w:val="24"/>
                <w:rFonts w:ascii="Times New Roman" w:hAnsi="Times New Roman"/>
              </w:rPr>
              <w:tab/>
            </w:r>
            <w:r>
              <w:rPr>
                <w:rStyle w:val="InstructionsTabelleberschrift"/>
                <w:sz w:val="24"/>
                <w:rFonts w:ascii="Times New Roman" w:hAnsi="Times New Roman"/>
              </w:rPr>
              <w:t xml:space="preserve">Ostala prijelazna usklađenja dodatnog osnovnog kapitala</w:t>
            </w:r>
          </w:p>
          <w:p w14:paraId="29A3904D" w14:textId="337467D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Članci 472., 474., 475., 478. i 481. </w:t>
            </w:r>
            <w:r>
              <w:t xml:space="preserve">Uredbe (EU) br. 575/2013.</w:t>
            </w:r>
          </w:p>
          <w:p w14:paraId="02E3A90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Usklađenja zbog prijelaznih odredaba.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koji se iskazuje dobiva se izravno iz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0740</w:t>
            </w:r>
          </w:p>
        </w:tc>
        <w:tc>
          <w:tcPr>
            <w:tcW w:w="7620" w:type="dxa"/>
          </w:tcPr>
          <w:p w14:paraId="629D387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1.1.2.10.</w:t>
            </w:r>
            <w:r>
              <w:rPr>
                <w:rStyle w:val="InstructionsTabelleberschrift"/>
                <w:sz w:val="24"/>
                <w:rFonts w:ascii="Times New Roman" w:hAnsi="Times New Roman"/>
              </w:rPr>
              <w:tab/>
            </w:r>
            <w:r>
              <w:rPr>
                <w:rStyle w:val="InstructionsTabelleberschrift"/>
                <w:sz w:val="24"/>
                <w:rFonts w:ascii="Times New Roman" w:hAnsi="Times New Roman"/>
              </w:rPr>
              <w:t xml:space="preserve">Odbitak od stavki dodatnog osnovnog kapitala koji premašuje dodatni osnovni kapital (odbijen u redovnom osnovnom kapitalu)</w:t>
            </w:r>
          </w:p>
          <w:p w14:paraId="448C1EA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36. stavak 1. točka (j)</w:t>
            </w:r>
            <w:r>
              <w:t xml:space="preserve"> Uredbe (EU) br. 575/2013</w:t>
            </w:r>
          </w:p>
          <w:p w14:paraId="4E81867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Dodatni osnovni kapital ne može biti negativan, ali odbici dodatnog osnovnog kapitala mogu biti veći od dodatnog osnovnog kapitala uvećanog za povezanu premiju na dionice.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Ako se to dogodi, dodatni osnovni kapital mora biti jednak nuli, a višak odbitaka od dodatnog osnovnog kapitala mora se odbiti od redovnog osnovnog kapitala.</w:t>
            </w:r>
          </w:p>
          <w:p w14:paraId="5A10AF9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Ovom se stavkom postiže da zbroj stavki od 1.1.2.1. do 1.1.2.12. nikad nije manji od nule.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Ako ova stavka pokazuje pozitivnu vrijednost, stavka 1.1.1.16. ima vrijednost suprotnog predznaka.</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0744</w:t>
            </w:r>
          </w:p>
        </w:tc>
        <w:tc>
          <w:tcPr>
            <w:tcW w:w="7620" w:type="dxa"/>
          </w:tcPr>
          <w:p w14:paraId="1E400C3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1.1.2.11.</w:t>
            </w:r>
            <w:r>
              <w:rPr>
                <w:rStyle w:val="InstructionsTabelleberschrift"/>
                <w:sz w:val="24"/>
                <w:rFonts w:ascii="Times New Roman" w:hAnsi="Times New Roman"/>
              </w:rPr>
              <w:tab/>
            </w:r>
            <w:r>
              <w:rPr>
                <w:rStyle w:val="InstructionsTabelleberschrift"/>
                <w:sz w:val="24"/>
                <w:rFonts w:ascii="Times New Roman" w:hAnsi="Times New Roman"/>
              </w:rPr>
              <w:t xml:space="preserve">(–) Dodatni odbici od dodatnog osnovnog kapitala u skladu s člankom 3. Uredbe (EU) br. 575/2013</w:t>
            </w:r>
          </w:p>
          <w:p w14:paraId="1A20C9A9"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3.</w:t>
            </w:r>
            <w:r>
              <w:t xml:space="preserve"> Uredbe (EU) br.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0748</w:t>
            </w:r>
          </w:p>
        </w:tc>
        <w:tc>
          <w:tcPr>
            <w:tcW w:w="7620" w:type="dxa"/>
          </w:tcPr>
          <w:p w14:paraId="076B125F"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1.1.2.12.</w:t>
            </w:r>
            <w:r>
              <w:rPr>
                <w:rStyle w:val="InstructionsTabelleberschrift"/>
                <w:sz w:val="24"/>
                <w:rFonts w:ascii="Times New Roman" w:hAnsi="Times New Roman"/>
              </w:rPr>
              <w:tab/>
            </w:r>
            <w:r>
              <w:rPr>
                <w:rStyle w:val="InstructionsTabelleberschrift"/>
                <w:sz w:val="24"/>
                <w:rFonts w:ascii="Times New Roman" w:hAnsi="Times New Roman"/>
              </w:rPr>
              <w:t xml:space="preserve">Elementi ili odbici od dodatnog osnovnog kapitala – ostalo</w:t>
            </w:r>
          </w:p>
          <w:p w14:paraId="31AC8BE6"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Svrha ovog retka je fleksibilnost isključivo za potrebe izvješćivanja.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Popunjava se samo u rijetkim slučajevima kad ne postoji konačna odluka o iskazivanju specifičnih stavki/odbitaka kapitala u postojećom obrascu CA1.</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Stoga se ovaj redak popunjava samo ako se element dodatnog osnovnog kapitala ili odbitak elementa dodatnog osnovnog kapitala ne može rasporediti u jedan od redaka od 530 do 744.</w:t>
            </w:r>
            <w:r>
              <w:rPr>
                <w:rStyle w:val="InstructionsTabelleberschrift"/>
                <w:b w:val="0"/>
                <w:sz w:val="24"/>
                <w:u w:val="none"/>
                <w:rFonts w:ascii="Times New Roman" w:hAnsi="Times New Roman"/>
              </w:rPr>
              <w:t xml:space="preserve"> </w:t>
            </w:r>
          </w:p>
          <w:p w14:paraId="437FB1AC"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Ovaj se redak ne koristi za uključivanje stavki kapitala/odbitaka koji nisu obuhvaćeni Uredbom (EU) br. 575/2013 u izračun stopa solventnosti (npr. uključivanje nacionalnih stavki kapitala/odbitaka koji su izvan područja primjene te uredbe).</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0750</w:t>
            </w:r>
          </w:p>
        </w:tc>
        <w:tc>
          <w:tcPr>
            <w:tcW w:w="7620" w:type="dxa"/>
          </w:tcPr>
          <w:p w14:paraId="3981C27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DOPUNSKI KAPITAL</w:t>
            </w:r>
          </w:p>
          <w:p w14:paraId="420D26D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71.</w:t>
            </w:r>
            <w:r>
              <w:t xml:space="preserve"> Uredbe (EU) br.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0760</w:t>
            </w:r>
          </w:p>
        </w:tc>
        <w:tc>
          <w:tcPr>
            <w:tcW w:w="7620" w:type="dxa"/>
          </w:tcPr>
          <w:p w14:paraId="7D207E3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kapitala i premija na dionice koji se priznaju kao dopunski kapital</w:t>
            </w:r>
          </w:p>
          <w:p w14:paraId="629702D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62. točka (a), članci od 63. do 65., članak 66. točka (a) i članak 67</w:t>
            </w:r>
            <w:r>
              <w:t xml:space="preserve">. Uredbe (EU) br.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0771</w:t>
            </w:r>
          </w:p>
        </w:tc>
        <w:tc>
          <w:tcPr>
            <w:tcW w:w="7620" w:type="dxa"/>
          </w:tcPr>
          <w:p w14:paraId="180ACEC3"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1.2.1.1.</w:t>
            </w:r>
            <w:r>
              <w:rPr>
                <w:rStyle w:val="InstructionsTabelleberschrift"/>
                <w:sz w:val="24"/>
                <w:rFonts w:ascii="Times New Roman" w:hAnsi="Times New Roman"/>
              </w:rPr>
              <w:tab/>
            </w:r>
            <w:r>
              <w:rPr>
                <w:rStyle w:val="InstructionsTabelleberschrift"/>
                <w:sz w:val="24"/>
                <w:rFonts w:ascii="Times New Roman" w:hAnsi="Times New Roman"/>
              </w:rPr>
              <w:t xml:space="preserve">U potpunosti plaćeni, izravno izdani instrumenti kapitala</w:t>
            </w:r>
          </w:p>
          <w:p w14:paraId="71AACDA1" w14:textId="77777777" w:rsidR="00CC7D2C" w:rsidRPr="002A677E" w:rsidRDefault="00CC7D2C" w:rsidP="00320EFD">
            <w:pPr>
              <w:pStyle w:val="InstructionsText"/>
              <w:rPr>
                <w:rStyle w:val="FormatvorlageInstructionsTabelleText"/>
                <w:sz w:val="24"/>
                <w:rFonts w:ascii="Times New Roman" w:hAnsi="Times New Roman"/>
              </w:rPr>
            </w:pPr>
            <w:r>
              <w:t xml:space="preserve">Članak 62. točka (a) te članci 63. i 65. Uredbe (EU) br. 575/2013</w:t>
            </w:r>
          </w:p>
          <w:p w14:paraId="409F7B9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premiju na dionice povezanu s instrumentima.</w:t>
            </w:r>
            <w:r>
              <w:rPr>
                <w:rStyle w:val="FormatvorlageInstructionsTabelleText"/>
                <w:sz w:val="24"/>
                <w:rFonts w:ascii="Times New Roman" w:hAnsi="Times New Roman"/>
              </w:rPr>
              <w:t xml:space="preserve"> </w:t>
            </w:r>
          </w:p>
          <w:p w14:paraId="4154610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kapitala mogu biti u obliku vlasničkih instrumenata ili obveza, uključujući podređene kredite koji ispunjavaju kriterije prihvatljivosti.</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0780</w:t>
            </w:r>
          </w:p>
        </w:tc>
        <w:tc>
          <w:tcPr>
            <w:tcW w:w="7620" w:type="dxa"/>
          </w:tcPr>
          <w:p w14:paraId="5AD11D11"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1.2.1.2. (*)</w:t>
            </w:r>
            <w:r>
              <w:rPr>
                <w:rStyle w:val="InstructionsTabelleberschrift"/>
                <w:sz w:val="24"/>
                <w:rFonts w:ascii="Times New Roman" w:hAnsi="Times New Roman"/>
              </w:rPr>
              <w:tab/>
            </w:r>
            <w:r>
              <w:rPr>
                <w:rStyle w:val="InstructionsTabelleberschrift"/>
                <w:sz w:val="24"/>
                <w:rFonts w:ascii="Times New Roman" w:hAnsi="Times New Roman"/>
              </w:rPr>
              <w:t xml:space="preserve">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kapitala</w:t>
            </w:r>
            <w:r>
              <w:t xml:space="preserve"> </w:t>
            </w:r>
            <w:r>
              <w:rPr>
                <w:rStyle w:val="InstructionsTabelleberschrift"/>
                <w:sz w:val="24"/>
                <w:rFonts w:ascii="Times New Roman" w:hAnsi="Times New Roman"/>
              </w:rPr>
              <w:t xml:space="preserve">koji se ne priznaju</w:t>
            </w:r>
          </w:p>
          <w:p w14:paraId="235500D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63. točke (c), (e) i (f) i članak 64.</w:t>
            </w:r>
            <w:r>
              <w:t xml:space="preserve"> Uredbe (EU) br. 575/2013</w:t>
            </w:r>
          </w:p>
          <w:p w14:paraId="0F0E765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Uvjeti u tim točkama odražavaju različite pozicije kapitala koje su reverzibilne i stoga se iznos koji se ovdje iskazuje može priznati u naknadnim razdobljima.</w:t>
            </w:r>
          </w:p>
          <w:p w14:paraId="38DF154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ne uključuje premiju na dionice povezanu s instrumentima.</w:t>
            </w:r>
          </w:p>
          <w:p w14:paraId="6140935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kapitala mogu biti u obliku vlasničkih instrumenata ili obveza, uključujući podređene kredite.</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0791</w:t>
            </w:r>
          </w:p>
        </w:tc>
        <w:tc>
          <w:tcPr>
            <w:tcW w:w="7620" w:type="dxa"/>
          </w:tcPr>
          <w:p w14:paraId="3E5280AD"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1.2.1.3.</w:t>
            </w:r>
            <w:r>
              <w:rPr>
                <w:rStyle w:val="InstructionsTabelleberschrift"/>
                <w:sz w:val="24"/>
                <w:rFonts w:ascii="Times New Roman" w:hAnsi="Times New Roman"/>
              </w:rPr>
              <w:tab/>
            </w:r>
            <w:r>
              <w:rPr>
                <w:rStyle w:val="InstructionsTabelleberschrift"/>
                <w:sz w:val="24"/>
                <w:rFonts w:ascii="Times New Roman" w:hAnsi="Times New Roman"/>
              </w:rPr>
              <w:t xml:space="preserve">Premija na dionice</w:t>
            </w:r>
          </w:p>
          <w:p w14:paraId="7E1F37D9" w14:textId="77777777" w:rsidR="00CC7D2C" w:rsidRPr="002A677E" w:rsidRDefault="00CC7D2C" w:rsidP="00320EFD">
            <w:pPr>
              <w:pStyle w:val="InstructionsText"/>
              <w:rPr>
                <w:rStyle w:val="FormatvorlageInstructionsTabelleText"/>
                <w:sz w:val="24"/>
                <w:rFonts w:ascii="Times New Roman" w:hAnsi="Times New Roman"/>
              </w:rPr>
            </w:pPr>
            <w:r>
              <w:t xml:space="preserve">Članak 62. točka (b) i članak 65. Uredbe (EU) br. 575/2013</w:t>
            </w:r>
          </w:p>
          <w:p w14:paraId="0EAE793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Premija na dionice ima isto značenje kao i u primjenjivom računovodstvenom standardu.</w:t>
            </w:r>
            <w:r>
              <w:rPr>
                <w:rStyle w:val="FormatvorlageInstructionsTabelleText"/>
                <w:sz w:val="24"/>
                <w:rFonts w:ascii="Times New Roman" w:hAnsi="Times New Roman"/>
              </w:rPr>
              <w:t xml:space="preserve"> </w:t>
            </w:r>
          </w:p>
          <w:p w14:paraId="566D16B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u ovoj stavci dio je koji se odnosi na „u potpunosti plaćene i izravno izdane instrumente kapitala”.</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0800</w:t>
            </w:r>
          </w:p>
        </w:tc>
        <w:tc>
          <w:tcPr>
            <w:tcW w:w="7620" w:type="dxa"/>
          </w:tcPr>
          <w:p w14:paraId="54C1E67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w:t>
            </w:r>
            <w:r>
              <w:rPr>
                <w:rStyle w:val="InstructionsTabelleberschrift"/>
                <w:sz w:val="24"/>
                <w:rFonts w:ascii="Times New Roman" w:hAnsi="Times New Roman"/>
              </w:rPr>
              <w:tab/>
            </w:r>
            <w:r>
              <w:rPr>
                <w:rStyle w:val="InstructionsTabelleberschrift"/>
                <w:sz w:val="24"/>
                <w:rFonts w:ascii="Times New Roman" w:hAnsi="Times New Roman"/>
              </w:rPr>
              <w:t xml:space="preserve">(–) Vlastiti instrumenti dopunskog kapitala</w:t>
            </w:r>
          </w:p>
          <w:p w14:paraId="2DB350D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t xml:space="preserve">Članak 63. točka (b) podtočka i., članak 66. točka (a) i članak 67. Uredbe (EU) br. 575/2013</w:t>
            </w:r>
          </w:p>
          <w:p w14:paraId="53318B1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Vlastiti instrumenti dopunskog kapitala koje drži institucija koja izvješćuje ili grupa na izvještajni datum i iznosi instrumenata dopunskog kapitala koji se odbijaju u skladu s člankom 28. stavkom 2. Delegirane uredbe Komisije (EU) br. 241/2014.</w:t>
            </w:r>
            <w:r>
              <w:rPr>
                <w:rStyle w:val="FormatvorlageInstructionsTabelleText"/>
                <w:sz w:val="24"/>
                <w:rFonts w:ascii="Times New Roman" w:hAnsi="Times New Roman"/>
              </w:rPr>
              <w:t xml:space="preserve"> </w:t>
            </w:r>
            <w:r>
              <w:t xml:space="preserve">Uz iznimke iz članka 67. Uredbe (EU) br. 575/2013.</w:t>
            </w:r>
          </w:p>
          <w:p w14:paraId="2EB0FD2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 ovom se retku ne iskazuju ulaganja u dionice uključena kao „instrumenti kapitala koji se ne priznaju”.</w:t>
            </w:r>
          </w:p>
          <w:p w14:paraId="56EC327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uključuje premiju na dionice povezanu s vlastitim dionicama.</w:t>
            </w:r>
          </w:p>
          <w:p w14:paraId="3E5981CF"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Stavke od 1.2.1.4. do 1.2.1.4.3. ne uključuju stvarne ili potencijalne obveze kupnje vlastitih instrumenata dopunskog kapitala.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Stvarne ili potencijalne obveze kupnje vlastitih instrumenata dopunskog kapitala iskazuju se zasebno u stavci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0810</w:t>
            </w:r>
          </w:p>
        </w:tc>
        <w:tc>
          <w:tcPr>
            <w:tcW w:w="7620" w:type="dxa"/>
          </w:tcPr>
          <w:p w14:paraId="3CA7119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1.2.1.4.1.</w:t>
            </w:r>
            <w:r>
              <w:rPr>
                <w:rStyle w:val="InstructionsTabelleberschrift"/>
                <w:sz w:val="24"/>
                <w:rFonts w:ascii="Times New Roman" w:hAnsi="Times New Roman"/>
              </w:rPr>
              <w:tab/>
            </w:r>
            <w:r>
              <w:rPr>
                <w:rStyle w:val="InstructionsTabelleberschrift"/>
                <w:sz w:val="24"/>
                <w:rFonts w:ascii="Times New Roman" w:hAnsi="Times New Roman"/>
              </w:rPr>
              <w:t xml:space="preserve">(–) Izravna ulaganja u instrumente dopunskog kapitala</w:t>
            </w:r>
          </w:p>
          <w:p w14:paraId="705A575E" w14:textId="77777777" w:rsidR="00CC7D2C" w:rsidRPr="002A677E" w:rsidRDefault="00CC7D2C" w:rsidP="00320EFD">
            <w:pPr>
              <w:pStyle w:val="InstructionsText"/>
              <w:rPr>
                <w:rStyle w:val="FormatvorlageInstructionsTabelleText"/>
                <w:sz w:val="24"/>
                <w:rFonts w:ascii="Times New Roman" w:hAnsi="Times New Roman"/>
              </w:rPr>
            </w:pPr>
            <w:r>
              <w:t xml:space="preserve">Članak 63. točka (b), članak 66. točka (a) i članak 67. Uredbe (EU) br. 575/2013</w:t>
            </w:r>
          </w:p>
          <w:p w14:paraId="54D6B3F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Instrumenti dopunskog kapitala uključeni u stavku 1.2.1.1. koje drže institucije konsolidirane grupe i iznosi instrumenata dopunskog kapitala koji se odbijaju u skladu s člankom 28. stavkom 2. Delegirane uredbe (EU) br. 241/2014.</w:t>
            </w:r>
            <w:r>
              <w:rPr>
                <w:rStyle w:val="FormatvorlageInstructionsTabelleText"/>
                <w:sz w:val="24"/>
                <w:rFonts w:ascii="Times New Roman" w:hAnsi="Times New Roman"/>
              </w:rPr>
              <w:t xml:space="preserve">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0840</w:t>
            </w:r>
          </w:p>
        </w:tc>
        <w:tc>
          <w:tcPr>
            <w:tcW w:w="7620" w:type="dxa"/>
          </w:tcPr>
          <w:p w14:paraId="6E16CD3C"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1.2.1.4.2.</w:t>
            </w:r>
            <w:r>
              <w:rPr>
                <w:rStyle w:val="InstructionsTabelleberschrift"/>
                <w:sz w:val="24"/>
                <w:rFonts w:ascii="Times New Roman" w:hAnsi="Times New Roman"/>
              </w:rPr>
              <w:tab/>
            </w:r>
            <w:r>
              <w:rPr>
                <w:rStyle w:val="InstructionsTabelleberschrift"/>
                <w:sz w:val="24"/>
                <w:rFonts w:ascii="Times New Roman" w:hAnsi="Times New Roman"/>
              </w:rPr>
              <w:t xml:space="preserve">(–) Neizravna ulaganja u instrumente dopunskog kapitala</w:t>
            </w:r>
          </w:p>
          <w:p w14:paraId="7BCC617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 </w:t>
            </w:r>
            <w:r>
              <w:t xml:space="preserve">Članak 4. stavak 1. točka 114., članak 63. točka (b), članak 66. točka (a) i članak 67. Uredbe (EU) br.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0841</w:t>
            </w:r>
          </w:p>
        </w:tc>
        <w:tc>
          <w:tcPr>
            <w:tcW w:w="7620" w:type="dxa"/>
          </w:tcPr>
          <w:p w14:paraId="6098845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1.2.1.4.3.</w:t>
            </w:r>
            <w:r>
              <w:rPr>
                <w:rStyle w:val="InstructionsTabelleberschrift"/>
                <w:sz w:val="24"/>
                <w:rFonts w:ascii="Times New Roman" w:hAnsi="Times New Roman"/>
              </w:rPr>
              <w:tab/>
            </w:r>
            <w:r>
              <w:rPr>
                <w:rStyle w:val="InstructionsTabelleberschrift"/>
                <w:sz w:val="24"/>
                <w:rFonts w:ascii="Times New Roman" w:hAnsi="Times New Roman"/>
              </w:rPr>
              <w:t xml:space="preserve">(–) Sintetska ulaganja u instrumente dopunskog kapitala</w:t>
            </w:r>
          </w:p>
          <w:p w14:paraId="561A4C8E"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Članak 4. stavak 1. točka 126., članak 63. točka (b), članak 66. točka (a) i članak 67. Uredbe (EU) br.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0842</w:t>
            </w:r>
          </w:p>
        </w:tc>
        <w:tc>
          <w:tcPr>
            <w:tcW w:w="7620" w:type="dxa"/>
          </w:tcPr>
          <w:p w14:paraId="42E32DC0" w14:textId="77777777" w:rsidR="00CC7D2C" w:rsidRPr="002A677E" w:rsidRDefault="00CC7D2C" w:rsidP="00320EFD">
            <w:pPr>
              <w:pStyle w:val="InstructionsText"/>
              <w:rPr>
                <w:rStyle w:val="InstructionsTabelleberschrift"/>
                <w:b w:val="0"/>
                <w:sz w:val="24"/>
                <w:rFonts w:ascii="Times New Roman" w:hAnsi="Times New Roman"/>
              </w:rPr>
            </w:pPr>
            <w:r>
              <w:rPr>
                <w:rStyle w:val="InstructionsTabelleberschrift"/>
                <w:sz w:val="24"/>
                <w:rFonts w:ascii="Times New Roman" w:hAnsi="Times New Roman"/>
              </w:rPr>
              <w:t xml:space="preserve">1.2.1.5.</w:t>
            </w:r>
            <w:r>
              <w:rPr>
                <w:rStyle w:val="InstructionsTabelleberschrift"/>
                <w:sz w:val="24"/>
                <w:rFonts w:ascii="Times New Roman" w:hAnsi="Times New Roman"/>
              </w:rPr>
              <w:tab/>
            </w:r>
            <w:r>
              <w:rPr>
                <w:rStyle w:val="InstructionsTabelleberschrift"/>
                <w:sz w:val="24"/>
                <w:rFonts w:ascii="Times New Roman" w:hAnsi="Times New Roman"/>
              </w:rPr>
              <w:t xml:space="preserve">(–) Stvarne ili potencijalne obveze kupnje vlastitih instrumenata dopunskog kapitala</w:t>
            </w:r>
          </w:p>
          <w:p w14:paraId="205EFE83"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66. točka (a) i članak 67. </w:t>
            </w:r>
            <w:r>
              <w:t xml:space="preserve"> Uredbe (EU) br. 575/2013</w:t>
            </w:r>
          </w:p>
          <w:p w14:paraId="7756A04F"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U skladu s člankom 66. točkom (a) Uredbe (EU) br. 575/2013, odbijaju se „vlastiti instrumenti dopunskog kapitala za koje bi institucija mogla imati obvezu kupnje na temelju postojećih ugovornih obveza”.</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0880</w:t>
            </w:r>
          </w:p>
        </w:tc>
        <w:tc>
          <w:tcPr>
            <w:tcW w:w="7620" w:type="dxa"/>
          </w:tcPr>
          <w:p w14:paraId="55E4792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Prijelazna usklađenja na temelju instrumenata dopunskog kapitala koji se nastavljaju priznavati</w:t>
            </w:r>
            <w:r>
              <w:rPr>
                <w:rStyle w:val="InstructionsTabelleberschrift"/>
                <w:sz w:val="24"/>
                <w:rFonts w:ascii="Times New Roman" w:hAnsi="Times New Roman"/>
              </w:rPr>
              <w:t xml:space="preserve"> </w:t>
            </w:r>
          </w:p>
          <w:p w14:paraId="3907A26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483. stavci 6. i 7., članci 484., 486., 488., 490. i 491.</w:t>
            </w:r>
            <w:r>
              <w:t xml:space="preserve"> Uredbe (EU) br. 575/2013</w:t>
            </w:r>
          </w:p>
          <w:p w14:paraId="74EE4B31"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instrumenata kapitala koji se nastavljaju priznavati u prijelaznom razdoblju kao dopunski kapital.</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koji se iskazuje dobiva se izravno iz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0890</w:t>
            </w:r>
          </w:p>
        </w:tc>
        <w:tc>
          <w:tcPr>
            <w:tcW w:w="7620" w:type="dxa"/>
          </w:tcPr>
          <w:p w14:paraId="2FAB57E9"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društava kćeri koji su priznati u dopunskom kapitalu</w:t>
            </w:r>
          </w:p>
          <w:p w14:paraId="5B585704" w14:textId="77777777" w:rsidR="00CC7D2C" w:rsidRPr="002A677E" w:rsidRDefault="00CC7D2C" w:rsidP="00320EFD">
            <w:pPr>
              <w:pStyle w:val="InstructionsText"/>
              <w:rPr>
                <w:rStyle w:val="FormatvorlageInstructionsTabelleText"/>
                <w:sz w:val="24"/>
                <w:rFonts w:ascii="Times New Roman" w:hAnsi="Times New Roman"/>
              </w:rPr>
            </w:pPr>
            <w:r>
              <w:t xml:space="preserve">Članci 83., 87. i 88. Uredbe (EU) br. 575/2013</w:t>
            </w:r>
          </w:p>
          <w:p w14:paraId="670F185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Zbroj svih iznosa kvalificiranog regulatornog kapitala društava kćeri koji je uključen u konsolidirani dopunski kapital</w:t>
            </w:r>
          </w:p>
          <w:p w14:paraId="49255397" w14:textId="77777777" w:rsidR="00CC7D2C" w:rsidRPr="002A677E" w:rsidRDefault="00CC7D2C" w:rsidP="00320EFD">
            <w:pPr>
              <w:pStyle w:val="InstructionsText"/>
              <w:rPr>
                <w:rStyle w:val="FormatvorlageInstructionsTabelleText"/>
                <w:sz w:val="24"/>
                <w:rFonts w:ascii="Times New Roman" w:hAnsi="Times New Roman"/>
              </w:rPr>
            </w:pPr>
            <w:r>
              <w:t xml:space="preserve">Uključuje se kvalificirani dopunski kapital koji izdaje subjekt posebne namjene (članak 83. Uredbe (EU) br. 575/2013).</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0900</w:t>
            </w:r>
          </w:p>
        </w:tc>
        <w:tc>
          <w:tcPr>
            <w:tcW w:w="7620" w:type="dxa"/>
          </w:tcPr>
          <w:p w14:paraId="416FE26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1.2.4.</w:t>
            </w:r>
            <w:r>
              <w:rPr>
                <w:rStyle w:val="InstructionsTabelleberschrift"/>
                <w:sz w:val="24"/>
                <w:rFonts w:ascii="Times New Roman" w:hAnsi="Times New Roman"/>
              </w:rPr>
              <w:tab/>
            </w:r>
            <w:r>
              <w:rPr>
                <w:rStyle w:val="InstructionsTabelleberschrift"/>
                <w:sz w:val="24"/>
                <w:rFonts w:ascii="Times New Roman" w:hAnsi="Times New Roman"/>
              </w:rPr>
              <w:t xml:space="preserve">Prijelazna usklađenja na temelju dodatnog priznavanja instrumenata društava kćeri u dopunskom kapitalu</w:t>
            </w:r>
          </w:p>
          <w:p w14:paraId="7C4C49E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480.</w:t>
            </w:r>
            <w:r>
              <w:t xml:space="preserve"> Uredbe (EU) br. 575/2013</w:t>
            </w:r>
          </w:p>
          <w:p w14:paraId="15BBF24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Usklađenja kvalificiranog regulatornog kapitala uključenog u konsolidirani dopunski kapital zbog prijelaznih odredaba.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Ova se stavka dobiva izravno iz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0910</w:t>
            </w:r>
          </w:p>
        </w:tc>
        <w:tc>
          <w:tcPr>
            <w:tcW w:w="7620" w:type="dxa"/>
          </w:tcPr>
          <w:p w14:paraId="2CC148E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1.2.5.</w:t>
            </w:r>
            <w:r>
              <w:rPr>
                <w:rStyle w:val="InstructionsTabelleberschrift"/>
                <w:sz w:val="24"/>
                <w:rFonts w:ascii="Times New Roman" w:hAnsi="Times New Roman"/>
              </w:rPr>
              <w:tab/>
            </w:r>
            <w:r>
              <w:rPr>
                <w:rStyle w:val="InstructionsTabelleberschrift"/>
                <w:sz w:val="24"/>
                <w:rFonts w:ascii="Times New Roman" w:hAnsi="Times New Roman"/>
              </w:rPr>
              <w:t xml:space="preserve">Priznati iznos viška rezervacija iznad očekivanih gubitaka primjenom IRB pristupa</w:t>
            </w:r>
          </w:p>
          <w:p w14:paraId="0E163FA1" w14:textId="77777777" w:rsidR="00CC7D2C" w:rsidRPr="002A677E" w:rsidRDefault="00CC7D2C" w:rsidP="00320EFD">
            <w:pPr>
              <w:pStyle w:val="InstructionsText"/>
              <w:rPr>
                <w:rStyle w:val="FormatvorlageInstructionsTabelleText"/>
                <w:sz w:val="24"/>
                <w:rFonts w:ascii="Times New Roman" w:hAnsi="Times New Roman"/>
              </w:rPr>
            </w:pPr>
            <w:r>
              <w:t xml:space="preserve">Članak 62. točka (d) Uredbe (EU) br. 575/2013</w:t>
            </w:r>
          </w:p>
          <w:p w14:paraId="0693AD1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Za institucije koje izračunavaju iznose izloženosti ponderirane rizikom u skladu s IRB pristupom ova stavka sadržava pozitivne iznose koji proizlaze iz usporedbe rezervacija i očekivanih gubitaka koji se priznaju kao dopunski kapital.</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0920</w:t>
            </w:r>
          </w:p>
        </w:tc>
        <w:tc>
          <w:tcPr>
            <w:tcW w:w="7620" w:type="dxa"/>
          </w:tcPr>
          <w:p w14:paraId="0C3C6BA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1.2.6.</w:t>
            </w:r>
            <w:r>
              <w:rPr>
                <w:rStyle w:val="InstructionsTabelleberschrift"/>
                <w:sz w:val="24"/>
                <w:rFonts w:ascii="Times New Roman" w:hAnsi="Times New Roman"/>
              </w:rPr>
              <w:tab/>
            </w:r>
            <w:r>
              <w:rPr>
                <w:rStyle w:val="InstructionsTabelleberschrift"/>
                <w:sz w:val="24"/>
                <w:rFonts w:ascii="Times New Roman" w:hAnsi="Times New Roman"/>
              </w:rPr>
              <w:t xml:space="preserve">Opći ispravci vrijednosti za kreditni rizik u skladu sa standardiziranim pristupom</w:t>
            </w:r>
          </w:p>
          <w:p w14:paraId="04FB02A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62. točka (c)</w:t>
            </w:r>
            <w:r>
              <w:t xml:space="preserve"> Uredbe (EU) br. 575/2013</w:t>
            </w:r>
          </w:p>
          <w:p w14:paraId="2CA13C0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Za institucije koje izračunavaju iznose izloženosti ponderirane rizikom u skladu sa standardiziranim pristupom, ova stavka sadržava opće ispravke vrijednosti za kreditni rizik koji se priznaju kao dopunski kapital.</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0930</w:t>
            </w:r>
          </w:p>
        </w:tc>
        <w:tc>
          <w:tcPr>
            <w:tcW w:w="7620" w:type="dxa"/>
          </w:tcPr>
          <w:p w14:paraId="2849C07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1.2.7.</w:t>
            </w:r>
            <w:r>
              <w:rPr>
                <w:rStyle w:val="InstructionsTabelleberschrift"/>
                <w:sz w:val="24"/>
                <w:rFonts w:ascii="Times New Roman" w:hAnsi="Times New Roman"/>
              </w:rPr>
              <w:tab/>
            </w:r>
            <w:r>
              <w:rPr>
                <w:rStyle w:val="InstructionsTabelleberschrift"/>
                <w:sz w:val="24"/>
                <w:rFonts w:ascii="Times New Roman" w:hAnsi="Times New Roman"/>
              </w:rPr>
              <w:t xml:space="preserve">(–) Recipročna međusobna ulaganja u dopunski kapital</w:t>
            </w:r>
          </w:p>
          <w:p w14:paraId="3068E48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4. stavak 1. točka 122., članak 66. točka (b) i članak 68.</w:t>
            </w:r>
            <w:r>
              <w:t xml:space="preserve"> Uredbe (EU) br. 575/2013</w:t>
            </w:r>
          </w:p>
          <w:p w14:paraId="4313E65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Ulaganja u instrumente dopunskog kapitala subjekata financijskog sektora (kako su definirani u članku 4. stavku 1. točki 27.</w:t>
            </w:r>
            <w:r>
              <w:t xml:space="preserve"> Uredbe (EU) br. 575/2013</w:t>
            </w:r>
            <w:r>
              <w:rPr>
                <w:rStyle w:val="FormatvorlageInstructionsTabelleText"/>
                <w:sz w:val="24"/>
                <w:rFonts w:ascii="Times New Roman" w:hAnsi="Times New Roman"/>
              </w:rPr>
              <w:t xml:space="preserve">) ako postoji recipročno međusobno ulaganje za koje nadležno tijelo smatra da mu je cilj umjetno povećati regulatorni kapital institucije.</w:t>
            </w:r>
          </w:p>
          <w:p w14:paraId="6D783C2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Iznos koji se iskazuje izračunava se na osnovi bruto dugih pozicija i uključuje stavke osigurateljnog dopunskog kapitala i dopunskog kapitala II.</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0940</w:t>
            </w:r>
          </w:p>
        </w:tc>
        <w:tc>
          <w:tcPr>
            <w:tcW w:w="7620" w:type="dxa"/>
          </w:tcPr>
          <w:p w14:paraId="422EA28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1.2.8.</w:t>
            </w:r>
            <w:r>
              <w:rPr>
                <w:rStyle w:val="InstructionsTabelleberschrift"/>
                <w:sz w:val="24"/>
                <w:rFonts w:ascii="Times New Roman" w:hAnsi="Times New Roman"/>
              </w:rPr>
              <w:tab/>
            </w:r>
            <w:r>
              <w:rPr>
                <w:rStyle w:val="InstructionsTabelleberschrift"/>
                <w:sz w:val="24"/>
                <w:rFonts w:ascii="Times New Roman" w:hAnsi="Times New Roman"/>
              </w:rPr>
              <w:t xml:space="preserve">(–) Instrumenti dopunskog kapitala subjekata financijskog sektora ako institucija nema značajno ulaganje</w:t>
            </w:r>
          </w:p>
          <w:p w14:paraId="121E0D4E" w14:textId="77777777" w:rsidR="00CC7D2C" w:rsidRPr="002A677E" w:rsidRDefault="00CC7D2C" w:rsidP="00320EFD">
            <w:pPr>
              <w:pStyle w:val="InstructionsText"/>
              <w:rPr>
                <w:rStyle w:val="FormatvorlageInstructionsTabelleText"/>
                <w:sz w:val="24"/>
                <w:rFonts w:ascii="Times New Roman" w:hAnsi="Times New Roman"/>
              </w:rPr>
            </w:pPr>
            <w:r>
              <w:t xml:space="preserve">Članak 4. stavak 1. točka 27., članak 66. točka (c), članci od 68. do 70. i članak 79. Uredbe (EU) br. 575/2013</w:t>
            </w:r>
          </w:p>
          <w:p w14:paraId="25F13145" w14:textId="77777777" w:rsidR="00CC7D2C" w:rsidRPr="002A677E" w:rsidRDefault="00CC7D2C" w:rsidP="00320EFD">
            <w:pPr>
              <w:pStyle w:val="InstructionsText"/>
              <w:rPr>
                <w:rStyle w:val="FormatvorlageInstructionsTabelleText"/>
                <w:sz w:val="24"/>
                <w:rFonts w:ascii="Times New Roman" w:hAnsi="Times New Roman"/>
              </w:rPr>
            </w:pPr>
            <w:r>
              <w:t xml:space="preserve">Dio ulaganja institucije u instrumente subjekata financijskog sektora (kako su definirani u članku 4. stavku 1. točki 27. Uredbe (EU) br. 575/2013) ako institucija nema značajno ulaganje koje je potrebno odbiti od dopunskog kapitala.</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0950</w:t>
            </w:r>
          </w:p>
        </w:tc>
        <w:tc>
          <w:tcPr>
            <w:tcW w:w="7620" w:type="dxa"/>
          </w:tcPr>
          <w:p w14:paraId="7636D304"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1.2.9.</w:t>
            </w:r>
            <w:r>
              <w:rPr>
                <w:rStyle w:val="InstructionsTabelleberschrift"/>
                <w:sz w:val="24"/>
                <w:rFonts w:ascii="Times New Roman" w:hAnsi="Times New Roman"/>
              </w:rPr>
              <w:tab/>
            </w:r>
            <w:r>
              <w:rPr>
                <w:rStyle w:val="InstructionsTabelleberschrift"/>
                <w:sz w:val="24"/>
                <w:rFonts w:ascii="Times New Roman" w:hAnsi="Times New Roman"/>
              </w:rPr>
              <w:t xml:space="preserve">(–) Instrumenti dopunskog kapitala subjekata financijskog sektora ako institucija ima značajno ulaganje</w:t>
            </w:r>
          </w:p>
          <w:p w14:paraId="304A303F" w14:textId="77777777" w:rsidR="00CC7D2C" w:rsidRPr="002A677E" w:rsidRDefault="00CC7D2C" w:rsidP="00320EFD">
            <w:pPr>
              <w:pStyle w:val="InstructionsText"/>
              <w:rPr>
                <w:rStyle w:val="FormatvorlageInstructionsTabelleText"/>
                <w:sz w:val="24"/>
                <w:rFonts w:ascii="Times New Roman" w:hAnsi="Times New Roman"/>
              </w:rPr>
            </w:pPr>
            <w:r>
              <w:t xml:space="preserve">Članak 4. stavak 1. točka 27., članak 66. točka (d), članci 68., 69 i 79. Uredbe (EU) br. 575/2013</w:t>
            </w:r>
          </w:p>
          <w:p w14:paraId="2929BB07" w14:textId="77777777" w:rsidR="00CC7D2C" w:rsidRPr="002A677E" w:rsidRDefault="00CC7D2C" w:rsidP="00320EFD">
            <w:pPr>
              <w:pStyle w:val="InstructionsText"/>
              <w:rPr>
                <w:rStyle w:val="FormatvorlageInstructionsTabelleText"/>
                <w:sz w:val="24"/>
                <w:rFonts w:ascii="Times New Roman" w:hAnsi="Times New Roman"/>
              </w:rPr>
            </w:pPr>
            <w:r>
              <w:t xml:space="preserve">Ulaganja institucije u instrumente dopunskog kapitala subjekata financijskog sektora (kako su definirani u članku 4. stavku 1. točki 27. Uredbe (EU) br. 575/2013) ako investicijsko društvo ima značajno ulaganje u cijelosti se odbijaju.</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0955</w:t>
            </w:r>
          </w:p>
        </w:tc>
        <w:tc>
          <w:tcPr>
            <w:tcW w:w="7620" w:type="dxa"/>
          </w:tcPr>
          <w:p w14:paraId="6A5E720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1.2.9.A</w:t>
            </w:r>
            <w:r>
              <w:rPr>
                <w:rStyle w:val="InstructionsTabelleberschrift"/>
                <w:sz w:val="24"/>
                <w:rFonts w:ascii="Times New Roman" w:hAnsi="Times New Roman"/>
              </w:rPr>
              <w:tab/>
            </w:r>
            <w:r>
              <w:rPr>
                <w:rStyle w:val="InstructionsTabelleberschrift"/>
                <w:sz w:val="24"/>
                <w:rFonts w:ascii="Times New Roman" w:hAnsi="Times New Roman"/>
              </w:rPr>
              <w:t xml:space="preserve">(–) Višak odbitaka od prihvatljivih obveza koji premašuje prihvatljive obveze</w:t>
            </w:r>
          </w:p>
          <w:p w14:paraId="4449F407"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66. točka (e)</w:t>
            </w:r>
            <w:r>
              <w:t xml:space="preserve"> Uredbe (EU) br. 575/2013</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0960</w:t>
            </w:r>
          </w:p>
        </w:tc>
        <w:tc>
          <w:tcPr>
            <w:tcW w:w="7620" w:type="dxa"/>
          </w:tcPr>
          <w:p w14:paraId="6E3A985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1.2.10.</w:t>
            </w:r>
            <w:r>
              <w:rPr>
                <w:rStyle w:val="InstructionsTabelleberschrift"/>
                <w:sz w:val="24"/>
                <w:rFonts w:ascii="Times New Roman" w:hAnsi="Times New Roman"/>
              </w:rPr>
              <w:tab/>
            </w:r>
            <w:r>
              <w:rPr>
                <w:rStyle w:val="InstructionsTabelleberschrift"/>
                <w:sz w:val="24"/>
                <w:rFonts w:ascii="Times New Roman" w:hAnsi="Times New Roman"/>
              </w:rPr>
              <w:t xml:space="preserve">Ostala prijelazna usklađenja dopunskog kapitala</w:t>
            </w:r>
          </w:p>
          <w:p w14:paraId="58F3BA97" w14:textId="13C06246"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Članci 472., 476., 477., 478. i 481. </w:t>
            </w:r>
            <w:r>
              <w:t xml:space="preserve">Uredbe (EU) br. 575/2013.</w:t>
            </w:r>
          </w:p>
          <w:p w14:paraId="194A237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Usklađenja zbog prijelaznih odredaba.</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Iznos koji se iskazuje dobiva se izravno iz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0970</w:t>
            </w:r>
          </w:p>
        </w:tc>
        <w:tc>
          <w:tcPr>
            <w:tcW w:w="7620" w:type="dxa"/>
          </w:tcPr>
          <w:p w14:paraId="67DFC8B7"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1.2.11.</w:t>
            </w:r>
            <w:r>
              <w:rPr>
                <w:rStyle w:val="InstructionsTabelleberschrift"/>
                <w:sz w:val="24"/>
                <w:rFonts w:ascii="Times New Roman" w:hAnsi="Times New Roman"/>
              </w:rPr>
              <w:tab/>
            </w:r>
            <w:r>
              <w:rPr>
                <w:rStyle w:val="InstructionsTabelleberschrift"/>
                <w:sz w:val="24"/>
                <w:rFonts w:ascii="Times New Roman" w:hAnsi="Times New Roman"/>
              </w:rPr>
              <w:t xml:space="preserve">Odbitak od stavki dopunskog kapitala koji premašuje dopunski kapital (odbijen u dodatnom osnovnom kapitalu)</w:t>
            </w:r>
          </w:p>
          <w:p w14:paraId="0F240A32" w14:textId="77777777" w:rsidR="00CC7D2C" w:rsidRPr="002A677E" w:rsidRDefault="00CC7D2C" w:rsidP="00320EFD">
            <w:pPr>
              <w:pStyle w:val="InstructionsText"/>
              <w:rPr>
                <w:rStyle w:val="FormatvorlageInstructionsTabelleText"/>
                <w:sz w:val="24"/>
                <w:rFonts w:ascii="Times New Roman" w:hAnsi="Times New Roman"/>
              </w:rPr>
            </w:pPr>
            <w:r>
              <w:t xml:space="preserve">Članak 56. točka (e) Uredbe (EU) br. 575/2013</w:t>
            </w:r>
          </w:p>
          <w:p w14:paraId="74A7E15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Dopunski kapital ne može biti negativan, ali odbici dopunskog kapitala mogu biti veći od dopunskog kapitala uvećanog za povezanu premiju na dionice.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Ako se to dogodi, dopunski kapital jednak je nuli, a višak odbitaka od dopunskog kapitala odbija se od dodatnog osnovnog kapitala.</w:t>
            </w:r>
          </w:p>
          <w:p w14:paraId="677D149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Ovom se stavkom postiže da zbroj stavki od 1.2.1. do 1.2.13. nikad nije manji od nule.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Ako ova stavka pokazuje pozitivnu vrijednost, stavka 1.1.2.8. ima vrijednost suprotnog predznaka.</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0974</w:t>
            </w:r>
          </w:p>
        </w:tc>
        <w:tc>
          <w:tcPr>
            <w:tcW w:w="7620" w:type="dxa"/>
          </w:tcPr>
          <w:p w14:paraId="353F720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1.2.12.</w:t>
            </w:r>
            <w:r>
              <w:rPr>
                <w:rStyle w:val="InstructionsTabelleberschrift"/>
                <w:sz w:val="24"/>
                <w:rFonts w:ascii="Times New Roman" w:hAnsi="Times New Roman"/>
              </w:rPr>
              <w:tab/>
            </w:r>
            <w:r>
              <w:rPr>
                <w:rStyle w:val="InstructionsTabelleberschrift"/>
                <w:sz w:val="24"/>
                <w:rFonts w:ascii="Times New Roman" w:hAnsi="Times New Roman"/>
              </w:rPr>
              <w:t xml:space="preserve">(–) Dodatni odbici od dopunskog kapitala u skladu s člankom 3. Uredbe (EU) br. 575/2013</w:t>
            </w:r>
          </w:p>
          <w:p w14:paraId="5E0577EA"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3.</w:t>
            </w:r>
            <w:r>
              <w:t xml:space="preserve"> Uredbe (EU) br.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0978</w:t>
            </w:r>
          </w:p>
        </w:tc>
        <w:tc>
          <w:tcPr>
            <w:tcW w:w="7620" w:type="dxa"/>
          </w:tcPr>
          <w:p w14:paraId="3BAA43B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1.2.13.</w:t>
            </w:r>
            <w:r>
              <w:rPr>
                <w:rStyle w:val="InstructionsTabelleberschrift"/>
                <w:sz w:val="24"/>
                <w:rFonts w:ascii="Times New Roman" w:hAnsi="Times New Roman"/>
              </w:rPr>
              <w:tab/>
            </w:r>
            <w:r>
              <w:rPr>
                <w:rStyle w:val="InstructionsTabelleberschrift"/>
                <w:sz w:val="24"/>
                <w:rFonts w:ascii="Times New Roman" w:hAnsi="Times New Roman"/>
              </w:rPr>
              <w:t xml:space="preserve">Elementi ili odbici od dopunskog kapitala – ostalo</w:t>
            </w:r>
            <w:r>
              <w:rPr>
                <w:rStyle w:val="InstructionsTabelleberschrift"/>
                <w:sz w:val="24"/>
                <w:rFonts w:ascii="Times New Roman" w:hAnsi="Times New Roman"/>
              </w:rPr>
              <w:t xml:space="preserve"> </w:t>
            </w:r>
          </w:p>
          <w:p w14:paraId="0DF4E3AE"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Ovaj redak osigurava fleksibilnost isključivo za potrebe izvješćivanja.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Popunjava se samo u rijetkim slučajevima kada ne postoji konačna odluka o iskazivanju specifičnih stavki/odbitaka kapitala u postojećom obrascu CA1.</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Stoga se ovaj redak popunjava samo ako se element dopunskog kapitala ili odbitak od elementa dopunskog kapitala ne može rasporediti u jedan od redaka od 750 do 974.</w:t>
            </w:r>
            <w:r>
              <w:rPr>
                <w:rStyle w:val="InstructionsTabelleberschrift"/>
                <w:b w:val="0"/>
                <w:sz w:val="24"/>
                <w:u w:val="none"/>
                <w:rFonts w:ascii="Times New Roman" w:hAnsi="Times New Roman"/>
              </w:rPr>
              <w:t xml:space="preserve"> </w:t>
            </w:r>
          </w:p>
          <w:p w14:paraId="06CF4B0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Ovaj se redak ne koristi za uključivanje stavki kapitala/odbitaka koji nisu obuhvaćeni</w:t>
            </w:r>
            <w:r>
              <w:t xml:space="preserve"> Uredbom (EU) br. 575/2013</w:t>
            </w:r>
            <w:r>
              <w:rPr>
                <w:rStyle w:val="InstructionsTabelleberschrift"/>
                <w:b w:val="0"/>
                <w:sz w:val="24"/>
                <w:u w:val="none"/>
                <w:rFonts w:ascii="Times New Roman" w:hAnsi="Times New Roman"/>
              </w:rPr>
              <w:t xml:space="preserve"> u izračun stopa solventnosti (npr. uključivanje nacionalnih stavki kapitala/odbitaka koji su izvan područja primjene te uredbe).</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 xml:space="preserve">1.3.</w:t>
      </w:r>
      <w:r>
        <w:rPr>
          <w:u w:val="none"/>
        </w:rPr>
        <w:tab/>
      </w:r>
      <w:r>
        <w:t xml:space="preserve">C 02.00 – KAPITALNI ZAHTJEVI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 xml:space="preserve">1.3.1.</w:t>
      </w:r>
      <w:r>
        <w:rPr>
          <w:u w:val="none"/>
        </w:rPr>
        <w:tab/>
      </w:r>
      <w:r>
        <w:t xml:space="preserve">Upute za specifične </w:t>
      </w:r>
      <w:bookmarkEnd w:id="23"/>
      <w:bookmarkEnd w:id="24"/>
      <w:r>
        <w:t xml:space="preserve">pozicije</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 xml:space="preserve">Stupci</w:t>
            </w:r>
          </w:p>
        </w:tc>
        <w:tc>
          <w:tcPr>
            <w:tcW w:w="7274" w:type="dxa"/>
            <w:shd w:val="clear" w:color="auto" w:fill="D9D9D9"/>
          </w:tcPr>
          <w:p w14:paraId="190CA9EE" w14:textId="77777777" w:rsidR="00CC7D2C" w:rsidRPr="002A677E" w:rsidRDefault="00CC7D2C" w:rsidP="00320EFD">
            <w:pPr>
              <w:pStyle w:val="InstructionsText"/>
            </w:pPr>
            <w:r>
              <w:t xml:space="preserve">Pravna osnova i upute</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 xml:space="preserve">0010</w:t>
            </w:r>
          </w:p>
        </w:tc>
        <w:tc>
          <w:tcPr>
            <w:tcW w:w="7274" w:type="dxa"/>
          </w:tcPr>
          <w:p w14:paraId="1754203D" w14:textId="77777777" w:rsidR="00CC7D2C" w:rsidRPr="002A677E" w:rsidRDefault="00CC7D2C" w:rsidP="00320EFD">
            <w:pPr>
              <w:pStyle w:val="InstructionsText"/>
            </w:pPr>
            <w:r>
              <w:rPr>
                <w:rStyle w:val="InstructionsTabelleberschrift"/>
                <w:sz w:val="24"/>
                <w:rFonts w:ascii="Times New Roman" w:hAnsi="Times New Roman"/>
              </w:rPr>
              <w:t xml:space="preserve">IZNOS UKUPNE IZLOŽENOSTI RIZIKU</w:t>
            </w:r>
          </w:p>
          <w:p w14:paraId="11658B1F" w14:textId="77777777" w:rsidR="00CC7D2C" w:rsidRPr="002A677E" w:rsidRDefault="00CC7D2C" w:rsidP="00320EFD">
            <w:pPr>
              <w:pStyle w:val="InstructionsText"/>
            </w:pPr>
            <w:r>
              <w:t xml:space="preserve">Članak 92. stavak 3. i članci 95., 96. i 98. Uredbe (EU) br.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 xml:space="preserve">0020</w:t>
            </w:r>
          </w:p>
        </w:tc>
        <w:tc>
          <w:tcPr>
            <w:tcW w:w="7274" w:type="dxa"/>
          </w:tcPr>
          <w:p w14:paraId="0B7A5E95" w14:textId="77777777" w:rsidR="00CC7D2C" w:rsidRPr="002A677E" w:rsidRDefault="00CC7D2C" w:rsidP="00320EFD">
            <w:pPr>
              <w:pStyle w:val="InstructionsText"/>
            </w:pPr>
            <w:r>
              <w:rPr>
                <w:rStyle w:val="InstructionsTabelleberschrift"/>
                <w:sz w:val="24"/>
                <w:rFonts w:ascii="Times New Roman" w:hAnsi="Times New Roman"/>
              </w:rPr>
              <w:t xml:space="preserve">MINIMALNA DONJA GRANICA S-TREA-e</w:t>
            </w:r>
          </w:p>
          <w:p w14:paraId="1D5124AF" w14:textId="2240D9CF" w:rsidR="00CC7D2C" w:rsidRDefault="00C32586" w:rsidP="00320EFD">
            <w:pPr>
              <w:pStyle w:val="InstructionsText"/>
            </w:pPr>
            <w:r>
              <w:t xml:space="preserve">Institucije na koje se primjenjuje minimalna donja granica u skladu s člankom 92. stavkom 3. Uredbe (EU) br. 575/2013 iskazuju iznos ukupne izloženosti riziku dobiven primjenom standardiziranog izračuna (S-TREA) izračunan u skladu s člankom 92. stavkom 5.</w:t>
            </w:r>
            <w:r>
              <w:t xml:space="preserve"> </w:t>
            </w:r>
            <w:r>
              <w:t xml:space="preserve">Ovaj se stupac primjenjuje samo na institucije koje primjenjuju interne modele.</w:t>
            </w:r>
          </w:p>
          <w:p w14:paraId="4831FC09" w14:textId="08537DA3" w:rsidR="00585ABC" w:rsidRDefault="00585ABC" w:rsidP="00320EFD">
            <w:pPr>
              <w:pStyle w:val="InstructionsText"/>
            </w:pPr>
            <w:r>
              <w:t xml:space="preserve">U redcima u kojima se za izračun RWEA koriste pristupi internih modela iskazuju se iznosi za te izloženosti dobiveni primjenom standardiziranog izračuna.</w:t>
            </w:r>
          </w:p>
          <w:p w14:paraId="708B2B94" w14:textId="2316755B" w:rsidR="00585ABC" w:rsidRPr="002A677E" w:rsidRDefault="00585ABC" w:rsidP="00320EFD">
            <w:pPr>
              <w:pStyle w:val="InstructionsText"/>
            </w:pPr>
            <w:r>
              <w:t xml:space="preserve">U redcima u kojima se za izračun RWEA primjenjuju standardizirani pristupi iskazuju se isti iznosi koji su za te izloženosti iskazani u stupcu 0010.</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 xml:space="preserve">Redak</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 xml:space="preserve">Pravna osnova i upute</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 xml:space="preserve">0010</w:t>
            </w:r>
          </w:p>
        </w:tc>
        <w:tc>
          <w:tcPr>
            <w:tcW w:w="7274" w:type="dxa"/>
          </w:tcPr>
          <w:p w14:paraId="2D3B9E77"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IZNOS UKUPNE IZLOŽENOSTI RIZIKU</w:t>
            </w:r>
          </w:p>
          <w:p w14:paraId="633B0735" w14:textId="77777777" w:rsidR="00CC7D2C" w:rsidRPr="002A677E" w:rsidRDefault="00CC7D2C" w:rsidP="00320EFD">
            <w:pPr>
              <w:pStyle w:val="InstructionsText"/>
            </w:pPr>
            <w:r>
              <w:t xml:space="preserve">Članak 92. stavak 3. i članci 95., 96. i 98. Uredbe (EU) br.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 xml:space="preserve">0020</w:t>
            </w:r>
          </w:p>
        </w:tc>
        <w:tc>
          <w:tcPr>
            <w:tcW w:w="7274" w:type="dxa"/>
          </w:tcPr>
          <w:p w14:paraId="427ABF71"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Investicijska društva iz članka 95. stavka 2. i članka 98. Uredbe (EU) br. 575/2013</w:t>
            </w:r>
          </w:p>
          <w:p w14:paraId="7A0F1D20" w14:textId="77777777" w:rsidR="00CC7D2C" w:rsidRPr="002A677E" w:rsidRDefault="00CC7D2C" w:rsidP="00320EFD">
            <w:pPr>
              <w:pStyle w:val="InstructionsText"/>
            </w:pPr>
            <w:r>
              <w:t xml:space="preserve">Za investicijska društva iz članka 95. stavka 2. i članka 98. Uredbe (EU) br.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t xml:space="preserve">0030</w:t>
            </w:r>
          </w:p>
        </w:tc>
        <w:tc>
          <w:tcPr>
            <w:tcW w:w="7274" w:type="dxa"/>
          </w:tcPr>
          <w:p w14:paraId="65F85EFA"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Investicijska društva iz članka 96. stavka 2. i članka 97. Uredbe (EU) br. 575/2013</w:t>
            </w:r>
          </w:p>
          <w:p w14:paraId="04608E0A" w14:textId="77777777" w:rsidR="00CC7D2C" w:rsidRPr="002A677E" w:rsidRDefault="00CC7D2C" w:rsidP="00320EFD">
            <w:pPr>
              <w:pStyle w:val="InstructionsText"/>
            </w:pPr>
            <w:r>
              <w:t xml:space="preserve">Za investicijska društva iz članka 96. stavka 2. i članka 97. Uredbe (EU) br.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sz w:val="24"/>
                <w:rFonts w:ascii="Times New Roman" w:hAnsi="Times New Roman"/>
              </w:rPr>
              <w:t xml:space="preserve">0035</w:t>
            </w:r>
          </w:p>
        </w:tc>
        <w:tc>
          <w:tcPr>
            <w:tcW w:w="7274" w:type="dxa"/>
          </w:tcPr>
          <w:p w14:paraId="0710542B"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Prilagodba donje granice</w:t>
            </w:r>
          </w:p>
          <w:p w14:paraId="1879A8CD" w14:textId="65429001" w:rsidR="00CC7D2C" w:rsidRPr="002A677E" w:rsidRDefault="00A8011A" w:rsidP="00320EFD">
            <w:pPr>
              <w:pStyle w:val="InstructionsText"/>
              <w:rPr>
                <w:rStyle w:val="InstructionsTabelleberschrift"/>
                <w:sz w:val="24"/>
                <w:rFonts w:ascii="Times New Roman" w:hAnsi="Times New Roman"/>
              </w:rPr>
            </w:pPr>
            <w:r>
              <w:t xml:space="preserve">Institucije na koje se primjenjuje minimalna donja granica u skladu s člankom 92. stavkom 3. Uredbe (EU) br. 575/2013 iskazuju razliku između iznosa iskazanih u retku 0010 i retku 0036.</w:t>
            </w:r>
            <w:r>
              <w:t xml:space="preserve"> </w:t>
            </w:r>
            <w:r>
              <w:t xml:space="preserve">Taj je iznos je pozitivan ili jednak nuli.</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sz w:val="24"/>
                <w:rFonts w:ascii="Times New Roman" w:hAnsi="Times New Roman"/>
              </w:rPr>
              <w:t xml:space="preserve">0036</w:t>
            </w:r>
          </w:p>
        </w:tc>
        <w:tc>
          <w:tcPr>
            <w:tcW w:w="7274" w:type="dxa"/>
          </w:tcPr>
          <w:p w14:paraId="5B12D047" w14:textId="543C58BD" w:rsidR="00CC7D2C" w:rsidRDefault="00C32586"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1.a IZNOS UKUPNE IZLOŽENOSTI RIZIKU PRIJE PRIMJENE DONJE GRANICE</w:t>
            </w:r>
          </w:p>
          <w:p w14:paraId="7BCD0DA1" w14:textId="04714494" w:rsidR="00CC7D2C" w:rsidRPr="002A677E" w:rsidRDefault="00A8011A" w:rsidP="00320EFD">
            <w:pPr>
              <w:pStyle w:val="InstructionsText"/>
              <w:rPr>
                <w:rStyle w:val="InstructionsTabelleberschrift"/>
                <w:sz w:val="24"/>
                <w:rFonts w:ascii="Times New Roman" w:hAnsi="Times New Roman"/>
              </w:rPr>
            </w:pPr>
            <w:r>
              <w:t xml:space="preserve">Institucije na koje se primjenjuje minimalna donja granica u skladu s člankom 92. stavkom 3. Uredbe (EU) br. 575/2013 iskazuju iznos TREA-e bez primjene donje granice kako je definirano u članku 92. stavku 4. Uredbe (EU) br.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0040</w:t>
            </w:r>
          </w:p>
        </w:tc>
        <w:tc>
          <w:tcPr>
            <w:tcW w:w="7274" w:type="dxa"/>
          </w:tcPr>
          <w:p w14:paraId="4860CF81"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IZNOSI IZLOŽENOSTI PONDERIRANI RIZIKOM ZA KREDITNI RIZIK, KREDITNI RIZIK DRUGE UGOVORNE STRANE I RAZRJEĐIVAČKI RIZIK TE SLOBODNE ISPORUKE</w:t>
            </w:r>
          </w:p>
          <w:p w14:paraId="450571BD" w14:textId="6E602D68"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92. stavak 3. i članak 92. stavak 4. točka (a)</w:t>
            </w:r>
            <w:r>
              <w:t xml:space="preserve"> Uredbe (EU) br.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0050</w:t>
            </w:r>
          </w:p>
        </w:tc>
        <w:tc>
          <w:tcPr>
            <w:tcW w:w="7274" w:type="dxa"/>
          </w:tcPr>
          <w:p w14:paraId="1CC3CF9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w:t>
            </w:r>
            <w:r>
              <w:rPr>
                <w:rStyle w:val="InstructionsTabelleberschrift"/>
                <w:sz w:val="24"/>
                <w:rFonts w:ascii="Times New Roman" w:hAnsi="Times New Roman"/>
              </w:rPr>
              <w:tab/>
            </w:r>
            <w:r>
              <w:rPr>
                <w:rStyle w:val="InstructionsTabelleberschrift"/>
                <w:sz w:val="24"/>
                <w:rFonts w:ascii="Times New Roman" w:hAnsi="Times New Roman"/>
              </w:rPr>
              <w:t xml:space="preserve">Standardizirani pristup</w:t>
            </w:r>
          </w:p>
          <w:p w14:paraId="1EFF677D" w14:textId="77777777" w:rsidR="00CC7D2C" w:rsidRPr="002A677E" w:rsidRDefault="00CC7D2C" w:rsidP="00320EFD">
            <w:pPr>
              <w:pStyle w:val="InstructionsText"/>
              <w:rPr>
                <w:rStyle w:val="FormatvorlageInstructionsTabelleText"/>
                <w:sz w:val="24"/>
                <w:rFonts w:ascii="Times New Roman" w:hAnsi="Times New Roman"/>
              </w:rPr>
            </w:pPr>
            <w:r>
              <w:rPr>
                <w:rStyle w:val="InstructionsTabelleberschrift"/>
                <w:b w:val="0"/>
                <w:sz w:val="24"/>
                <w:u w:val="none"/>
                <w:rFonts w:ascii="Times New Roman" w:hAnsi="Times New Roman"/>
              </w:rPr>
              <w:t xml:space="preserve">Obrasci CR SA i SEC SA na razini ukupnih izloženosti</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0051</w:t>
            </w:r>
          </w:p>
        </w:tc>
        <w:tc>
          <w:tcPr>
            <w:tcW w:w="7274" w:type="dxa"/>
          </w:tcPr>
          <w:p w14:paraId="2043221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Dodatni stroži bonitetni zahtjevi na temelju članka 124. Uredbe (EU) br. 575/2013</w:t>
            </w:r>
          </w:p>
          <w:p w14:paraId="4A7F7245" w14:textId="3BCE1E49" w:rsidR="00CC7D2C" w:rsidRPr="002A677E" w:rsidRDefault="00CC7D2C" w:rsidP="00320EFD">
            <w:pPr>
              <w:pStyle w:val="InstructionsText"/>
              <w:rPr>
                <w:rStyle w:val="InstructionsTabelleberschrift"/>
                <w:sz w:val="24"/>
                <w:rFonts w:ascii="Times New Roman" w:hAnsi="Times New Roman"/>
              </w:rPr>
            </w:pPr>
            <w:r>
              <w:t xml:space="preserve">Institucije iskazuju dodatne iznose izloženosti riziku koji su potrebni za ispunjavanje strožih bonitetnih zahtjeva kako su priopćeni institucijama nakon savjetovanja s EBA-om, u skladu s člankom 124. stavcima od 8. do 13. Uredbe (EU) br. 575/2013.</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0060</w:t>
            </w:r>
          </w:p>
        </w:tc>
        <w:tc>
          <w:tcPr>
            <w:tcW w:w="7274" w:type="dxa"/>
          </w:tcPr>
          <w:p w14:paraId="6A236E0F" w14:textId="77777777" w:rsidR="00CC7D2C" w:rsidRPr="00984406"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w:t>
            </w:r>
            <w:r>
              <w:rPr>
                <w:rStyle w:val="InstructionsTabelleberschrift"/>
                <w:sz w:val="24"/>
                <w:rFonts w:ascii="Times New Roman" w:hAnsi="Times New Roman"/>
              </w:rPr>
              <w:tab/>
            </w:r>
            <w:r>
              <w:rPr>
                <w:rStyle w:val="InstructionsTabelleberschrift"/>
                <w:sz w:val="24"/>
                <w:rFonts w:ascii="Times New Roman" w:hAnsi="Times New Roman"/>
              </w:rPr>
              <w:t xml:space="preserve">Kategorije izloženosti u skladu sa standardiziranim pristupom isključujući sekuritizacijske pozicije</w:t>
            </w:r>
          </w:p>
          <w:p w14:paraId="6C4218CD" w14:textId="77777777" w:rsidR="00CC7D2C" w:rsidRPr="002A677E" w:rsidRDefault="00CC7D2C" w:rsidP="00320EFD">
            <w:pPr>
              <w:pStyle w:val="InstructionsText"/>
              <w:rPr>
                <w:rStyle w:val="FormatvorlageInstructionsTabelleText"/>
                <w:sz w:val="24"/>
                <w:rFonts w:ascii="Times New Roman" w:hAnsi="Times New Roman"/>
              </w:rPr>
            </w:pPr>
            <w:r>
              <w:rPr>
                <w:sz w:val="24"/>
                <w:rStyle w:val="FormatvorlageInstructionsTabelleText"/>
                <w:rFonts w:ascii="Times New Roman" w:hAnsi="Times New Roman"/>
              </w:rPr>
              <w:t xml:space="preserve">Obrazac CR SA na razini ukupnih izloženosti.</w:t>
            </w:r>
            <w:r>
              <w:rPr>
                <w:sz w:val="24"/>
                <w:rStyle w:val="FormatvorlageInstructionsTabelleText"/>
                <w:rFonts w:ascii="Times New Roman" w:hAnsi="Times New Roman"/>
              </w:rPr>
              <w:t xml:space="preserve"> </w:t>
            </w:r>
            <w:r>
              <w:t xml:space="preserve">Kategorije izloženosti u skladu sa standardiziranim pristupom navedene su u članku 112. Uredbe (EU) br. 575/2013, isključujući sekuritizacijske pozicije.</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0070</w:t>
            </w:r>
          </w:p>
        </w:tc>
        <w:tc>
          <w:tcPr>
            <w:tcW w:w="7274" w:type="dxa"/>
          </w:tcPr>
          <w:p w14:paraId="444601AB"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1.1.1.1.01.</w:t>
            </w:r>
            <w:r>
              <w:rPr>
                <w:rStyle w:val="InstructionsTabelleberschrift"/>
                <w:sz w:val="24"/>
                <w:rFonts w:ascii="Times New Roman" w:hAnsi="Times New Roman"/>
              </w:rPr>
              <w:tab/>
            </w:r>
            <w:r>
              <w:rPr>
                <w:rStyle w:val="InstructionsTabelleberschrift"/>
                <w:sz w:val="24"/>
                <w:rFonts w:ascii="Times New Roman" w:hAnsi="Times New Roman"/>
              </w:rPr>
              <w:t xml:space="preserve">Središnje države ili središnje banke</w:t>
            </w:r>
          </w:p>
          <w:p w14:paraId="4CBAD1DD"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0080</w:t>
            </w:r>
          </w:p>
        </w:tc>
        <w:tc>
          <w:tcPr>
            <w:tcW w:w="7274" w:type="dxa"/>
          </w:tcPr>
          <w:p w14:paraId="2240509E"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1.1.1.1.02.</w:t>
            </w:r>
            <w:r>
              <w:rPr>
                <w:rStyle w:val="InstructionsTabelleberschrift"/>
                <w:sz w:val="24"/>
                <w:rFonts w:ascii="Times New Roman" w:hAnsi="Times New Roman"/>
              </w:rPr>
              <w:tab/>
            </w:r>
            <w:r>
              <w:rPr>
                <w:rStyle w:val="InstructionsTabelleberschrift"/>
                <w:sz w:val="24"/>
                <w:rFonts w:ascii="Times New Roman" w:hAnsi="Times New Roman"/>
              </w:rPr>
              <w:t xml:space="preserve">Jedinice područne (regionalne) ili lokalne samouprave</w:t>
            </w:r>
          </w:p>
          <w:p w14:paraId="1861927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0090</w:t>
            </w:r>
          </w:p>
        </w:tc>
        <w:tc>
          <w:tcPr>
            <w:tcW w:w="7274" w:type="dxa"/>
          </w:tcPr>
          <w:p w14:paraId="3E6FCAE4" w14:textId="77777777" w:rsidR="00CC7D2C" w:rsidRPr="002A677E" w:rsidRDefault="00CC7D2C" w:rsidP="00320EFD">
            <w:pPr>
              <w:pStyle w:val="InstructionsText"/>
              <w:rPr>
                <w:rStyle w:val="FormatvorlageInstructionsTabelleText"/>
                <w:b/>
                <w:bCs w:val="0"/>
                <w:sz w:val="24"/>
                <w:u w:val="single"/>
                <w:rFonts w:ascii="Times New Roman" w:hAnsi="Times New Roman"/>
              </w:rPr>
            </w:pPr>
            <w:r>
              <w:rPr>
                <w:rStyle w:val="InstructionsTabelleberschrift"/>
                <w:sz w:val="24"/>
                <w:rFonts w:ascii="Times New Roman" w:hAnsi="Times New Roman"/>
              </w:rPr>
              <w:t xml:space="preserve">1.1.1.1.03.</w:t>
            </w:r>
            <w:r>
              <w:rPr>
                <w:rStyle w:val="InstructionsTabelleberschrift"/>
                <w:sz w:val="24"/>
                <w:rFonts w:ascii="Times New Roman" w:hAnsi="Times New Roman"/>
              </w:rPr>
              <w:tab/>
            </w:r>
            <w:r>
              <w:rPr>
                <w:rStyle w:val="InstructionsTabelleberschrift"/>
                <w:sz w:val="24"/>
                <w:rFonts w:ascii="Times New Roman" w:hAnsi="Times New Roman"/>
              </w:rPr>
              <w:t xml:space="preserve">Subjekti javnog sektora</w:t>
            </w:r>
          </w:p>
          <w:p w14:paraId="61C75AD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0100</w:t>
            </w:r>
          </w:p>
        </w:tc>
        <w:tc>
          <w:tcPr>
            <w:tcW w:w="7274" w:type="dxa"/>
          </w:tcPr>
          <w:p w14:paraId="211F54E8"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1.1.1.1.04.</w:t>
            </w:r>
            <w:r>
              <w:rPr>
                <w:rStyle w:val="InstructionsTabelleberschrift"/>
                <w:sz w:val="24"/>
                <w:rFonts w:ascii="Times New Roman" w:hAnsi="Times New Roman"/>
              </w:rPr>
              <w:tab/>
            </w:r>
            <w:r>
              <w:rPr>
                <w:rStyle w:val="InstructionsTabelleberschrift"/>
                <w:sz w:val="24"/>
                <w:rFonts w:ascii="Times New Roman" w:hAnsi="Times New Roman"/>
              </w:rPr>
              <w:t xml:space="preserve">Multilateralne razvojne banke</w:t>
            </w:r>
          </w:p>
          <w:p w14:paraId="4A090100"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r>
              <w:rPr>
                <w:rStyle w:val="FormatvorlageInstructionsTabelleText"/>
                <w:sz w:val="24"/>
                <w:rFonts w:ascii="Times New Roman" w:hAnsi="Times New Roman"/>
              </w:rPr>
              <w:t xml:space="preserve">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0110</w:t>
            </w:r>
          </w:p>
        </w:tc>
        <w:tc>
          <w:tcPr>
            <w:tcW w:w="7274" w:type="dxa"/>
          </w:tcPr>
          <w:p w14:paraId="4CCDA495"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1.1.1.1.05.</w:t>
            </w:r>
            <w:r>
              <w:rPr>
                <w:rStyle w:val="InstructionsTabelleberschrift"/>
                <w:sz w:val="24"/>
                <w:rFonts w:ascii="Times New Roman" w:hAnsi="Times New Roman"/>
              </w:rPr>
              <w:tab/>
            </w:r>
            <w:r>
              <w:rPr>
                <w:rStyle w:val="InstructionsTabelleberschrift"/>
                <w:sz w:val="24"/>
                <w:rFonts w:ascii="Times New Roman" w:hAnsi="Times New Roman"/>
              </w:rPr>
              <w:t xml:space="preserve">Međunarodne organizacije</w:t>
            </w:r>
          </w:p>
          <w:p w14:paraId="082FC9E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0120</w:t>
            </w:r>
          </w:p>
        </w:tc>
        <w:tc>
          <w:tcPr>
            <w:tcW w:w="7274" w:type="dxa"/>
          </w:tcPr>
          <w:p w14:paraId="2BA6FAF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1.1.1.1.06.</w:t>
            </w:r>
            <w:r>
              <w:rPr>
                <w:rStyle w:val="InstructionsTabelleberschrift"/>
                <w:sz w:val="24"/>
                <w:rFonts w:ascii="Times New Roman" w:hAnsi="Times New Roman"/>
              </w:rPr>
              <w:tab/>
            </w:r>
            <w:r>
              <w:rPr>
                <w:rStyle w:val="InstructionsTabelleberschrift"/>
                <w:sz w:val="24"/>
                <w:rFonts w:ascii="Times New Roman" w:hAnsi="Times New Roman"/>
              </w:rPr>
              <w:t xml:space="preserve">Institucije</w:t>
            </w:r>
          </w:p>
          <w:p w14:paraId="3FF59F4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0125</w:t>
            </w:r>
          </w:p>
        </w:tc>
        <w:tc>
          <w:tcPr>
            <w:tcW w:w="7274" w:type="dxa"/>
          </w:tcPr>
          <w:p w14:paraId="0B34389A"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1.1.1.1.07a</w:t>
            </w:r>
            <w:r>
              <w:rPr>
                <w:rStyle w:val="InstructionsTabelleberschrift"/>
                <w:sz w:val="24"/>
                <w:rFonts w:ascii="Times New Roman" w:hAnsi="Times New Roman"/>
              </w:rPr>
              <w:tab/>
            </w:r>
            <w:r>
              <w:rPr>
                <w:rStyle w:val="InstructionsTabelleberschrift"/>
                <w:sz w:val="24"/>
                <w:rFonts w:ascii="Times New Roman" w:hAnsi="Times New Roman"/>
              </w:rPr>
              <w:t xml:space="preserve">Trgovačka društva - ostalo</w:t>
            </w:r>
          </w:p>
          <w:p w14:paraId="6D6C27F6"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0131</w:t>
            </w:r>
          </w:p>
        </w:tc>
        <w:tc>
          <w:tcPr>
            <w:tcW w:w="7274" w:type="dxa"/>
          </w:tcPr>
          <w:p w14:paraId="207C1680"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1.1.1.1.07b</w:t>
            </w:r>
            <w:r>
              <w:rPr>
                <w:rStyle w:val="InstructionsTabelleberschrift"/>
                <w:sz w:val="24"/>
                <w:rFonts w:ascii="Times New Roman" w:hAnsi="Times New Roman"/>
              </w:rPr>
              <w:tab/>
            </w:r>
            <w:r>
              <w:rPr>
                <w:rStyle w:val="InstructionsTabelleberschrift"/>
                <w:sz w:val="24"/>
                <w:rFonts w:ascii="Times New Roman" w:hAnsi="Times New Roman"/>
              </w:rPr>
              <w:t xml:space="preserve">Trgovačka društva – specijalizirano financiranje</w:t>
            </w:r>
          </w:p>
          <w:p w14:paraId="5377FC4C"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0140</w:t>
            </w:r>
          </w:p>
        </w:tc>
        <w:tc>
          <w:tcPr>
            <w:tcW w:w="7274" w:type="dxa"/>
          </w:tcPr>
          <w:p w14:paraId="503C5821" w14:textId="77777777" w:rsidR="00CC7D2C" w:rsidRPr="002A677E" w:rsidRDefault="00CC7D2C" w:rsidP="00320EFD">
            <w:pPr>
              <w:pStyle w:val="InstructionsText"/>
              <w:rPr>
                <w:rStyle w:val="FormatvorlageInstructionsTabelleText"/>
                <w:b/>
                <w:bCs w:val="0"/>
                <w:sz w:val="24"/>
                <w:u w:val="single"/>
                <w:rFonts w:ascii="Times New Roman" w:hAnsi="Times New Roman"/>
              </w:rPr>
            </w:pPr>
            <w:r>
              <w:rPr>
                <w:rStyle w:val="InstructionsTabelleberschrift"/>
                <w:sz w:val="24"/>
                <w:rFonts w:ascii="Times New Roman" w:hAnsi="Times New Roman"/>
              </w:rPr>
              <w:t xml:space="preserve">1.1.1.1.08.</w:t>
            </w:r>
            <w:r>
              <w:rPr>
                <w:rStyle w:val="InstructionsTabelleberschrift"/>
                <w:sz w:val="24"/>
                <w:rFonts w:ascii="Times New Roman" w:hAnsi="Times New Roman"/>
              </w:rPr>
              <w:tab/>
            </w:r>
            <w:r>
              <w:rPr>
                <w:rStyle w:val="InstructionsTabelleberschrift"/>
                <w:sz w:val="24"/>
                <w:rFonts w:ascii="Times New Roman" w:hAnsi="Times New Roman"/>
              </w:rPr>
              <w:t xml:space="preserve">Stanovništvo</w:t>
            </w:r>
          </w:p>
          <w:p w14:paraId="360DC14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0150</w:t>
            </w:r>
          </w:p>
        </w:tc>
        <w:tc>
          <w:tcPr>
            <w:tcW w:w="7274" w:type="dxa"/>
          </w:tcPr>
          <w:p w14:paraId="0D0907DA"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1.1.1.1.09.</w:t>
            </w:r>
            <w:r>
              <w:rPr>
                <w:rStyle w:val="InstructionsTabelleberschrift"/>
                <w:sz w:val="24"/>
                <w:rFonts w:ascii="Times New Roman" w:hAnsi="Times New Roman"/>
              </w:rPr>
              <w:tab/>
            </w:r>
            <w:r>
              <w:rPr>
                <w:rStyle w:val="InstructionsTabelleberschrift"/>
                <w:sz w:val="24"/>
                <w:rFonts w:ascii="Times New Roman" w:hAnsi="Times New Roman"/>
              </w:rPr>
              <w:t xml:space="preserve">Osigurano hipotekama na nekretninama i ADC izloženosti</w:t>
            </w:r>
          </w:p>
          <w:p w14:paraId="2E7EE03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0151</w:t>
            </w:r>
          </w:p>
        </w:tc>
        <w:tc>
          <w:tcPr>
            <w:tcW w:w="7274" w:type="dxa"/>
          </w:tcPr>
          <w:p w14:paraId="6E6AB269"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1.1.1.1.09.1.</w:t>
            </w:r>
            <w:r>
              <w:rPr>
                <w:rStyle w:val="InstructionsTabelleberschrift"/>
              </w:rPr>
              <w:t xml:space="preserve"> Osigurano hipotekama na stambenim nekretninama – nije IPRE (osigurano)</w:t>
            </w:r>
          </w:p>
          <w:p w14:paraId="0E4B47C8"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0152</w:t>
            </w:r>
          </w:p>
        </w:tc>
        <w:tc>
          <w:tcPr>
            <w:tcW w:w="7274" w:type="dxa"/>
          </w:tcPr>
          <w:p w14:paraId="399D5AA7"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1.1.1.1.09.2</w:t>
            </w:r>
            <w:r>
              <w:rPr>
                <w:rStyle w:val="InstructionsTabelleberschrift"/>
              </w:rPr>
              <w:t xml:space="preserve">. Osigurano hipotekama na stambenim nekretninama – nije IPRE (neosigurano)</w:t>
            </w:r>
          </w:p>
          <w:p w14:paraId="64AB7DC0"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0153</w:t>
            </w:r>
          </w:p>
        </w:tc>
        <w:tc>
          <w:tcPr>
            <w:tcW w:w="7274" w:type="dxa"/>
          </w:tcPr>
          <w:p w14:paraId="205A75F2" w14:textId="70A4C101" w:rsidR="007F4B3F" w:rsidRDefault="007F4B3F"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1.1.1.1.09.3</w:t>
            </w:r>
            <w:r>
              <w:rPr>
                <w:rStyle w:val="InstructionsTabelleberschrift"/>
              </w:rPr>
              <w:t xml:space="preserve">. Osigurano hipotekama na stambenim nekretninama – Ostalo – nije IPRE</w:t>
            </w:r>
          </w:p>
          <w:p w14:paraId="4DB0C17D" w14:textId="496B7CBC" w:rsidR="007F4B3F" w:rsidRPr="002A677E" w:rsidRDefault="007F4B3F"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0154</w:t>
            </w:r>
          </w:p>
        </w:tc>
        <w:tc>
          <w:tcPr>
            <w:tcW w:w="7274" w:type="dxa"/>
          </w:tcPr>
          <w:p w14:paraId="1F8FDFFA" w14:textId="6F749CA5"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1.1.1.1.09.4</w:t>
            </w:r>
            <w:r>
              <w:rPr>
                <w:rStyle w:val="InstructionsTabelleberschrift"/>
              </w:rPr>
              <w:t xml:space="preserve">. Osigurano hipotekama na stambenim nekretninama – IPRE</w:t>
            </w:r>
          </w:p>
          <w:p w14:paraId="6D902F9E"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0155</w:t>
            </w:r>
          </w:p>
        </w:tc>
        <w:tc>
          <w:tcPr>
            <w:tcW w:w="7274" w:type="dxa"/>
          </w:tcPr>
          <w:p w14:paraId="5EE00DA5" w14:textId="405178B9" w:rsidR="007F4B3F" w:rsidRDefault="007F4B3F"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1.1.1.1.09.5</w:t>
            </w:r>
            <w:r>
              <w:rPr>
                <w:rStyle w:val="InstructionsTabelleberschrift"/>
              </w:rPr>
              <w:t xml:space="preserve">. Osigurano hipotekama na stambenim nekretninama – Ostalo – IPRE</w:t>
            </w:r>
          </w:p>
          <w:p w14:paraId="2905ED45" w14:textId="547862BC" w:rsidR="007F4B3F" w:rsidRPr="002A677E" w:rsidRDefault="007F4B3F"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0156</w:t>
            </w:r>
          </w:p>
        </w:tc>
        <w:tc>
          <w:tcPr>
            <w:tcW w:w="7274" w:type="dxa"/>
          </w:tcPr>
          <w:p w14:paraId="6946143D" w14:textId="768332EC"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1.1.1.1.09.6</w:t>
            </w:r>
            <w:r>
              <w:rPr>
                <w:rStyle w:val="InstructionsTabelleberschrift"/>
              </w:rPr>
              <w:t xml:space="preserve">. Osigurano hipotekama na poslovnim nekretninama – nije IPRE (osigurano)</w:t>
            </w:r>
          </w:p>
          <w:p w14:paraId="40835C13"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0157</w:t>
            </w:r>
          </w:p>
        </w:tc>
        <w:tc>
          <w:tcPr>
            <w:tcW w:w="7274" w:type="dxa"/>
          </w:tcPr>
          <w:p w14:paraId="060A8C2B" w14:textId="2CDED3B6"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1.1.1.1.09.7</w:t>
            </w:r>
            <w:r>
              <w:rPr>
                <w:rStyle w:val="InstructionsTabelleberschrift"/>
              </w:rPr>
              <w:t xml:space="preserve">. Osigurano hipotekama na poslovnim nekretninama – nije IPRE (neosigurano)</w:t>
            </w:r>
          </w:p>
          <w:p w14:paraId="5DAFF51B"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w:t>
            </w:r>
            <w:r>
              <w:rPr>
                <w:rStyle w:val="FormatvorlageInstructionsTabelleText"/>
              </w:rPr>
              <w:t xml:space="preserve">158</w:t>
            </w:r>
          </w:p>
        </w:tc>
        <w:tc>
          <w:tcPr>
            <w:tcW w:w="7274" w:type="dxa"/>
          </w:tcPr>
          <w:p w14:paraId="411FE77D" w14:textId="69FA6B39" w:rsidR="007F4B3F" w:rsidRDefault="007F4B3F"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1.1.1.1.09.8</w:t>
            </w:r>
            <w:r>
              <w:rPr>
                <w:rStyle w:val="InstructionsTabelleberschrift"/>
              </w:rPr>
              <w:t xml:space="preserve">. Osigurano hipotekama na poslovnim nekretninama – Ostalo – nije IPRE</w:t>
            </w:r>
          </w:p>
          <w:p w14:paraId="0772E508" w14:textId="000070F8" w:rsidR="007F4B3F" w:rsidRPr="002A677E" w:rsidRDefault="007F4B3F"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0159</w:t>
            </w:r>
          </w:p>
        </w:tc>
        <w:tc>
          <w:tcPr>
            <w:tcW w:w="7274" w:type="dxa"/>
          </w:tcPr>
          <w:p w14:paraId="2F61A8A6" w14:textId="5281EB48"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1.1.1.1.09.9</w:t>
            </w:r>
            <w:r>
              <w:rPr>
                <w:rStyle w:val="InstructionsTabelleberschrift"/>
              </w:rPr>
              <w:t xml:space="preserve">. Osigurano hipotekama na poslovnim nekretninama – IPRE</w:t>
            </w:r>
          </w:p>
          <w:p w14:paraId="508FA811" w14:textId="59F16FE0"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0900</w:t>
            </w:r>
          </w:p>
        </w:tc>
        <w:tc>
          <w:tcPr>
            <w:tcW w:w="7274" w:type="dxa"/>
          </w:tcPr>
          <w:p w14:paraId="7D6AE7C2" w14:textId="61F789FD"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1.1.1.1.09.9.a</w:t>
            </w:r>
            <w:r>
              <w:rPr>
                <w:rStyle w:val="InstructionsTabelleberschrift"/>
              </w:rPr>
              <w:t xml:space="preserve"> Osigurano hipotekama na poslovnim nekretninama – Ostalo – IPRE</w:t>
            </w:r>
          </w:p>
          <w:p w14:paraId="0949ED7F"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0910</w:t>
            </w:r>
          </w:p>
        </w:tc>
        <w:tc>
          <w:tcPr>
            <w:tcW w:w="7274" w:type="dxa"/>
          </w:tcPr>
          <w:p w14:paraId="5A67362E" w14:textId="20ED9D2B" w:rsidR="00CC7D2C" w:rsidRDefault="00CC7D2C" w:rsidP="00320EFD">
            <w:pPr>
              <w:pStyle w:val="InstructionsText"/>
              <w:rPr>
                <w:rStyle w:val="InstructionsTabelleberschrift"/>
                <w:sz w:val="24"/>
                <w:rFonts w:ascii="Times New Roman" w:hAnsi="Times New Roman"/>
              </w:rPr>
            </w:pPr>
            <w:r>
              <w:rPr>
                <w:rStyle w:val="InstructionsTabelleberschrift"/>
              </w:rPr>
              <w:t xml:space="preserve">1.1.1.1.09.9.b Stjecanje, razvoj i izgradnja (ADC)</w:t>
            </w:r>
          </w:p>
          <w:p w14:paraId="44966D42"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0160</w:t>
            </w:r>
          </w:p>
        </w:tc>
        <w:tc>
          <w:tcPr>
            <w:tcW w:w="7274" w:type="dxa"/>
          </w:tcPr>
          <w:p w14:paraId="691C0F92"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1.1.1.1.10.</w:t>
            </w:r>
            <w:r>
              <w:rPr>
                <w:rStyle w:val="InstructionsTabelleberschrift"/>
                <w:sz w:val="24"/>
                <w:rFonts w:ascii="Times New Roman" w:hAnsi="Times New Roman"/>
              </w:rPr>
              <w:tab/>
            </w:r>
            <w:r>
              <w:rPr>
                <w:rStyle w:val="InstructionsTabelleberschrift"/>
                <w:sz w:val="24"/>
                <w:rFonts w:ascii="Times New Roman" w:hAnsi="Times New Roman"/>
              </w:rPr>
              <w:t xml:space="preserve">Izloženosti u statusu neispunjavanja obveza</w:t>
            </w:r>
          </w:p>
          <w:p w14:paraId="748E3418"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0171</w:t>
            </w:r>
          </w:p>
        </w:tc>
        <w:tc>
          <w:tcPr>
            <w:tcW w:w="7274" w:type="dxa"/>
          </w:tcPr>
          <w:p w14:paraId="61BDB376"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1.1.1.1.11.a  Podređene dužničke izloženosti</w:t>
            </w:r>
          </w:p>
          <w:p w14:paraId="459A982C"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0180</w:t>
            </w:r>
          </w:p>
        </w:tc>
        <w:tc>
          <w:tcPr>
            <w:tcW w:w="7274" w:type="dxa"/>
          </w:tcPr>
          <w:p w14:paraId="5555D90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1.1.1.1.12.</w:t>
            </w:r>
            <w:r>
              <w:rPr>
                <w:rStyle w:val="InstructionsTabelleberschrift"/>
                <w:sz w:val="24"/>
                <w:rFonts w:ascii="Times New Roman" w:hAnsi="Times New Roman"/>
              </w:rPr>
              <w:tab/>
            </w:r>
            <w:r>
              <w:rPr>
                <w:rStyle w:val="InstructionsTabelleberschrift"/>
                <w:sz w:val="24"/>
                <w:rFonts w:ascii="Times New Roman" w:hAnsi="Times New Roman"/>
              </w:rPr>
              <w:t xml:space="preserve">Pokrivene obveznice</w:t>
            </w:r>
          </w:p>
          <w:p w14:paraId="5974852A"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0190</w:t>
            </w:r>
          </w:p>
        </w:tc>
        <w:tc>
          <w:tcPr>
            <w:tcW w:w="7274" w:type="dxa"/>
          </w:tcPr>
          <w:p w14:paraId="3B622691"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1.1.1.1.13.</w:t>
            </w:r>
            <w:r>
              <w:rPr>
                <w:rStyle w:val="InstructionsTabelleberschrift"/>
                <w:sz w:val="24"/>
                <w:rFonts w:ascii="Times New Roman" w:hAnsi="Times New Roman"/>
              </w:rPr>
              <w:tab/>
            </w:r>
            <w:r>
              <w:rPr>
                <w:rStyle w:val="InstructionsTabelleberschrift"/>
                <w:sz w:val="24"/>
                <w:rFonts w:ascii="Times New Roman" w:hAnsi="Times New Roman"/>
              </w:rPr>
              <w:t xml:space="preserve">Potraživanja prema institucijama i trgovačkim društvima s kratkoročnom kreditnom procjenom</w:t>
            </w:r>
          </w:p>
          <w:p w14:paraId="3F6E4C69"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0200</w:t>
            </w:r>
          </w:p>
        </w:tc>
        <w:tc>
          <w:tcPr>
            <w:tcW w:w="7274" w:type="dxa"/>
          </w:tcPr>
          <w:p w14:paraId="6627DC5C"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InstructionsTabelleberschrift"/>
                <w:sz w:val="24"/>
                <w:rFonts w:ascii="Times New Roman" w:hAnsi="Times New Roman"/>
              </w:rPr>
              <w:t xml:space="preserve">1.1.1.1.14.</w:t>
            </w:r>
            <w:r>
              <w:rPr>
                <w:rStyle w:val="InstructionsTabelleberschrift"/>
                <w:sz w:val="24"/>
                <w:rFonts w:ascii="Times New Roman" w:hAnsi="Times New Roman"/>
              </w:rPr>
              <w:tab/>
            </w:r>
            <w:r>
              <w:rPr>
                <w:rStyle w:val="InstructionsTabelleberschrift"/>
                <w:sz w:val="24"/>
                <w:rFonts w:ascii="Times New Roman" w:hAnsi="Times New Roman"/>
              </w:rPr>
              <w:t xml:space="preserve">Subjekti za zajednička ulaganja (CIU)</w:t>
            </w:r>
          </w:p>
          <w:p w14:paraId="223DAA9D"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0210</w:t>
            </w:r>
          </w:p>
        </w:tc>
        <w:tc>
          <w:tcPr>
            <w:tcW w:w="7274" w:type="dxa"/>
          </w:tcPr>
          <w:p w14:paraId="0554B9E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1.1.1.1.15.</w:t>
            </w:r>
            <w:r>
              <w:rPr>
                <w:rStyle w:val="InstructionsTabelleberschrift"/>
                <w:sz w:val="24"/>
                <w:rFonts w:ascii="Times New Roman" w:hAnsi="Times New Roman"/>
              </w:rPr>
              <w:tab/>
            </w:r>
            <w:r>
              <w:rPr>
                <w:rStyle w:val="InstructionsTabelleberschrift"/>
                <w:sz w:val="24"/>
                <w:rFonts w:ascii="Times New Roman" w:hAnsi="Times New Roman"/>
              </w:rPr>
              <w:t xml:space="preserve">Vlasnička ulaganja</w:t>
            </w:r>
          </w:p>
          <w:p w14:paraId="1E6D4B15"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0211</w:t>
            </w:r>
          </w:p>
        </w:tc>
        <w:tc>
          <w:tcPr>
            <w:tcW w:w="7274" w:type="dxa"/>
          </w:tcPr>
          <w:p w14:paraId="0A0C27D7"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1.1.1.1.16.</w:t>
            </w:r>
            <w:r>
              <w:rPr>
                <w:rStyle w:val="InstructionsTabelleberschrift"/>
                <w:sz w:val="24"/>
                <w:rFonts w:ascii="Times New Roman" w:hAnsi="Times New Roman"/>
              </w:rPr>
              <w:tab/>
            </w:r>
            <w:r>
              <w:rPr>
                <w:rStyle w:val="InstructionsTabelleberschrift"/>
                <w:sz w:val="24"/>
                <w:rFonts w:ascii="Times New Roman" w:hAnsi="Times New Roman"/>
              </w:rPr>
              <w:t xml:space="preserve">Ostale stavke</w:t>
            </w:r>
          </w:p>
          <w:p w14:paraId="0F6109C6" w14:textId="77777777" w:rsidR="00CC7D2C" w:rsidRPr="002A677E" w:rsidRDefault="00CC7D2C" w:rsidP="00320EFD">
            <w:pPr>
              <w:pStyle w:val="InstructionsText"/>
              <w:rPr>
                <w:rStyle w:val="InstructionsTabelleberschrift"/>
                <w:bCs w:val="0"/>
                <w:sz w:val="24"/>
                <w:rFonts w:ascii="Times New Roman" w:hAnsi="Times New Roman"/>
              </w:rPr>
            </w:pPr>
            <w:r>
              <w:rPr>
                <w:rStyle w:val="FormatvorlageInstructionsTabelleText"/>
                <w:sz w:val="24"/>
                <w:rFonts w:ascii="Times New Roman" w:hAnsi="Times New Roman"/>
              </w:rPr>
              <w:t xml:space="preserve">Vidjeti obrazac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0212</w:t>
            </w:r>
          </w:p>
        </w:tc>
        <w:tc>
          <w:tcPr>
            <w:tcW w:w="7274" w:type="dxa"/>
          </w:tcPr>
          <w:p w14:paraId="618C81D6"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1.1.1.1.16.1.</w:t>
            </w:r>
            <w:r>
              <w:rPr>
                <w:rStyle w:val="InstructionsTabelleberschrift"/>
                <w:sz w:val="24"/>
                <w:rFonts w:ascii="Times New Roman" w:hAnsi="Times New Roman"/>
              </w:rPr>
              <w:tab/>
            </w:r>
            <w:r>
              <w:rPr>
                <w:rStyle w:val="InstructionsTabelleberschrift"/>
                <w:sz w:val="24"/>
                <w:rFonts w:ascii="Times New Roman" w:hAnsi="Times New Roman"/>
              </w:rPr>
              <w:t xml:space="preserve">Od čega: imovina u obliku softvera koja se iskazuje kao nematerijalna imovina</w:t>
            </w:r>
          </w:p>
          <w:p w14:paraId="665DD53E" w14:textId="77777777" w:rsidR="00CC7D2C" w:rsidRPr="002A677E" w:rsidRDefault="00CC7D2C" w:rsidP="00320EFD">
            <w:pPr>
              <w:pStyle w:val="InstructionsText"/>
              <w:rPr>
                <w:rStyle w:val="InstructionsTabelleberschrift"/>
                <w:sz w:val="24"/>
                <w:rFonts w:ascii="Times New Roman" w:hAnsi="Times New Roman"/>
              </w:rPr>
            </w:pPr>
            <w:r>
              <w:t xml:space="preserve">Iznos izloženosti ponderiran rizikom koji se odnosi na dio imovine u obliku softvera koja se iskazuje kao nematerijalna imovina koji nije odbijen od stavki redovnog osnovnog kapitala u skladu s člankom 36. stavkom 1. točkom (b) Uredbe (EU) br. 575/2013, ali je ponderiran rizikom u skladu s člankom 113. stavkom 5. te uredbe.</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0240</w:t>
            </w:r>
          </w:p>
        </w:tc>
        <w:tc>
          <w:tcPr>
            <w:tcW w:w="7274" w:type="dxa"/>
          </w:tcPr>
          <w:p w14:paraId="16E680C8" w14:textId="77777777" w:rsidR="00CC7D2C" w:rsidRPr="002A677E" w:rsidRDefault="00CC7D2C" w:rsidP="00320EFD">
            <w:pPr>
              <w:pStyle w:val="InstructionsText"/>
              <w:rPr>
                <w:rStyle w:val="FormatvorlageInstructionsTabelleText"/>
                <w:sz w:val="24"/>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Pristup zasnovan na internim rejting-sustavima (IRB)</w:t>
            </w:r>
            <w:r>
              <w:rPr>
                <w:rStyle w:val="InstructionsTabelleberschrift"/>
                <w:sz w:val="24"/>
                <w:rFonts w:ascii="Times New Roman" w:hAnsi="Times New Roman"/>
              </w:rPr>
              <w:t xml:space="preserve">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0241</w:t>
            </w:r>
          </w:p>
        </w:tc>
        <w:tc>
          <w:tcPr>
            <w:tcW w:w="7274" w:type="dxa"/>
          </w:tcPr>
          <w:p w14:paraId="101088E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Dodatni stroži bonitetni zahtjevi na temelju članka 164. Uredbe (EU) br. 575/2013</w:t>
            </w:r>
          </w:p>
          <w:p w14:paraId="6560C4C8" w14:textId="77777777" w:rsidR="00CC7D2C" w:rsidRPr="002A677E" w:rsidRDefault="00CC7D2C" w:rsidP="00320EFD">
            <w:pPr>
              <w:pStyle w:val="InstructionsText"/>
              <w:rPr>
                <w:rStyle w:val="InstructionsTabelleberschrift"/>
                <w:sz w:val="24"/>
                <w:rFonts w:ascii="Times New Roman" w:hAnsi="Times New Roman"/>
              </w:rPr>
            </w:pPr>
            <w:r>
              <w:t xml:space="preserve">Institucije iskazuju dodatne iznose izloženosti riziku koji su potrebni za ispunjavanje strožih bonitetnih zahtjeva kako su priopćeni institucijama nakon obavijesti EBA-i, u skladu s člankom 164. stavcima 5. i 7. Uredbe (EU) br. 575/2013.</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0242</w:t>
            </w:r>
          </w:p>
        </w:tc>
        <w:tc>
          <w:tcPr>
            <w:tcW w:w="7274" w:type="dxa"/>
          </w:tcPr>
          <w:p w14:paraId="6176616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Dodatni stroži bonitetni zahtjevi na temelju članka 124. Uredbe (EU) br. 575/2013</w:t>
            </w:r>
          </w:p>
          <w:p w14:paraId="15832D3F" w14:textId="33F29755" w:rsidR="00CC7D2C" w:rsidRPr="002A677E" w:rsidRDefault="00CC7D2C" w:rsidP="00320EFD">
            <w:pPr>
              <w:pStyle w:val="InstructionsText"/>
              <w:rPr>
                <w:rStyle w:val="InstructionsTabelleberschrift"/>
                <w:sz w:val="24"/>
                <w:rFonts w:ascii="Times New Roman" w:hAnsi="Times New Roman"/>
              </w:rPr>
            </w:pPr>
            <w:r>
              <w:t xml:space="preserve">Institucije iskazuju dodatne iznose izloženosti riziku koji su potrebni za ispunjenje strožih bonitetnih zahtjeva koje su nakon savjetovanja s EBA-om odredila nadležna tijela, kako je propisano u članku 124. stavcima od 8. do 13. Uredbe (EU) br. 575/2013 i koji su povezani s ograničenjima prihvatljive tržišne vrijednosti kolaterala kako je propisano u članku 125. stavku 2. točki (d) i članku 126. stavku 2. točki (d) te uredbe.</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0250</w:t>
            </w:r>
          </w:p>
        </w:tc>
        <w:tc>
          <w:tcPr>
            <w:tcW w:w="7274" w:type="dxa"/>
          </w:tcPr>
          <w:p w14:paraId="74E43A0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w:t>
            </w:r>
            <w:r>
              <w:rPr>
                <w:rStyle w:val="InstructionsTabelleberschrift"/>
                <w:sz w:val="24"/>
                <w:rFonts w:ascii="Times New Roman" w:hAnsi="Times New Roman"/>
              </w:rPr>
              <w:tab/>
            </w:r>
            <w:r>
              <w:rPr>
                <w:rStyle w:val="InstructionsTabelleberschrift"/>
                <w:sz w:val="24"/>
                <w:rFonts w:ascii="Times New Roman" w:hAnsi="Times New Roman"/>
              </w:rPr>
              <w:t xml:space="preserve">IRB pristupi kada se ne primjenjuju ni vlastite procjene LGD-a ni konverzijski faktori</w:t>
            </w:r>
          </w:p>
          <w:p w14:paraId="7292063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Obrazac CR IRB na razini ukupnih izloženosti (kada se ne primjenjuju vlastite procjene LGD-a ili kreditni konverzijski faktori)</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0260</w:t>
            </w:r>
          </w:p>
        </w:tc>
        <w:tc>
          <w:tcPr>
            <w:tcW w:w="7274" w:type="dxa"/>
          </w:tcPr>
          <w:p w14:paraId="00B35FF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1.1.2.1.01.</w:t>
            </w:r>
            <w:r>
              <w:rPr>
                <w:rStyle w:val="InstructionsTabelleberschrift"/>
                <w:sz w:val="24"/>
                <w:rFonts w:ascii="Times New Roman" w:hAnsi="Times New Roman"/>
              </w:rPr>
              <w:tab/>
            </w:r>
            <w:r>
              <w:rPr>
                <w:rStyle w:val="InstructionsTabelleberschrift"/>
                <w:sz w:val="24"/>
                <w:rFonts w:ascii="Times New Roman" w:hAnsi="Times New Roman"/>
              </w:rPr>
              <w:t xml:space="preserve">Središnje države i središnje banke</w:t>
            </w:r>
          </w:p>
          <w:p w14:paraId="7C743634"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0261</w:t>
            </w:r>
          </w:p>
        </w:tc>
        <w:tc>
          <w:tcPr>
            <w:tcW w:w="7274" w:type="dxa"/>
          </w:tcPr>
          <w:p w14:paraId="1CF3531F"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1.1.2.1.01.a</w:t>
            </w:r>
            <w:r>
              <w:tab/>
            </w:r>
            <w:r>
              <w:rPr>
                <w:rStyle w:val="InstructionsTabelleberschrift"/>
                <w:sz w:val="24"/>
                <w:rFonts w:ascii="Times New Roman" w:hAnsi="Times New Roman"/>
              </w:rPr>
              <w:t xml:space="preserve">Jedinice područne (regionalne) ili lokalne samouprave</w:t>
            </w:r>
          </w:p>
          <w:p w14:paraId="3DC897B7"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0262</w:t>
            </w:r>
          </w:p>
        </w:tc>
        <w:tc>
          <w:tcPr>
            <w:tcW w:w="7274" w:type="dxa"/>
          </w:tcPr>
          <w:p w14:paraId="730EA32D"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1.1.2.1.01b</w:t>
            </w:r>
            <w:r>
              <w:tab/>
            </w:r>
            <w:r>
              <w:rPr>
                <w:rStyle w:val="InstructionsTabelleberschrift"/>
                <w:sz w:val="24"/>
                <w:rFonts w:ascii="Times New Roman" w:hAnsi="Times New Roman"/>
              </w:rPr>
              <w:t xml:space="preserve">Subjekti javnog sektora</w:t>
            </w:r>
          </w:p>
          <w:p w14:paraId="1396D915"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0270</w:t>
            </w:r>
          </w:p>
        </w:tc>
        <w:tc>
          <w:tcPr>
            <w:tcW w:w="7274" w:type="dxa"/>
          </w:tcPr>
          <w:p w14:paraId="302C8C32"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1.1.2.1.02.</w:t>
            </w:r>
            <w:r>
              <w:rPr>
                <w:rStyle w:val="InstructionsTabelleberschrift"/>
                <w:sz w:val="24"/>
                <w:rFonts w:ascii="Times New Roman" w:hAnsi="Times New Roman"/>
              </w:rPr>
              <w:tab/>
            </w:r>
            <w:r>
              <w:rPr>
                <w:rStyle w:val="InstructionsTabelleberschrift"/>
                <w:sz w:val="24"/>
                <w:rFonts w:ascii="Times New Roman" w:hAnsi="Times New Roman"/>
              </w:rPr>
              <w:t xml:space="preserve">Institucije</w:t>
            </w:r>
          </w:p>
          <w:p w14:paraId="380B21DF"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0290</w:t>
            </w:r>
          </w:p>
        </w:tc>
        <w:tc>
          <w:tcPr>
            <w:tcW w:w="7274" w:type="dxa"/>
          </w:tcPr>
          <w:p w14:paraId="0ADCB2F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1.1.2.1.04.</w:t>
            </w:r>
            <w:r>
              <w:rPr>
                <w:rStyle w:val="InstructionsTabelleberschrift"/>
                <w:sz w:val="24"/>
                <w:rFonts w:ascii="Times New Roman" w:hAnsi="Times New Roman"/>
              </w:rPr>
              <w:tab/>
            </w:r>
            <w:r>
              <w:rPr>
                <w:rStyle w:val="InstructionsTabelleberschrift"/>
                <w:sz w:val="24"/>
                <w:rFonts w:ascii="Times New Roman" w:hAnsi="Times New Roman"/>
              </w:rPr>
              <w:t xml:space="preserve">Trgovačka društva – specijalizirano financiranje</w:t>
            </w:r>
          </w:p>
          <w:p w14:paraId="4FCB662E"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r>
              <w:rPr>
                <w:rStyle w:val="FormatvorlageInstructionsTabelleText"/>
                <w:sz w:val="24"/>
                <w:rFonts w:ascii="Times New Roman" w:hAnsi="Times New Roman"/>
              </w:rPr>
              <w:t xml:space="preserve">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0295</w:t>
            </w:r>
          </w:p>
        </w:tc>
        <w:tc>
          <w:tcPr>
            <w:tcW w:w="7274" w:type="dxa"/>
          </w:tcPr>
          <w:p w14:paraId="7B08BBDE"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1.1.2.1.04a</w:t>
            </w:r>
            <w:r>
              <w:tab/>
            </w:r>
            <w:r>
              <w:rPr>
                <w:rStyle w:val="InstructionsTabelleberschrift"/>
                <w:sz w:val="24"/>
                <w:rFonts w:ascii="Times New Roman" w:hAnsi="Times New Roman"/>
              </w:rPr>
              <w:t xml:space="preserve">Trgovačka društva – Otkupljena potraživanja</w:t>
            </w:r>
          </w:p>
          <w:p w14:paraId="191C302F"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0300</w:t>
            </w:r>
          </w:p>
        </w:tc>
        <w:tc>
          <w:tcPr>
            <w:tcW w:w="7274" w:type="dxa"/>
          </w:tcPr>
          <w:p w14:paraId="66BBC153"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1.1.2.1.05.</w:t>
            </w:r>
            <w:r>
              <w:rPr>
                <w:rStyle w:val="InstructionsTabelleberschrift"/>
                <w:sz w:val="24"/>
                <w:rFonts w:ascii="Times New Roman" w:hAnsi="Times New Roman"/>
              </w:rPr>
              <w:tab/>
            </w:r>
            <w:r>
              <w:rPr>
                <w:rStyle w:val="InstructionsTabelleberschrift"/>
                <w:sz w:val="24"/>
                <w:rFonts w:ascii="Times New Roman" w:hAnsi="Times New Roman"/>
              </w:rPr>
              <w:t xml:space="preserve">Trgovačka društva – ostalo</w:t>
            </w:r>
          </w:p>
          <w:p w14:paraId="4BF46AF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0305</w:t>
            </w:r>
          </w:p>
        </w:tc>
        <w:tc>
          <w:tcPr>
            <w:tcW w:w="7274" w:type="dxa"/>
          </w:tcPr>
          <w:p w14:paraId="13683B26" w14:textId="45C732F7" w:rsidR="00B0254B" w:rsidRDefault="00B0254B"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1.1.2.1.06.*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Trgovačka društva – Velika trgovačka društva</w:t>
            </w:r>
          </w:p>
          <w:p w14:paraId="2C3CE8A6" w14:textId="6AFC835D" w:rsidR="00B0254B" w:rsidRPr="002A677E" w:rsidRDefault="00B0254B"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0306</w:t>
            </w:r>
          </w:p>
        </w:tc>
        <w:tc>
          <w:tcPr>
            <w:tcW w:w="7274" w:type="dxa"/>
          </w:tcPr>
          <w:p w14:paraId="56CED020" w14:textId="30FCD2D5" w:rsidR="007F42A0" w:rsidRDefault="007F42A0"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1.1.2.1.06.**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Trgovačka društva – MSP</w:t>
            </w:r>
          </w:p>
          <w:p w14:paraId="46BB2F9C" w14:textId="571336D0" w:rsidR="007F42A0" w:rsidRPr="002A677E" w:rsidRDefault="007F42A0"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0310</w:t>
            </w:r>
          </w:p>
        </w:tc>
        <w:tc>
          <w:tcPr>
            <w:tcW w:w="7274" w:type="dxa"/>
          </w:tcPr>
          <w:p w14:paraId="3C904975"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w:t>
            </w:r>
            <w:r>
              <w:rPr>
                <w:rStyle w:val="InstructionsTabelleberschrift"/>
                <w:sz w:val="24"/>
                <w:rFonts w:ascii="Times New Roman" w:hAnsi="Times New Roman"/>
              </w:rPr>
              <w:tab/>
            </w:r>
            <w:r>
              <w:rPr>
                <w:rStyle w:val="InstructionsTabelleberschrift"/>
                <w:sz w:val="24"/>
                <w:rFonts w:ascii="Times New Roman" w:hAnsi="Times New Roman"/>
              </w:rPr>
              <w:t xml:space="preserve">IRB pristupi kada se primjenjuju vlastite procjene LGD-a i/ili konverzijski faktor</w:t>
            </w:r>
          </w:p>
          <w:p w14:paraId="065EEC5E"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Obrazac CR IRB na razini ukupnih izloženosti (kada se primjenjuju vlastite procjene LGD-a i/ili kreditni konverzijski faktor)</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0320</w:t>
            </w:r>
          </w:p>
        </w:tc>
        <w:tc>
          <w:tcPr>
            <w:tcW w:w="7274" w:type="dxa"/>
          </w:tcPr>
          <w:p w14:paraId="45457DE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1.1.2.2.01.</w:t>
            </w:r>
            <w:r>
              <w:rPr>
                <w:rStyle w:val="InstructionsTabelleberschrift"/>
                <w:sz w:val="24"/>
                <w:rFonts w:ascii="Times New Roman" w:hAnsi="Times New Roman"/>
              </w:rPr>
              <w:tab/>
            </w:r>
            <w:r>
              <w:rPr>
                <w:rStyle w:val="InstructionsTabelleberschrift"/>
                <w:sz w:val="24"/>
                <w:rFonts w:ascii="Times New Roman" w:hAnsi="Times New Roman"/>
              </w:rPr>
              <w:t xml:space="preserve">Središnje države i središnje banke</w:t>
            </w:r>
          </w:p>
          <w:p w14:paraId="15FC0A45"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0325</w:t>
            </w:r>
          </w:p>
        </w:tc>
        <w:tc>
          <w:tcPr>
            <w:tcW w:w="7274" w:type="dxa"/>
          </w:tcPr>
          <w:p w14:paraId="06BBBFBA"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1.1.2.2.01a</w:t>
            </w:r>
            <w:r>
              <w:tab/>
            </w:r>
            <w:r>
              <w:rPr>
                <w:rStyle w:val="InstructionsTabelleberschrift"/>
                <w:sz w:val="24"/>
                <w:rFonts w:ascii="Times New Roman" w:hAnsi="Times New Roman"/>
              </w:rPr>
              <w:t xml:space="preserve">Jedinice područne (regionalne) ili lokalne samouprave</w:t>
            </w:r>
          </w:p>
          <w:p w14:paraId="6BB6F901"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0326</w:t>
            </w:r>
          </w:p>
        </w:tc>
        <w:tc>
          <w:tcPr>
            <w:tcW w:w="7274" w:type="dxa"/>
          </w:tcPr>
          <w:p w14:paraId="7F2539C7"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1.1.2.2.01b</w:t>
            </w:r>
            <w:r>
              <w:tab/>
            </w:r>
            <w:r>
              <w:rPr>
                <w:rStyle w:val="InstructionsTabelleberschrift"/>
                <w:sz w:val="24"/>
                <w:rFonts w:ascii="Times New Roman" w:hAnsi="Times New Roman"/>
              </w:rPr>
              <w:t xml:space="preserve">Subjekti javnog sektora</w:t>
            </w:r>
          </w:p>
          <w:p w14:paraId="52267284"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0350</w:t>
            </w:r>
          </w:p>
        </w:tc>
        <w:tc>
          <w:tcPr>
            <w:tcW w:w="7274" w:type="dxa"/>
          </w:tcPr>
          <w:p w14:paraId="37CD4DE1"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1.1.2.2.04.</w:t>
            </w:r>
            <w:r>
              <w:rPr>
                <w:rStyle w:val="InstructionsTabelleberschrift"/>
                <w:sz w:val="24"/>
                <w:rFonts w:ascii="Times New Roman" w:hAnsi="Times New Roman"/>
              </w:rPr>
              <w:tab/>
            </w:r>
            <w:r>
              <w:rPr>
                <w:rStyle w:val="InstructionsTabelleberschrift"/>
                <w:sz w:val="24"/>
                <w:rFonts w:ascii="Times New Roman" w:hAnsi="Times New Roman"/>
              </w:rPr>
              <w:t xml:space="preserve">Trgovačka društva – specijalizirano financiranje</w:t>
            </w:r>
          </w:p>
          <w:p w14:paraId="5A317945"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0355</w:t>
            </w:r>
          </w:p>
        </w:tc>
        <w:tc>
          <w:tcPr>
            <w:tcW w:w="7274" w:type="dxa"/>
          </w:tcPr>
          <w:p w14:paraId="7B8831A6"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1.1.2.2.04a</w:t>
            </w:r>
            <w:r>
              <w:tab/>
            </w:r>
            <w:r>
              <w:rPr>
                <w:rStyle w:val="InstructionsTabelleberschrift"/>
                <w:sz w:val="24"/>
                <w:rFonts w:ascii="Times New Roman" w:hAnsi="Times New Roman"/>
              </w:rPr>
              <w:t xml:space="preserve">Trgovačka društva – Otkupljena potraživanja</w:t>
            </w:r>
          </w:p>
          <w:p w14:paraId="32E5A74A"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0360</w:t>
            </w:r>
          </w:p>
        </w:tc>
        <w:tc>
          <w:tcPr>
            <w:tcW w:w="7274" w:type="dxa"/>
          </w:tcPr>
          <w:p w14:paraId="2EB90E3D"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1.1.2.2.05.</w:t>
            </w:r>
            <w:r>
              <w:rPr>
                <w:rStyle w:val="InstructionsTabelleberschrift"/>
                <w:sz w:val="24"/>
                <w:rFonts w:ascii="Times New Roman" w:hAnsi="Times New Roman"/>
              </w:rPr>
              <w:tab/>
            </w:r>
            <w:r>
              <w:rPr>
                <w:rStyle w:val="InstructionsTabelleberschrift"/>
                <w:sz w:val="24"/>
                <w:rFonts w:ascii="Times New Roman" w:hAnsi="Times New Roman"/>
              </w:rPr>
              <w:t xml:space="preserve">Trgovačka društva – ostalo</w:t>
            </w:r>
          </w:p>
          <w:p w14:paraId="0C641820"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0415</w:t>
            </w:r>
          </w:p>
        </w:tc>
        <w:tc>
          <w:tcPr>
            <w:tcW w:w="7274" w:type="dxa"/>
          </w:tcPr>
          <w:p w14:paraId="4393B81B" w14:textId="60104733" w:rsidR="00B0254B" w:rsidRDefault="00B0254B"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1.1.2.2.05.a*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Trgovačka društva – Velika trgovačka društva</w:t>
            </w:r>
          </w:p>
          <w:p w14:paraId="5851B687" w14:textId="21622467" w:rsidR="00B0254B" w:rsidRPr="002A677E" w:rsidRDefault="00B0254B"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0416</w:t>
            </w:r>
          </w:p>
        </w:tc>
        <w:tc>
          <w:tcPr>
            <w:tcW w:w="7274" w:type="dxa"/>
          </w:tcPr>
          <w:p w14:paraId="41D1097C" w14:textId="684C5EB1" w:rsidR="00756BE3"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1.1.2.2.05.a**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Trgovačka društva – MSP</w:t>
            </w:r>
          </w:p>
          <w:p w14:paraId="54E1479C" w14:textId="0B65AA60" w:rsidR="00756BE3" w:rsidRPr="002A677E" w:rsidRDefault="00756BE3"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0371</w:t>
            </w:r>
          </w:p>
        </w:tc>
        <w:tc>
          <w:tcPr>
            <w:tcW w:w="7274" w:type="dxa"/>
          </w:tcPr>
          <w:p w14:paraId="7526DAC0" w14:textId="12F2B91B"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1.1.2.2.06.</w:t>
            </w:r>
            <w:r>
              <w:tab/>
            </w:r>
            <w:r>
              <w:rPr>
                <w:rStyle w:val="InstructionsTabelleberschrift"/>
                <w:sz w:val="24"/>
                <w:rFonts w:ascii="Times New Roman" w:hAnsi="Times New Roman"/>
              </w:rPr>
              <w:t xml:space="preserve">Stanovništvo – Osigurano stambenom nekretninom</w:t>
            </w:r>
          </w:p>
          <w:p w14:paraId="6EA2E7FD"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0390</w:t>
            </w:r>
          </w:p>
        </w:tc>
        <w:tc>
          <w:tcPr>
            <w:tcW w:w="7274" w:type="dxa"/>
          </w:tcPr>
          <w:p w14:paraId="16F88A63"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1.1.2.2.08.</w:t>
            </w:r>
            <w:r>
              <w:rPr>
                <w:rStyle w:val="InstructionsTabelleberschrift"/>
                <w:sz w:val="24"/>
                <w:rFonts w:ascii="Times New Roman" w:hAnsi="Times New Roman"/>
              </w:rPr>
              <w:tab/>
            </w:r>
            <w:r>
              <w:rPr>
                <w:rStyle w:val="InstructionsTabelleberschrift"/>
                <w:sz w:val="24"/>
                <w:rFonts w:ascii="Times New Roman" w:hAnsi="Times New Roman"/>
              </w:rPr>
              <w:t xml:space="preserve">Stanovništvo – kvalificirane obnovljive izloženosti</w:t>
            </w:r>
          </w:p>
          <w:p w14:paraId="57E1BED9"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0395</w:t>
            </w:r>
          </w:p>
        </w:tc>
        <w:tc>
          <w:tcPr>
            <w:tcW w:w="7274" w:type="dxa"/>
          </w:tcPr>
          <w:p w14:paraId="4BDE0153"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1.1.2.2.08a</w:t>
            </w:r>
            <w:r>
              <w:tab/>
            </w:r>
            <w:r>
              <w:rPr>
                <w:rStyle w:val="InstructionsTabelleberschrift"/>
                <w:sz w:val="24"/>
                <w:rFonts w:ascii="Times New Roman" w:hAnsi="Times New Roman"/>
              </w:rPr>
              <w:t xml:space="preserve">Stanovništvo – Otkupljena potraživanja</w:t>
            </w:r>
          </w:p>
          <w:p w14:paraId="1EE5A186"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0401</w:t>
            </w:r>
          </w:p>
        </w:tc>
        <w:tc>
          <w:tcPr>
            <w:tcW w:w="7274" w:type="dxa"/>
          </w:tcPr>
          <w:p w14:paraId="75B70FC2" w14:textId="628645DC"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1.1.2.2.09.</w:t>
            </w:r>
            <w:r>
              <w:rPr>
                <w:rStyle w:val="InstructionsTabelleberschrift"/>
                <w:sz w:val="24"/>
                <w:rFonts w:ascii="Times New Roman" w:hAnsi="Times New Roman"/>
              </w:rPr>
              <w:tab/>
            </w:r>
            <w:r>
              <w:rPr>
                <w:rStyle w:val="InstructionsTabelleberschrift"/>
                <w:sz w:val="24"/>
                <w:rFonts w:ascii="Times New Roman" w:hAnsi="Times New Roman"/>
              </w:rPr>
              <w:t xml:space="preserve">Stanovništvo – Ostalo</w:t>
            </w:r>
          </w:p>
          <w:p w14:paraId="0AE46C22"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0405</w:t>
            </w:r>
          </w:p>
        </w:tc>
        <w:tc>
          <w:tcPr>
            <w:tcW w:w="7274" w:type="dxa"/>
          </w:tcPr>
          <w:p w14:paraId="6363C6C9"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1.1.2.2.09.01.</w:t>
            </w:r>
            <w:r>
              <w:rPr>
                <w:rStyle w:val="InstructionsTabelleberschrift"/>
                <w:sz w:val="24"/>
                <w:rFonts w:ascii="Times New Roman" w:hAnsi="Times New Roman"/>
              </w:rPr>
              <w:t xml:space="preserve"> </w:t>
            </w:r>
            <w:r>
              <w:tab/>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osigurano poslovnom nekretninom</w:t>
            </w:r>
          </w:p>
          <w:p w14:paraId="05CDF313"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0411</w:t>
            </w:r>
          </w:p>
        </w:tc>
        <w:tc>
          <w:tcPr>
            <w:tcW w:w="7274" w:type="dxa"/>
          </w:tcPr>
          <w:p w14:paraId="33161137" w14:textId="5F59FB26"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Stanovništvo – izloženosti osigurane nekretninama MSP-ova</w:t>
            </w:r>
            <w:r>
              <w:rPr>
                <w:rStyle w:val="InstructionsTabelleberschrift"/>
                <w:sz w:val="24"/>
                <w:rFonts w:ascii="Times New Roman" w:hAnsi="Times New Roman"/>
              </w:rPr>
              <w:t xml:space="preserve">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0412</w:t>
            </w:r>
          </w:p>
        </w:tc>
        <w:tc>
          <w:tcPr>
            <w:tcW w:w="7274" w:type="dxa"/>
          </w:tcPr>
          <w:p w14:paraId="140CBF3B" w14:textId="5B46DEF4"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Stanovništvo – izloženosti osigurane nekretninama osoba koje nisu MSP-ovi</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0413</w:t>
            </w:r>
          </w:p>
        </w:tc>
        <w:tc>
          <w:tcPr>
            <w:tcW w:w="7274" w:type="dxa"/>
          </w:tcPr>
          <w:p w14:paraId="516EA86A" w14:textId="609FE8F9"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Stanovništvo – ostalo, MSP-ovi</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0414</w:t>
            </w:r>
          </w:p>
        </w:tc>
        <w:tc>
          <w:tcPr>
            <w:tcW w:w="7274" w:type="dxa"/>
          </w:tcPr>
          <w:p w14:paraId="59C95136" w14:textId="0AF9E70F" w:rsidR="00756BE3" w:rsidRPr="002A677E" w:rsidRDefault="00756BE3"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1.1.2.2.11.**** 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Stanovništvo – ostalo, osobe koje nisu MSP-ovi</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0420</w:t>
            </w:r>
          </w:p>
        </w:tc>
        <w:tc>
          <w:tcPr>
            <w:tcW w:w="7274" w:type="dxa"/>
          </w:tcPr>
          <w:p w14:paraId="531B488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1.1.2.3.</w:t>
            </w:r>
            <w:r>
              <w:rPr>
                <w:rStyle w:val="InstructionsTabelleberschrift"/>
                <w:sz w:val="24"/>
                <w:rFonts w:ascii="Times New Roman" w:hAnsi="Times New Roman"/>
              </w:rPr>
              <w:tab/>
            </w:r>
            <w:r>
              <w:rPr>
                <w:rStyle w:val="InstructionsTabelleberschrift"/>
                <w:sz w:val="24"/>
                <w:rFonts w:ascii="Times New Roman" w:hAnsi="Times New Roman"/>
              </w:rPr>
              <w:t xml:space="preserve">Vlasnička ulaganja u skladu s IRB pristupom</w:t>
            </w:r>
          </w:p>
          <w:p w14:paraId="58BB0517"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0425</w:t>
            </w:r>
          </w:p>
        </w:tc>
        <w:tc>
          <w:tcPr>
            <w:tcW w:w="7274" w:type="dxa"/>
          </w:tcPr>
          <w:p w14:paraId="442C19CE"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1.1.2.4. Subjekti za zajednička ulaganja (CIU)</w:t>
            </w:r>
          </w:p>
          <w:p w14:paraId="6AE6DB29"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0450</w:t>
            </w:r>
          </w:p>
        </w:tc>
        <w:tc>
          <w:tcPr>
            <w:tcW w:w="7274" w:type="dxa"/>
          </w:tcPr>
          <w:p w14:paraId="30A38C38"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1.1.2.5.</w:t>
            </w:r>
            <w:r>
              <w:rPr>
                <w:rStyle w:val="InstructionsTabelleberschrift"/>
                <w:sz w:val="24"/>
                <w:rFonts w:ascii="Times New Roman" w:hAnsi="Times New Roman"/>
              </w:rPr>
              <w:tab/>
            </w:r>
            <w:r>
              <w:rPr>
                <w:rStyle w:val="InstructionsTabelleberschrift"/>
                <w:sz w:val="24"/>
                <w:rFonts w:ascii="Times New Roman" w:hAnsi="Times New Roman"/>
              </w:rPr>
              <w:t xml:space="preserve">Ostala imovina bez kreditnih obveza</w:t>
            </w:r>
          </w:p>
          <w:p w14:paraId="0D471624" w14:textId="77777777" w:rsidR="00CC7D2C" w:rsidRPr="001235ED" w:rsidRDefault="00CC7D2C" w:rsidP="00822842">
            <w:pPr>
              <w:rPr>
                <w:rStyle w:val="FormatvorlageInstructionsTabelleText"/>
                <w:sz w:val="24"/>
                <w:rFonts w:ascii="Times New Roman" w:hAnsi="Times New Roman"/>
              </w:rPr>
            </w:pPr>
            <w:r>
              <w:rPr>
                <w:sz w:val="24"/>
                <w:rFonts w:ascii="Times New Roman" w:hAnsi="Times New Roman"/>
              </w:rPr>
              <w:t xml:space="preserve">Iznos koji se iskazuje iznos je izloženosti ponderiran rizikom kako se izračunava u skladu s člankom 156. Uredbe (EU) br. 575/2013.</w:t>
            </w:r>
            <w:r>
              <w:rPr>
                <w:sz w:val="24"/>
                <w:rStyle w:val="FormatvorlageInstructionsTabelleText"/>
                <w:rFonts w:ascii="Times New Roman" w:hAnsi="Times New Roman"/>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0455</w:t>
            </w:r>
          </w:p>
        </w:tc>
        <w:tc>
          <w:tcPr>
            <w:tcW w:w="7274" w:type="dxa"/>
          </w:tcPr>
          <w:p w14:paraId="3BA98BA5"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1.1.2.5.1.</w:t>
            </w:r>
            <w:r>
              <w:rPr>
                <w:rStyle w:val="InstructionsTabelleberschrift"/>
                <w:sz w:val="24"/>
                <w:rFonts w:ascii="Times New Roman" w:hAnsi="Times New Roman"/>
              </w:rPr>
              <w:t xml:space="preserve"> </w:t>
            </w:r>
            <w:r>
              <w:rPr>
                <w:rStyle w:val="InstructionsTabelleberschrift"/>
                <w:sz w:val="24"/>
                <w:rFonts w:ascii="Times New Roman" w:hAnsi="Times New Roman"/>
              </w:rPr>
              <w:tab/>
            </w:r>
            <w:r>
              <w:rPr>
                <w:rStyle w:val="InstructionsTabelleberschrift"/>
                <w:sz w:val="24"/>
                <w:rFonts w:ascii="Times New Roman" w:hAnsi="Times New Roman"/>
              </w:rPr>
              <w:t xml:space="preserve">Od čega: imovina u obliku softvera koja se iskazuje kao nematerijalna imovina</w:t>
            </w:r>
          </w:p>
          <w:p w14:paraId="725F0A16" w14:textId="77777777" w:rsidR="00CC7D2C" w:rsidRPr="002A677E" w:rsidRDefault="00CC7D2C" w:rsidP="00320EFD">
            <w:pPr>
              <w:pStyle w:val="InstructionsText"/>
              <w:rPr>
                <w:rStyle w:val="InstructionsTabelleberschrift"/>
                <w:sz w:val="24"/>
                <w:rFonts w:ascii="Times New Roman" w:hAnsi="Times New Roman"/>
              </w:rPr>
            </w:pPr>
            <w:r>
              <w:t xml:space="preserve">Iznos izloženosti ponderiran rizikom koji se odnosi na dio imovine u obliku softvera koja se iskazuje kao nematerijalna imovina koji nije odbijen od stavki redovnog osnovnog kapitala u skladu s člankom 36. stavkom 1. točkom (b) Uredbe (EU) br. 575/2013, ali je ponderiran rizikom u skladu s člankom 156. te uredbe.</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0460</w:t>
            </w:r>
          </w:p>
        </w:tc>
        <w:tc>
          <w:tcPr>
            <w:tcW w:w="7274" w:type="dxa"/>
          </w:tcPr>
          <w:p w14:paraId="34FE41BA"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1.1.3.</w:t>
            </w:r>
            <w:r>
              <w:rPr>
                <w:rStyle w:val="InstructionsTabelleberschrift"/>
                <w:sz w:val="24"/>
                <w:rFonts w:ascii="Times New Roman" w:hAnsi="Times New Roman"/>
              </w:rPr>
              <w:tab/>
            </w:r>
            <w:r>
              <w:rPr>
                <w:rStyle w:val="InstructionsTabelleberschrift"/>
                <w:sz w:val="24"/>
                <w:rFonts w:ascii="Times New Roman" w:hAnsi="Times New Roman"/>
              </w:rPr>
              <w:t xml:space="preserve">Iznos izloženosti riziku za uplate u fond za neispunjene obveze središnje druge ugovorne strane</w:t>
            </w:r>
          </w:p>
          <w:p w14:paraId="192C58F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Članci 307., 308. i 309. Uredbe (EU) br.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0470</w:t>
            </w:r>
          </w:p>
        </w:tc>
        <w:tc>
          <w:tcPr>
            <w:tcW w:w="7274" w:type="dxa"/>
          </w:tcPr>
          <w:p w14:paraId="0C3A9A8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1.1.4.</w:t>
            </w:r>
            <w:r>
              <w:rPr>
                <w:rStyle w:val="InstructionsTabelleberschrift"/>
                <w:sz w:val="24"/>
                <w:rFonts w:ascii="Times New Roman" w:hAnsi="Times New Roman"/>
              </w:rPr>
              <w:t xml:space="preserve"> </w:t>
            </w:r>
            <w:r>
              <w:rPr>
                <w:rStyle w:val="InstructionsTabelleberschrift"/>
                <w:sz w:val="24"/>
                <w:rFonts w:ascii="Times New Roman" w:hAnsi="Times New Roman"/>
              </w:rPr>
              <w:tab/>
            </w:r>
            <w:r>
              <w:rPr>
                <w:rStyle w:val="InstructionsTabelleberschrift"/>
                <w:sz w:val="24"/>
                <w:rFonts w:ascii="Times New Roman" w:hAnsi="Times New Roman"/>
              </w:rPr>
              <w:t xml:space="preserve">Sekuritizacijske pozicije</w:t>
            </w:r>
          </w:p>
          <w:p w14:paraId="3F47B3F8"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Vidjeti obrazac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0490</w:t>
            </w:r>
          </w:p>
        </w:tc>
        <w:tc>
          <w:tcPr>
            <w:tcW w:w="7274" w:type="dxa"/>
          </w:tcPr>
          <w:p w14:paraId="3DD82C39" w14:textId="77777777" w:rsidR="00CC7D2C" w:rsidRPr="002A677E" w:rsidRDefault="00CC7D2C" w:rsidP="00320EFD">
            <w:pPr>
              <w:pStyle w:val="InstructionsText"/>
              <w:rPr>
                <w:rStyle w:val="InstructionsTabelleberschrift"/>
                <w:strike/>
                <w:sz w:val="24"/>
                <w:rFonts w:ascii="Times New Roman" w:hAnsi="Times New Roman"/>
              </w:rPr>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IZNOS UKUPNE IZLOŽENOSTI RIZIKU ZA NAMIRU/ISPORUKU</w:t>
            </w:r>
          </w:p>
          <w:p w14:paraId="29256EC9" w14:textId="56C51734"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92. stavak 3. i stavak 4. točka (ca) Uredbe (EU) br.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0500</w:t>
            </w:r>
          </w:p>
        </w:tc>
        <w:tc>
          <w:tcPr>
            <w:tcW w:w="7274" w:type="dxa"/>
          </w:tcPr>
          <w:p w14:paraId="6D5D04D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Rizik namire/isporuke u knjizi pozicija kojima se ne trguje</w:t>
            </w:r>
          </w:p>
          <w:p w14:paraId="24904D1B"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0510</w:t>
            </w:r>
          </w:p>
        </w:tc>
        <w:tc>
          <w:tcPr>
            <w:tcW w:w="7274" w:type="dxa"/>
          </w:tcPr>
          <w:p w14:paraId="18B50E2C"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Rizik namire/isporuke u knjizi trgovanja</w:t>
            </w:r>
          </w:p>
          <w:p w14:paraId="74ED7A42"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0520</w:t>
            </w:r>
          </w:p>
        </w:tc>
        <w:tc>
          <w:tcPr>
            <w:tcW w:w="7274" w:type="dxa"/>
          </w:tcPr>
          <w:p w14:paraId="32E4E5E4" w14:textId="6217F77C"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IZNOS UKUPNE IZLOŽENOSTI RIZIKU ZA POSLOVE IZLOŽENE TRŽIŠNOM RIZIKU</w:t>
            </w:r>
          </w:p>
          <w:p w14:paraId="12543B11" w14:textId="7D8A496A"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Članak 92. stavak 4. točka (b) podtočka i. i točka (c), stavak 5. točka (b), stavak 7. točka (b) </w:t>
            </w:r>
            <w:r>
              <w:t xml:space="preserve">Uredbe (EU) br.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0530</w:t>
            </w:r>
          </w:p>
        </w:tc>
        <w:tc>
          <w:tcPr>
            <w:tcW w:w="7274" w:type="dxa"/>
          </w:tcPr>
          <w:p w14:paraId="29276E8A" w14:textId="3D2F6084"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1.3.1.</w:t>
            </w:r>
            <w:r>
              <w:rPr>
                <w:rStyle w:val="InstructionsTabelleberschrift"/>
                <w:sz w:val="24"/>
                <w:rFonts w:ascii="Times New Roman" w:hAnsi="Times New Roman"/>
              </w:rPr>
              <w:tab/>
            </w:r>
            <w:r>
              <w:rPr>
                <w:rStyle w:val="InstructionsTabelleberschrift"/>
                <w:sz w:val="24"/>
                <w:rFonts w:ascii="Times New Roman" w:hAnsi="Times New Roman"/>
              </w:rPr>
              <w:t xml:space="preserve">Iznos izloženosti riziku za poslove izložene tržišnom riziku koji izračunavaju subjekti koji primjenjuju isključivo pojednostavnjeni standardizirani pristup (SSA)</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0540</w:t>
            </w:r>
          </w:p>
        </w:tc>
        <w:tc>
          <w:tcPr>
            <w:tcW w:w="7274" w:type="dxa"/>
          </w:tcPr>
          <w:p w14:paraId="25544111" w14:textId="77777777" w:rsidR="00CC7D2C" w:rsidRPr="008F3052"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1.3.1.1.</w:t>
            </w:r>
            <w:r>
              <w:rPr>
                <w:rStyle w:val="InstructionsTabelleberschrift"/>
                <w:sz w:val="24"/>
                <w:rFonts w:ascii="Times New Roman" w:hAnsi="Times New Roman"/>
              </w:rPr>
              <w:tab/>
            </w:r>
            <w:r>
              <w:rPr>
                <w:rStyle w:val="InstructionsTabelleberschrift"/>
                <w:sz w:val="24"/>
                <w:rFonts w:ascii="Times New Roman" w:hAnsi="Times New Roman"/>
              </w:rPr>
              <w:t xml:space="preserve">Dužnički instrumenti kojima se trguje</w:t>
            </w:r>
          </w:p>
          <w:p w14:paraId="2C50FBF9"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InstructionsTabelleberschrift"/>
                <w:b w:val="0"/>
                <w:sz w:val="24"/>
                <w:u w:val="none"/>
                <w:rFonts w:ascii="Times New Roman" w:hAnsi="Times New Roman"/>
              </w:rPr>
              <w:t xml:space="preserve">Obrazac MKR SA TDI na razini ukupnih valuta.</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0550</w:t>
            </w:r>
          </w:p>
        </w:tc>
        <w:tc>
          <w:tcPr>
            <w:tcW w:w="7274" w:type="dxa"/>
          </w:tcPr>
          <w:p w14:paraId="7463F79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1.3.1.2.</w:t>
            </w:r>
            <w:r>
              <w:rPr>
                <w:rStyle w:val="InstructionsTabelleberschrift"/>
                <w:sz w:val="24"/>
                <w:rFonts w:ascii="Times New Roman" w:hAnsi="Times New Roman"/>
              </w:rPr>
              <w:tab/>
            </w:r>
            <w:r>
              <w:rPr>
                <w:rStyle w:val="InstructionsTabelleberschrift"/>
                <w:sz w:val="24"/>
                <w:rFonts w:ascii="Times New Roman" w:hAnsi="Times New Roman"/>
              </w:rPr>
              <w:t xml:space="preserve">Vlasnička ulaganja</w:t>
            </w:r>
          </w:p>
          <w:p w14:paraId="3A1F4C47"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Obrazac MKR SA EQU na razini ukupnih nacionalnih tržišta.</w:t>
            </w:r>
            <w:r>
              <w:rPr>
                <w:rStyle w:val="FormatvorlageInstructionsTabelleText"/>
                <w:sz w:val="24"/>
                <w:rFonts w:ascii="Times New Roman" w:hAnsi="Times New Roman"/>
              </w:rPr>
              <w:t xml:space="preserve">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0555</w:t>
            </w:r>
          </w:p>
        </w:tc>
        <w:tc>
          <w:tcPr>
            <w:tcW w:w="7274" w:type="dxa"/>
          </w:tcPr>
          <w:p w14:paraId="010893D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1.3.1.3.</w:t>
            </w:r>
            <w:r>
              <w:rPr>
                <w:rStyle w:val="InstructionsTabelleberschrift"/>
                <w:sz w:val="24"/>
                <w:rFonts w:ascii="Times New Roman" w:hAnsi="Times New Roman"/>
              </w:rPr>
              <w:tab/>
            </w:r>
            <w:r>
              <w:rPr>
                <w:rStyle w:val="InstructionsTabelleberschrift"/>
                <w:sz w:val="24"/>
                <w:rFonts w:ascii="Times New Roman" w:hAnsi="Times New Roman"/>
              </w:rPr>
              <w:t xml:space="preserve">Poseban pristup pozicijskom riziku za CIU</w:t>
            </w:r>
          </w:p>
          <w:p w14:paraId="411CF92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348. stavak 1., članak 350. stavak 3. točka (c) i članak 364. stavak 2. točka (a) Uredbe (EU) br. 575/2013</w:t>
            </w:r>
          </w:p>
          <w:p w14:paraId="0F8EF050"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Iznos ukupne izloženosti riziku za pozicije u CIU-u ako se kapitalni zahtjevi izračunavaju u skladu s člankom 348. stavkom 1. Uredbe (EU) br. 575/2013 odmah ili kao posljedica gornje granice utvrđene u članku 350. stavku 3. točki (c) te uredbe.</w:t>
            </w:r>
            <w:r>
              <w:rPr>
                <w:sz w:val="24"/>
                <w:rFonts w:ascii="Times New Roman" w:hAnsi="Times New Roman"/>
              </w:rPr>
              <w:t xml:space="preserve"> </w:t>
            </w:r>
            <w:r>
              <w:rPr>
                <w:sz w:val="24"/>
                <w:rFonts w:ascii="Times New Roman" w:hAnsi="Times New Roman"/>
              </w:rPr>
              <w:t xml:space="preserve">U Uredbi (EU) br. 575/2013</w:t>
            </w:r>
            <w:r>
              <w:rPr>
                <w:sz w:val="24"/>
                <w:rStyle w:val="FormatvorlageInstructionsTabelleText"/>
                <w:rFonts w:ascii="Times New Roman" w:hAnsi="Times New Roman"/>
              </w:rPr>
              <w:t xml:space="preserve"> te pozicije nisu izričito raspoređene u kamatni rizik ili rizik vlasničkih instrumenata.</w:t>
            </w:r>
          </w:p>
          <w:p w14:paraId="79A5F344"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Ako se primjenjuje poseban pristup propisan u članku 348. stavku 1. prvoj rečenici Uredbe (EU) br. 575/2013, iskazuje se 32 % neto pozicije relevantne izloženosti CIU-a, pomnoženo s 12,5.</w:t>
            </w:r>
            <w:r>
              <w:rPr>
                <w:sz w:val="24"/>
                <w:rStyle w:val="FormatvorlageInstructionsTabelleText"/>
                <w:rFonts w:ascii="Times New Roman" w:hAnsi="Times New Roman"/>
              </w:rPr>
              <w:t xml:space="preserve"> </w:t>
            </w:r>
          </w:p>
          <w:p w14:paraId="6E727F78" w14:textId="77777777" w:rsidR="00CC7D2C" w:rsidRPr="002A677E" w:rsidRDefault="00CC7D2C" w:rsidP="00822842">
            <w:pPr>
              <w:rPr>
                <w:rStyle w:val="InstructionsTabelleberschrift"/>
                <w:sz w:val="24"/>
                <w:rFonts w:ascii="Times New Roman" w:hAnsi="Times New Roman"/>
              </w:rPr>
            </w:pPr>
            <w:r>
              <w:rPr>
                <w:sz w:val="24"/>
                <w:rFonts w:ascii="Times New Roman" w:hAnsi="Times New Roman"/>
              </w:rPr>
              <w:t xml:space="preserve">Ako se primjenjuje poseban pristup propisan u članku 348. stavku 1. drugoj rečenici Uredbe (EU) br. 575/2013, iskazuje se manje od 32 % neto pozicije relevantne izloženosti CIU-a ili razlika između 40 % navedene neto pozicije i kapitalnih zahtjeva koji proizlaze iz valutnog rizika povezanog s navedenom izloženosti CIU-a, ovisno o tome što je niže, pomnoženo s 12,5.</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0556</w:t>
            </w:r>
          </w:p>
        </w:tc>
        <w:tc>
          <w:tcPr>
            <w:tcW w:w="7274" w:type="dxa"/>
          </w:tcPr>
          <w:p w14:paraId="6D6D577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1.3.1.3.*</w:t>
            </w:r>
            <w:r>
              <w:rPr>
                <w:rStyle w:val="InstructionsTabelleberschrift"/>
                <w:sz w:val="24"/>
                <w:rFonts w:ascii="Times New Roman" w:hAnsi="Times New Roman"/>
              </w:rPr>
              <w:tab/>
            </w:r>
            <w:r>
              <w:rPr>
                <w:rStyle w:val="InstructionsTabelleberschrift"/>
                <w:sz w:val="24"/>
                <w:rFonts w:ascii="Times New Roman" w:hAnsi="Times New Roman"/>
              </w:rPr>
              <w:t xml:space="preserve">Bilješka: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CIU-ovi isključivo uloženi u dužničke instrumente kojima se trguje</w:t>
            </w:r>
          </w:p>
          <w:p w14:paraId="16C1ED44" w14:textId="77777777" w:rsidR="00CC7D2C" w:rsidRPr="001235ED" w:rsidRDefault="00CC7D2C" w:rsidP="00822842">
            <w:pPr>
              <w:rPr>
                <w:rStyle w:val="InstructionsTabelleberschrift"/>
                <w:sz w:val="24"/>
                <w:rFonts w:ascii="Times New Roman" w:hAnsi="Times New Roman"/>
              </w:rPr>
            </w:pPr>
            <w:r>
              <w:rPr>
                <w:rStyle w:val="FormatvorlageInstructionsTabelleText"/>
                <w:sz w:val="24"/>
                <w:sz w:val="24"/>
                <w:rFonts w:ascii="Times New Roman" w:hAnsi="Times New Roman"/>
              </w:rPr>
              <w:t xml:space="preserve">Iznos ukupne izloženosti riziku</w:t>
            </w:r>
            <w:r>
              <w:rPr>
                <w:rStyle w:val="FormatvorlageInstructionsTabelleText"/>
                <w:sz w:val="24"/>
                <w:rFonts w:ascii="Times New Roman" w:hAnsi="Times New Roman"/>
              </w:rPr>
              <w:t xml:space="preserve"> za pozicije u CIU-u ako je CIU isključivo uložen u instrumente koji su izloženi kamatnom riziku.</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0557</w:t>
            </w:r>
          </w:p>
        </w:tc>
        <w:tc>
          <w:tcPr>
            <w:tcW w:w="7274" w:type="dxa"/>
          </w:tcPr>
          <w:p w14:paraId="2C30817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1.3.1.3.**</w:t>
            </w:r>
            <w:r>
              <w:rPr>
                <w:rStyle w:val="InstructionsTabelleberschrift"/>
                <w:sz w:val="24"/>
                <w:rFonts w:ascii="Times New Roman" w:hAnsi="Times New Roman"/>
              </w:rPr>
              <w:tab/>
            </w:r>
            <w:r>
              <w:rPr>
                <w:rStyle w:val="InstructionsTabelleberschrift"/>
                <w:sz w:val="24"/>
                <w:rFonts w:ascii="Times New Roman" w:hAnsi="Times New Roman"/>
              </w:rPr>
              <w:t xml:space="preserve">CIU-ovi isključivo uloženi u vlasničke instrumente ili mješovite instrumente</w:t>
            </w:r>
          </w:p>
          <w:p w14:paraId="5BE3A744" w14:textId="77777777" w:rsidR="00CC7D2C" w:rsidRPr="001235ED" w:rsidRDefault="00CC7D2C" w:rsidP="00822842">
            <w:pPr>
              <w:rPr>
                <w:rStyle w:val="InstructionsTabelleberschrift"/>
                <w:sz w:val="24"/>
                <w:rFonts w:ascii="Times New Roman" w:hAnsi="Times New Roman"/>
              </w:rPr>
            </w:pPr>
            <w:r>
              <w:rPr>
                <w:rStyle w:val="FormatvorlageInstructionsTabelleText"/>
                <w:sz w:val="24"/>
                <w:sz w:val="24"/>
                <w:rFonts w:ascii="Times New Roman" w:hAnsi="Times New Roman"/>
              </w:rPr>
              <w:t xml:space="preserve">Iznos ukupne</w:t>
            </w:r>
            <w:r>
              <w:rPr>
                <w:rStyle w:val="FormatvorlageInstructionsTabelleText"/>
                <w:sz w:val="24"/>
                <w:rFonts w:ascii="Times New Roman" w:hAnsi="Times New Roman"/>
              </w:rPr>
              <w:t xml:space="preserve"> izloženosti riziku za pozicije u CIU-u ako je CIU isključivo uložen u instrumente koji su izloženi riziku vlasničkih instrumenata ili u mješovite instrumente ili ako nisu poznati sastavni dijelovi CIU-a.</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0560</w:t>
            </w:r>
          </w:p>
        </w:tc>
        <w:tc>
          <w:tcPr>
            <w:tcW w:w="7274" w:type="dxa"/>
          </w:tcPr>
          <w:p w14:paraId="5F18C18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1.3.1.4.</w:t>
            </w:r>
            <w:r>
              <w:rPr>
                <w:rStyle w:val="InstructionsTabelleberschrift"/>
                <w:sz w:val="24"/>
                <w:rFonts w:ascii="Times New Roman" w:hAnsi="Times New Roman"/>
              </w:rPr>
              <w:tab/>
            </w:r>
            <w:r>
              <w:rPr>
                <w:rStyle w:val="InstructionsTabelleberschrift"/>
                <w:sz w:val="24"/>
                <w:rFonts w:ascii="Times New Roman" w:hAnsi="Times New Roman"/>
              </w:rPr>
              <w:t xml:space="preserve">Strane valute</w:t>
            </w:r>
          </w:p>
          <w:p w14:paraId="53C64A56"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0570</w:t>
            </w:r>
          </w:p>
        </w:tc>
        <w:tc>
          <w:tcPr>
            <w:tcW w:w="7274" w:type="dxa"/>
          </w:tcPr>
          <w:p w14:paraId="760E6BF7"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1.3.1.5.</w:t>
            </w:r>
            <w:r>
              <w:rPr>
                <w:rStyle w:val="InstructionsTabelleberschrift"/>
                <w:sz w:val="24"/>
                <w:rFonts w:ascii="Times New Roman" w:hAnsi="Times New Roman"/>
              </w:rPr>
              <w:tab/>
            </w:r>
            <w:r>
              <w:rPr>
                <w:rStyle w:val="InstructionsTabelleberschrift"/>
                <w:sz w:val="24"/>
                <w:rFonts w:ascii="Times New Roman" w:hAnsi="Times New Roman"/>
              </w:rPr>
              <w:t xml:space="preserve">Roba</w:t>
            </w:r>
          </w:p>
          <w:p w14:paraId="2250E45C" w14:textId="77777777" w:rsidR="00CC7D2C" w:rsidRPr="001235ED"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0580</w:t>
            </w:r>
          </w:p>
        </w:tc>
        <w:tc>
          <w:tcPr>
            <w:tcW w:w="7274" w:type="dxa"/>
          </w:tcPr>
          <w:p w14:paraId="0D4029E8"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1.3.2.</w:t>
            </w:r>
            <w:r>
              <w:rPr>
                <w:rStyle w:val="InstructionsTabelleberschrift"/>
                <w:sz w:val="24"/>
                <w:rFonts w:ascii="Times New Roman" w:hAnsi="Times New Roman"/>
              </w:rPr>
              <w:tab/>
            </w:r>
            <w:r>
              <w:rPr>
                <w:rStyle w:val="InstructionsTabelleberschrift"/>
                <w:sz w:val="24"/>
                <w:rFonts w:ascii="Times New Roman" w:hAnsi="Times New Roman"/>
              </w:rPr>
              <w:t xml:space="preserve">Iznos izloženosti riziku za pozicijski, valutni i robni rizik u skladu s internim modelima</w:t>
            </w:r>
          </w:p>
          <w:p w14:paraId="7194593C" w14:textId="77777777" w:rsidR="00CC7D2C" w:rsidRDefault="00CC7D2C" w:rsidP="00822842">
            <w:pPr>
              <w:rPr>
                <w:rStyle w:val="FormatvorlageInstructionsTabelleText"/>
                <w:sz w:val="24"/>
                <w:rFonts w:ascii="Times New Roman" w:hAnsi="Times New Roman"/>
              </w:rPr>
            </w:pPr>
            <w:r>
              <w:rPr>
                <w:rStyle w:val="FormatvorlageInstructionsTabelleText"/>
                <w:sz w:val="24"/>
                <w:rFonts w:ascii="Times New Roman" w:hAnsi="Times New Roman"/>
              </w:rPr>
              <w:t xml:space="preserve">Vidjeti obrazac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51092B" w:rsidRDefault="00CC7D2C" w:rsidP="00822842">
                  <w:pPr>
                    <w:pStyle w:val="body"/>
                    <w:rPr>
                      <w:b/>
                      <w:bCs/>
                    </w:rPr>
                  </w:pPr>
                  <w:r>
                    <w:rPr>
                      <w:b/>
                    </w:rPr>
                    <w:t xml:space="preserve">Tekst objašnjenja za potrebe savjetovanja</w:t>
                  </w:r>
                </w:p>
                <w:p w14:paraId="4B9D2A68" w14:textId="77777777" w:rsidR="00CC7D2C" w:rsidRDefault="00CC7D2C" w:rsidP="00822842">
                  <w:pPr>
                    <w:rPr>
                      <w:rStyle w:val="FormatvorlageInstructionsTabelleText"/>
                      <w:sz w:val="24"/>
                      <w:rFonts w:ascii="Times New Roman" w:hAnsi="Times New Roman"/>
                    </w:rPr>
                  </w:pPr>
                  <w:r>
                    <w:t xml:space="preserve">Ovaj redak bit će izbrisan nakon što se aktualni pristup internih modela više ne bude mogao koristiti za izračun kapitalnih zahtjeva za tržišne rizike.</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0581</w:t>
            </w:r>
          </w:p>
        </w:tc>
        <w:tc>
          <w:tcPr>
            <w:tcW w:w="7274" w:type="dxa"/>
          </w:tcPr>
          <w:p w14:paraId="67412AEA"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1.3.3. Iznos izloženosti riziku za bilančne i izvanbilančne poslove izložene tržišnom riziku subjekata koji primjenjuju isključivo alternativni standardizirani pristup (ASA)</w:t>
            </w:r>
          </w:p>
          <w:p w14:paraId="4A1839F6" w14:textId="77777777" w:rsidR="00CC7D2C" w:rsidRPr="004F03AE" w:rsidRDefault="00CC7D2C" w:rsidP="00822842">
            <w:p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Vidjeti obrazac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0585</w:t>
            </w:r>
          </w:p>
        </w:tc>
        <w:tc>
          <w:tcPr>
            <w:tcW w:w="7274" w:type="dxa"/>
          </w:tcPr>
          <w:p w14:paraId="0FB57753"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1.3.4. Iznos izloženosti riziku za bilančne i izvanbilančne poslove izložene tržišnom riziku subjekata koji primjenjuju samo pristup alternativnih internih modela (AIMA) ili kombinaciju AIMA-e i ASA-e</w:t>
            </w:r>
          </w:p>
          <w:p w14:paraId="3FAF7482" w14:textId="77777777" w:rsidR="00CC7D2C" w:rsidRPr="004F03AE" w:rsidRDefault="00CC7D2C" w:rsidP="00822842">
            <w:p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Vidjeti obrazac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0589</w:t>
            </w:r>
          </w:p>
        </w:tc>
        <w:tc>
          <w:tcPr>
            <w:tcW w:w="7274" w:type="dxa"/>
          </w:tcPr>
          <w:p w14:paraId="644657F3"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 IZNOS IZLOŽENOSTI RIZIKU ZA REKLASIFIKACIJE IZMEĐU KNJIGE POZICIJA KOJIMA SE NE TRGUJE I KNJIGE TRGOVANJA</w:t>
            </w:r>
          </w:p>
          <w:p w14:paraId="79A8FEE2" w14:textId="77777777" w:rsidR="00CC7D2C" w:rsidRPr="004F03AE" w:rsidRDefault="00CC7D2C" w:rsidP="00822842">
            <w:pPr>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Vidjeti obrazac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0590</w:t>
            </w:r>
          </w:p>
        </w:tc>
        <w:tc>
          <w:tcPr>
            <w:tcW w:w="7274" w:type="dxa"/>
          </w:tcPr>
          <w:p w14:paraId="68ED9CE6"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IZNOS UKUPNE IZLOŽENOSTI RIZIKU ZA OPERATIVNI RIZIK</w:t>
            </w:r>
          </w:p>
          <w:p w14:paraId="7EA9106C" w14:textId="45CAC894" w:rsidR="00CC7D2C" w:rsidRPr="002A677E" w:rsidRDefault="00CC7D2C" w:rsidP="00320EFD">
            <w:pPr>
              <w:pStyle w:val="InstructionsText"/>
              <w:rPr>
                <w:rStyle w:val="FormatvorlageInstructionsTabelleText"/>
                <w:bCs w:val="0"/>
                <w:sz w:val="24"/>
                <w:rFonts w:ascii="Times New Roman" w:hAnsi="Times New Roman"/>
              </w:rPr>
            </w:pPr>
            <w:r>
              <w:rPr>
                <w:rStyle w:val="FormatvorlageInstructionsTabelleText"/>
                <w:sz w:val="24"/>
                <w:rFonts w:ascii="Times New Roman" w:hAnsi="Times New Roman"/>
              </w:rPr>
              <w:t xml:space="preserve">Članak 92. stavak 3. i stavak 4. točka (e) </w:t>
            </w:r>
            <w:r>
              <w:t xml:space="preserve">Uredbe (EU) br. 575/2013</w:t>
            </w:r>
          </w:p>
          <w:p w14:paraId="36E7FC84" w14:textId="77777777" w:rsidR="00CC7D2C" w:rsidRPr="001235ED" w:rsidRDefault="00CC7D2C" w:rsidP="00822842">
            <w:pPr>
              <w:rPr>
                <w:rStyle w:val="FormatvorlageInstructionsTabelleText"/>
                <w:sz w:val="24"/>
                <w:rFonts w:ascii="Times New Roman" w:hAnsi="Times New Roman"/>
              </w:rPr>
            </w:pPr>
            <w:r>
              <w:rPr>
                <w:sz w:val="24"/>
                <w:rFonts w:ascii="Times New Roman" w:hAnsi="Times New Roman"/>
              </w:rPr>
              <w:t xml:space="preserve">Za investicijska društva iz članka 95. stavka 2., članka 96. stavka 2. i članka 98. Uredbe (EU) br. 575/2013 ovaj element jednak je nuli.</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0630</w:t>
            </w:r>
          </w:p>
        </w:tc>
        <w:tc>
          <w:tcPr>
            <w:tcW w:w="7274" w:type="dxa"/>
          </w:tcPr>
          <w:p w14:paraId="13D50F66"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DODATNI IZNOS IZLOŽENOSTI RIZIKU ZBOG FIKSNIH OPĆIH TROŠKOVA</w:t>
            </w:r>
          </w:p>
          <w:p w14:paraId="6FBC6E8E" w14:textId="77777777" w:rsidR="00CC7D2C" w:rsidRPr="001235ED" w:rsidRDefault="00CC7D2C" w:rsidP="00822842">
            <w:pPr>
              <w:rPr>
                <w:rStyle w:val="FormatvorlageInstructionsTabelleText"/>
                <w:sz w:val="24"/>
                <w:rFonts w:ascii="Times New Roman" w:hAnsi="Times New Roman"/>
              </w:rPr>
            </w:pPr>
            <w:r>
              <w:rPr>
                <w:sz w:val="24"/>
                <w:rStyle w:val="FormatvorlageInstructionsTabelleText"/>
                <w:rFonts w:ascii="Times New Roman" w:hAnsi="Times New Roman"/>
              </w:rPr>
              <w:t xml:space="preserve">Članak 95. stavak 2., članak 96. stavak 2., članak 97. i članak 98. stavak 1. točka (a)</w:t>
            </w:r>
            <w:r>
              <w:rPr>
                <w:sz w:val="24"/>
                <w:rFonts w:ascii="Times New Roman" w:hAnsi="Times New Roman"/>
              </w:rPr>
              <w:t xml:space="preserve"> Uredbe (EU) br. 575/2013</w:t>
            </w:r>
          </w:p>
          <w:p w14:paraId="2AEA27C3"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Samo za investicijska društva iz članka 95. stavka 2., članka 96. stavka 2. i članka 98. Uredbe (EU) br. 575/2013</w:t>
            </w:r>
            <w:r>
              <w:rPr>
                <w:sz w:val="24"/>
                <w:rStyle w:val="FormatvorlageInstructionsTabelleText"/>
                <w:rFonts w:ascii="Times New Roman" w:hAnsi="Times New Roman"/>
              </w:rPr>
              <w:t xml:space="preserve"> </w:t>
            </w:r>
            <w:r>
              <w:rPr>
                <w:sz w:val="24"/>
                <w:rFonts w:ascii="Times New Roman" w:hAnsi="Times New Roman"/>
              </w:rPr>
              <w:t xml:space="preserve">Vidjeti i članak 97. Uredbe (EU) br. 575/2013.</w:t>
            </w:r>
            <w:r>
              <w:rPr>
                <w:sz w:val="24"/>
                <w:rStyle w:val="FormatvorlageInstructionsTabelleText"/>
                <w:rFonts w:ascii="Times New Roman" w:hAnsi="Times New Roman"/>
              </w:rPr>
              <w:t xml:space="preserve"> </w:t>
            </w:r>
          </w:p>
          <w:p w14:paraId="74042626"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Investicijska društva iz članka 96. Uredbe (EU) br. 575/2013 iskazuju iznos iz članka 97. pomnožen s 12,5.</w:t>
            </w:r>
          </w:p>
          <w:p w14:paraId="5E38767D" w14:textId="77777777" w:rsidR="00CC7D2C" w:rsidRPr="002A677E" w:rsidRDefault="00CC7D2C" w:rsidP="00822842">
            <w:pPr>
              <w:rPr>
                <w:rStyle w:val="FormatvorlageInstructionsTabelleText"/>
                <w:sz w:val="24"/>
                <w:rFonts w:ascii="Times New Roman" w:hAnsi="Times New Roman"/>
              </w:rPr>
            </w:pPr>
            <w:r>
              <w:rPr>
                <w:sz w:val="24"/>
                <w:rFonts w:ascii="Times New Roman" w:hAnsi="Times New Roman"/>
              </w:rPr>
              <w:t xml:space="preserve">Investicijska društva iz članka 95. Uredbe (EU) br. 575/2013 iskazuju:</w:t>
            </w:r>
          </w:p>
          <w:p w14:paraId="37268ED3"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Arial" w:hAnsi="Arial"/>
              </w:rPr>
              <w:t xml:space="preserve">-</w:t>
            </w:r>
            <w:r>
              <w:rPr>
                <w:rStyle w:val="FormatvorlageInstructionsTabelleText"/>
                <w:sz w:val="24"/>
                <w:rFonts w:ascii="Arial" w:hAnsi="Arial"/>
              </w:rPr>
              <w:tab/>
            </w:r>
            <w:r>
              <w:t xml:space="preserve">Ako je iznos </w:t>
            </w:r>
            <w:r>
              <w:t xml:space="preserve">iz članka 95. stavka 2. točke (a) Uredbe (EU) br. 575/2013</w:t>
            </w:r>
            <w:r>
              <w:t xml:space="preserve"> viši od iznosa iz članka 95. stavka 2. točke (b) te uredbe,</w:t>
            </w:r>
            <w:r>
              <w:rPr>
                <w:rStyle w:val="FormatvorlageInstructionsTabelleText"/>
                <w:sz w:val="24"/>
                <w:rFonts w:ascii="Times New Roman" w:hAnsi="Times New Roman"/>
              </w:rPr>
              <w:t xml:space="preserve"> iskazuje se nula.</w:t>
            </w:r>
          </w:p>
          <w:p w14:paraId="5D420054"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Arial" w:hAnsi="Arial"/>
              </w:rPr>
              <w:t xml:space="preserve">-</w:t>
            </w:r>
            <w:r>
              <w:rPr>
                <w:rStyle w:val="FormatvorlageInstructionsTabelleText"/>
                <w:sz w:val="24"/>
                <w:rFonts w:ascii="Arial" w:hAnsi="Arial"/>
              </w:rPr>
              <w:tab/>
            </w:r>
            <w:r>
              <w:t xml:space="preserve">Ako je iznos iz članka 95. stavka 2. točke (b) Uredbe (EU) br. 575/2013 viši od iznosa iz članka 95. stavka 2. točke (a) te uredbe, iskazuje se iznos koji je rezultat je oduzimanja potonjeg iznosa od prethodnog.</w:t>
            </w:r>
            <w:r>
              <w:rPr>
                <w:rStyle w:val="FormatvorlageInstructionsTabelleText"/>
                <w:sz w:val="24"/>
                <w:rFonts w:ascii="Times New Roman" w:hAnsi="Times New Roman"/>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0640</w:t>
            </w:r>
          </w:p>
        </w:tc>
        <w:tc>
          <w:tcPr>
            <w:tcW w:w="7274" w:type="dxa"/>
          </w:tcPr>
          <w:p w14:paraId="2E4CBDBD"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1.6.</w:t>
            </w:r>
            <w:r>
              <w:rPr>
                <w:rStyle w:val="InstructionsTabelleberschrift"/>
                <w:sz w:val="24"/>
                <w:rFonts w:ascii="Times New Roman" w:hAnsi="Times New Roman"/>
              </w:rPr>
              <w:tab/>
            </w:r>
            <w:r>
              <w:rPr>
                <w:rStyle w:val="InstructionsTabelleberschrift"/>
                <w:sz w:val="24"/>
                <w:rFonts w:ascii="Times New Roman" w:hAnsi="Times New Roman"/>
              </w:rPr>
              <w:t xml:space="preserve">IZNOS UKUPNE IZLOŽENOSTI RIZIKU ZA PRILAGODBU KREDITNOM VREDNOVANJU</w:t>
            </w:r>
          </w:p>
          <w:p w14:paraId="5117D4D3" w14:textId="785E0847" w:rsidR="00CC7D2C" w:rsidRPr="002A677E" w:rsidRDefault="00CC7D2C" w:rsidP="00320EFD">
            <w:pPr>
              <w:pStyle w:val="InstructionsText"/>
              <w:rPr>
                <w:rStyle w:val="InstructionsTabelleberschrift"/>
                <w:b w:val="0"/>
                <w:sz w:val="24"/>
                <w:u w:val="none"/>
                <w:rFonts w:ascii="Times New Roman" w:hAnsi="Times New Roman"/>
              </w:rPr>
            </w:pPr>
            <w:r>
              <w:t xml:space="preserve">Članak 92. stavak 4. točka (d) Uredbe (EU) br. 575/2013</w:t>
            </w:r>
          </w:p>
          <w:p w14:paraId="1A4C8257" w14:textId="77777777" w:rsidR="00CC7D2C" w:rsidRPr="002A677E" w:rsidRDefault="00CC7D2C" w:rsidP="00320EFD">
            <w:pPr>
              <w:pStyle w:val="InstructionsText"/>
              <w:rPr>
                <w:rStyle w:val="FormatvorlageInstructionsTabelleText"/>
                <w:bCs w:val="0"/>
                <w:sz w:val="24"/>
                <w:rFonts w:ascii="Times New Roman" w:hAnsi="Times New Roman"/>
              </w:rPr>
            </w:pPr>
            <w:r>
              <w:rPr>
                <w:sz w:val="24"/>
                <w:rStyle w:val="InstructionsTabelleberschrift"/>
                <w:b w:val="0"/>
                <w:u w:val="none"/>
                <w:rFonts w:ascii="Times New Roman" w:hAnsi="Times New Roman"/>
              </w:rPr>
              <w:t xml:space="preserve">Vidjeti obrazac CVA.</w:t>
            </w:r>
            <w:r>
              <w:rPr>
                <w:sz w:val="24"/>
                <w:rStyle w:val="FormatvorlageInstructionsTabelleText"/>
                <w:rFonts w:ascii="Times New Roman" w:hAnsi="Times New Roman"/>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0655</w:t>
            </w:r>
          </w:p>
        </w:tc>
        <w:tc>
          <w:tcPr>
            <w:tcW w:w="7274" w:type="dxa"/>
          </w:tcPr>
          <w:p w14:paraId="7ABD8041" w14:textId="77777777" w:rsidR="00CC7D2C" w:rsidRPr="00050B55"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1.6.4. Standardizirani pristup (SA)</w:t>
            </w:r>
          </w:p>
          <w:p w14:paraId="52EE3666" w14:textId="77777777" w:rsidR="00CC7D2C" w:rsidRPr="002A677E" w:rsidRDefault="00CC7D2C" w:rsidP="00320EFD">
            <w:pPr>
              <w:pStyle w:val="InstructionsText"/>
              <w:rPr>
                <w:rStyle w:val="InstructionsTabelleberschrift"/>
                <w:sz w:val="24"/>
                <w:rFonts w:ascii="Times New Roman" w:hAnsi="Times New Roman"/>
              </w:rPr>
            </w:pPr>
            <w:r>
              <w:t xml:space="preserve">Članak 383. Uredbe (EU) br.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0665</w:t>
            </w:r>
          </w:p>
        </w:tc>
        <w:tc>
          <w:tcPr>
            <w:tcW w:w="7274" w:type="dxa"/>
          </w:tcPr>
          <w:p w14:paraId="7AC41EE1" w14:textId="77777777" w:rsidR="00CC7D2C" w:rsidRPr="00EB66E9"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1.6.5. Puni osnovni pristup (F-BA)</w:t>
            </w:r>
          </w:p>
          <w:p w14:paraId="50E188A9" w14:textId="77777777" w:rsidR="00CC7D2C" w:rsidRPr="002A677E" w:rsidRDefault="00CC7D2C" w:rsidP="00320EFD">
            <w:pPr>
              <w:pStyle w:val="InstructionsText"/>
              <w:rPr>
                <w:rStyle w:val="InstructionsTabelleberschrift"/>
                <w:sz w:val="24"/>
                <w:rFonts w:ascii="Times New Roman" w:hAnsi="Times New Roman"/>
              </w:rPr>
            </w:pPr>
            <w:r>
              <w:t xml:space="preserve">Članak 384. stavak 3.</w:t>
            </w:r>
            <w:r>
              <w:rPr>
                <w:rStyle w:val="InstructionsTabelleberschrift"/>
              </w:rPr>
              <w:t xml:space="preserve"> </w:t>
            </w:r>
            <w:r>
              <w:t xml:space="preserve">Uredbe (EU) br.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0666</w:t>
            </w:r>
          </w:p>
        </w:tc>
        <w:tc>
          <w:tcPr>
            <w:tcW w:w="7274" w:type="dxa"/>
          </w:tcPr>
          <w:p w14:paraId="6D3A09C2" w14:textId="77777777" w:rsidR="00CC7D2C" w:rsidRPr="00EB66E9"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1.6.6. Smanjeni osnovni pristup (R-BA)</w:t>
            </w:r>
          </w:p>
          <w:p w14:paraId="66955A99" w14:textId="77777777" w:rsidR="00CC7D2C" w:rsidRPr="002A677E" w:rsidRDefault="00CC7D2C" w:rsidP="00320EFD">
            <w:pPr>
              <w:pStyle w:val="InstructionsText"/>
              <w:rPr>
                <w:rStyle w:val="InstructionsTabelleberschrift"/>
                <w:sz w:val="24"/>
                <w:rFonts w:ascii="Times New Roman" w:hAnsi="Times New Roman"/>
              </w:rPr>
            </w:pPr>
            <w:r>
              <w:t xml:space="preserve">Članak 384. stavak 2.</w:t>
            </w:r>
            <w:r>
              <w:rPr>
                <w:rStyle w:val="InstructionsTabelleberschrift"/>
              </w:rPr>
              <w:t xml:space="preserve"> </w:t>
            </w:r>
            <w:r>
              <w:t xml:space="preserve">Uredbe (EU) br.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0675</w:t>
            </w:r>
          </w:p>
        </w:tc>
        <w:tc>
          <w:tcPr>
            <w:tcW w:w="7274" w:type="dxa"/>
          </w:tcPr>
          <w:p w14:paraId="4DB614D1" w14:textId="6061CC7E" w:rsidR="00CC7D2C" w:rsidRPr="005E2F11"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1.6.7. Pojednostavnjeni pristup</w:t>
            </w:r>
          </w:p>
          <w:p w14:paraId="5D4966C6" w14:textId="77777777" w:rsidR="00CC7D2C" w:rsidRPr="002A677E" w:rsidRDefault="00CC7D2C" w:rsidP="00320EFD">
            <w:pPr>
              <w:pStyle w:val="InstructionsText"/>
              <w:rPr>
                <w:rStyle w:val="InstructionsTabelleberschrift"/>
                <w:sz w:val="24"/>
                <w:rFonts w:ascii="Times New Roman" w:hAnsi="Times New Roman"/>
              </w:rPr>
            </w:pPr>
            <w:r>
              <w:t xml:space="preserve">Članak 385. Uredbe (EU) br.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sz w:val="24"/>
                <w:rFonts w:ascii="Times New Roman" w:hAnsi="Times New Roman"/>
              </w:rPr>
              <w:t xml:space="preserve">1.6.8. Pojednostavnjeni tretman za pozicije u izvedenicama u subjektima za zajednička ulaganja</w:t>
            </w:r>
          </w:p>
          <w:p w14:paraId="745B756E" w14:textId="77777777" w:rsidR="00CC7D2C" w:rsidRPr="002A677E" w:rsidRDefault="00CC7D2C" w:rsidP="00320EFD">
            <w:pPr>
              <w:pStyle w:val="InstructionsText"/>
              <w:rPr>
                <w:rStyle w:val="InstructionsTabelleberschrift"/>
                <w:sz w:val="24"/>
                <w:rFonts w:ascii="Times New Roman" w:hAnsi="Times New Roman"/>
              </w:rPr>
            </w:pPr>
            <w:r>
              <w:t xml:space="preserve">Članak 132.a stavak 3., članak 152. stavak 3. i članak 325.j stavak 1. Uredbe (EU) br.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0680</w:t>
            </w:r>
          </w:p>
        </w:tc>
        <w:tc>
          <w:tcPr>
            <w:tcW w:w="7274" w:type="dxa"/>
          </w:tcPr>
          <w:p w14:paraId="41208587" w14:textId="77777777" w:rsidR="00CC7D2C" w:rsidRPr="002A677E" w:rsidRDefault="00CC7D2C" w:rsidP="00320EFD">
            <w:pPr>
              <w:pStyle w:val="InstructionsText"/>
              <w:rPr>
                <w:rStyle w:val="FormatvorlageInstructionsTabelleText"/>
                <w:b/>
                <w:bCs w:val="0"/>
                <w:sz w:val="24"/>
                <w:u w:val="single"/>
                <w:rFonts w:ascii="Times New Roman" w:hAnsi="Times New Roman"/>
              </w:rPr>
            </w:pPr>
            <w:r>
              <w:rPr>
                <w:rStyle w:val="InstructionsTabelleberschrift"/>
                <w:sz w:val="24"/>
                <w:rFonts w:ascii="Times New Roman" w:hAnsi="Times New Roman"/>
              </w:rPr>
              <w:t xml:space="preserve">1.7.</w:t>
            </w:r>
            <w:r>
              <w:rPr>
                <w:rStyle w:val="InstructionsTabelleberschrift"/>
                <w:sz w:val="24"/>
                <w:rFonts w:ascii="Times New Roman" w:hAnsi="Times New Roman"/>
              </w:rPr>
              <w:tab/>
            </w:r>
            <w:r>
              <w:rPr>
                <w:rStyle w:val="InstructionsTabelleberschrift"/>
                <w:sz w:val="24"/>
                <w:rFonts w:ascii="Times New Roman" w:hAnsi="Times New Roman"/>
              </w:rPr>
              <w:t xml:space="preserve">IZNOS UKUPNE IZLOŽENOSTI RIZIKU POVEZAN S VELIKIM IZLOŽENOSTIMA KOJE PROIZLAZE IZ STAVKI U KNJIZI TRGOVANJA</w:t>
            </w:r>
          </w:p>
          <w:p w14:paraId="17AF6A9C" w14:textId="4455FFB8" w:rsidR="00CC7D2C" w:rsidRPr="002A677E" w:rsidRDefault="00CC7D2C" w:rsidP="00320EFD">
            <w:pPr>
              <w:pStyle w:val="InstructionsText"/>
              <w:rPr>
                <w:rStyle w:val="FormatvorlageInstructionsTabelleText"/>
                <w:bCs w:val="0"/>
                <w:sz w:val="24"/>
                <w:rFonts w:ascii="Times New Roman" w:hAnsi="Times New Roman"/>
              </w:rPr>
            </w:pPr>
            <w:r>
              <w:t xml:space="preserve">Članak 92. stavak 4. točka (b) podtočka ii. i članci od 395. do 401. Uredbe (EU) br.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0690</w:t>
            </w:r>
          </w:p>
        </w:tc>
        <w:tc>
          <w:tcPr>
            <w:tcW w:w="7274" w:type="dxa"/>
          </w:tcPr>
          <w:p w14:paraId="73B1823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w:t>
            </w:r>
            <w:r>
              <w:rPr>
                <w:rStyle w:val="InstructionsTabelleberschrift"/>
                <w:sz w:val="24"/>
                <w:rFonts w:ascii="Times New Roman" w:hAnsi="Times New Roman"/>
              </w:rPr>
              <w:tab/>
            </w:r>
            <w:r>
              <w:rPr>
                <w:rStyle w:val="InstructionsTabelleberschrift"/>
                <w:sz w:val="24"/>
                <w:rFonts w:ascii="Times New Roman" w:hAnsi="Times New Roman"/>
              </w:rPr>
              <w:t xml:space="preserve">OSTALI IZNOSI IZLOŽENOSTI RIZIKU</w:t>
            </w:r>
          </w:p>
          <w:p w14:paraId="7BDD98B3"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Članci 3., 458. i 459.</w:t>
            </w:r>
            <w:r>
              <w:t xml:space="preserve"> Uredbe (EU) br. 575/2013 </w:t>
            </w:r>
            <w:r>
              <w:rPr>
                <w:rStyle w:val="InstructionsTabelleberschrift"/>
                <w:b w:val="0"/>
                <w:sz w:val="24"/>
                <w:u w:val="none"/>
                <w:rFonts w:ascii="Times New Roman" w:hAnsi="Times New Roman"/>
              </w:rPr>
              <w:t xml:space="preserve">i iznosi izloženosti riziku koji se ne mogu rasporediti u jednu od stavki od 1.1 do 1.7.</w:t>
            </w:r>
            <w:r>
              <w:rPr>
                <w:rStyle w:val="InstructionsTabelleberschrift"/>
                <w:b w:val="0"/>
                <w:sz w:val="24"/>
                <w:u w:val="none"/>
                <w:rFonts w:ascii="Times New Roman" w:hAnsi="Times New Roman"/>
              </w:rPr>
              <w:t xml:space="preserve"> </w:t>
            </w:r>
          </w:p>
          <w:p w14:paraId="7F38083B"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Institucije iskazuju iznose koji trebaju biti u skladu sa sljedećim:</w:t>
            </w:r>
          </w:p>
          <w:p w14:paraId="23A0AD5B"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strožim bonitetnim zahtjevima koje je odredila Komisija, u skladu s člancima 458. i 459. Uredbe (EU) br. 575/2013,</w:t>
            </w:r>
            <w:r>
              <w:rPr>
                <w:rStyle w:val="InstructionsTabelleberschrift"/>
                <w:b w:val="0"/>
                <w:sz w:val="24"/>
                <w:u w:val="none"/>
                <w:rFonts w:ascii="Times New Roman" w:hAnsi="Times New Roman"/>
              </w:rPr>
              <w:t xml:space="preserve"> </w:t>
            </w:r>
          </w:p>
          <w:p w14:paraId="66274184"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dodatnim iznosima izloženosti riziku u skladu s člankom 3. Uredbe (EU) br. 575/2013.</w:t>
            </w:r>
          </w:p>
          <w:p w14:paraId="0B094D68" w14:textId="77777777" w:rsidR="00CC7D2C" w:rsidRPr="002A677E" w:rsidRDefault="00CC7D2C" w:rsidP="00320EFD">
            <w:pPr>
              <w:pStyle w:val="InstructionsText"/>
              <w:rPr>
                <w:rStyle w:val="InstructionsTabelleberschrift"/>
                <w:bCs w:val="0"/>
                <w:sz w:val="24"/>
                <w:u w:val="none"/>
                <w:rFonts w:ascii="Times New Roman" w:hAnsi="Times New Roman"/>
              </w:rPr>
            </w:pPr>
            <w:r>
              <w:rPr>
                <w:rStyle w:val="InstructionsTabelleberschrift"/>
                <w:b w:val="0"/>
                <w:sz w:val="24"/>
                <w:u w:val="none"/>
                <w:rFonts w:ascii="Times New Roman" w:hAnsi="Times New Roman"/>
              </w:rPr>
              <w:t xml:space="preserve">Ova stavka nema poveznicu na obrazac s detaljnim podacima.</w:t>
            </w:r>
            <w:r>
              <w:rPr>
                <w:rStyle w:val="InstructionsTabelleberschrift"/>
                <w:b w:val="0"/>
                <w:sz w:val="24"/>
                <w:u w:val="none"/>
                <w:rFonts w:ascii="Times New Roman" w:hAnsi="Times New Roman"/>
              </w:rPr>
              <w:t xml:space="preserve">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0710</w:t>
            </w:r>
          </w:p>
        </w:tc>
        <w:tc>
          <w:tcPr>
            <w:tcW w:w="7274" w:type="dxa"/>
          </w:tcPr>
          <w:p w14:paraId="0EDC251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Dodatni stroži bonitetni zahtjevi na temelju članka 458. Uredbe (EU) br. 575/2013</w:t>
            </w:r>
          </w:p>
          <w:p w14:paraId="2E884C62"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FormatvorlageInstructionsTabelleText"/>
                <w:sz w:val="24"/>
                <w:rFonts w:ascii="Times New Roman" w:hAnsi="Times New Roman"/>
              </w:rPr>
              <w:t xml:space="preserve">Članak 458.</w:t>
            </w:r>
            <w:r>
              <w:t xml:space="preserve"> Uredbe (EU) br.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0720</w:t>
            </w:r>
          </w:p>
        </w:tc>
        <w:tc>
          <w:tcPr>
            <w:tcW w:w="7274" w:type="dxa"/>
          </w:tcPr>
          <w:p w14:paraId="3183B111" w14:textId="77777777" w:rsidR="00CC7D2C" w:rsidRPr="002A677E" w:rsidRDefault="00CC7D2C" w:rsidP="00320EFD">
            <w:pPr>
              <w:pStyle w:val="InstructionsText"/>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Od čega: zahtjevi za velike izloženosti</w:t>
            </w:r>
          </w:p>
          <w:p w14:paraId="242C94AC" w14:textId="77777777" w:rsidR="00CC7D2C" w:rsidRPr="002A677E" w:rsidRDefault="00CC7D2C" w:rsidP="00320EFD">
            <w:pPr>
              <w:pStyle w:val="InstructionsText"/>
              <w:rPr>
                <w:rStyle w:val="InstructionsTabelleberschrift"/>
                <w:sz w:val="24"/>
                <w:rFonts w:ascii="Times New Roman" w:hAnsi="Times New Roman"/>
              </w:rPr>
            </w:pPr>
            <w:r>
              <w:t xml:space="preserve">Članak 458. Uredbe (EU) br.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0730</w:t>
            </w:r>
          </w:p>
        </w:tc>
        <w:tc>
          <w:tcPr>
            <w:tcW w:w="7274" w:type="dxa"/>
          </w:tcPr>
          <w:p w14:paraId="7B78F88E" w14:textId="77777777" w:rsidR="00CC7D2C" w:rsidRPr="002A677E" w:rsidRDefault="00CC7D2C" w:rsidP="00320EFD">
            <w:pPr>
              <w:pStyle w:val="InstructionsText"/>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Od toga: na temelju modificiranih pondera rizika za nekretninske balone u sektoru stambenih i poslovnih nekretnina</w:t>
            </w:r>
          </w:p>
          <w:p w14:paraId="6AE45898" w14:textId="77777777" w:rsidR="00CC7D2C" w:rsidRPr="002A677E" w:rsidRDefault="00CC7D2C" w:rsidP="00320EFD">
            <w:pPr>
              <w:pStyle w:val="InstructionsText"/>
              <w:rPr>
                <w:rStyle w:val="InstructionsTabelleberschrift"/>
                <w:sz w:val="24"/>
                <w:rFonts w:ascii="Times New Roman" w:hAnsi="Times New Roman"/>
              </w:rPr>
            </w:pPr>
            <w:r>
              <w:t xml:space="preserve">Članak 458. Uredbe (EU) br.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0740</w:t>
            </w:r>
          </w:p>
        </w:tc>
        <w:tc>
          <w:tcPr>
            <w:tcW w:w="7274" w:type="dxa"/>
          </w:tcPr>
          <w:p w14:paraId="74A220D7" w14:textId="77777777" w:rsidR="00CC7D2C" w:rsidRPr="002A677E" w:rsidRDefault="00CC7D2C" w:rsidP="00320EFD">
            <w:pPr>
              <w:pStyle w:val="InstructionsText"/>
            </w:pPr>
            <w:r>
              <w:rPr>
                <w:rStyle w:val="InstructionsTabelleberschrift"/>
                <w:sz w:val="24"/>
                <w:rFonts w:ascii="Times New Roman" w:hAnsi="Times New Roman"/>
              </w:rPr>
              <w:t xml:space="preserve">1.8.2.***</w:t>
            </w:r>
            <w:r>
              <w:rPr>
                <w:rStyle w:val="InstructionsTabelleberschrift"/>
                <w:sz w:val="24"/>
                <w:rFonts w:ascii="Times New Roman" w:hAnsi="Times New Roman"/>
              </w:rPr>
              <w:tab/>
            </w:r>
            <w:r>
              <w:rPr>
                <w:rStyle w:val="InstructionsTabelleberschrift"/>
                <w:sz w:val="24"/>
                <w:rFonts w:ascii="Times New Roman" w:hAnsi="Times New Roman"/>
              </w:rPr>
              <w:t xml:space="preserve">Od čega: zbog izloženosti unutar financijskog sektora</w:t>
            </w:r>
          </w:p>
          <w:p w14:paraId="0AD2BF6F" w14:textId="77777777" w:rsidR="00CC7D2C" w:rsidRPr="002A677E" w:rsidRDefault="00CC7D2C" w:rsidP="00320EFD">
            <w:pPr>
              <w:pStyle w:val="InstructionsText"/>
              <w:rPr>
                <w:rStyle w:val="InstructionsTabelleberschrift"/>
                <w:sz w:val="24"/>
                <w:rFonts w:ascii="Times New Roman" w:hAnsi="Times New Roman"/>
              </w:rPr>
            </w:pPr>
            <w:r>
              <w:t xml:space="preserve">Članak 458. Uredbe (EU) br.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0750</w:t>
            </w:r>
          </w:p>
        </w:tc>
        <w:tc>
          <w:tcPr>
            <w:tcW w:w="7274" w:type="dxa"/>
          </w:tcPr>
          <w:p w14:paraId="69B493B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1.8.3.</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Dodatni stroži bonitetni zahtjevi na temelju članka 459. Uredbe (EU) br. 575/2013</w:t>
            </w:r>
          </w:p>
          <w:p w14:paraId="4F93B1E4" w14:textId="77777777" w:rsidR="00CC7D2C" w:rsidRPr="002A677E" w:rsidRDefault="00CC7D2C" w:rsidP="00320EFD">
            <w:pPr>
              <w:pStyle w:val="InstructionsText"/>
              <w:rPr>
                <w:rStyle w:val="InstructionsTabelleberschrift"/>
                <w:sz w:val="24"/>
                <w:rFonts w:ascii="Times New Roman" w:hAnsi="Times New Roman"/>
              </w:rPr>
            </w:pPr>
            <w:r>
              <w:rPr>
                <w:rStyle w:val="FormatvorlageInstructionsTabelleText"/>
                <w:sz w:val="24"/>
                <w:rFonts w:ascii="Times New Roman" w:hAnsi="Times New Roman"/>
              </w:rPr>
              <w:t xml:space="preserve">Članak 459.</w:t>
            </w:r>
            <w:r>
              <w:t xml:space="preserve"> Uredbe (EU) br.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0755</w:t>
            </w:r>
          </w:p>
        </w:tc>
        <w:tc>
          <w:tcPr>
            <w:tcW w:w="7274" w:type="dxa"/>
          </w:tcPr>
          <w:p w14:paraId="5D1965B6" w14:textId="77777777" w:rsidR="005F24EB" w:rsidRPr="003D5537" w:rsidRDefault="005F24EB" w:rsidP="00320EFD">
            <w:pPr>
              <w:pStyle w:val="InstructionsText"/>
            </w:pPr>
            <w:r>
              <w:t xml:space="preserve">1.8.3.a       Od čega:</w:t>
            </w:r>
            <w:r>
              <w:t xml:space="preserve"> </w:t>
            </w:r>
            <w:r>
              <w:t xml:space="preserve">dodatni RWEA za tržišni rizik koji je odredilo nadzorno tijelo na temelju članka 110. Direktive 2013/36/EU</w:t>
            </w:r>
          </w:p>
          <w:p w14:paraId="6AA689E0" w14:textId="70B9ABFD" w:rsidR="005F24EB" w:rsidRPr="003D5537" w:rsidRDefault="003D5537" w:rsidP="00320EFD">
            <w:pPr>
              <w:pStyle w:val="InstructionsText"/>
              <w:rPr>
                <w:b/>
                <w:bCs/>
              </w:rPr>
            </w:pPr>
            <w:r>
              <w:t xml:space="preserve">Članak 101. Direktive 2013/36/EU i nacionalne provedbene mjere iz tog članka.</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0760</w:t>
            </w:r>
          </w:p>
        </w:tc>
        <w:tc>
          <w:tcPr>
            <w:tcW w:w="7274" w:type="dxa"/>
          </w:tcPr>
          <w:p w14:paraId="3F3CCAB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1.8.4.</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Dodatni iznosi izloženosti riziku u skladu s člankom 3. Uredbe (EU) br. 575/2013.</w:t>
            </w:r>
          </w:p>
          <w:p w14:paraId="1A39DDE5" w14:textId="77777777" w:rsidR="00CC7D2C" w:rsidRPr="002A677E" w:rsidRDefault="00CC7D2C"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Članak 3.</w:t>
            </w:r>
            <w:r>
              <w:t xml:space="preserve"> Uredbe (EU) br. 575/2013</w:t>
            </w:r>
          </w:p>
          <w:p w14:paraId="390266FE"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Iskazuje se dodatni iznos izloženosti riziku.</w:t>
            </w:r>
            <w:r>
              <w:rPr>
                <w:rStyle w:val="InstructionsTabelleberschrift"/>
                <w:b w:val="0"/>
                <w:sz w:val="24"/>
                <w:u w:val="none"/>
                <w:rFonts w:ascii="Times New Roman" w:hAnsi="Times New Roman"/>
              </w:rPr>
              <w:t xml:space="preserve"> </w:t>
            </w:r>
            <w:r>
              <w:t xml:space="preserve">On uključuje samo dodatne iznose (npr. ako izloženost od 100 ima ponder rizika 20 % i institucija primjenjuje ponder rizika 50 % na temelju članka 3. Uredbe (EU) br. 575/2013, iskazuje se 30).</w:t>
            </w:r>
            <w:r>
              <w:rPr>
                <w:rStyle w:val="InstructionsTabelleberschrift"/>
                <w:b w:val="0"/>
                <w:sz w:val="24"/>
                <w:u w:val="none"/>
                <w:rFonts w:ascii="Times New Roman" w:hAnsi="Times New Roman"/>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0770</w:t>
            </w:r>
          </w:p>
        </w:tc>
        <w:tc>
          <w:tcPr>
            <w:tcW w:w="7274" w:type="dxa"/>
          </w:tcPr>
          <w:p w14:paraId="18F77916" w14:textId="77777777" w:rsidR="003D5537" w:rsidRDefault="003D5537" w:rsidP="00320EFD">
            <w:pPr>
              <w:pStyle w:val="InstructionsText"/>
              <w:rPr>
                <w:rStyle w:val="InstructionsTabelleberschrift"/>
                <w:sz w:val="24"/>
                <w:rFonts w:ascii="Times New Roman" w:hAnsi="Times New Roman"/>
              </w:rPr>
            </w:pPr>
            <w:r>
              <w:rPr>
                <w:rStyle w:val="InstructionsTabelleberschrift"/>
              </w:rPr>
              <w:t xml:space="preserve">1.8.4.*         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dodatni RWEA za tržišni rizik</w:t>
            </w:r>
          </w:p>
          <w:p w14:paraId="69E7A691" w14:textId="31285B3F" w:rsidR="003D5537" w:rsidRPr="002A677E" w:rsidRDefault="003D5537" w:rsidP="00320EFD">
            <w:pPr>
              <w:pStyle w:val="InstructionsText"/>
              <w:rPr>
                <w:rStyle w:val="InstructionsTabelleberschrift"/>
                <w:sz w:val="24"/>
                <w:rFonts w:ascii="Times New Roman" w:hAnsi="Times New Roman"/>
              </w:rPr>
            </w:pPr>
            <w:r>
              <w:t xml:space="preserve">Uključuje, ali nije ograničeno na slučaj „rizika koji nisu u modelu za mjerenje rizika”.</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sz w:val="24"/>
                <w:rFonts w:ascii="Times New Roman" w:hAnsi="Times New Roman"/>
              </w:rPr>
            </w:pPr>
            <w:r>
              <w:rPr>
                <w:rStyle w:val="FormatvorlageInstructionsTabelleText"/>
                <w:sz w:val="24"/>
                <w:rFonts w:ascii="Times New Roman" w:hAnsi="Times New Roman"/>
              </w:rPr>
              <w:t xml:space="preserve">0780</w:t>
            </w:r>
          </w:p>
        </w:tc>
        <w:tc>
          <w:tcPr>
            <w:tcW w:w="7274" w:type="dxa"/>
          </w:tcPr>
          <w:p w14:paraId="29D87F27" w14:textId="77777777" w:rsidR="003D5537" w:rsidRDefault="003D5537"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1.8.5.     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Prijelazni iznos izloženosti riziku povezan s kriptoimovinom u skladu s člankom 501.d stavkom 2. Uredbe (EU) br. 575/2013</w:t>
            </w:r>
          </w:p>
          <w:p w14:paraId="0F5C3D0F" w14:textId="23BC2EEB" w:rsidR="003D5537" w:rsidRPr="003D5537" w:rsidRDefault="003D5537" w:rsidP="00320EFD">
            <w:pPr>
              <w:pStyle w:val="InstructionsTex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Vidjeti obrazac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 xml:space="preserve">1.4.</w:t>
      </w:r>
      <w:r>
        <w:tab/>
      </w:r>
      <w:r>
        <w:t xml:space="preserve">C 03.00 – STOPE KAPITALA I RAZINE KAPITALA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 xml:space="preserve">1.4.1.</w:t>
      </w:r>
      <w:r>
        <w:rPr>
          <w:u w:val="none"/>
        </w:rPr>
        <w:tab/>
      </w:r>
      <w:r>
        <w:t xml:space="preserve">Upute za specifične </w:t>
      </w:r>
      <w:bookmarkEnd w:id="32"/>
      <w:bookmarkEnd w:id="33"/>
      <w:r>
        <w:t xml:space="preserve">pozicije</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 xml:space="preserve">Redci</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 xml:space="preserve">0010</w:t>
            </w:r>
          </w:p>
        </w:tc>
        <w:tc>
          <w:tcPr>
            <w:tcW w:w="7620" w:type="dxa"/>
          </w:tcPr>
          <w:p w14:paraId="104AA172"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Stopa redovnog osnovnog kapitala</w:t>
            </w:r>
          </w:p>
          <w:p w14:paraId="1A204CA3" w14:textId="77777777" w:rsidR="00CC7D2C" w:rsidRPr="002A677E" w:rsidRDefault="00CC7D2C" w:rsidP="00320EFD">
            <w:pPr>
              <w:pStyle w:val="InstructionsText"/>
            </w:pPr>
            <w:r>
              <w:t xml:space="preserve">Članak 92. stavak 2. točka (a) Uredbe (EU) br. 575/2013</w:t>
            </w:r>
          </w:p>
          <w:p w14:paraId="6428C1DC" w14:textId="77777777" w:rsidR="00CC7D2C" w:rsidRPr="002A677E" w:rsidRDefault="00CC7D2C" w:rsidP="00320EFD">
            <w:pPr>
              <w:pStyle w:val="InstructionsText"/>
            </w:pPr>
            <w:r>
              <w:t xml:space="preserve">Stopa redovnog osnovnog kapitala je redovni osnovni kapital institucije izražen kao postotak </w:t>
            </w:r>
            <w:r>
              <w:rPr>
                <w:sz w:val="24"/>
                <w:rFonts w:ascii="Times New Roman" w:hAnsi="Times New Roman"/>
              </w:rPr>
              <w:t xml:space="preserve">iznosa ukupne</w:t>
            </w:r>
            <w:r>
              <w:t xml:space="preserve"> izloženosti riziku.</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 xml:space="preserve">0020</w:t>
            </w:r>
          </w:p>
        </w:tc>
        <w:tc>
          <w:tcPr>
            <w:tcW w:w="7620" w:type="dxa"/>
          </w:tcPr>
          <w:p w14:paraId="53D7D10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w:t>
            </w:r>
            <w:r>
              <w:rPr>
                <w:rStyle w:val="InstructionsTabelleberschrift"/>
                <w:sz w:val="24"/>
                <w:rFonts w:ascii="Times New Roman" w:hAnsi="Times New Roman"/>
              </w:rPr>
              <w:tab/>
            </w:r>
            <w:r>
              <w:rPr>
                <w:rStyle w:val="InstructionsTabelleberschrift"/>
                <w:sz w:val="24"/>
                <w:rFonts w:ascii="Times New Roman" w:hAnsi="Times New Roman"/>
              </w:rPr>
              <w:t xml:space="preserve">Višak (+)/manjak (–) redovnog osnovnog kapitala</w:t>
            </w:r>
          </w:p>
          <w:p w14:paraId="197B9EAB" w14:textId="77777777" w:rsidR="00CC7D2C" w:rsidRPr="002A677E" w:rsidRDefault="00CC7D2C" w:rsidP="00320EFD">
            <w:pPr>
              <w:pStyle w:val="InstructionsText"/>
            </w:pPr>
            <w:r>
              <w:t xml:space="preserve">Ova stavka pokazuje, u apsolutnim vrijednostima, iznos viška ili manjka redovnog osnovnog kapitala koji se odnosi na zahtjev određen u članku 92. stavku 1. točki (a) Uredbe (EU) br. 575/2013 (4,5 %), tj. ne uzimajući u obzir zaštitne slojeve kapitala i prijelazne odredbe o stopi.</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 xml:space="preserve">0030</w:t>
            </w:r>
          </w:p>
        </w:tc>
        <w:tc>
          <w:tcPr>
            <w:tcW w:w="7620" w:type="dxa"/>
          </w:tcPr>
          <w:p w14:paraId="4EACDF0D" w14:textId="77777777" w:rsidR="00CC7D2C" w:rsidRPr="002A677E" w:rsidRDefault="00CC7D2C" w:rsidP="00320EFD">
            <w:pPr>
              <w:pStyle w:val="InstructionsText"/>
            </w:pPr>
            <w:r>
              <w:rPr>
                <w:rStyle w:val="InstructionsTabelleberschrift"/>
                <w:sz w:val="24"/>
                <w:rFonts w:ascii="Times New Roman" w:hAnsi="Times New Roman"/>
              </w:rPr>
              <w:t xml:space="preserve">3.</w:t>
            </w:r>
            <w:r>
              <w:rPr>
                <w:rStyle w:val="InstructionsTabelleberschrift"/>
                <w:sz w:val="24"/>
                <w:rFonts w:ascii="Times New Roman" w:hAnsi="Times New Roman"/>
              </w:rPr>
              <w:tab/>
            </w:r>
            <w:r>
              <w:rPr>
                <w:rStyle w:val="InstructionsTabelleberschrift"/>
                <w:sz w:val="24"/>
                <w:rFonts w:ascii="Times New Roman" w:hAnsi="Times New Roman"/>
              </w:rPr>
              <w:t xml:space="preserve">Stopa osnovnog kapitala</w:t>
            </w:r>
          </w:p>
          <w:p w14:paraId="58F5E60A" w14:textId="77777777" w:rsidR="00CC7D2C" w:rsidRPr="002A677E" w:rsidRDefault="00CC7D2C" w:rsidP="00320EFD">
            <w:pPr>
              <w:pStyle w:val="InstructionsText"/>
            </w:pPr>
            <w:r>
              <w:t xml:space="preserve">Članak 92. stavak 2. točka (b)</w:t>
            </w:r>
            <w:r>
              <w:t xml:space="preserve"> Uredbe (EU) br. 575/2013</w:t>
            </w:r>
          </w:p>
          <w:p w14:paraId="6C86F22F" w14:textId="77777777" w:rsidR="00CC7D2C" w:rsidRPr="002A677E" w:rsidRDefault="00CC7D2C" w:rsidP="00320EFD">
            <w:pPr>
              <w:pStyle w:val="InstructionsText"/>
            </w:pPr>
            <w:r>
              <w:t xml:space="preserve">Stopa osnovnog kapitala je osnovni kapital institucije izražen kao postotak iznosa ukupne izloženosti riziku.</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 xml:space="preserve">0040</w:t>
            </w:r>
          </w:p>
        </w:tc>
        <w:tc>
          <w:tcPr>
            <w:tcW w:w="7620" w:type="dxa"/>
          </w:tcPr>
          <w:p w14:paraId="2604F5D5" w14:textId="77777777" w:rsidR="00CC7D2C" w:rsidRPr="002A677E" w:rsidRDefault="00CC7D2C" w:rsidP="00320EFD">
            <w:pPr>
              <w:pStyle w:val="InstructionsText"/>
            </w:pPr>
            <w:r>
              <w:rPr>
                <w:rStyle w:val="InstructionsTabelleberschrift"/>
                <w:sz w:val="24"/>
                <w:rFonts w:ascii="Times New Roman" w:hAnsi="Times New Roman"/>
              </w:rPr>
              <w:t xml:space="preserve">4.</w:t>
            </w:r>
            <w:r>
              <w:rPr>
                <w:rStyle w:val="InstructionsTabelleberschrift"/>
                <w:sz w:val="24"/>
                <w:rFonts w:ascii="Times New Roman" w:hAnsi="Times New Roman"/>
              </w:rPr>
              <w:tab/>
            </w:r>
            <w:r>
              <w:rPr>
                <w:rStyle w:val="InstructionsTabelleberschrift"/>
                <w:sz w:val="24"/>
                <w:rFonts w:ascii="Times New Roman" w:hAnsi="Times New Roman"/>
              </w:rPr>
              <w:t xml:space="preserve">Višak (+)/manjak (–) osnovnog kapitala</w:t>
            </w:r>
          </w:p>
          <w:p w14:paraId="2757AF24" w14:textId="77777777" w:rsidR="00CC7D2C" w:rsidRPr="002A677E" w:rsidRDefault="00CC7D2C" w:rsidP="00320EFD">
            <w:pPr>
              <w:pStyle w:val="InstructionsText"/>
            </w:pPr>
            <w:r>
              <w:t xml:space="preserve">Ova stavka pokazuje, u apsolutnim vrijednostima, iznos viška ili manjka osnovnog kapitala koji se odnosi na zahtjev određen u članku 92. stavku 1. točki (a) Uredbe (EU) br. 575/2013 (6 %), tj. ne uzimajući u obzir zaštitne slojeve kapitala i prijelazne odredbe o stopi.</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t xml:space="preserve">0050</w:t>
            </w:r>
          </w:p>
        </w:tc>
        <w:tc>
          <w:tcPr>
            <w:tcW w:w="7620" w:type="dxa"/>
          </w:tcPr>
          <w:p w14:paraId="36175C3E" w14:textId="77777777" w:rsidR="00CC7D2C" w:rsidRPr="002A677E" w:rsidRDefault="00CC7D2C" w:rsidP="00320EFD">
            <w:pPr>
              <w:pStyle w:val="InstructionsText"/>
            </w:pPr>
            <w:r>
              <w:rPr>
                <w:rStyle w:val="InstructionsTabelleberschrift"/>
                <w:sz w:val="24"/>
                <w:rFonts w:ascii="Times New Roman" w:hAnsi="Times New Roman"/>
              </w:rPr>
              <w:t xml:space="preserve">5.</w:t>
            </w:r>
            <w:r>
              <w:rPr>
                <w:rStyle w:val="InstructionsTabelleberschrift"/>
                <w:sz w:val="24"/>
                <w:rFonts w:ascii="Times New Roman" w:hAnsi="Times New Roman"/>
              </w:rPr>
              <w:tab/>
            </w:r>
            <w:r>
              <w:rPr>
                <w:rStyle w:val="InstructionsTabelleberschrift"/>
                <w:sz w:val="24"/>
                <w:rFonts w:ascii="Times New Roman" w:hAnsi="Times New Roman"/>
              </w:rPr>
              <w:t xml:space="preserve">Stopa ukupnog kapitala</w:t>
            </w:r>
          </w:p>
          <w:p w14:paraId="393A8CC4" w14:textId="77777777" w:rsidR="00CC7D2C" w:rsidRPr="002A677E" w:rsidRDefault="00CC7D2C" w:rsidP="00320EFD">
            <w:pPr>
              <w:pStyle w:val="InstructionsText"/>
            </w:pPr>
            <w:r>
              <w:t xml:space="preserve">Članak 92. stavak 2. točka (c) Uredbe (EU) br. 575/2013</w:t>
            </w:r>
          </w:p>
          <w:p w14:paraId="163717AB" w14:textId="77777777" w:rsidR="00CC7D2C" w:rsidRPr="002A677E" w:rsidRDefault="00CC7D2C" w:rsidP="00320EFD">
            <w:pPr>
              <w:pStyle w:val="InstructionsText"/>
            </w:pPr>
            <w:r>
              <w:t xml:space="preserve">Stopa ukupnog kapitala je regulatorni kapital institucije izražen kao postotak iznosa ukupne izloženosti riziku.</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 xml:space="preserve">0060</w:t>
            </w:r>
          </w:p>
        </w:tc>
        <w:tc>
          <w:tcPr>
            <w:tcW w:w="7620" w:type="dxa"/>
          </w:tcPr>
          <w:p w14:paraId="1D3133EA" w14:textId="77777777" w:rsidR="00CC7D2C" w:rsidRPr="002A677E" w:rsidRDefault="00CC7D2C" w:rsidP="00320EFD">
            <w:pPr>
              <w:pStyle w:val="InstructionsText"/>
            </w:pPr>
            <w:r>
              <w:rPr>
                <w:rStyle w:val="InstructionsTabelleberschrift"/>
                <w:sz w:val="24"/>
                <w:rFonts w:ascii="Times New Roman" w:hAnsi="Times New Roman"/>
              </w:rPr>
              <w:t xml:space="preserve">6.</w:t>
            </w:r>
            <w:r>
              <w:rPr>
                <w:rStyle w:val="InstructionsTabelleberschrift"/>
                <w:sz w:val="24"/>
                <w:rFonts w:ascii="Times New Roman" w:hAnsi="Times New Roman"/>
              </w:rPr>
              <w:tab/>
            </w:r>
            <w:r>
              <w:rPr>
                <w:rStyle w:val="InstructionsTabelleberschrift"/>
                <w:sz w:val="24"/>
                <w:rFonts w:ascii="Times New Roman" w:hAnsi="Times New Roman"/>
              </w:rPr>
              <w:t xml:space="preserve">Višak (+)/manjak (–) ukupnog kapitala</w:t>
            </w:r>
          </w:p>
          <w:p w14:paraId="03A15BAC" w14:textId="77777777" w:rsidR="00CC7D2C" w:rsidRPr="002A677E" w:rsidRDefault="00CC7D2C" w:rsidP="00320EFD">
            <w:pPr>
              <w:pStyle w:val="InstructionsText"/>
            </w:pPr>
            <w:r>
              <w:t xml:space="preserve">Ova stavka pokazuje, u apsolutnim vrijednostima, iznos viška ili manjka regulatornog kapitala koji se odnosi na zahtjev određen u članku 92. stavku 1. točki (a) Uredbe (EU) br. 575/2013 (8 %), tj. ne uzimajući u obzir zaštitne slojeve kapitala i prijelazne odredbe o stopi.</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 xml:space="preserve">0070</w:t>
            </w:r>
          </w:p>
        </w:tc>
        <w:tc>
          <w:tcPr>
            <w:tcW w:w="7620" w:type="dxa"/>
          </w:tcPr>
          <w:p w14:paraId="3AE440D2"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7          Stopa redovnog osnovnog kapitala uzimajući u obzir vrijednost TREA-e bez primjene donje granice</w:t>
            </w:r>
          </w:p>
          <w:p w14:paraId="61978AA2" w14:textId="77777777" w:rsidR="00CC7D2C" w:rsidRPr="002A677E" w:rsidRDefault="00CC7D2C" w:rsidP="00320EFD">
            <w:pPr>
              <w:pStyle w:val="InstructionsText"/>
              <w:rPr>
                <w:rStyle w:val="InstructionsTabelleberschrift"/>
                <w:sz w:val="24"/>
                <w:rFonts w:ascii="Times New Roman" w:hAnsi="Times New Roman"/>
              </w:rPr>
            </w:pPr>
            <w:r>
              <w:t xml:space="preserve">Stopa redovnog osnovnog kapitala kako je definirana u članku 92. stavku 2. točki (a) Uredbe (EU) br. 575/2013 izražena kao postotak iznosa ukupne izloženosti riziku izračunanog u skladu s člankom 92. stavkom 4. Uredbe (EU) br.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 xml:space="preserve">0080</w:t>
            </w:r>
          </w:p>
        </w:tc>
        <w:tc>
          <w:tcPr>
            <w:tcW w:w="7620" w:type="dxa"/>
          </w:tcPr>
          <w:p w14:paraId="5BB089F7"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8          Stopa osnovnog kapitala uzimajući u obzir vrijednost TREA-e bez primjene donje granice</w:t>
            </w:r>
          </w:p>
          <w:p w14:paraId="1EA9C1BE" w14:textId="1AA1CC61" w:rsidR="00CC7D2C" w:rsidRPr="002A677E" w:rsidRDefault="00CC7D2C" w:rsidP="00320EFD">
            <w:pPr>
              <w:pStyle w:val="InstructionsText"/>
              <w:rPr>
                <w:rStyle w:val="InstructionsTabelleberschrift"/>
                <w:sz w:val="24"/>
                <w:rFonts w:ascii="Times New Roman" w:hAnsi="Times New Roman"/>
              </w:rPr>
            </w:pPr>
            <w:r>
              <w:t xml:space="preserve">Stopa osnovnog kapitala kako je definirana u članku 92. stavku 2. točki (b) Uredbe (EU) br. 575/2013 izražena kao postotak iznosa ukupne izloženosti riziku izračunanog u skladu s člankom 92. stavkom 4. Uredbe (EU) br.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 xml:space="preserve">0090</w:t>
            </w:r>
          </w:p>
        </w:tc>
        <w:tc>
          <w:tcPr>
            <w:tcW w:w="7620" w:type="dxa"/>
          </w:tcPr>
          <w:p w14:paraId="28D7CCE1"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9          Stopa ukupnog kapitala uzimajući u obzir vrijednost TREA-e bez primjene donje granice</w:t>
            </w:r>
          </w:p>
          <w:p w14:paraId="79DB9F56" w14:textId="77777777" w:rsidR="00CC7D2C" w:rsidRPr="002A677E" w:rsidRDefault="00CC7D2C" w:rsidP="00320EFD">
            <w:pPr>
              <w:pStyle w:val="InstructionsText"/>
              <w:rPr>
                <w:rStyle w:val="InstructionsTabelleberschrift"/>
                <w:sz w:val="24"/>
                <w:rFonts w:ascii="Times New Roman" w:hAnsi="Times New Roman"/>
              </w:rPr>
            </w:pPr>
            <w:r>
              <w:t xml:space="preserve">Stopa ukupnog kapitala kako je definirana u članku 92. stavku 2. točki (c) Uredbe (EU) br. 575/2013 izražena kao postotak iznosa ukupne izloženosti riziku izračunanog u skladu s člankom 92. stavkom 4. Uredbe (EU) br.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 xml:space="preserve">0130</w:t>
            </w:r>
          </w:p>
        </w:tc>
        <w:tc>
          <w:tcPr>
            <w:tcW w:w="7620" w:type="dxa"/>
          </w:tcPr>
          <w:p w14:paraId="656BB90A" w14:textId="77777777" w:rsidR="00CC7D2C" w:rsidRPr="001E3E85"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Stopa ukupnog kapitalnog zahtjeva u okviru SREP-a (TSCR)</w:t>
            </w:r>
          </w:p>
          <w:p w14:paraId="422D18B0" w14:textId="77777777" w:rsidR="00CC7D2C" w:rsidRPr="002A677E" w:rsidRDefault="00CC7D2C" w:rsidP="00320EFD">
            <w:pPr>
              <w:pStyle w:val="InstructionsText"/>
            </w:pPr>
            <w:r>
              <w:t xml:space="preserve">Zbroj i. i ii. određuje se kako slijedi:</w:t>
            </w:r>
          </w:p>
          <w:p w14:paraId="5718EEA1" w14:textId="77777777" w:rsidR="00CC7D2C" w:rsidRPr="002A677E" w:rsidRDefault="00CC7D2C" w:rsidP="00320EFD">
            <w:pPr>
              <w:pStyle w:val="InstructionsText"/>
            </w:pPr>
            <w:r>
              <w:t xml:space="preserve">stopa ukupnog kapitala (8 %) kako je utvrđena u članku 92. stavku 1. točki (c) Uredbe (EU) br. 575/2013;</w:t>
            </w:r>
            <w:r>
              <w:t xml:space="preserve"> </w:t>
            </w:r>
          </w:p>
          <w:p w14:paraId="72877665" w14:textId="77777777" w:rsidR="00CC7D2C" w:rsidRPr="002A677E" w:rsidRDefault="00CC7D2C" w:rsidP="00320EFD">
            <w:pPr>
              <w:pStyle w:val="InstructionsText"/>
            </w:pPr>
            <w:r>
              <w:t xml:space="preserve">dodatni kapitalni zahtjevi (zahtjevi iz drugog stupa – P2R) iz članka 104. stavka 1. točke (a) Direktive 2013/36/EU, prikazani kao stopa.</w:t>
            </w:r>
            <w:r>
              <w:t xml:space="preserve"> </w:t>
            </w:r>
            <w:r>
              <w:t xml:space="preserve">Određuju se u skladu s kriterijima iz </w:t>
            </w:r>
            <w:r>
              <w:rPr>
                <w:i/>
              </w:rPr>
              <w:t xml:space="preserve">Smjernica EBA-e o zajedničkim postupcima i metodologijama za postupak nadzorne provjere i ocjene i nadzorno testiranje otpornosti na stres</w:t>
            </w:r>
            <w:r>
              <w:t xml:space="preserve">(EBA SREP GL).</w:t>
            </w:r>
          </w:p>
          <w:p w14:paraId="51D5EDB6" w14:textId="77777777" w:rsidR="00CC7D2C" w:rsidRPr="002A677E" w:rsidRDefault="00CC7D2C" w:rsidP="00320EFD">
            <w:pPr>
              <w:pStyle w:val="InstructionsText"/>
            </w:pPr>
            <w:r>
              <w:t xml:space="preserve">U ovoj se stavci navodi stopa ukupnog kapitalnog zahtjeva u okviru SREP-a (TSCR) o kojoj je nadležno tijelo izvijestilo instituciju.</w:t>
            </w:r>
            <w:r>
              <w:t xml:space="preserve"> </w:t>
            </w:r>
            <w:r>
              <w:t xml:space="preserve">TSCR je definiran u odjeljku 7.4. i 7.5. EBA-inih smjernica SREP GL.</w:t>
            </w:r>
          </w:p>
          <w:p w14:paraId="170D440C" w14:textId="77777777" w:rsidR="00CC7D2C" w:rsidRDefault="00CC7D2C" w:rsidP="00320EFD">
            <w:pPr>
              <w:pStyle w:val="InstructionsText"/>
            </w:pPr>
            <w:r>
              <w:t xml:space="preserve">Ako nadležno tijelo nije izvijestilo instituciju o dodatnim kapitalnim zahtjevima, iskazuje se samo točka i.</w:t>
            </w:r>
            <w:r>
              <w:t xml:space="preserve"> </w:t>
            </w:r>
          </w:p>
          <w:p w14:paraId="72F84D88" w14:textId="77777777" w:rsidR="00CC7D2C" w:rsidRDefault="00CC7D2C" w:rsidP="00320EFD">
            <w:pPr>
              <w:pStyle w:val="InstructionsText"/>
            </w:pPr>
            <w:r>
              <w:t xml:space="preserve">Ako je institucija dužna primjenjivati minimalnu donju granicu, iskazani podaci predstavljaju TSCR potreban za ispunjenje zahtjeva na izvještajni datum uzimajući u obzir odredbe članka 104.a stavka 6. Direktive 2013/36/EU.</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t xml:space="preserve">0140</w:t>
            </w:r>
          </w:p>
        </w:tc>
        <w:tc>
          <w:tcPr>
            <w:tcW w:w="7620" w:type="dxa"/>
          </w:tcPr>
          <w:p w14:paraId="1F58B3D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TSCR: mora se sastojati od redovnog osnovnog kapitala</w:t>
            </w:r>
            <w:r>
              <w:rPr>
                <w:rStyle w:val="InstructionsTabelleberschrift"/>
                <w:sz w:val="24"/>
                <w:rFonts w:ascii="Times New Roman" w:hAnsi="Times New Roman"/>
              </w:rPr>
              <w:t xml:space="preserve"> </w:t>
            </w:r>
          </w:p>
          <w:p w14:paraId="28F90F3C" w14:textId="77777777" w:rsidR="00CC7D2C" w:rsidRPr="002A677E" w:rsidRDefault="00CC7D2C" w:rsidP="00320EFD">
            <w:pPr>
              <w:pStyle w:val="InstructionsText"/>
            </w:pPr>
            <w:r>
              <w:t xml:space="preserve">Zbroj i. i ii. određuje se kako slijedi:</w:t>
            </w:r>
          </w:p>
          <w:p w14:paraId="75CA447D" w14:textId="77777777" w:rsidR="00CC7D2C" w:rsidRPr="002A677E" w:rsidRDefault="00CC7D2C" w:rsidP="00320EFD">
            <w:pPr>
              <w:pStyle w:val="InstructionsText"/>
              <w:numPr>
                <w:ilvl w:val="0"/>
                <w:numId w:val="20"/>
              </w:numPr>
            </w:pPr>
            <w:r>
              <w:t xml:space="preserve">stopa redovnog osnovnog kapitala (4,5 %) u skladu s člankom 92. stavkom 1. točkom (a) Uredbe (EU) br. 575/2013;</w:t>
            </w:r>
          </w:p>
          <w:p w14:paraId="6BB26B7D" w14:textId="77777777" w:rsidR="00CC7D2C" w:rsidRPr="002A677E" w:rsidRDefault="00CC7D2C" w:rsidP="00320EFD">
            <w:pPr>
              <w:pStyle w:val="InstructionsText"/>
              <w:numPr>
                <w:ilvl w:val="0"/>
                <w:numId w:val="20"/>
              </w:numPr>
              <w:rPr>
                <w:b/>
                <w:bCs/>
                <w:u w:val="single"/>
              </w:rPr>
            </w:pPr>
            <w:r>
              <w:t xml:space="preserve">dio stope zahtjeva iz stupa 2., navedene u točki ii. u retku 0130, za koji nadležno tijelo zahtijeva da se drži u obliku redovnog osnovnog kapitala.</w:t>
            </w:r>
          </w:p>
          <w:p w14:paraId="36D292D2" w14:textId="77777777" w:rsidR="00CC7D2C" w:rsidRDefault="00CC7D2C" w:rsidP="00320EFD">
            <w:pPr>
              <w:pStyle w:val="InstructionsText"/>
              <w:rPr>
                <w:rStyle w:val="InstructionsTabelleberschrift"/>
                <w:b w:val="0"/>
                <w:sz w:val="24"/>
                <w:rFonts w:ascii="Times New Roman" w:hAnsi="Times New Roman"/>
              </w:rPr>
            </w:pPr>
            <w:r>
              <w:t xml:space="preserve">Ako nadležno tijelo nije izvijestilo instituciju o dodatnim kapitalnim zahtjevima, koji se trebaju držati u obliku redovnog osnovnog kapitala, iskazuje se samo točka i.</w:t>
            </w:r>
            <w:r>
              <w:rPr>
                <w:rStyle w:val="InstructionsTabelleberschrift"/>
                <w:b w:val="0"/>
                <w:sz w:val="24"/>
                <w:rFonts w:ascii="Times New Roman" w:hAnsi="Times New Roman"/>
              </w:rPr>
              <w:t xml:space="preserve"> </w:t>
            </w:r>
          </w:p>
          <w:p w14:paraId="4757583B" w14:textId="77777777" w:rsidR="00CC7D2C" w:rsidRPr="002A677E" w:rsidRDefault="00CC7D2C" w:rsidP="00320EFD">
            <w:pPr>
              <w:pStyle w:val="InstructionsText"/>
              <w:rPr>
                <w:rStyle w:val="InstructionsTabelleberschrift"/>
                <w:sz w:val="24"/>
                <w:rFonts w:ascii="Times New Roman" w:hAnsi="Times New Roman"/>
              </w:rPr>
            </w:pPr>
            <w:r>
              <w:t xml:space="preserve">Ako je institucija dužna primjenjivati minimalnu donju granicu, iskazani podaci predstavljaju TSCR potreban za ispunjavanje zahtjeva na izvještajni datum uzimajući u obzir odredbe članka 104.a stavka 6. Direktive 2013/36/EU.</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 xml:space="preserve">0150</w:t>
            </w:r>
          </w:p>
        </w:tc>
        <w:tc>
          <w:tcPr>
            <w:tcW w:w="7620" w:type="dxa"/>
          </w:tcPr>
          <w:p w14:paraId="4A8E85C7"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TSCR: mora se sastojati od osnovnog kapitala</w:t>
            </w:r>
          </w:p>
          <w:p w14:paraId="58AEED52" w14:textId="77777777" w:rsidR="00CC7D2C" w:rsidRPr="002A677E" w:rsidRDefault="00CC7D2C" w:rsidP="00320EFD">
            <w:pPr>
              <w:pStyle w:val="InstructionsText"/>
            </w:pPr>
            <w:r>
              <w:t xml:space="preserve">Zbroj i. i ii. određuje se kako slijedi:</w:t>
            </w:r>
          </w:p>
          <w:p w14:paraId="49D34E50" w14:textId="77777777" w:rsidR="00CC7D2C" w:rsidRPr="002A677E" w:rsidRDefault="00CC7D2C" w:rsidP="00320EFD">
            <w:pPr>
              <w:pStyle w:val="InstructionsText"/>
              <w:numPr>
                <w:ilvl w:val="0"/>
                <w:numId w:val="21"/>
              </w:numPr>
            </w:pPr>
            <w:r>
              <w:t xml:space="preserve">stopa osnovnog kapitala (6 %) u skladu s člankom 92. stavkom 1. točkom (b) Uredbe (EU) br. 575/2013;</w:t>
            </w:r>
          </w:p>
          <w:p w14:paraId="4A701FA4" w14:textId="77777777" w:rsidR="00CC7D2C" w:rsidRPr="002A677E" w:rsidRDefault="00CC7D2C" w:rsidP="00320EFD">
            <w:pPr>
              <w:pStyle w:val="InstructionsText"/>
              <w:numPr>
                <w:ilvl w:val="0"/>
                <w:numId w:val="21"/>
              </w:numPr>
              <w:rPr>
                <w:bCs/>
                <w:u w:val="single"/>
              </w:rPr>
            </w:pPr>
            <w:r>
              <w:t xml:space="preserve">dio stope zahtjeva iz stupa 2., navedene u točki ii. u retku 0130, za koji nadležno tijelo zahtijeva da se drži u obliku osnovnog kapitala.</w:t>
            </w:r>
          </w:p>
          <w:p w14:paraId="4A7AA27B" w14:textId="77777777" w:rsidR="00CC7D2C" w:rsidRDefault="00CC7D2C" w:rsidP="00320EFD">
            <w:pPr>
              <w:pStyle w:val="InstructionsText"/>
            </w:pPr>
            <w:r>
              <w:t xml:space="preserve">Ako nadležno tijelo nije izvijestilo instituciju o dodatnim kapitalnim zahtjevima, koji se trebaju držati u obliku osnovnog kapitala, iskazuje se samo točka i.</w:t>
            </w:r>
          </w:p>
          <w:p w14:paraId="5DB82299" w14:textId="77777777" w:rsidR="00CC7D2C" w:rsidRPr="002A677E" w:rsidRDefault="00CC7D2C" w:rsidP="00320EFD">
            <w:pPr>
              <w:pStyle w:val="InstructionsText"/>
              <w:rPr>
                <w:rStyle w:val="InstructionsTabelleberschrift"/>
                <w:b w:val="0"/>
                <w:sz w:val="24"/>
                <w:rFonts w:ascii="Times New Roman" w:hAnsi="Times New Roman"/>
              </w:rPr>
            </w:pPr>
            <w:r>
              <w:t xml:space="preserve">Ako je institucija dužna primjenjivati minimalnu donju granicu, iskazani podaci predstavljaju TSCR potreban za ispunjavanje zahtjeva na izvještajni datum uzimajući u obzir odredbe članka 104.a stavka 6. Direktive 2013/36/EU.</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 xml:space="preserve">0151</w:t>
            </w:r>
          </w:p>
        </w:tc>
        <w:tc>
          <w:tcPr>
            <w:tcW w:w="7620" w:type="dxa"/>
          </w:tcPr>
          <w:p w14:paraId="457CE892" w14:textId="6C5B141E"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13.a     Stopa ukupnog kapitalnog zahtjeva u okviru SREP-a (TSCR) bez gornje granice iz članka 104.a stavka 6. točke (a) Direktive 2013/36/EU</w:t>
            </w:r>
          </w:p>
          <w:p w14:paraId="63F2FF34" w14:textId="7D1FAC05" w:rsidR="00CC7D2C" w:rsidRDefault="00CC7D2C" w:rsidP="00320EFD">
            <w:pPr>
              <w:pStyle w:val="InstructionsText"/>
            </w:pPr>
            <w:r>
              <w:t xml:space="preserve">članak 104.a stavak 6. točka (a) Direktive 2013/36/EU.</w:t>
            </w:r>
          </w:p>
          <w:p w14:paraId="7C3569BE" w14:textId="77777777" w:rsidR="00CC7D2C" w:rsidRPr="002A677E" w:rsidRDefault="00CC7D2C" w:rsidP="00320EFD">
            <w:pPr>
              <w:pStyle w:val="InstructionsText"/>
              <w:rPr>
                <w:rStyle w:val="InstructionsTabelleberschrift"/>
                <w:sz w:val="24"/>
                <w:rFonts w:ascii="Times New Roman" w:hAnsi="Times New Roman"/>
              </w:rPr>
            </w:pPr>
            <w:r>
              <w:t xml:space="preserve">Za institucije koje su dužne primjenjivati minimalnu donju granicu, stopa TSCR-a bez privremene gornje granice iz članka 104.a stavka 6. točke (b) Direktive 2013/36/EU.</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t xml:space="preserve">0152</w:t>
            </w:r>
          </w:p>
        </w:tc>
        <w:tc>
          <w:tcPr>
            <w:tcW w:w="7620" w:type="dxa"/>
          </w:tcPr>
          <w:p w14:paraId="1FB8F650"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13.a*    TSCR: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mora se sastojati od redovnog osnovnog kapitala</w:t>
            </w:r>
          </w:p>
          <w:p w14:paraId="15CE0D0B" w14:textId="43173606" w:rsidR="00CC7D2C" w:rsidRDefault="00CC7D2C" w:rsidP="00320EFD">
            <w:pPr>
              <w:pStyle w:val="InstructionsText"/>
            </w:pPr>
            <w:r>
              <w:t xml:space="preserve">članak 104.a stavak 6. točka (a) Direktive 2013/36/EU.</w:t>
            </w:r>
          </w:p>
          <w:p w14:paraId="1CD71865" w14:textId="77777777" w:rsidR="00CC7D2C" w:rsidRPr="002A677E" w:rsidRDefault="00CC7D2C" w:rsidP="00320EFD">
            <w:pPr>
              <w:pStyle w:val="InstructionsText"/>
              <w:rPr>
                <w:rStyle w:val="InstructionsTabelleberschrift"/>
                <w:sz w:val="24"/>
                <w:rFonts w:ascii="Times New Roman" w:hAnsi="Times New Roman"/>
              </w:rPr>
            </w:pPr>
            <w:r>
              <w:t xml:space="preserve">Za institucije koje su dužne primjenjivati minimalnu donju granicu, stopa TSCR-a bez privremene gornje granice iz članka 104.a stavka 6. točke (b) Direktive 2013/36/EU.</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 xml:space="preserve">0153</w:t>
            </w:r>
          </w:p>
        </w:tc>
        <w:tc>
          <w:tcPr>
            <w:tcW w:w="7620" w:type="dxa"/>
          </w:tcPr>
          <w:p w14:paraId="5716DFFC"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13.a** TSCR: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mora se sastojati od osnovnog kapitala</w:t>
            </w:r>
          </w:p>
          <w:p w14:paraId="244808EF" w14:textId="6711A984" w:rsidR="00CC7D2C" w:rsidRDefault="00CC7D2C" w:rsidP="00320EFD">
            <w:pPr>
              <w:pStyle w:val="InstructionsText"/>
            </w:pPr>
            <w:r>
              <w:t xml:space="preserve">članak 104.a stavak 6. točka (a) Direktive 2013/36/EU.</w:t>
            </w:r>
          </w:p>
          <w:p w14:paraId="7A8B6EB2" w14:textId="77777777" w:rsidR="00CC7D2C" w:rsidRPr="002A677E" w:rsidRDefault="00CC7D2C" w:rsidP="00320EFD">
            <w:pPr>
              <w:pStyle w:val="InstructionsText"/>
              <w:rPr>
                <w:rStyle w:val="InstructionsTabelleberschrift"/>
                <w:sz w:val="24"/>
                <w:rFonts w:ascii="Times New Roman" w:hAnsi="Times New Roman"/>
              </w:rPr>
            </w:pPr>
            <w:r>
              <w:t xml:space="preserve">Za institucije koje su dužne primjenjivati minimalnu donju granicu, stopa TSCR-a bez privremene gornje granice iz članka 104.a stavka 6. točke (b) Direktive 2013/36/EU.</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 xml:space="preserve">0160</w:t>
            </w:r>
          </w:p>
        </w:tc>
        <w:tc>
          <w:tcPr>
            <w:tcW w:w="7620" w:type="dxa"/>
          </w:tcPr>
          <w:p w14:paraId="7089475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Stopa sveukupnog kapitalnog zahtjeva </w:t>
            </w:r>
          </w:p>
          <w:p w14:paraId="5D827426" w14:textId="77777777" w:rsidR="00CC7D2C" w:rsidRPr="002A677E" w:rsidRDefault="00CC7D2C" w:rsidP="00320EFD">
            <w:pPr>
              <w:pStyle w:val="InstructionsText"/>
            </w:pPr>
            <w:r>
              <w:t xml:space="preserve">Zbroj i. i ii. određuje se kako slijedi:</w:t>
            </w:r>
          </w:p>
          <w:p w14:paraId="70AEC1C6" w14:textId="77777777" w:rsidR="00CC7D2C" w:rsidRPr="002A677E" w:rsidRDefault="00CC7D2C" w:rsidP="00320EFD">
            <w:pPr>
              <w:pStyle w:val="InstructionsText"/>
              <w:numPr>
                <w:ilvl w:val="0"/>
                <w:numId w:val="22"/>
              </w:numPr>
            </w:pPr>
            <w:r>
              <w:t xml:space="preserve">stopa TSCR-a iz retka 0130;</w:t>
            </w:r>
          </w:p>
          <w:p w14:paraId="7B4CBF50" w14:textId="77777777" w:rsidR="00CC7D2C" w:rsidRPr="002A677E" w:rsidRDefault="00CC7D2C" w:rsidP="00320EFD">
            <w:pPr>
              <w:pStyle w:val="InstructionsText"/>
              <w:numPr>
                <w:ilvl w:val="0"/>
                <w:numId w:val="22"/>
              </w:numPr>
            </w:pPr>
            <w:r>
              <w:t xml:space="preserve">u mjeri u kojoj je to pravno primjenjivo, stopa zahtjeva za kombinirani zaštitni sloj iz članka 128. točke 6. Direktive 2013/36/EU.</w:t>
            </w:r>
          </w:p>
          <w:p w14:paraId="4A545FF7" w14:textId="77777777" w:rsidR="00CC7D2C" w:rsidRPr="002A677E" w:rsidRDefault="00CC7D2C" w:rsidP="00320EFD">
            <w:pPr>
              <w:pStyle w:val="InstructionsText"/>
            </w:pPr>
            <w:r>
              <w:t xml:space="preserve">U ovoj se stavci navodi stopa sveukupnog kapitalnog zahtjeva kako je definirana u odjeljku 7.5. EBA-inih smjernica SREP GL.</w:t>
            </w:r>
          </w:p>
          <w:p w14:paraId="21F262F8" w14:textId="77777777" w:rsidR="00CC7D2C" w:rsidRPr="002A677E" w:rsidRDefault="00CC7D2C" w:rsidP="00320EFD">
            <w:pPr>
              <w:pStyle w:val="InstructionsText"/>
              <w:rPr>
                <w:rStyle w:val="InstructionsTabelleberschrift"/>
                <w:sz w:val="24"/>
                <w:rFonts w:ascii="Times New Roman" w:hAnsi="Times New Roman"/>
              </w:rPr>
            </w:pPr>
            <w:r>
              <w:t xml:space="preserve">Ako se ne primjenjuje zahtjev za zaštitni sloj, iskazuje se samo točka 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 xml:space="preserve">0170</w:t>
            </w:r>
          </w:p>
        </w:tc>
        <w:tc>
          <w:tcPr>
            <w:tcW w:w="7620" w:type="dxa"/>
          </w:tcPr>
          <w:p w14:paraId="353B350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OCR: koji se mora sastojati od redovnog osnovnog kapitala</w:t>
            </w:r>
            <w:r>
              <w:rPr>
                <w:rStyle w:val="InstructionsTabelleberschrift"/>
                <w:sz w:val="24"/>
                <w:rFonts w:ascii="Times New Roman" w:hAnsi="Times New Roman"/>
              </w:rPr>
              <w:t xml:space="preserve"> </w:t>
            </w:r>
          </w:p>
          <w:p w14:paraId="3B6DAF93" w14:textId="77777777" w:rsidR="00CC7D2C" w:rsidRPr="002A677E" w:rsidRDefault="00CC7D2C" w:rsidP="00320EFD">
            <w:pPr>
              <w:pStyle w:val="InstructionsText"/>
            </w:pPr>
            <w:r>
              <w:t xml:space="preserve">Zbroj i. i ii. određuje se kako slijedi:</w:t>
            </w:r>
          </w:p>
          <w:p w14:paraId="79F55B10" w14:textId="77777777" w:rsidR="00CC7D2C" w:rsidRPr="002A677E" w:rsidRDefault="00CC7D2C" w:rsidP="00320EFD">
            <w:pPr>
              <w:pStyle w:val="InstructionsText"/>
              <w:numPr>
                <w:ilvl w:val="0"/>
                <w:numId w:val="23"/>
              </w:numPr>
            </w:pPr>
            <w:r>
              <w:t xml:space="preserve">stopa TSCR-a mora se sastojati od redovnog osnovnog kapitala iz retka 0140;</w:t>
            </w:r>
          </w:p>
          <w:p w14:paraId="54B36BA6" w14:textId="77777777" w:rsidR="00CC7D2C" w:rsidRPr="002A677E" w:rsidRDefault="00CC7D2C" w:rsidP="00320EFD">
            <w:pPr>
              <w:pStyle w:val="InstructionsText"/>
              <w:numPr>
                <w:ilvl w:val="0"/>
                <w:numId w:val="23"/>
              </w:numPr>
              <w:rPr>
                <w:bCs/>
                <w:u w:val="single"/>
              </w:rPr>
            </w:pPr>
            <w:r>
              <w:t xml:space="preserve">u mjeri u kojoj je to pravno primjenjivo, stopa zahtjeva za kombinirani zaštitni sloj iz članka 128. točke 6. Direktive 2013/36/EU.</w:t>
            </w:r>
          </w:p>
          <w:p w14:paraId="02359C72" w14:textId="77777777" w:rsidR="00CC7D2C" w:rsidRPr="002A677E" w:rsidRDefault="00CC7D2C" w:rsidP="00320EFD">
            <w:pPr>
              <w:pStyle w:val="InstructionsText"/>
              <w:rPr>
                <w:rStyle w:val="InstructionsTabelleberschrift"/>
                <w:b w:val="0"/>
                <w:sz w:val="24"/>
                <w:rFonts w:ascii="Times New Roman" w:hAnsi="Times New Roman"/>
              </w:rPr>
            </w:pPr>
            <w:r>
              <w:t xml:space="preserve">Ako se ne primjenjuje zahtjev za zaštitni sloj, iskazuje se samo točka 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 xml:space="preserve">0180</w:t>
            </w:r>
          </w:p>
        </w:tc>
        <w:tc>
          <w:tcPr>
            <w:tcW w:w="7620" w:type="dxa"/>
          </w:tcPr>
          <w:p w14:paraId="477B013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OCR: koji se mora sastojati od osnovnog kapitala</w:t>
            </w:r>
          </w:p>
          <w:p w14:paraId="54EBB570" w14:textId="77777777" w:rsidR="00CC7D2C" w:rsidRPr="002A677E" w:rsidRDefault="00CC7D2C" w:rsidP="00320EFD">
            <w:pPr>
              <w:pStyle w:val="InstructionsText"/>
            </w:pPr>
            <w:r>
              <w:t xml:space="preserve">Zbroj i. i ii. određuje se kako slijedi:</w:t>
            </w:r>
          </w:p>
          <w:p w14:paraId="719C6493" w14:textId="77777777" w:rsidR="00CC7D2C" w:rsidRPr="002A677E" w:rsidRDefault="00CC7D2C" w:rsidP="00320EFD">
            <w:pPr>
              <w:pStyle w:val="InstructionsText"/>
              <w:numPr>
                <w:ilvl w:val="0"/>
                <w:numId w:val="24"/>
              </w:numPr>
            </w:pPr>
            <w:r>
              <w:t xml:space="preserve">stopa TSCR-a mora se sastojati od osnovnog kapitala iz retka 0150;</w:t>
            </w:r>
          </w:p>
          <w:p w14:paraId="17CB41E8" w14:textId="77777777" w:rsidR="00CC7D2C" w:rsidRPr="002A677E" w:rsidRDefault="00CC7D2C" w:rsidP="00320EFD">
            <w:pPr>
              <w:pStyle w:val="InstructionsText"/>
              <w:numPr>
                <w:ilvl w:val="0"/>
                <w:numId w:val="24"/>
              </w:numPr>
              <w:rPr>
                <w:bCs/>
                <w:u w:val="single"/>
              </w:rPr>
            </w:pPr>
            <w:r>
              <w:t xml:space="preserve">u mjeri u kojoj je to pravno primjenjivo, stopa zahtjeva za kombinirani zaštitni sloj iz članka 128. točke 6. Direktive 2013/36/EU.</w:t>
            </w:r>
          </w:p>
          <w:p w14:paraId="6BAC2756" w14:textId="77777777" w:rsidR="00CC7D2C" w:rsidRPr="002A677E" w:rsidRDefault="00CC7D2C" w:rsidP="00320EFD">
            <w:pPr>
              <w:pStyle w:val="InstructionsText"/>
              <w:rPr>
                <w:rStyle w:val="InstructionsTabelleberschrift"/>
                <w:b w:val="0"/>
                <w:sz w:val="24"/>
                <w:rFonts w:ascii="Times New Roman" w:hAnsi="Times New Roman"/>
              </w:rPr>
            </w:pPr>
            <w:r>
              <w:t xml:space="preserve">Ako se ne primjenjuje zahtjev za zaštitni sloj, iskazuje se samo točka 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t xml:space="preserve">0190</w:t>
            </w:r>
          </w:p>
        </w:tc>
        <w:tc>
          <w:tcPr>
            <w:tcW w:w="7620" w:type="dxa"/>
          </w:tcPr>
          <w:p w14:paraId="469AA56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Stopa sveukupnog kapitalnog zahtjeva i zahtjeva iz drugog stupa na temelju smjernica</w:t>
            </w:r>
          </w:p>
          <w:p w14:paraId="35C8C660" w14:textId="77777777" w:rsidR="00CC7D2C" w:rsidRPr="002A677E" w:rsidRDefault="00CC7D2C" w:rsidP="00320EFD">
            <w:pPr>
              <w:pStyle w:val="InstructionsText"/>
            </w:pPr>
            <w:r>
              <w:t xml:space="preserve">Zbroj i. i ii. određuje se kako slijedi:</w:t>
            </w:r>
          </w:p>
          <w:p w14:paraId="726F15CE" w14:textId="77777777" w:rsidR="00CC7D2C" w:rsidRPr="002A677E" w:rsidRDefault="00CC7D2C" w:rsidP="00320EFD">
            <w:pPr>
              <w:pStyle w:val="InstructionsText"/>
              <w:numPr>
                <w:ilvl w:val="0"/>
                <w:numId w:val="25"/>
              </w:numPr>
            </w:pPr>
            <w:r>
              <w:t xml:space="preserve">stopa sveukupnog kapitalnog zahtjeva iz retka 160;</w:t>
            </w:r>
          </w:p>
          <w:p w14:paraId="2AA4843C" w14:textId="77777777" w:rsidR="00CC7D2C" w:rsidRPr="002A677E" w:rsidRDefault="00CC7D2C" w:rsidP="00320EFD">
            <w:pPr>
              <w:pStyle w:val="InstructionsText"/>
              <w:numPr>
                <w:ilvl w:val="0"/>
                <w:numId w:val="25"/>
              </w:numPr>
              <w:rPr>
                <w:bCs/>
                <w:u w:val="single"/>
              </w:rPr>
            </w:pPr>
            <w:r>
              <w:t xml:space="preserve">prema potrebi, zahtjev na temelju smjernica o dodatnim kapitalnim zahtjevima koje je poslalo nadležno tijelo (zahtjev iz drugog stupa na temelju smjernica – P2G) iz članka 104.b stavka 3. Direktive 2013/36/EU, prikazan kao stopa.</w:t>
            </w:r>
            <w:r>
              <w:t xml:space="preserve"> </w:t>
            </w:r>
            <w:r>
              <w:t xml:space="preserve">Definirat će se u skladu s odjeljkom 7.7.1. EBA-inih smjernica SREP GL. P2G se navodi samo ako je nadležno tijelo o tome izvijestilo instituciju.</w:t>
            </w:r>
          </w:p>
          <w:p w14:paraId="0471CA24" w14:textId="77777777" w:rsidR="00CC7D2C" w:rsidRPr="002A677E" w:rsidRDefault="00CC7D2C" w:rsidP="00320EFD">
            <w:pPr>
              <w:pStyle w:val="InstructionsText"/>
              <w:rPr>
                <w:rStyle w:val="InstructionsTabelleberschrift"/>
                <w:b w:val="0"/>
                <w:sz w:val="24"/>
                <w:rFonts w:ascii="Times New Roman" w:hAnsi="Times New Roman"/>
              </w:rPr>
            </w:pPr>
            <w:r>
              <w:t xml:space="preserve">Ako nadležno tijelo nije izvijestilo instituciju o zahtjevu iz stupa 2. na temelju smjernica, iskazuje se samo točka i.</w:t>
            </w:r>
            <w:r>
              <w:t xml:space="preserve">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 xml:space="preserve">0200</w:t>
            </w:r>
          </w:p>
        </w:tc>
        <w:tc>
          <w:tcPr>
            <w:tcW w:w="7620" w:type="dxa"/>
          </w:tcPr>
          <w:p w14:paraId="0CE049B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Sveukupni kapitalni zahtjev i zahtjev iz stupa 2. na temelju smjernica koji se sastoji od redovnog osnovnog kapitala</w:t>
            </w:r>
            <w:r>
              <w:rPr>
                <w:rStyle w:val="InstructionsTabelleberschrift"/>
                <w:sz w:val="24"/>
                <w:rFonts w:ascii="Times New Roman" w:hAnsi="Times New Roman"/>
              </w:rPr>
              <w:t xml:space="preserve"> </w:t>
            </w:r>
          </w:p>
          <w:p w14:paraId="13795065" w14:textId="77777777" w:rsidR="00CC7D2C" w:rsidRPr="002A677E" w:rsidRDefault="00CC7D2C" w:rsidP="00320EFD">
            <w:pPr>
              <w:pStyle w:val="InstructionsText"/>
            </w:pPr>
            <w:r>
              <w:t xml:space="preserve">Zbroj i. i ii. određuje se kako slijedi:</w:t>
            </w:r>
          </w:p>
          <w:p w14:paraId="300DF4C8" w14:textId="77777777" w:rsidR="00CC7D2C" w:rsidRPr="002A677E" w:rsidRDefault="00CC7D2C" w:rsidP="00320EFD">
            <w:pPr>
              <w:pStyle w:val="InstructionsText"/>
              <w:numPr>
                <w:ilvl w:val="0"/>
                <w:numId w:val="26"/>
              </w:numPr>
            </w:pPr>
            <w:r>
              <w:t xml:space="preserve">stopa sveukupnog kapitalnog zahtjeva koji se sastoji od redovnog osnovnog kapitala iz retka 0170;</w:t>
            </w:r>
          </w:p>
          <w:p w14:paraId="22745814" w14:textId="77777777" w:rsidR="00CC7D2C" w:rsidRPr="002A677E" w:rsidRDefault="00CC7D2C" w:rsidP="00320EFD">
            <w:pPr>
              <w:pStyle w:val="InstructionsText"/>
              <w:numPr>
                <w:ilvl w:val="0"/>
                <w:numId w:val="26"/>
              </w:numPr>
              <w:rPr>
                <w:bCs/>
                <w:u w:val="single"/>
              </w:rPr>
            </w:pPr>
            <w:r>
              <w:t xml:space="preserve">ako je primjenjivo, dio zahtjeva iz stupa 2. na temelju smjernica, naveden u točki ii. u retku 0190, za koji nadležno tijelo zahtijeva da se drži u obliku redovnog osnovnog kapitala.</w:t>
            </w:r>
            <w:r>
              <w:t xml:space="preserve"> </w:t>
            </w:r>
            <w:r>
              <w:t xml:space="preserve">Zahtjev iz stupa 2. na temelju smjernica navodi se samo ako je nadležno tijelo o tome izvijestilo instituciju.</w:t>
            </w:r>
          </w:p>
          <w:p w14:paraId="6463AC50" w14:textId="77777777" w:rsidR="00CC7D2C" w:rsidRPr="002A677E" w:rsidRDefault="00CC7D2C" w:rsidP="00320EFD">
            <w:pPr>
              <w:pStyle w:val="InstructionsText"/>
              <w:rPr>
                <w:rStyle w:val="InstructionsTabelleberschrift"/>
                <w:b w:val="0"/>
                <w:sz w:val="24"/>
                <w:rFonts w:ascii="Times New Roman" w:hAnsi="Times New Roman"/>
              </w:rPr>
            </w:pPr>
            <w:r>
              <w:t xml:space="preserve">Ako nadležno tijelo nije izvijestilo instituciju o zahtjevu iz stupa 2. na temelju smjernica, iskazuje se samo točka i.</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 xml:space="preserve">0210</w:t>
            </w:r>
          </w:p>
        </w:tc>
        <w:tc>
          <w:tcPr>
            <w:tcW w:w="7620" w:type="dxa"/>
          </w:tcPr>
          <w:p w14:paraId="1160959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Sveukupni kapitalni zahtjev i zahtjev iz stupa 2. na temelju smjernica koji se sastoji od osnovnog kapitala</w:t>
            </w:r>
            <w:r>
              <w:rPr>
                <w:rStyle w:val="InstructionsTabelleberschrift"/>
                <w:sz w:val="24"/>
                <w:rFonts w:ascii="Times New Roman" w:hAnsi="Times New Roman"/>
              </w:rPr>
              <w:t xml:space="preserve"> </w:t>
            </w:r>
          </w:p>
          <w:p w14:paraId="4156D090" w14:textId="77777777" w:rsidR="00CC7D2C" w:rsidRPr="002A677E" w:rsidRDefault="00CC7D2C" w:rsidP="00320EFD">
            <w:pPr>
              <w:pStyle w:val="InstructionsText"/>
            </w:pPr>
            <w:r>
              <w:t xml:space="preserve">Zbroj i. i ii. određuje se kako slijedi:</w:t>
            </w:r>
          </w:p>
          <w:p w14:paraId="3A8C0BF0" w14:textId="77777777" w:rsidR="00CC7D2C" w:rsidRPr="002A677E" w:rsidRDefault="00CC7D2C" w:rsidP="00320EFD">
            <w:pPr>
              <w:pStyle w:val="InstructionsText"/>
              <w:numPr>
                <w:ilvl w:val="0"/>
                <w:numId w:val="27"/>
              </w:numPr>
            </w:pPr>
            <w:r>
              <w:t xml:space="preserve">stopa sveukupnog kapitalnog zahtjeva koji se sastoji od osnovnog kapitala iz retka 0180;</w:t>
            </w:r>
          </w:p>
          <w:p w14:paraId="29B2D80C" w14:textId="77777777" w:rsidR="00CC7D2C" w:rsidRPr="002A677E" w:rsidRDefault="00CC7D2C" w:rsidP="00320EFD">
            <w:pPr>
              <w:pStyle w:val="InstructionsText"/>
              <w:numPr>
                <w:ilvl w:val="0"/>
                <w:numId w:val="27"/>
              </w:numPr>
            </w:pPr>
            <w:r>
              <w:t xml:space="preserve">ako je primjenjivo, dio zahtjeva iz stupa 2. na temelju smjernica, naveden u točki ii. u retku 0190, za koji nadležno tijelo zahtijeva da se drži u obliku osnovnog kapitala.</w:t>
            </w:r>
            <w:r>
              <w:t xml:space="preserve"> </w:t>
            </w:r>
            <w:r>
              <w:t xml:space="preserve">Zahtjev iz stupa 2. na temelju smjernica navodi se samo ako je nadležno tijelo o tome izvijestilo instituciju.</w:t>
            </w:r>
          </w:p>
          <w:p w14:paraId="4D170060"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Ako nadležno tijelo nije izvijestilo instituciju o zahtjevu iz stupa 2. na temelju smjernica, iskazuje se samo točka i.</w:t>
            </w:r>
            <w:r>
              <w:rPr>
                <w:rStyle w:val="InstructionsTabelleberschrift"/>
                <w:b w:val="0"/>
                <w:sz w:val="24"/>
                <w:rFonts w:ascii="Times New Roman" w:hAnsi="Times New Roman"/>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 xml:space="preserve">0220</w:t>
            </w:r>
          </w:p>
        </w:tc>
        <w:tc>
          <w:tcPr>
            <w:tcW w:w="7620" w:type="dxa"/>
          </w:tcPr>
          <w:p w14:paraId="0E9CF9E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Višak (+)/manjak (–) redovnog osnovnog kapitala uzimajući u obzir zahtjeve iz članka 92. Uredbe (EU) br. 575/2013 i članka 104.a Direktive 2013/36/EU</w:t>
            </w:r>
          </w:p>
          <w:p w14:paraId="372BA67A" w14:textId="77777777" w:rsidR="00CC7D2C" w:rsidRPr="002A677E" w:rsidRDefault="00CC7D2C" w:rsidP="00320EFD">
            <w:pPr>
              <w:pStyle w:val="InstructionsText"/>
            </w:pPr>
            <w:r>
              <w:t xml:space="preserve">Ova stavka pokazuje, u apsolutnim vrijednostima, iznos viška ili manjka redovnog osnovnog kapitala koji se odnosi na zahtjev određen u članku 92. stavku 1. točki (a) Uredbe (EU) br. 575/2013 (4,5 %) i članku 104.a Direktive 2013/36/EU, isključujući dodatne kapitalne zahtjeve propisane radi upravljanja rizikom prekomjerne financijske poluge iz stavka 3. tog članka, u opsegu u kojem redovni osnovni kapital mora ispuniti zahtjev iz članka 104.a te direktive.</w:t>
            </w:r>
            <w:r>
              <w:t xml:space="preserve"> </w:t>
            </w:r>
            <w:r>
              <w:t xml:space="preserve">Ako institucija mora upotrijebiti svoj redovni osnovni kapital kako bi ispunila zahtjeve iz članka 92. stavka 1. točaka (b) i/ili (c) Uredbe (EU) br. 575/2013 ili članka 104.a Direktive 2013/36/EU izvan opsega u kojem se trebaju ispuniti redovnim osnovnim kapitalom, to se uzima u obzir u iskazanom višku ili manjku.</w:t>
            </w:r>
          </w:p>
          <w:p w14:paraId="209E5975" w14:textId="77777777" w:rsidR="00CC7D2C" w:rsidRPr="002A677E" w:rsidRDefault="00CC7D2C" w:rsidP="00320EFD">
            <w:pPr>
              <w:pStyle w:val="InstructionsText"/>
              <w:rPr>
                <w:rStyle w:val="InstructionsTabelleberschrift"/>
                <w:sz w:val="24"/>
                <w:rFonts w:ascii="Times New Roman" w:hAnsi="Times New Roman"/>
              </w:rPr>
            </w:pPr>
            <w:r>
              <w:t xml:space="preserve">Taj iznos odražava redovni osnovni kapital koji je na raspolaganju za ispunjenje zahtjeva za kombinirani zaštitni sloj i drugih zahtjeva.</w:t>
            </w:r>
          </w:p>
        </w:tc>
      </w:tr>
      <w:tr w:rsidR="00CC7D2C" w:rsidRPr="009A3DD3" w14:paraId="134193DA" w14:textId="77777777" w:rsidTr="00822842">
        <w:tc>
          <w:tcPr>
            <w:tcW w:w="1163" w:type="dxa"/>
          </w:tcPr>
          <w:p w14:paraId="6F26DDB0" w14:textId="77777777" w:rsidR="00CC7D2C" w:rsidRPr="009A3DD3" w:rsidRDefault="00CC7D2C" w:rsidP="00822842">
            <w:pPr>
              <w:rPr>
                <w:sz w:val="24"/>
                <w:rFonts w:ascii="Times New Roman" w:hAnsi="Times New Roman"/>
              </w:rPr>
            </w:pPr>
            <w:r>
              <w:rPr>
                <w:sz w:val="24"/>
                <w:rFonts w:ascii="Times New Roman" w:hAnsi="Times New Roman"/>
              </w:rPr>
              <w:t xml:space="preserve">0330</w:t>
            </w:r>
          </w:p>
        </w:tc>
        <w:tc>
          <w:tcPr>
            <w:tcW w:w="7620" w:type="dxa"/>
          </w:tcPr>
          <w:p w14:paraId="4113A266" w14:textId="77777777"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Puna stopa redovnog osnovnog kapitala</w:t>
            </w:r>
            <w:r>
              <w:rPr>
                <w:b/>
                <w:sz w:val="24"/>
                <w:u w:val="single"/>
                <w:rFonts w:ascii="Times New Roman" w:hAnsi="Times New Roman"/>
              </w:rPr>
              <w:t xml:space="preserve"> </w:t>
            </w:r>
          </w:p>
          <w:p w14:paraId="2949E777" w14:textId="77777777" w:rsidR="00CC7D2C" w:rsidRPr="009A3DD3" w:rsidRDefault="00CC7D2C" w:rsidP="00822842">
            <w:pPr>
              <w:rPr>
                <w:sz w:val="24"/>
                <w:rFonts w:ascii="Times New Roman" w:hAnsi="Times New Roman"/>
              </w:rPr>
            </w:pPr>
            <w:r>
              <w:rPr>
                <w:sz w:val="24"/>
                <w:rFonts w:ascii="Times New Roman" w:hAnsi="Times New Roman"/>
              </w:rPr>
              <w:t xml:space="preserve">Članak 92. stavak 2. točka (a) Uredbe (EU) br. 575/2013 bez primjene članka 465. te uredbe.</w:t>
            </w:r>
          </w:p>
        </w:tc>
      </w:tr>
      <w:tr w:rsidR="00CC7D2C" w:rsidRPr="009A3DD3" w14:paraId="12FA81D8" w14:textId="77777777" w:rsidTr="00822842">
        <w:tc>
          <w:tcPr>
            <w:tcW w:w="1163" w:type="dxa"/>
          </w:tcPr>
          <w:p w14:paraId="55D1E0F2" w14:textId="77777777" w:rsidR="00CC7D2C" w:rsidRPr="009A3DD3" w:rsidRDefault="00CC7D2C" w:rsidP="00822842">
            <w:pPr>
              <w:rPr>
                <w:sz w:val="24"/>
                <w:rFonts w:ascii="Times New Roman" w:hAnsi="Times New Roman"/>
              </w:rPr>
            </w:pPr>
            <w:r>
              <w:rPr>
                <w:sz w:val="24"/>
                <w:rFonts w:ascii="Times New Roman" w:hAnsi="Times New Roman"/>
              </w:rPr>
              <w:t xml:space="preserve">0340</w:t>
            </w:r>
          </w:p>
        </w:tc>
        <w:tc>
          <w:tcPr>
            <w:tcW w:w="7620" w:type="dxa"/>
          </w:tcPr>
          <w:p w14:paraId="6FAF7A14" w14:textId="77777777"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Puna stopa osnovnog kapitala</w:t>
            </w:r>
            <w:r>
              <w:rPr>
                <w:b/>
                <w:sz w:val="24"/>
                <w:u w:val="single"/>
                <w:rFonts w:ascii="Times New Roman" w:hAnsi="Times New Roman"/>
              </w:rPr>
              <w:t xml:space="preserve"> </w:t>
            </w:r>
          </w:p>
          <w:p w14:paraId="39EB4D1F" w14:textId="77777777" w:rsidR="00CC7D2C" w:rsidRPr="009A3DD3" w:rsidRDefault="00CC7D2C" w:rsidP="00822842">
            <w:pPr>
              <w:rPr>
                <w:sz w:val="24"/>
                <w:rFonts w:ascii="Times New Roman" w:hAnsi="Times New Roman"/>
              </w:rPr>
            </w:pPr>
            <w:r>
              <w:rPr>
                <w:sz w:val="24"/>
                <w:rFonts w:ascii="Times New Roman" w:hAnsi="Times New Roman"/>
              </w:rPr>
              <w:t xml:space="preserve">Članak 92. stavak 2. točka (b) Uredbe (EU) br. 575/2013 bez primjene članka 465. te uredbe.</w:t>
            </w:r>
          </w:p>
        </w:tc>
      </w:tr>
      <w:tr w:rsidR="00CC7D2C" w:rsidRPr="009A3DD3" w14:paraId="43102FE5" w14:textId="77777777" w:rsidTr="00822842">
        <w:tc>
          <w:tcPr>
            <w:tcW w:w="1163" w:type="dxa"/>
          </w:tcPr>
          <w:p w14:paraId="2F53FE4E" w14:textId="77777777" w:rsidR="00CC7D2C" w:rsidRPr="009A3DD3" w:rsidRDefault="00CC7D2C" w:rsidP="00822842">
            <w:pPr>
              <w:rPr>
                <w:sz w:val="24"/>
                <w:rFonts w:ascii="Times New Roman" w:hAnsi="Times New Roman"/>
              </w:rPr>
            </w:pPr>
            <w:r>
              <w:rPr>
                <w:sz w:val="24"/>
                <w:rFonts w:ascii="Times New Roman" w:hAnsi="Times New Roman"/>
              </w:rPr>
              <w:t xml:space="preserve">0350</w:t>
            </w:r>
          </w:p>
        </w:tc>
        <w:tc>
          <w:tcPr>
            <w:tcW w:w="7620" w:type="dxa"/>
          </w:tcPr>
          <w:p w14:paraId="444FD113" w14:textId="77777777"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Puna stopa ukupnog kapitala</w:t>
            </w:r>
            <w:r>
              <w:rPr>
                <w:b/>
                <w:sz w:val="24"/>
                <w:u w:val="single"/>
                <w:rFonts w:ascii="Times New Roman" w:hAnsi="Times New Roman"/>
              </w:rPr>
              <w:t xml:space="preserve"> </w:t>
            </w:r>
          </w:p>
          <w:p w14:paraId="45149E78" w14:textId="77777777" w:rsidR="00CC7D2C" w:rsidRPr="009A3DD3" w:rsidRDefault="00CC7D2C" w:rsidP="00822842">
            <w:pPr>
              <w:rPr>
                <w:sz w:val="24"/>
                <w:rFonts w:ascii="Times New Roman" w:hAnsi="Times New Roman"/>
              </w:rPr>
            </w:pPr>
            <w:r>
              <w:rPr>
                <w:sz w:val="24"/>
                <w:rFonts w:ascii="Times New Roman" w:hAnsi="Times New Roman"/>
              </w:rPr>
              <w:t xml:space="preserve">Članak 92. stavak 2. točka (c) Uredbe (EU) br. 575/2013 bez primjene članka 465. te uredbe.</w:t>
            </w:r>
          </w:p>
        </w:tc>
      </w:tr>
      <w:tr w:rsidR="00CC7D2C" w:rsidRPr="009A3DD3" w14:paraId="791CEE7E" w14:textId="77777777" w:rsidTr="00822842">
        <w:tc>
          <w:tcPr>
            <w:tcW w:w="1163" w:type="dxa"/>
          </w:tcPr>
          <w:p w14:paraId="5F0A36E9" w14:textId="77777777" w:rsidR="00CC7D2C" w:rsidRPr="009A3DD3" w:rsidRDefault="00CC7D2C" w:rsidP="00822842">
            <w:pPr>
              <w:rPr>
                <w:sz w:val="24"/>
                <w:rFonts w:ascii="Times New Roman" w:hAnsi="Times New Roman"/>
              </w:rPr>
            </w:pPr>
            <w:r>
              <w:rPr>
                <w:sz w:val="24"/>
                <w:rFonts w:ascii="Times New Roman" w:hAnsi="Times New Roman"/>
              </w:rPr>
              <w:t xml:space="preserve">0360</w:t>
            </w:r>
          </w:p>
        </w:tc>
        <w:tc>
          <w:tcPr>
            <w:tcW w:w="7620" w:type="dxa"/>
          </w:tcPr>
          <w:p w14:paraId="25E976DE" w14:textId="24CEB3B4"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Stopa redovnog osnovnog kapitala bez primjene prijelaznih odredaba za minimalnu donju granicu S-TREA-e (članak 465. stavci 3., 4., 5. i 7. Uredbe (EU) br. 575/2013)</w:t>
            </w:r>
          </w:p>
          <w:p w14:paraId="0881DD8C" w14:textId="551C71D4" w:rsidR="00CC7D2C" w:rsidRPr="009A3DD3" w:rsidRDefault="00CC7D2C" w:rsidP="00822842">
            <w:pPr>
              <w:rPr>
                <w:sz w:val="24"/>
                <w:rFonts w:ascii="Times New Roman" w:hAnsi="Times New Roman"/>
              </w:rPr>
            </w:pPr>
            <w:r>
              <w:rPr>
                <w:sz w:val="24"/>
                <w:rFonts w:ascii="Times New Roman" w:hAnsi="Times New Roman"/>
              </w:rPr>
              <w:t xml:space="preserve">Članak 92. stavak 2. točka (a) Uredbe (EU) br. 575/2013 bez primjene članka 465. stavaka 3., 4., 5. i 7. te uredbe.</w:t>
            </w:r>
          </w:p>
        </w:tc>
      </w:tr>
      <w:tr w:rsidR="00CC7D2C" w:rsidRPr="009A3DD3" w14:paraId="401A905E" w14:textId="77777777" w:rsidTr="00822842">
        <w:tc>
          <w:tcPr>
            <w:tcW w:w="1163" w:type="dxa"/>
          </w:tcPr>
          <w:p w14:paraId="65F63F2C" w14:textId="77777777" w:rsidR="00CC7D2C" w:rsidRPr="009A3DD3" w:rsidRDefault="00CC7D2C" w:rsidP="00822842">
            <w:pPr>
              <w:rPr>
                <w:sz w:val="24"/>
                <w:rFonts w:ascii="Times New Roman" w:hAnsi="Times New Roman"/>
              </w:rPr>
            </w:pPr>
            <w:r>
              <w:rPr>
                <w:sz w:val="24"/>
                <w:rFonts w:ascii="Times New Roman" w:hAnsi="Times New Roman"/>
              </w:rPr>
              <w:t xml:space="preserve">0370</w:t>
            </w:r>
          </w:p>
        </w:tc>
        <w:tc>
          <w:tcPr>
            <w:tcW w:w="7620" w:type="dxa"/>
          </w:tcPr>
          <w:p w14:paraId="32E26E4D" w14:textId="28D0D476"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Stopa osnovnog kapitala bez primjene prijelaznih odredaba za minimalnu donju granicu S-TREA-e (članak 465. stavci 3., 4., 5. i 7. Uredbe (EU) br. 575/2013)</w:t>
            </w:r>
          </w:p>
          <w:p w14:paraId="33AE485B" w14:textId="77A464ED" w:rsidR="00CC7D2C" w:rsidRPr="009A3DD3" w:rsidRDefault="00CC7D2C" w:rsidP="00822842">
            <w:pPr>
              <w:rPr>
                <w:sz w:val="24"/>
                <w:rFonts w:ascii="Times New Roman" w:hAnsi="Times New Roman"/>
              </w:rPr>
            </w:pPr>
            <w:r>
              <w:rPr>
                <w:sz w:val="24"/>
                <w:rFonts w:ascii="Times New Roman" w:hAnsi="Times New Roman"/>
              </w:rPr>
              <w:t xml:space="preserve">Članak 92. stavak 2. točka (b) Uredbe (EU) br. 575/2013 bez primjene članka 465. stavaka 3., 4., 5. i 7. te uredbe.</w:t>
            </w:r>
          </w:p>
        </w:tc>
      </w:tr>
      <w:tr w:rsidR="00CC7D2C" w:rsidRPr="009A3DD3" w14:paraId="3606F55E" w14:textId="77777777" w:rsidTr="00822842">
        <w:tc>
          <w:tcPr>
            <w:tcW w:w="1163" w:type="dxa"/>
          </w:tcPr>
          <w:p w14:paraId="562140A9" w14:textId="77777777" w:rsidR="00CC7D2C" w:rsidRPr="009A3DD3" w:rsidRDefault="00CC7D2C" w:rsidP="00822842">
            <w:pPr>
              <w:rPr>
                <w:sz w:val="24"/>
                <w:rFonts w:ascii="Times New Roman" w:hAnsi="Times New Roman"/>
              </w:rPr>
            </w:pPr>
            <w:r>
              <w:rPr>
                <w:sz w:val="24"/>
                <w:rFonts w:ascii="Times New Roman" w:hAnsi="Times New Roman"/>
              </w:rPr>
              <w:t xml:space="preserve">0380</w:t>
            </w:r>
          </w:p>
        </w:tc>
        <w:tc>
          <w:tcPr>
            <w:tcW w:w="7620" w:type="dxa"/>
          </w:tcPr>
          <w:p w14:paraId="54BA7D6B" w14:textId="6E738510" w:rsidR="00CC7D2C" w:rsidRPr="009A3DD3" w:rsidRDefault="00CC7D2C" w:rsidP="00822842">
            <w:pPr>
              <w:rPr>
                <w:b/>
                <w:bCs/>
                <w:sz w:val="24"/>
                <w:u w:val="single"/>
                <w:rFonts w:ascii="Times New Roman" w:hAnsi="Times New Roman"/>
              </w:rPr>
            </w:pPr>
            <w:r>
              <w:rPr>
                <w:b/>
                <w:sz w:val="24"/>
                <w:u w:val="single"/>
                <w:rFonts w:ascii="Times New Roman" w:hAnsi="Times New Roman"/>
              </w:rPr>
              <w:t xml:space="preserve">Stopa ukupnog kapitala bez primjene prijelaznih odredbi za minimalnu donju granicu S-TREA-e (članak 465. stavci 3., 4., 5. i 7. Uredbe (EU) br. 575/2013)</w:t>
            </w:r>
          </w:p>
          <w:p w14:paraId="116A4C8A" w14:textId="03344BD5" w:rsidR="00CC7D2C" w:rsidRPr="009A3DD3" w:rsidRDefault="00CC7D2C" w:rsidP="00822842">
            <w:pPr>
              <w:rPr>
                <w:sz w:val="24"/>
                <w:rFonts w:ascii="Times New Roman" w:hAnsi="Times New Roman"/>
              </w:rPr>
            </w:pPr>
            <w:r>
              <w:rPr>
                <w:sz w:val="24"/>
                <w:rFonts w:ascii="Times New Roman" w:hAnsi="Times New Roman"/>
              </w:rPr>
              <w:t xml:space="preserve">Članak 92. stavak 2. točka (c) Uredbe (EU) br. 575/2013 bez primjene članka 465. stavaka 3., 4., 5. i 7. te uredbe.</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t xml:space="preserve">1.5.</w:t>
      </w:r>
      <w:r>
        <w:rPr>
          <w:u w:val="none"/>
        </w:rPr>
        <w:tab/>
      </w:r>
      <w:r>
        <w:t xml:space="preserve">C 04.00 – BILJEŠKE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 xml:space="preserve">1.5.1.</w:t>
      </w:r>
      <w:r>
        <w:rPr>
          <w:u w:val="none"/>
        </w:rPr>
        <w:tab/>
      </w:r>
      <w:r>
        <w:t xml:space="preserve">Upute za specifične </w:t>
      </w:r>
      <w:bookmarkEnd w:id="41"/>
      <w:bookmarkEnd w:id="42"/>
      <w:r>
        <w:t xml:space="preserve">pozicije</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 xml:space="preserve">Redci</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 xml:space="preserve">0010</w:t>
            </w:r>
          </w:p>
        </w:tc>
        <w:tc>
          <w:tcPr>
            <w:tcW w:w="7049" w:type="dxa"/>
          </w:tcPr>
          <w:p w14:paraId="65BD25C5" w14:textId="77777777" w:rsidR="00CC7D2C" w:rsidRPr="002A677E" w:rsidRDefault="00CC7D2C" w:rsidP="00320EFD">
            <w:pPr>
              <w:pStyle w:val="InstructionsText"/>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Ukupna odgođena porezna imovina</w:t>
            </w:r>
          </w:p>
          <w:p w14:paraId="245EEDA1" w14:textId="77777777" w:rsidR="00CC7D2C" w:rsidRPr="002A677E" w:rsidRDefault="00CC7D2C" w:rsidP="00320EFD">
            <w:pPr>
              <w:pStyle w:val="InstructionsText"/>
            </w:pPr>
            <w:r>
              <w:t xml:space="preserve">Iznos iskazan u ovoj stavci jednak je iznosu iskazanom u najnovijoj provjerenoj/revidiranoj računovodstvenoj bilanci.</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 xml:space="preserve">0020</w:t>
            </w:r>
          </w:p>
        </w:tc>
        <w:tc>
          <w:tcPr>
            <w:tcW w:w="7049" w:type="dxa"/>
          </w:tcPr>
          <w:p w14:paraId="4AD2BCB6" w14:textId="77777777" w:rsidR="00CC7D2C" w:rsidRPr="002A677E" w:rsidRDefault="00CC7D2C" w:rsidP="00320EFD">
            <w:pPr>
              <w:pStyle w:val="InstructionsText"/>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Odgođena porezna imovina koja ne ovisi o budućoj profitabilnosti</w:t>
            </w:r>
          </w:p>
          <w:p w14:paraId="119E6584" w14:textId="77777777" w:rsidR="00CC7D2C" w:rsidRPr="002A677E" w:rsidRDefault="00CC7D2C" w:rsidP="00320EFD">
            <w:pPr>
              <w:pStyle w:val="InstructionsText"/>
            </w:pPr>
            <w:r>
              <w:t xml:space="preserve">Članak 39. stavak 2. Uredbe (EU) br. 575/2013</w:t>
            </w:r>
          </w:p>
          <w:p w14:paraId="04A932CD" w14:textId="77777777" w:rsidR="00CC7D2C" w:rsidRPr="002A677E" w:rsidRDefault="00CC7D2C" w:rsidP="00320EFD">
            <w:pPr>
              <w:pStyle w:val="InstructionsText"/>
            </w:pPr>
            <w:r>
              <w:t xml:space="preserve">Odgođena porezna imovina koja je nastala prije 23. studenoga 2016. i ne ovisi o budućoj profitabilnosti i stoga se na nju primjenjuje ponder rizika.</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 xml:space="preserve">0030</w:t>
            </w:r>
          </w:p>
        </w:tc>
        <w:tc>
          <w:tcPr>
            <w:tcW w:w="7049" w:type="dxa"/>
          </w:tcPr>
          <w:p w14:paraId="7731AAFB" w14:textId="77777777" w:rsidR="00CC7D2C" w:rsidRPr="002A677E" w:rsidRDefault="00CC7D2C" w:rsidP="00320EFD">
            <w:pPr>
              <w:pStyle w:val="InstructionsText"/>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Odgođena porezna imovina koja ovisi o budućoj profitabilnosti i ne proizlazi iz privremenih razlika</w:t>
            </w:r>
          </w:p>
          <w:p w14:paraId="477958DE" w14:textId="77777777" w:rsidR="00CC7D2C" w:rsidRPr="002A677E" w:rsidRDefault="00CC7D2C" w:rsidP="00320EFD">
            <w:pPr>
              <w:pStyle w:val="InstructionsText"/>
            </w:pPr>
            <w:r>
              <w:t xml:space="preserve">Članak 36. stavak 1. točka (c) i članak 38.</w:t>
            </w:r>
            <w:r>
              <w:t xml:space="preserve"> Uredbe (EU) br. 575/2013</w:t>
            </w:r>
          </w:p>
          <w:p w14:paraId="155315E4" w14:textId="77777777" w:rsidR="00CC7D2C" w:rsidRPr="002A677E" w:rsidRDefault="00CC7D2C" w:rsidP="00320EFD">
            <w:pPr>
              <w:pStyle w:val="InstructionsText"/>
            </w:pPr>
            <w:r>
              <w:t xml:space="preserve">Odgođena porezna imovina koja ovisi o budućoj profitabilnosti, ali ne proizlazi iz privremenih razlika i stoga se na nju ne primjenjuje nikakav prag (tj. u cijelosti se odbija od redovnog osnovnog kapitala).</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 xml:space="preserve">0040</w:t>
            </w:r>
          </w:p>
        </w:tc>
        <w:tc>
          <w:tcPr>
            <w:tcW w:w="7049" w:type="dxa"/>
          </w:tcPr>
          <w:p w14:paraId="7502D26B" w14:textId="77777777" w:rsidR="00CC7D2C" w:rsidRPr="002A677E" w:rsidRDefault="00CC7D2C" w:rsidP="00320EFD">
            <w:pPr>
              <w:pStyle w:val="InstructionsText"/>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Odgođena porezna imovina koja ovisi o budućoj profitabilnosti i proizlazi iz privremenih razlika</w:t>
            </w:r>
          </w:p>
          <w:p w14:paraId="084F3ACD" w14:textId="77777777" w:rsidR="00CC7D2C" w:rsidRPr="002A677E" w:rsidRDefault="00CC7D2C" w:rsidP="00320EFD">
            <w:pPr>
              <w:pStyle w:val="InstructionsText"/>
            </w:pPr>
            <w:r>
              <w:t xml:space="preserve">Članak 36. stavak 1. točka (c);</w:t>
            </w:r>
            <w:r>
              <w:t xml:space="preserve"> </w:t>
            </w:r>
            <w:r>
              <w:t xml:space="preserve">članak 38. i članak 48. stavak 1. točka (a)</w:t>
            </w:r>
            <w:r>
              <w:t xml:space="preserve"> Uredbe (EU) br. 575/2013</w:t>
            </w:r>
          </w:p>
          <w:p w14:paraId="628F7B8D" w14:textId="77777777" w:rsidR="00CC7D2C" w:rsidRPr="002A677E" w:rsidRDefault="00CC7D2C" w:rsidP="00320EFD">
            <w:pPr>
              <w:pStyle w:val="InstructionsText"/>
            </w:pPr>
            <w:r>
              <w:t xml:space="preserve">Odgođena porezna imovina koja ovisi o budućoj profitabilnosti i proizlazi iz privremenih razlika te se stoga na njezin odbitak od redovnog osnovnog kapitala primjenjuju pragovi od 10 % i 17,65 % iz članka 48. Uredbe (EU) br.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 xml:space="preserve">0050</w:t>
            </w:r>
          </w:p>
        </w:tc>
        <w:tc>
          <w:tcPr>
            <w:tcW w:w="7049" w:type="dxa"/>
          </w:tcPr>
          <w:p w14:paraId="271F82DC" w14:textId="77777777" w:rsidR="00CC7D2C" w:rsidRPr="002A677E" w:rsidRDefault="00CC7D2C" w:rsidP="00320EFD">
            <w:pPr>
              <w:pStyle w:val="InstructionsText"/>
            </w:pPr>
            <w:r>
              <w:rPr>
                <w:rStyle w:val="InstructionsTabelleberschrift"/>
                <w:sz w:val="24"/>
                <w:rFonts w:ascii="Times New Roman" w:hAnsi="Times New Roman"/>
              </w:rPr>
              <w:t xml:space="preserve">2. Ukupne odgođene porezne obveze</w:t>
            </w:r>
          </w:p>
          <w:p w14:paraId="7EEBFB46" w14:textId="77777777" w:rsidR="00CC7D2C" w:rsidRPr="002A677E" w:rsidRDefault="00CC7D2C" w:rsidP="00320EFD">
            <w:pPr>
              <w:pStyle w:val="InstructionsText"/>
            </w:pPr>
            <w:r>
              <w:t xml:space="preserve">Iznos iskazan u ovoj stavci jednak je iznosu iskazanom u zadnjoj provjerenoj/revidiranoj računovodstvenoj bilanci.</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 xml:space="preserve">0060</w:t>
            </w:r>
          </w:p>
        </w:tc>
        <w:tc>
          <w:tcPr>
            <w:tcW w:w="7049" w:type="dxa"/>
          </w:tcPr>
          <w:p w14:paraId="3A23A18B" w14:textId="77777777" w:rsidR="00CC7D2C" w:rsidRPr="002A677E" w:rsidRDefault="00CC7D2C" w:rsidP="00320EFD">
            <w:pPr>
              <w:pStyle w:val="InstructionsText"/>
            </w:pPr>
            <w:r>
              <w:rPr>
                <w:rStyle w:val="InstructionsTabelleberschrift"/>
                <w:sz w:val="24"/>
                <w:rFonts w:ascii="Times New Roman" w:hAnsi="Times New Roman"/>
              </w:rPr>
              <w:t xml:space="preserve">2.1.</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koje se ne mogu odbiti od odgođene porezne imovine koja ovisi o budućoj profitabilnosti</w:t>
            </w:r>
          </w:p>
          <w:p w14:paraId="03F91C81" w14:textId="77777777" w:rsidR="00CC7D2C" w:rsidRPr="002A677E" w:rsidRDefault="00CC7D2C" w:rsidP="00320EFD">
            <w:pPr>
              <w:pStyle w:val="InstructionsText"/>
            </w:pPr>
            <w:r>
              <w:t xml:space="preserve">Članak 38. stavci 3. i 4. Uredbe (EU) br. 575/2013</w:t>
            </w:r>
          </w:p>
          <w:p w14:paraId="06C72D86" w14:textId="77777777" w:rsidR="00CC7D2C" w:rsidRPr="002A677E" w:rsidRDefault="00CC7D2C" w:rsidP="00320EFD">
            <w:pPr>
              <w:pStyle w:val="InstructionsText"/>
            </w:pPr>
            <w:r>
              <w:t xml:space="preserve">Odgođene porezne obveze za koje nisu ispunjeni uvjeti iz članka 38. stavaka 3. i 4. Uredbe (EU) br. 575/2013.</w:t>
            </w:r>
            <w:r>
              <w:t xml:space="preserve"> </w:t>
            </w:r>
            <w:r>
              <w:t xml:space="preserve">Stoga ova stavka uključuje odgođene porezne obveze kojima se umanjuje iznos goodwilla, osim nematerijalne imovine ili imovine mirovinskog fonda definiranih primanja koja se odbija, koje se iskazuju u stavkama 1.1.1.10.3, 1.1.1.11.2 odnosno 1.1.1.14.2 obrasca CA1.</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t xml:space="preserve">0070</w:t>
            </w:r>
          </w:p>
        </w:tc>
        <w:tc>
          <w:tcPr>
            <w:tcW w:w="7049" w:type="dxa"/>
          </w:tcPr>
          <w:p w14:paraId="2489B6DA" w14:textId="77777777" w:rsidR="00CC7D2C" w:rsidRPr="002A677E" w:rsidRDefault="00CC7D2C" w:rsidP="00320EFD">
            <w:pPr>
              <w:pStyle w:val="InstructionsText"/>
            </w:pPr>
            <w:r>
              <w:rPr>
                <w:rStyle w:val="InstructionsTabelleberschrift"/>
                <w:sz w:val="24"/>
                <w:rFonts w:ascii="Times New Roman" w:hAnsi="Times New Roman"/>
              </w:rPr>
              <w:t xml:space="preserve">2.2.</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koje se mogu odbiti od odgođene porezne imovine koja ovisi o budućoj profitabilnosti</w:t>
            </w:r>
          </w:p>
          <w:p w14:paraId="52387C25" w14:textId="77777777" w:rsidR="00CC7D2C" w:rsidRPr="002A677E" w:rsidRDefault="00CC7D2C" w:rsidP="00320EFD">
            <w:pPr>
              <w:pStyle w:val="InstructionsText"/>
            </w:pPr>
            <w:r>
              <w:t xml:space="preserve">Članak 38. Uredbe (EU) br.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 xml:space="preserve">0080</w:t>
            </w:r>
          </w:p>
        </w:tc>
        <w:tc>
          <w:tcPr>
            <w:tcW w:w="7049" w:type="dxa"/>
          </w:tcPr>
          <w:p w14:paraId="4D5BD98A" w14:textId="77777777" w:rsidR="00CC7D2C" w:rsidRPr="002A677E" w:rsidRDefault="00CC7D2C" w:rsidP="00320EFD">
            <w:pPr>
              <w:pStyle w:val="InstructionsText"/>
            </w:pPr>
            <w:r>
              <w:rPr>
                <w:rStyle w:val="InstructionsTabelleberschrift"/>
                <w:sz w:val="24"/>
                <w:rFonts w:ascii="Times New Roman" w:hAnsi="Times New Roman"/>
              </w:rPr>
              <w:t xml:space="preserve">2.2.1.</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koje se mogu odbiti i koje su povezane s odgođenom poreznom imovinom koja ovisi o budućoj profitabilnosti i ne proizlazi iz privremenih razlika</w:t>
            </w:r>
          </w:p>
          <w:p w14:paraId="57B5679C" w14:textId="77777777" w:rsidR="00CC7D2C" w:rsidRPr="002A677E" w:rsidRDefault="00CC7D2C" w:rsidP="00320EFD">
            <w:pPr>
              <w:pStyle w:val="InstructionsText"/>
            </w:pPr>
            <w:r>
              <w:t xml:space="preserve">Članak 38. stavci 3., 4. i 5. Uredbe (EU) br. 575/2013</w:t>
            </w:r>
          </w:p>
          <w:p w14:paraId="6554BBC3" w14:textId="77777777" w:rsidR="00CC7D2C" w:rsidRPr="002A677E" w:rsidRDefault="00CC7D2C" w:rsidP="00320EFD">
            <w:pPr>
              <w:pStyle w:val="InstructionsText"/>
            </w:pPr>
            <w:r>
              <w:t xml:space="preserve">Odgođene porezne obveze kojima se može umanjiti iznos odgođene porezne imovine koja ovisi o budućoj profitabilnosti, u skladu s člankom 38. stavcima 3. i 4. Uredbe (EU) br. 575/2013, i koje nisu raspoređene u odgođenu poreznu imovinu koja ovisi o budućoj profitabilnosti i proizlazi iz privremenih razlika, kako je utvrđeno u članku 38. stavku 5. Uredbe (EU) br.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 xml:space="preserve">0090</w:t>
            </w:r>
          </w:p>
        </w:tc>
        <w:tc>
          <w:tcPr>
            <w:tcW w:w="7049" w:type="dxa"/>
          </w:tcPr>
          <w:p w14:paraId="54A4DB87" w14:textId="77777777" w:rsidR="00CC7D2C" w:rsidRPr="002A677E" w:rsidRDefault="00CC7D2C" w:rsidP="00320EFD">
            <w:pPr>
              <w:pStyle w:val="InstructionsText"/>
            </w:pPr>
            <w:r>
              <w:rPr>
                <w:rStyle w:val="InstructionsTabelleberschrift"/>
                <w:sz w:val="24"/>
                <w:rFonts w:ascii="Times New Roman" w:hAnsi="Times New Roman"/>
              </w:rPr>
              <w:t xml:space="preserve">2.2.2.</w:t>
            </w:r>
            <w:r>
              <w:rPr>
                <w:rStyle w:val="InstructionsTabelleberschrift"/>
                <w:sz w:val="24"/>
                <w:rFonts w:ascii="Times New Roman" w:hAnsi="Times New Roman"/>
              </w:rPr>
              <w:tab/>
            </w:r>
            <w:r>
              <w:rPr>
                <w:rStyle w:val="InstructionsTabelleberschrift"/>
                <w:sz w:val="24"/>
                <w:rFonts w:ascii="Times New Roman" w:hAnsi="Times New Roman"/>
              </w:rPr>
              <w:t xml:space="preserve">Odgođene porezne obveze koje se mogu odbiti i koje su povezane s odgođenom poreznom imovinom koja ovisi o budućoj profitabilnosti i proizlazi iz privremenih razlika</w:t>
            </w:r>
          </w:p>
          <w:p w14:paraId="5386BFFB" w14:textId="77777777" w:rsidR="00CC7D2C" w:rsidRPr="002A677E" w:rsidRDefault="00CC7D2C" w:rsidP="00320EFD">
            <w:pPr>
              <w:pStyle w:val="InstructionsText"/>
            </w:pPr>
            <w:r>
              <w:t xml:space="preserve">Članak 38. stavci 3., 4. i 5. Uredbe (EU) br. 575/2013</w:t>
            </w:r>
          </w:p>
          <w:p w14:paraId="737FD646" w14:textId="77777777" w:rsidR="00CC7D2C" w:rsidRPr="002A677E" w:rsidRDefault="00CC7D2C" w:rsidP="00320EFD">
            <w:pPr>
              <w:pStyle w:val="InstructionsText"/>
            </w:pPr>
            <w:r>
              <w:t xml:space="preserve">Odgođene porezne obveze kojima se može umanjiti iznos odgođene porezne imovine koja ovisi o budućoj profitabilnosti, u skladu s člankom 38. stavcima 3. i 4. Uredbe (EU) br. 575/2013, i koje nisu raspoređene u odgođenu poreznu imovinu koja ovisi o budućoj profitabilnosti i proizlazi iz privremenih razlika, kako je utvrđeno u članku 38. stavku 5. Uredbe (EU) br.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 xml:space="preserve">0093</w:t>
            </w:r>
          </w:p>
        </w:tc>
        <w:tc>
          <w:tcPr>
            <w:tcW w:w="7049" w:type="dxa"/>
          </w:tcPr>
          <w:p w14:paraId="500B8394" w14:textId="77777777" w:rsidR="00CC7D2C" w:rsidRPr="002A677E" w:rsidRDefault="00CC7D2C" w:rsidP="00320EFD">
            <w:pPr>
              <w:pStyle w:val="InstructionsText"/>
            </w:pPr>
            <w:r>
              <w:rPr>
                <w:rStyle w:val="InstructionsTabelleberschrift"/>
                <w:sz w:val="24"/>
                <w:rFonts w:ascii="Times New Roman" w:hAnsi="Times New Roman"/>
              </w:rPr>
              <w:t xml:space="preserve">2A</w:t>
            </w:r>
            <w:r>
              <w:rPr>
                <w:rStyle w:val="InstructionsTabelleberschrift"/>
                <w:sz w:val="24"/>
                <w:rFonts w:ascii="Times New Roman" w:hAnsi="Times New Roman"/>
              </w:rPr>
              <w:tab/>
            </w:r>
            <w:r>
              <w:rPr>
                <w:rStyle w:val="InstructionsTabelleberschrift"/>
                <w:sz w:val="24"/>
                <w:rFonts w:ascii="Times New Roman" w:hAnsi="Times New Roman"/>
              </w:rPr>
              <w:t xml:space="preserve">Preplata poreza i prijenos poreznoga gubitka</w:t>
            </w:r>
          </w:p>
          <w:p w14:paraId="64C3A725" w14:textId="77777777" w:rsidR="00CC7D2C" w:rsidRPr="002A677E" w:rsidRDefault="00CC7D2C" w:rsidP="00320EFD">
            <w:pPr>
              <w:pStyle w:val="InstructionsText"/>
            </w:pPr>
            <w:r>
              <w:t xml:space="preserve">Članak 39. stavak 1. Uredbe (EU) br. 575/2013</w:t>
            </w:r>
          </w:p>
          <w:p w14:paraId="40F0233D"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Iznos preplate poreza i prijenosa poreznoga gubitka koji se ne odbija od regulatornog kapitala u skladu s člankom 39. stavkom 1. Uredbe (EZ) br. 575/2013;</w:t>
            </w:r>
            <w:r>
              <w:t xml:space="preserve"> </w:t>
            </w:r>
            <w:r>
              <w:t xml:space="preserve">iskazani iznos jednak je iznosu prije primjene pondera rizika.</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 xml:space="preserve">0096</w:t>
            </w:r>
          </w:p>
        </w:tc>
        <w:tc>
          <w:tcPr>
            <w:tcW w:w="7049" w:type="dxa"/>
          </w:tcPr>
          <w:p w14:paraId="3559104F" w14:textId="77777777" w:rsidR="00CC7D2C" w:rsidRPr="002A677E" w:rsidRDefault="00CC7D2C" w:rsidP="00320EFD">
            <w:pPr>
              <w:pStyle w:val="InstructionsText"/>
            </w:pPr>
            <w:r>
              <w:rPr>
                <w:rStyle w:val="InstructionsTabelleberschrift"/>
                <w:sz w:val="24"/>
                <w:rFonts w:ascii="Times New Roman" w:hAnsi="Times New Roman"/>
              </w:rPr>
              <w:t xml:space="preserve">2B</w:t>
            </w:r>
            <w:r>
              <w:rPr>
                <w:rStyle w:val="InstructionsTabelleberschrift"/>
                <w:sz w:val="24"/>
                <w:rFonts w:ascii="Times New Roman" w:hAnsi="Times New Roman"/>
              </w:rPr>
              <w:tab/>
            </w:r>
            <w:r>
              <w:rPr>
                <w:rStyle w:val="InstructionsTabelleberschrift"/>
                <w:sz w:val="24"/>
                <w:rFonts w:ascii="Times New Roman" w:hAnsi="Times New Roman"/>
              </w:rPr>
              <w:t xml:space="preserve">Odgođena porezna imovina na koju se primjenjuje ponder rizika od 250 %</w:t>
            </w:r>
          </w:p>
          <w:p w14:paraId="34D369D6" w14:textId="77777777" w:rsidR="00CC7D2C" w:rsidRPr="002A677E" w:rsidRDefault="00CC7D2C" w:rsidP="00320EFD">
            <w:pPr>
              <w:pStyle w:val="InstructionsText"/>
            </w:pPr>
            <w:r>
              <w:t xml:space="preserve">Članak 48. stavak 4. Uredbe (EU) br. 575/2013</w:t>
            </w:r>
          </w:p>
          <w:p w14:paraId="2D9006FE" w14:textId="38F73BDB" w:rsidR="00CC7D2C" w:rsidRPr="002A677E" w:rsidRDefault="00CC7D2C" w:rsidP="00320EFD">
            <w:pPr>
              <w:pStyle w:val="InstructionsText"/>
              <w:rPr>
                <w:rStyle w:val="InstructionsTabelleberschrift"/>
                <w:b w:val="0"/>
                <w:bCs w:val="0"/>
                <w:sz w:val="24"/>
                <w:u w:val="none"/>
                <w:rFonts w:ascii="Times New Roman" w:hAnsi="Times New Roman"/>
              </w:rPr>
            </w:pPr>
            <w:r>
              <w:t xml:space="preserve">Iznos odgođene porezne imovine koja ovisi o budućoj profitabilnosti i proizlazi iz privremenih razlika i koja se ne odbija u skladu s člankom 48. stavkom 1. Uredbe (EU) br. 575/2013, ali na koju se primjenjuje ponder rizika od 250 % u skladu s člankom 48. stavkom 4. te uredbe uzimajući u obzir učinak iz članka 470. i članka 478. stavka 2. iste uredbe.</w:t>
            </w:r>
            <w:r>
              <w:t xml:space="preserve"> </w:t>
            </w:r>
            <w:r>
              <w:t xml:space="preserve">Iskazani iznos jednak je iznosu odgođene porezne imovine prije primjene pondera rizika.</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t xml:space="preserve">0097</w:t>
            </w:r>
          </w:p>
        </w:tc>
        <w:tc>
          <w:tcPr>
            <w:tcW w:w="7049" w:type="dxa"/>
          </w:tcPr>
          <w:p w14:paraId="4798DC8E" w14:textId="77777777" w:rsidR="00CC7D2C" w:rsidRPr="002A677E" w:rsidRDefault="00CC7D2C" w:rsidP="00320EFD">
            <w:pPr>
              <w:pStyle w:val="InstructionsText"/>
            </w:pPr>
            <w:r>
              <w:rPr>
                <w:rStyle w:val="InstructionsTabelleberschrift"/>
                <w:sz w:val="24"/>
                <w:rFonts w:ascii="Times New Roman" w:hAnsi="Times New Roman"/>
              </w:rPr>
              <w:t xml:space="preserve">2C</w:t>
            </w:r>
            <w:r>
              <w:rPr>
                <w:rStyle w:val="InstructionsTabelleberschrift"/>
                <w:sz w:val="24"/>
                <w:rFonts w:ascii="Times New Roman" w:hAnsi="Times New Roman"/>
              </w:rPr>
              <w:tab/>
            </w:r>
            <w:r>
              <w:rPr>
                <w:rStyle w:val="InstructionsTabelleberschrift"/>
                <w:sz w:val="24"/>
                <w:rFonts w:ascii="Times New Roman" w:hAnsi="Times New Roman"/>
              </w:rPr>
              <w:t xml:space="preserve">Odgođena porezna imovina na koju se primjenjuje ponder rizika od 0 %</w:t>
            </w:r>
          </w:p>
          <w:p w14:paraId="4E521C1C" w14:textId="77777777" w:rsidR="00CC7D2C" w:rsidRPr="002A677E" w:rsidRDefault="00CC7D2C" w:rsidP="00320EFD">
            <w:pPr>
              <w:pStyle w:val="InstructionsText"/>
            </w:pPr>
            <w:r>
              <w:t xml:space="preserve">Članak 469. stavak 1. točka (d), članak 470., članak 472. stavak 5. i članak 478.</w:t>
            </w:r>
            <w:r>
              <w:t xml:space="preserve"> Uredbe (EU) br. 575/2013</w:t>
            </w:r>
          </w:p>
          <w:p w14:paraId="3F0D46EC" w14:textId="119A199E" w:rsidR="00CC7D2C" w:rsidRPr="002A677E" w:rsidRDefault="00CC7D2C" w:rsidP="00320EFD">
            <w:pPr>
              <w:pStyle w:val="InstructionsText"/>
              <w:rPr>
                <w:rStyle w:val="InstructionsTabelleberschrift"/>
                <w:b w:val="0"/>
                <w:bCs w:val="0"/>
                <w:sz w:val="24"/>
                <w:u w:val="none"/>
                <w:rFonts w:ascii="Times New Roman" w:hAnsi="Times New Roman"/>
              </w:rPr>
            </w:pPr>
            <w:r>
              <w:t xml:space="preserve">Iznos odgođene porezne imovine koji ovisi o budućoj profitabilnosti i proizlazi iz privremenih razlika i koji se ne odbija u skladu s člankom 469. stavkom 1. točkom (d), člankom 470. Uredbe (EU) br. 575/2013, člankom 478. stavkom 2. te uredbe, ali na koji se primjenjuje ponder rizika od 0 % u skladu s člankom 472. stavkom 5. te uredbe.</w:t>
            </w:r>
            <w:r>
              <w:t xml:space="preserve"> </w:t>
            </w:r>
            <w:r>
              <w:t xml:space="preserve">Iskazani iznos jednak je iznosu odgođene porezne imovine prije primjene pondera rizika.</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 xml:space="preserve">0901</w:t>
            </w:r>
          </w:p>
        </w:tc>
        <w:tc>
          <w:tcPr>
            <w:tcW w:w="7049" w:type="dxa"/>
          </w:tcPr>
          <w:p w14:paraId="43FD040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2W Imovina u obliku softvera koja se iskazuje kao nematerijalna imovina izuzeta od odbitka redovnog osnovnog kapitala</w:t>
            </w:r>
          </w:p>
          <w:p w14:paraId="5C8FA893" w14:textId="77777777" w:rsidR="00CC7D2C" w:rsidRPr="002A677E" w:rsidRDefault="00CC7D2C" w:rsidP="00320EFD">
            <w:pPr>
              <w:pStyle w:val="InstructionsText"/>
            </w:pPr>
            <w:r>
              <w:t xml:space="preserve">Članak 36. stavak 1. točka (b) Uredbe (EU) br. 575/2013</w:t>
            </w:r>
          </w:p>
          <w:p w14:paraId="0E43062B" w14:textId="77777777" w:rsidR="00CC7D2C" w:rsidRPr="002A677E" w:rsidRDefault="00CC7D2C" w:rsidP="00320EFD">
            <w:pPr>
              <w:pStyle w:val="InstructionsText"/>
              <w:rPr>
                <w:rStyle w:val="InstructionsTabelleberschrift"/>
                <w:sz w:val="24"/>
                <w:rFonts w:ascii="Times New Roman" w:hAnsi="Times New Roman"/>
              </w:rPr>
            </w:pPr>
            <w:r>
              <w:t xml:space="preserve">Institucije iskazuju iznos razborito vrednovane imovine u obliku softvera izuzete od odbitka od stavki redovnog osnovnog kapitala u skladu s člankom 13.a Delegirane uredbe (EU) br.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 xml:space="preserve">0905</w:t>
            </w:r>
          </w:p>
        </w:tc>
        <w:tc>
          <w:tcPr>
            <w:tcW w:w="7049" w:type="dxa"/>
          </w:tcPr>
          <w:p w14:paraId="02DF281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2Y Instrumenti dodatnog osnovnog kapitala i povezani računi premija na dionice koji su klasificirani kao kapital na temelju primjenjivih računovodstvenih standarda</w:t>
            </w:r>
          </w:p>
          <w:p w14:paraId="461168E6" w14:textId="77777777" w:rsidR="00CC7D2C" w:rsidRPr="002A677E" w:rsidRDefault="00CC7D2C" w:rsidP="00320EFD">
            <w:pPr>
              <w:pStyle w:val="InstructionsText"/>
              <w:rPr>
                <w:rStyle w:val="InstructionsTabelleberschrift"/>
                <w:sz w:val="24"/>
                <w:rFonts w:ascii="Times New Roman" w:hAnsi="Times New Roman"/>
              </w:rPr>
            </w:pPr>
            <w:r>
              <w:t xml:space="preserve">Iznos instrumenata dodatnog osnovnog kapitala uključujući njihove povezane račune premija na dionice koji su klasificirani kao kapital na temelju primjenjivog računovodstvenog standarda</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 xml:space="preserve">0906</w:t>
            </w:r>
          </w:p>
        </w:tc>
        <w:tc>
          <w:tcPr>
            <w:tcW w:w="7049" w:type="dxa"/>
          </w:tcPr>
          <w:p w14:paraId="7015468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2Z Instrumenti dodatnog osnovnog kapitala i povezani računi premija na dionice koji su klasificirani kao obveze na temelju primjenjivih računovodstvenih standarda</w:t>
            </w:r>
          </w:p>
          <w:p w14:paraId="7B3EED9F" w14:textId="77777777" w:rsidR="00CC7D2C" w:rsidRPr="002A677E" w:rsidRDefault="00CC7D2C" w:rsidP="00320EFD">
            <w:pPr>
              <w:pStyle w:val="InstructionsText"/>
              <w:rPr>
                <w:rStyle w:val="InstructionsTabelleberschrift"/>
                <w:sz w:val="24"/>
                <w:rFonts w:ascii="Times New Roman" w:hAnsi="Times New Roman"/>
              </w:rPr>
            </w:pPr>
            <w:r>
              <w:t xml:space="preserve">Iznos instrumenata dodatnog osnovnog kapitala uključujući njihove povezane račune premija na dionice koji su klasificirani kao obveze na temelju primjenjivog računovodstvenog standarda</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 xml:space="preserve">0100</w:t>
            </w:r>
          </w:p>
        </w:tc>
        <w:tc>
          <w:tcPr>
            <w:tcW w:w="7049" w:type="dxa"/>
          </w:tcPr>
          <w:p w14:paraId="196A8FD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w:t>
            </w:r>
            <w:r>
              <w:rPr>
                <w:rStyle w:val="InstructionsTabelleberschrift"/>
                <w:sz w:val="24"/>
                <w:rFonts w:ascii="Times New Roman" w:hAnsi="Times New Roman"/>
              </w:rPr>
              <w:tab/>
            </w:r>
            <w:r>
              <w:rPr>
                <w:rStyle w:val="InstructionsTabelleberschrift"/>
                <w:sz w:val="24"/>
                <w:rFonts w:ascii="Times New Roman" w:hAnsi="Times New Roman"/>
              </w:rPr>
              <w:t xml:space="preserve">Višak (+) ili manjak (–) ispravaka vrijednosti za kreditni rizik, dodatnih vrijednosnih usklađenja i ostalih smanjenja regulatornog kapitala na osnovi očekivanih gubitaka za izloženosti koje nisu u statusu neispunjavanja obveza u skladu s IRB pristupom</w:t>
            </w:r>
          </w:p>
          <w:p w14:paraId="281DFA69" w14:textId="77777777" w:rsidR="00CC7D2C" w:rsidRPr="002A677E" w:rsidRDefault="00CC7D2C" w:rsidP="00320EFD">
            <w:pPr>
              <w:pStyle w:val="InstructionsText"/>
            </w:pPr>
            <w:r>
              <w:t xml:space="preserve">Članak 36. stavak 1. točka (d), članak 62. točka (d), članci 158 i 159. Uredbe (EU) br. 575/2013</w:t>
            </w:r>
          </w:p>
          <w:p w14:paraId="211C61EB" w14:textId="77777777" w:rsidR="00CC7D2C" w:rsidRPr="002A677E" w:rsidRDefault="00CC7D2C" w:rsidP="00320EFD">
            <w:pPr>
              <w:pStyle w:val="InstructionsText"/>
            </w:pPr>
            <w:r>
              <w:t xml:space="preserve">Ovu stavku iskazuju samo institucije koje primjenjuju IRB pristup.</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t xml:space="preserve">0110</w:t>
            </w:r>
          </w:p>
        </w:tc>
        <w:tc>
          <w:tcPr>
            <w:tcW w:w="7049" w:type="dxa"/>
          </w:tcPr>
          <w:p w14:paraId="2686C31A" w14:textId="77777777" w:rsidR="00CC7D2C" w:rsidRPr="002A677E" w:rsidRDefault="00CC7D2C" w:rsidP="00320EFD">
            <w:pPr>
              <w:pStyle w:val="InstructionsText"/>
            </w:pPr>
            <w:r>
              <w:rPr>
                <w:rStyle w:val="InstructionsTabelleberschrift"/>
                <w:sz w:val="24"/>
                <w:rFonts w:ascii="Times New Roman" w:hAnsi="Times New Roman"/>
              </w:rPr>
              <w:t xml:space="preserve">3.1.</w:t>
            </w:r>
            <w:r>
              <w:rPr>
                <w:rStyle w:val="InstructionsTabelleberschrift"/>
                <w:sz w:val="24"/>
                <w:rFonts w:ascii="Times New Roman" w:hAnsi="Times New Roman"/>
              </w:rPr>
              <w:tab/>
            </w:r>
            <w:r>
              <w:rPr>
                <w:rStyle w:val="InstructionsTabelleberschrift"/>
                <w:sz w:val="24"/>
                <w:rFonts w:ascii="Times New Roman" w:hAnsi="Times New Roman"/>
              </w:rPr>
              <w:t xml:space="preserve">Ukupni ispravci vrijednosti za kreditni rizik, dodatna vrijednosna usklađenja i ostala smanjenja regulatornog kapitala koja ispunjavaju uvjete za uključivanje u izračun iznosa očekivanoga gubitka</w:t>
            </w:r>
          </w:p>
          <w:p w14:paraId="1AF7728C" w14:textId="77777777" w:rsidR="00CC7D2C" w:rsidRPr="002A677E" w:rsidRDefault="00CC7D2C" w:rsidP="00320EFD">
            <w:pPr>
              <w:pStyle w:val="InstructionsText"/>
            </w:pPr>
            <w:r>
              <w:t xml:space="preserve">Članak 159. Uredbe (EU) br. 575/2013</w:t>
            </w:r>
          </w:p>
          <w:p w14:paraId="21F21DE2" w14:textId="77777777" w:rsidR="00CC7D2C" w:rsidRPr="002A677E" w:rsidRDefault="00CC7D2C" w:rsidP="00320EFD">
            <w:pPr>
              <w:pStyle w:val="InstructionsText"/>
            </w:pPr>
            <w:r>
              <w:t xml:space="preserve">Ovu stavku iskazuju samo institucije koje primjenjuju IRB pristup.</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 xml:space="preserve">0120</w:t>
            </w:r>
          </w:p>
        </w:tc>
        <w:tc>
          <w:tcPr>
            <w:tcW w:w="7049" w:type="dxa"/>
          </w:tcPr>
          <w:p w14:paraId="2DDC1449" w14:textId="77777777" w:rsidR="00CC7D2C" w:rsidRPr="002A677E" w:rsidRDefault="00CC7D2C" w:rsidP="00320EFD">
            <w:pPr>
              <w:pStyle w:val="InstructionsText"/>
            </w:pPr>
            <w:r>
              <w:rPr>
                <w:rStyle w:val="InstructionsTabelleberschrift"/>
                <w:sz w:val="24"/>
                <w:rFonts w:ascii="Times New Roman" w:hAnsi="Times New Roman"/>
              </w:rPr>
              <w:t xml:space="preserve">3.1.1.</w:t>
            </w:r>
            <w:r>
              <w:rPr>
                <w:rStyle w:val="InstructionsTabelleberschrift"/>
                <w:sz w:val="24"/>
                <w:rFonts w:ascii="Times New Roman" w:hAnsi="Times New Roman"/>
              </w:rPr>
              <w:tab/>
            </w:r>
            <w:r>
              <w:rPr>
                <w:rStyle w:val="InstructionsTabelleberschrift"/>
                <w:sz w:val="24"/>
                <w:rFonts w:ascii="Times New Roman" w:hAnsi="Times New Roman"/>
              </w:rPr>
              <w:t xml:space="preserve">Opći ispravci vrijednosti za kreditni rizik</w:t>
            </w:r>
          </w:p>
          <w:p w14:paraId="6F03085D" w14:textId="77777777" w:rsidR="00CC7D2C" w:rsidRPr="002A677E" w:rsidRDefault="00CC7D2C" w:rsidP="00320EFD">
            <w:pPr>
              <w:pStyle w:val="InstructionsText"/>
            </w:pPr>
            <w:r>
              <w:t xml:space="preserve">Članak 159. Uredbe (EU) br. 575/2013</w:t>
            </w:r>
          </w:p>
          <w:p w14:paraId="6264BB70" w14:textId="77777777" w:rsidR="00CC7D2C" w:rsidRPr="002A677E" w:rsidRDefault="00CC7D2C" w:rsidP="00320EFD">
            <w:pPr>
              <w:pStyle w:val="InstructionsText"/>
            </w:pPr>
            <w:r>
              <w:t xml:space="preserve">Ovu stavku iskazuju samo institucije koje primjenjuju IRB pristup.</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 xml:space="preserve">0130</w:t>
            </w:r>
          </w:p>
        </w:tc>
        <w:tc>
          <w:tcPr>
            <w:tcW w:w="7049" w:type="dxa"/>
          </w:tcPr>
          <w:p w14:paraId="60639211" w14:textId="77777777" w:rsidR="00CC7D2C" w:rsidRPr="002A677E" w:rsidRDefault="00CC7D2C" w:rsidP="00320EFD">
            <w:pPr>
              <w:pStyle w:val="InstructionsText"/>
            </w:pPr>
            <w:r>
              <w:rPr>
                <w:rStyle w:val="InstructionsTabelleberschrift"/>
                <w:sz w:val="24"/>
                <w:rFonts w:ascii="Times New Roman" w:hAnsi="Times New Roman"/>
              </w:rPr>
              <w:t xml:space="preserve">3.1.2.</w:t>
            </w:r>
            <w:r>
              <w:rPr>
                <w:rStyle w:val="InstructionsTabelleberschrift"/>
                <w:sz w:val="24"/>
                <w:rFonts w:ascii="Times New Roman" w:hAnsi="Times New Roman"/>
              </w:rPr>
              <w:tab/>
            </w:r>
            <w:r>
              <w:rPr>
                <w:rStyle w:val="InstructionsTabelleberschrift"/>
                <w:sz w:val="24"/>
                <w:rFonts w:ascii="Times New Roman" w:hAnsi="Times New Roman"/>
              </w:rPr>
              <w:t xml:space="preserve">Specifični ispravci vrijednosti za kreditni rizik</w:t>
            </w:r>
          </w:p>
          <w:p w14:paraId="66E78811" w14:textId="77777777" w:rsidR="00CC7D2C" w:rsidRPr="002A677E" w:rsidRDefault="00CC7D2C" w:rsidP="00320EFD">
            <w:pPr>
              <w:pStyle w:val="InstructionsText"/>
            </w:pPr>
            <w:r>
              <w:t xml:space="preserve">Članak 159. Uredbe (EU) br. 575/2013</w:t>
            </w:r>
          </w:p>
          <w:p w14:paraId="5B5BE89D" w14:textId="77777777" w:rsidR="00CC7D2C" w:rsidRPr="002A677E" w:rsidRDefault="00CC7D2C" w:rsidP="00320EFD">
            <w:pPr>
              <w:pStyle w:val="InstructionsText"/>
            </w:pPr>
            <w:r>
              <w:t xml:space="preserve">Ovu stavku iskazuju samo institucije koje primjenjuju IRB pristup.</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 xml:space="preserve">0131</w:t>
            </w:r>
          </w:p>
        </w:tc>
        <w:tc>
          <w:tcPr>
            <w:tcW w:w="7049" w:type="dxa"/>
          </w:tcPr>
          <w:p w14:paraId="680A99A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3.1.3.</w:t>
            </w:r>
            <w:r>
              <w:rPr>
                <w:rStyle w:val="InstructionsTabelleberschrift"/>
                <w:sz w:val="24"/>
                <w:rFonts w:ascii="Times New Roman" w:hAnsi="Times New Roman"/>
              </w:rPr>
              <w:tab/>
            </w:r>
            <w:r>
              <w:rPr>
                <w:rStyle w:val="InstructionsTabelleberschrift"/>
                <w:sz w:val="24"/>
                <w:rFonts w:ascii="Times New Roman" w:hAnsi="Times New Roman"/>
              </w:rPr>
              <w:t xml:space="preserve">Dodatna vrijednosna usklađenja i ostala smanjenja regulatornog kapitala</w:t>
            </w:r>
          </w:p>
          <w:p w14:paraId="79B5C3F4"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Članci 34., 110. i 159. Uredbe (EU) br. 575/2013</w:t>
            </w:r>
          </w:p>
          <w:p w14:paraId="4D2B667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Ovu stavku iskazuju samo institucije koje primjenjuju IRB pristup.</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 xml:space="preserve">0140</w:t>
            </w:r>
          </w:p>
        </w:tc>
        <w:tc>
          <w:tcPr>
            <w:tcW w:w="7049" w:type="dxa"/>
          </w:tcPr>
          <w:p w14:paraId="2B17C910" w14:textId="77777777" w:rsidR="00CC7D2C" w:rsidRPr="002A677E" w:rsidRDefault="00CC7D2C" w:rsidP="00320EFD">
            <w:pPr>
              <w:pStyle w:val="InstructionsText"/>
            </w:pPr>
            <w:r>
              <w:rPr>
                <w:rStyle w:val="InstructionsTabelleberschrift"/>
                <w:sz w:val="24"/>
                <w:rFonts w:ascii="Times New Roman" w:hAnsi="Times New Roman"/>
              </w:rPr>
              <w:t xml:space="preserve">3.2.</w:t>
            </w:r>
            <w:r>
              <w:rPr>
                <w:rStyle w:val="InstructionsTabelleberschrift"/>
                <w:sz w:val="24"/>
                <w:rFonts w:ascii="Times New Roman" w:hAnsi="Times New Roman"/>
              </w:rPr>
              <w:tab/>
            </w:r>
            <w:r>
              <w:rPr>
                <w:rStyle w:val="InstructionsTabelleberschrift"/>
                <w:sz w:val="24"/>
                <w:rFonts w:ascii="Times New Roman" w:hAnsi="Times New Roman"/>
              </w:rPr>
              <w:t xml:space="preserve">Ukupni priznati očekivani gubici</w:t>
            </w:r>
            <w:r>
              <w:rPr>
                <w:rStyle w:val="InstructionsTabelleberschrift"/>
                <w:sz w:val="24"/>
                <w:rFonts w:ascii="Times New Roman" w:hAnsi="Times New Roman"/>
              </w:rPr>
              <w:t xml:space="preserve"> </w:t>
            </w:r>
          </w:p>
          <w:p w14:paraId="4A89299A" w14:textId="77777777" w:rsidR="00CC7D2C" w:rsidRPr="002A677E" w:rsidRDefault="00CC7D2C" w:rsidP="00320EFD">
            <w:pPr>
              <w:pStyle w:val="InstructionsText"/>
            </w:pPr>
            <w:r>
              <w:t xml:space="preserve">Članak 158. stavci 5., 6. i 10. i članak 159.</w:t>
            </w:r>
            <w:r>
              <w:t xml:space="preserve"> Uredbe (EU) br. 575/2013</w:t>
            </w:r>
          </w:p>
          <w:p w14:paraId="0B0DDB08" w14:textId="77777777" w:rsidR="00CC7D2C" w:rsidRPr="002A677E" w:rsidRDefault="00CC7D2C" w:rsidP="00320EFD">
            <w:pPr>
              <w:pStyle w:val="InstructionsText"/>
            </w:pPr>
            <w:r>
              <w:t xml:space="preserve">Ovu stavku iskazuju samo institucije koje primjenjuju IRB pristup.</w:t>
            </w:r>
            <w:r>
              <w:t xml:space="preserve"> </w:t>
            </w:r>
            <w:r>
              <w:t xml:space="preserve">Iskazuje se samo očekivani gubitak povezan s izloženostima koje nisu u statusu neispunjavanja obveza.</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 xml:space="preserve">0145</w:t>
            </w:r>
          </w:p>
        </w:tc>
        <w:tc>
          <w:tcPr>
            <w:tcW w:w="7049" w:type="dxa"/>
          </w:tcPr>
          <w:p w14:paraId="6C94D7D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 Višak (+) ili manjak (–) specifičnih ispravaka vrijednosti za kreditni rizik na osnovi očekivanih gubitaka za izloženosti u statusu neispunjavanja obveza u skladu s IRB pristupom</w:t>
            </w:r>
          </w:p>
          <w:p w14:paraId="2528CE63" w14:textId="77777777" w:rsidR="00CC7D2C" w:rsidRPr="002A677E" w:rsidRDefault="00CC7D2C" w:rsidP="00320EFD">
            <w:pPr>
              <w:pStyle w:val="InstructionsText"/>
            </w:pPr>
            <w:r>
              <w:t xml:space="preserve">Članak 36. stavak 1. točka (d), članak 62. točka (d), članci 158 i 159. Uredbe (EU) br. 575/2013</w:t>
            </w:r>
          </w:p>
          <w:p w14:paraId="298274DF"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Ovu stavku iskazuju samo institucije koje primjenjuju IRB pristup.</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 xml:space="preserve">0150</w:t>
            </w:r>
          </w:p>
        </w:tc>
        <w:tc>
          <w:tcPr>
            <w:tcW w:w="7049" w:type="dxa"/>
          </w:tcPr>
          <w:p w14:paraId="25ADFAC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4.1.</w:t>
            </w:r>
            <w:r>
              <w:rPr>
                <w:rStyle w:val="InstructionsTabelleberschrift"/>
                <w:sz w:val="24"/>
                <w:rFonts w:ascii="Times New Roman" w:hAnsi="Times New Roman"/>
              </w:rPr>
              <w:tab/>
            </w:r>
            <w:r>
              <w:rPr>
                <w:rStyle w:val="InstructionsTabelleberschrift"/>
                <w:sz w:val="24"/>
                <w:rFonts w:ascii="Times New Roman" w:hAnsi="Times New Roman"/>
              </w:rPr>
              <w:t xml:space="preserve">Specifični ispravci vrijednosti za kreditni rizik i pozicije koje se tretiraju na sličan način</w:t>
            </w:r>
          </w:p>
          <w:p w14:paraId="1E7B4C7D" w14:textId="77777777" w:rsidR="00CC7D2C" w:rsidRPr="002A677E" w:rsidRDefault="00CC7D2C" w:rsidP="00320EFD">
            <w:pPr>
              <w:pStyle w:val="InstructionsText"/>
            </w:pPr>
            <w:r>
              <w:t xml:space="preserve">Članak 159. Uredbe (EU) br. 575/2013</w:t>
            </w:r>
          </w:p>
          <w:p w14:paraId="7B320BDB"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Ovu stavku iskazuju samo institucije koje primjenjuju IRB pristup.</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t xml:space="preserve">0155</w:t>
            </w:r>
          </w:p>
        </w:tc>
        <w:tc>
          <w:tcPr>
            <w:tcW w:w="7049" w:type="dxa"/>
          </w:tcPr>
          <w:p w14:paraId="1EA4BC8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4.2.</w:t>
            </w:r>
            <w:r>
              <w:rPr>
                <w:rStyle w:val="InstructionsTabelleberschrift"/>
                <w:sz w:val="24"/>
                <w:rFonts w:ascii="Times New Roman" w:hAnsi="Times New Roman"/>
              </w:rPr>
              <w:tab/>
            </w:r>
            <w:r>
              <w:rPr>
                <w:rStyle w:val="InstructionsTabelleberschrift"/>
                <w:sz w:val="24"/>
                <w:rFonts w:ascii="Times New Roman" w:hAnsi="Times New Roman"/>
              </w:rPr>
              <w:t xml:space="preserve">Ukupni priznati očekivani gubici</w:t>
            </w:r>
          </w:p>
          <w:p w14:paraId="30E1E0B6" w14:textId="77777777" w:rsidR="00CC7D2C" w:rsidRPr="002A677E" w:rsidRDefault="00CC7D2C" w:rsidP="00320EFD">
            <w:pPr>
              <w:pStyle w:val="InstructionsText"/>
              <w:rPr>
                <w:rStyle w:val="InstructionsTabelleberschrift"/>
                <w:sz w:val="24"/>
                <w:rFonts w:ascii="Times New Roman" w:hAnsi="Times New Roman"/>
              </w:rPr>
            </w:pPr>
            <w:r>
              <w:t xml:space="preserve">Članak 158. stavci 5., 6. i 10. i članak 159. Uredbe (EU) br. 575/2013</w:t>
            </w:r>
          </w:p>
          <w:p w14:paraId="64767324"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Ovu stavku iskazuju samo institucije koje primjenjuju IRB pristup.</w:t>
            </w:r>
            <w:r>
              <w:t xml:space="preserve"> </w:t>
            </w:r>
            <w:r>
              <w:t xml:space="preserve">Iskazuje se samo očekivani gubitak povezan s izloženostima koje su u statusu neispunjavanja obveza.</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 xml:space="preserve">0160</w:t>
            </w:r>
          </w:p>
        </w:tc>
        <w:tc>
          <w:tcPr>
            <w:tcW w:w="7049" w:type="dxa"/>
          </w:tcPr>
          <w:p w14:paraId="1F6A90B7" w14:textId="77777777" w:rsidR="00CC7D2C" w:rsidRPr="002A677E" w:rsidRDefault="00CC7D2C" w:rsidP="00320EFD">
            <w:pPr>
              <w:pStyle w:val="InstructionsText"/>
            </w:pPr>
            <w:r>
              <w:rPr>
                <w:rStyle w:val="InstructionsTabelleberschrift"/>
                <w:sz w:val="24"/>
                <w:rFonts w:ascii="Times New Roman" w:hAnsi="Times New Roman"/>
              </w:rPr>
              <w:t xml:space="preserve">5.</w:t>
            </w:r>
            <w:r>
              <w:rPr>
                <w:rStyle w:val="InstructionsTabelleberschrift"/>
                <w:sz w:val="24"/>
                <w:rFonts w:ascii="Times New Roman" w:hAnsi="Times New Roman"/>
              </w:rPr>
              <w:tab/>
            </w:r>
            <w:r>
              <w:rPr>
                <w:rStyle w:val="InstructionsTabelleberschrift"/>
                <w:sz w:val="24"/>
                <w:rFonts w:ascii="Times New Roman" w:hAnsi="Times New Roman"/>
              </w:rPr>
              <w:t xml:space="preserve">Iznosi izloženosti ponderirani rizikom za izračun gornje granice viška rezervacije koje se priznaju kao dopunski kapital</w:t>
            </w:r>
          </w:p>
          <w:p w14:paraId="563E7C9E" w14:textId="77777777" w:rsidR="00CC7D2C" w:rsidRPr="002A677E" w:rsidRDefault="00CC7D2C" w:rsidP="00320EFD">
            <w:pPr>
              <w:pStyle w:val="InstructionsText"/>
            </w:pPr>
            <w:r>
              <w:t xml:space="preserve">Članak 62. točka (d) Uredbe (EU) br. 575/2013</w:t>
            </w:r>
          </w:p>
          <w:p w14:paraId="363FA5D2" w14:textId="77777777" w:rsidR="00CC7D2C" w:rsidRPr="002A677E" w:rsidRDefault="00CC7D2C" w:rsidP="00320EFD">
            <w:pPr>
              <w:pStyle w:val="InstructionsText"/>
            </w:pPr>
            <w:r>
              <w:t xml:space="preserve">Za institucije koje primjenjuju IRB pristup, višak iznosa rezervacija (za očekivane gubitke) koje ispunjavaju uvjete za uključivanje u dopunski kapital ograničen na 0,6 % iznosa izloženosti ponderiranih rizikom izračunatih u skladu s IRB pristupom, u skladu s člankom 62. točkom (d) Uredbe (EU) br. 575/2013.</w:t>
            </w:r>
          </w:p>
          <w:p w14:paraId="42C93CC2" w14:textId="77777777" w:rsidR="00CC7D2C" w:rsidRPr="002A677E" w:rsidRDefault="00CC7D2C" w:rsidP="00320EFD">
            <w:pPr>
              <w:pStyle w:val="InstructionsText"/>
            </w:pPr>
            <w:r>
              <w:t xml:space="preserve">U ovoj se stavci iskazuju iznosi izloženosti ponderirani rizikom (tj. nisu pomnoženi s 0,6 %), što je osnova za izračun gornje granice.</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 xml:space="preserve">0170</w:t>
            </w:r>
          </w:p>
        </w:tc>
        <w:tc>
          <w:tcPr>
            <w:tcW w:w="7049" w:type="dxa"/>
          </w:tcPr>
          <w:p w14:paraId="2869B203" w14:textId="77777777" w:rsidR="00CC7D2C" w:rsidRPr="002A677E" w:rsidRDefault="00CC7D2C" w:rsidP="00320EFD">
            <w:pPr>
              <w:pStyle w:val="InstructionsText"/>
            </w:pPr>
            <w:r>
              <w:rPr>
                <w:rStyle w:val="InstructionsTabelleberschrift"/>
                <w:sz w:val="24"/>
                <w:rFonts w:ascii="Times New Roman" w:hAnsi="Times New Roman"/>
              </w:rPr>
              <w:t xml:space="preserve">6.</w:t>
            </w:r>
            <w:r>
              <w:rPr>
                <w:rStyle w:val="InstructionsTabelleberschrift"/>
                <w:sz w:val="24"/>
                <w:rFonts w:ascii="Times New Roman" w:hAnsi="Times New Roman"/>
              </w:rPr>
              <w:tab/>
            </w:r>
            <w:r>
              <w:rPr>
                <w:rStyle w:val="InstructionsTabelleberschrift"/>
                <w:sz w:val="24"/>
                <w:rFonts w:ascii="Times New Roman" w:hAnsi="Times New Roman"/>
              </w:rPr>
              <w:t xml:space="preserve">Ukupne bruto rezervacije koje ispunjavaju uvjete za uključivanje u dopunski kapital</w:t>
            </w:r>
          </w:p>
          <w:p w14:paraId="79DEE159" w14:textId="77777777" w:rsidR="00CC7D2C" w:rsidRPr="002A677E" w:rsidRDefault="00CC7D2C" w:rsidP="00320EFD">
            <w:pPr>
              <w:pStyle w:val="InstructionsText"/>
            </w:pPr>
            <w:r>
              <w:t xml:space="preserve">Članak 62. točka (c)</w:t>
            </w:r>
            <w:r>
              <w:t xml:space="preserve"> Uredbe (EU) br. 575/2013</w:t>
            </w:r>
          </w:p>
          <w:p w14:paraId="7677FF60" w14:textId="77777777" w:rsidR="00CC7D2C" w:rsidRPr="002A677E" w:rsidRDefault="00CC7D2C" w:rsidP="00320EFD">
            <w:pPr>
              <w:pStyle w:val="InstructionsText"/>
            </w:pPr>
            <w:r>
              <w:t xml:space="preserve">Ova stavka uključuje opće ispravke vrijednosti za kreditni rizik koji ispunjavaju uvjete za uključivanje u dopunski kapital, prije primjene gornje granice.</w:t>
            </w:r>
          </w:p>
          <w:p w14:paraId="748D0361" w14:textId="77777777" w:rsidR="00CC7D2C" w:rsidRPr="002A677E" w:rsidRDefault="00CC7D2C" w:rsidP="00320EFD">
            <w:pPr>
              <w:pStyle w:val="InstructionsText"/>
            </w:pPr>
            <w:r>
              <w:t xml:space="preserve">Iznos koji se iskazuje nije umanjen za porezne učinke.</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 xml:space="preserve">0180</w:t>
            </w:r>
          </w:p>
        </w:tc>
        <w:tc>
          <w:tcPr>
            <w:tcW w:w="7049" w:type="dxa"/>
          </w:tcPr>
          <w:p w14:paraId="33B7FC74" w14:textId="77777777" w:rsidR="00CC7D2C" w:rsidRPr="002A677E" w:rsidRDefault="00CC7D2C" w:rsidP="00320EFD">
            <w:pPr>
              <w:pStyle w:val="InstructionsText"/>
            </w:pPr>
            <w:r>
              <w:rPr>
                <w:rStyle w:val="InstructionsTabelleberschrift"/>
                <w:sz w:val="24"/>
                <w:rFonts w:ascii="Times New Roman" w:hAnsi="Times New Roman"/>
              </w:rPr>
              <w:t xml:space="preserve">7.</w:t>
            </w:r>
            <w:r>
              <w:rPr>
                <w:rStyle w:val="InstructionsTabelleberschrift"/>
                <w:sz w:val="24"/>
                <w:rFonts w:ascii="Times New Roman" w:hAnsi="Times New Roman"/>
              </w:rPr>
              <w:tab/>
            </w:r>
            <w:r>
              <w:rPr>
                <w:rStyle w:val="InstructionsTabelleberschrift"/>
                <w:sz w:val="24"/>
                <w:rFonts w:ascii="Times New Roman" w:hAnsi="Times New Roman"/>
              </w:rPr>
              <w:t xml:space="preserve">Iznosi izloženosti ponderirani rizikom za izračun gornje granice rezervacije koja se priznaje kao dopunski kapital</w:t>
            </w:r>
          </w:p>
          <w:p w14:paraId="345CC1D6" w14:textId="77777777" w:rsidR="00CC7D2C" w:rsidRPr="002A677E" w:rsidRDefault="00CC7D2C" w:rsidP="00320EFD">
            <w:pPr>
              <w:pStyle w:val="InstructionsText"/>
            </w:pPr>
            <w:r>
              <w:t xml:space="preserve">Članak 62. točka (c) Uredbe (EU) br. 575/2013</w:t>
            </w:r>
          </w:p>
          <w:p w14:paraId="65850475" w14:textId="77777777" w:rsidR="00CC7D2C" w:rsidRPr="002A677E" w:rsidRDefault="00CC7D2C" w:rsidP="00320EFD">
            <w:pPr>
              <w:pStyle w:val="InstructionsText"/>
            </w:pPr>
            <w:r>
              <w:t xml:space="preserve">U skladu s člankom 62. točkom (c) Uredbe (EU) br. 575/2013, ispravci vrijednosti za kreditni rizik koji ispunjavaju uvjete za uključenje u dopunski kapital ograničeni su na 1,25 % iznosa izloženosti ponderiranih rizikom.</w:t>
            </w:r>
          </w:p>
          <w:p w14:paraId="3B08F4EA" w14:textId="77777777" w:rsidR="00CC7D2C" w:rsidRPr="002A677E" w:rsidRDefault="00CC7D2C" w:rsidP="00320EFD">
            <w:pPr>
              <w:pStyle w:val="InstructionsText"/>
            </w:pPr>
            <w:r>
              <w:t xml:space="preserve">U ovoj se stavci iskazuju iznosi izloženosti ponderirani rizikom (tj. nisu pomnoženi s 1,25 %), što je osnova za izračun gornje granice.</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 xml:space="preserve">0190</w:t>
            </w:r>
          </w:p>
        </w:tc>
        <w:tc>
          <w:tcPr>
            <w:tcW w:w="7049" w:type="dxa"/>
          </w:tcPr>
          <w:p w14:paraId="70F5FE0C" w14:textId="77777777" w:rsidR="00CC7D2C" w:rsidRPr="002A677E" w:rsidRDefault="00CC7D2C" w:rsidP="00320EFD">
            <w:pPr>
              <w:pStyle w:val="InstructionsText"/>
            </w:pPr>
            <w:r>
              <w:rPr>
                <w:rStyle w:val="InstructionsTabelleberschrift"/>
                <w:sz w:val="24"/>
                <w:rFonts w:ascii="Times New Roman" w:hAnsi="Times New Roman"/>
              </w:rPr>
              <w:t xml:space="preserve">8.</w:t>
            </w:r>
            <w:r>
              <w:rPr>
                <w:rStyle w:val="InstructionsTabelleberschrift"/>
                <w:sz w:val="24"/>
                <w:rFonts w:ascii="Times New Roman" w:hAnsi="Times New Roman"/>
              </w:rPr>
              <w:tab/>
            </w:r>
            <w:r>
              <w:rPr>
                <w:rStyle w:val="InstructionsTabelleberschrift"/>
                <w:sz w:val="24"/>
                <w:rFonts w:ascii="Times New Roman" w:hAnsi="Times New Roman"/>
              </w:rPr>
              <w:t xml:space="preserve">Prag koji se ne može odbiti od ulaganja u subjekte financijskog sektora ako institucija nema značajno ulaganje</w:t>
            </w:r>
          </w:p>
          <w:p w14:paraId="281FF318" w14:textId="77777777" w:rsidR="00CC7D2C" w:rsidRPr="002A677E" w:rsidRDefault="00CC7D2C" w:rsidP="00320EFD">
            <w:pPr>
              <w:pStyle w:val="InstructionsText"/>
            </w:pPr>
            <w:r>
              <w:t xml:space="preserve">Članak 46. stavak 1. točka (a) Uredbe (EU) br. 575/2013</w:t>
            </w:r>
          </w:p>
          <w:p w14:paraId="6CBDA660" w14:textId="77777777" w:rsidR="00CC7D2C" w:rsidRPr="002A677E" w:rsidRDefault="00CC7D2C" w:rsidP="00320EFD">
            <w:pPr>
              <w:pStyle w:val="InstructionsText"/>
            </w:pPr>
            <w:r>
              <w:t xml:space="preserve">Ova stavka sadržava prag do kojeg se ulaganja u subjekt financijskog sektora ne odbijaju ako institucija nema značajno ulaganje.</w:t>
            </w:r>
            <w:r>
              <w:t xml:space="preserve"> </w:t>
            </w:r>
            <w:r>
              <w:t xml:space="preserve">Iznos proizlazi iz dodavanja svih stavki koje su osnova za prag i množenjem tako dobivenog zbroja s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t xml:space="preserve">0200</w:t>
            </w:r>
          </w:p>
        </w:tc>
        <w:tc>
          <w:tcPr>
            <w:tcW w:w="7049" w:type="dxa"/>
          </w:tcPr>
          <w:p w14:paraId="076C1F3B" w14:textId="77777777" w:rsidR="00CC7D2C" w:rsidRPr="002A677E" w:rsidRDefault="00CC7D2C" w:rsidP="00320EFD">
            <w:pPr>
              <w:pStyle w:val="InstructionsText"/>
            </w:pPr>
            <w:r>
              <w:rPr>
                <w:rStyle w:val="InstructionsTabelleberschrift"/>
                <w:sz w:val="24"/>
                <w:rFonts w:ascii="Times New Roman" w:hAnsi="Times New Roman"/>
              </w:rPr>
              <w:t xml:space="preserve">9.</w:t>
            </w:r>
            <w:r>
              <w:rPr>
                <w:rStyle w:val="InstructionsTabelleberschrift"/>
                <w:sz w:val="24"/>
                <w:rFonts w:ascii="Times New Roman" w:hAnsi="Times New Roman"/>
              </w:rPr>
              <w:tab/>
            </w:r>
            <w:r>
              <w:rPr>
                <w:rStyle w:val="InstructionsTabelleberschrift"/>
                <w:sz w:val="24"/>
                <w:rFonts w:ascii="Times New Roman" w:hAnsi="Times New Roman"/>
              </w:rPr>
              <w:t xml:space="preserve">Prag za redovni osnovni kapital od</w:t>
            </w:r>
            <w:r>
              <w:t xml:space="preserve"> </w:t>
            </w:r>
            <w:r>
              <w:rPr>
                <w:rStyle w:val="InstructionsTabelleberschrift"/>
                <w:sz w:val="24"/>
                <w:rFonts w:ascii="Times New Roman" w:hAnsi="Times New Roman"/>
              </w:rPr>
              <w:t xml:space="preserve">10 %</w:t>
            </w:r>
            <w:r>
              <w:rPr>
                <w:rStyle w:val="InstructionsTabelleberschrift"/>
                <w:sz w:val="24"/>
                <w:rFonts w:ascii="Times New Roman" w:hAnsi="Times New Roman"/>
              </w:rPr>
              <w:t xml:space="preserve"> </w:t>
            </w:r>
          </w:p>
          <w:p w14:paraId="59F6CAC3" w14:textId="77777777" w:rsidR="00CC7D2C" w:rsidRPr="002A677E" w:rsidRDefault="00CC7D2C" w:rsidP="00320EFD">
            <w:pPr>
              <w:pStyle w:val="InstructionsText"/>
            </w:pPr>
            <w:r>
              <w:t xml:space="preserve">Članak 48. stavak 1. točke (a) i (b) Uredbe (EU) br. 575/2013</w:t>
            </w:r>
          </w:p>
          <w:p w14:paraId="6BCD7ABF" w14:textId="77777777" w:rsidR="00CC7D2C" w:rsidRPr="002A677E" w:rsidRDefault="00CC7D2C" w:rsidP="00320EFD">
            <w:pPr>
              <w:pStyle w:val="InstructionsText"/>
            </w:pPr>
            <w:r>
              <w:t xml:space="preserve">Ova stavka sadržava prag od 10 % za ulaganja u subjekte financijskog sektora ako institucija ima značajno ulaganje i za odgođenu poreznu imovinu koja ovisi o budućoj profitabilnosti i proizlazi iz privremenih razlika.</w:t>
            </w:r>
          </w:p>
          <w:p w14:paraId="44EADE68" w14:textId="77777777" w:rsidR="00CC7D2C" w:rsidRPr="002A677E" w:rsidRDefault="00CC7D2C" w:rsidP="00320EFD">
            <w:pPr>
              <w:pStyle w:val="InstructionsText"/>
            </w:pPr>
            <w:r>
              <w:t xml:space="preserve">Iznos proizlazi iz dodavanja svih stavki koje su osnova za prag i množenjem tako dobivenog zbroja s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 xml:space="preserve">0210</w:t>
            </w:r>
          </w:p>
        </w:tc>
        <w:tc>
          <w:tcPr>
            <w:tcW w:w="7049" w:type="dxa"/>
          </w:tcPr>
          <w:p w14:paraId="10ED2189" w14:textId="77777777" w:rsidR="00CC7D2C" w:rsidRPr="002A677E" w:rsidRDefault="00CC7D2C" w:rsidP="00320EFD">
            <w:pPr>
              <w:pStyle w:val="InstructionsText"/>
            </w:pPr>
            <w:r>
              <w:rPr>
                <w:rStyle w:val="InstructionsTabelleberschrift"/>
                <w:sz w:val="24"/>
                <w:rFonts w:ascii="Times New Roman" w:hAnsi="Times New Roman"/>
              </w:rPr>
              <w:t xml:space="preserve">10.</w:t>
            </w:r>
            <w:r>
              <w:rPr>
                <w:rStyle w:val="InstructionsTabelleberschrift"/>
                <w:sz w:val="24"/>
                <w:rFonts w:ascii="Times New Roman" w:hAnsi="Times New Roman"/>
              </w:rPr>
              <w:tab/>
            </w:r>
            <w:r>
              <w:rPr>
                <w:rStyle w:val="InstructionsTabelleberschrift"/>
                <w:sz w:val="24"/>
                <w:rFonts w:ascii="Times New Roman" w:hAnsi="Times New Roman"/>
              </w:rPr>
              <w:t xml:space="preserve">Prag za redovni osnovni kapital od 17,65 %</w:t>
            </w:r>
            <w:r>
              <w:rPr>
                <w:rStyle w:val="InstructionsTabelleberschrift"/>
                <w:sz w:val="24"/>
                <w:rFonts w:ascii="Times New Roman" w:hAnsi="Times New Roman"/>
              </w:rPr>
              <w:t xml:space="preserve"> </w:t>
            </w:r>
          </w:p>
          <w:p w14:paraId="742C492D" w14:textId="77777777" w:rsidR="00CC7D2C" w:rsidRPr="002A677E" w:rsidRDefault="00CC7D2C" w:rsidP="00320EFD">
            <w:pPr>
              <w:pStyle w:val="InstructionsText"/>
            </w:pPr>
            <w:r>
              <w:t xml:space="preserve">Članak 48. stavak 1. Uredbe (EU) br. 575/2013</w:t>
            </w:r>
          </w:p>
          <w:p w14:paraId="62003D54" w14:textId="77777777" w:rsidR="00CC7D2C" w:rsidRPr="002A677E" w:rsidRDefault="00CC7D2C" w:rsidP="00320EFD">
            <w:pPr>
              <w:pStyle w:val="InstructionsText"/>
            </w:pPr>
            <w:r>
              <w:t xml:space="preserve">Ova stavka sadržava prag od 17,65 % za ulaganja u subjekte financijskog sektora ako institucija ima značajno ulaganje i za odgođenu poreznu imovinu koja ovisi o budućoj profitabilnosti i proizlazi iz privremenih razlika, koji je potrebno primijeniti nakon praga od 10 %.</w:t>
            </w:r>
          </w:p>
          <w:p w14:paraId="3E3DB4A1" w14:textId="77777777" w:rsidR="00CC7D2C" w:rsidRPr="002A677E" w:rsidRDefault="00CC7D2C" w:rsidP="00320EFD">
            <w:pPr>
              <w:pStyle w:val="InstructionsText"/>
            </w:pPr>
            <w:r>
              <w:t xml:space="preserve">Prag se izračunava tako da priznati iznos dviju stavki ne premašuje 15 % konačnog redovnog osnovnog kapitala, odnosno redovnog osnovnog kapitala izračunatog nakon svih odbitaka, ne uključujući sva usklađenja zbog prijelaznih odredaba.</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 xml:space="preserve">0225</w:t>
            </w:r>
          </w:p>
        </w:tc>
        <w:tc>
          <w:tcPr>
            <w:tcW w:w="7049" w:type="dxa"/>
          </w:tcPr>
          <w:p w14:paraId="07B35C3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Priznati kapital za potrebe kvalificiranih udjela izvan financijskog sektora</w:t>
            </w:r>
          </w:p>
          <w:p w14:paraId="06E4594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Članak 4. stavak 1. točka 71. podtočka (a)</w:t>
            </w:r>
            <w:r>
              <w:t xml:space="preserve"> Uredbe (EU) br.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 xml:space="preserve">0230</w:t>
            </w:r>
          </w:p>
        </w:tc>
        <w:tc>
          <w:tcPr>
            <w:tcW w:w="7049" w:type="dxa"/>
          </w:tcPr>
          <w:p w14:paraId="721AB6E1" w14:textId="77777777" w:rsidR="00CC7D2C" w:rsidRPr="002A677E" w:rsidRDefault="00CC7D2C" w:rsidP="00320EFD">
            <w:pPr>
              <w:pStyle w:val="InstructionsText"/>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redovni osnovni kapital subjekata financijskog sektora ako institucija nema značajno ulaganje, ne uključujući kratke pozicije</w:t>
            </w:r>
          </w:p>
          <w:p w14:paraId="05E6C89B" w14:textId="77777777" w:rsidR="00CC7D2C" w:rsidRPr="002A677E" w:rsidRDefault="00CC7D2C" w:rsidP="00320EFD">
            <w:pPr>
              <w:pStyle w:val="InstructionsText"/>
            </w:pPr>
            <w:r>
              <w:t xml:space="preserve">Članci 44., 45., 46. i 49. Uredbe (EU) br.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 xml:space="preserve">0240</w:t>
            </w:r>
          </w:p>
        </w:tc>
        <w:tc>
          <w:tcPr>
            <w:tcW w:w="7049" w:type="dxa"/>
          </w:tcPr>
          <w:p w14:paraId="0FAD571C" w14:textId="77777777" w:rsidR="00CC7D2C" w:rsidRPr="002A677E" w:rsidRDefault="00CC7D2C" w:rsidP="00320EFD">
            <w:pPr>
              <w:pStyle w:val="InstructionsText"/>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Izravna ulaganja u redovni osnovni kapital subjekata financijskog sektora ako institucija nema značajno ulaganje</w:t>
            </w:r>
          </w:p>
          <w:p w14:paraId="07F396F8" w14:textId="77777777" w:rsidR="00CC7D2C" w:rsidRPr="002A677E" w:rsidRDefault="00CC7D2C" w:rsidP="00320EFD">
            <w:pPr>
              <w:pStyle w:val="InstructionsText"/>
            </w:pPr>
            <w:r>
              <w:t xml:space="preserve">Članci 44., 45., 46. i 49. Uredbe (EU) br.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 xml:space="preserve">0250</w:t>
            </w:r>
          </w:p>
        </w:tc>
        <w:tc>
          <w:tcPr>
            <w:tcW w:w="7049" w:type="dxa"/>
          </w:tcPr>
          <w:p w14:paraId="1F770E7B" w14:textId="77777777" w:rsidR="00CC7D2C" w:rsidRPr="002A677E" w:rsidRDefault="00CC7D2C" w:rsidP="00320EFD">
            <w:pPr>
              <w:pStyle w:val="InstructionsText"/>
            </w:pPr>
            <w:r>
              <w:rPr>
                <w:rStyle w:val="InstructionsTabelleberschrift"/>
                <w:sz w:val="24"/>
                <w:rFonts w:ascii="Times New Roman" w:hAnsi="Times New Roman"/>
              </w:rPr>
              <w:t xml:space="preserve">12.1.1.</w:t>
            </w:r>
            <w:r>
              <w:rPr>
                <w:rStyle w:val="InstructionsTabelleberschrift"/>
                <w:sz w:val="24"/>
                <w:rFonts w:ascii="Times New Roman" w:hAnsi="Times New Roman"/>
              </w:rPr>
              <w:tab/>
            </w:r>
            <w:r>
              <w:rPr>
                <w:rStyle w:val="InstructionsTabelleberschrift"/>
                <w:sz w:val="24"/>
                <w:rFonts w:ascii="Times New Roman" w:hAnsi="Times New Roman"/>
              </w:rPr>
              <w:t xml:space="preserve">Bruto izravna ulaganja u redovni osnovni kapital subjekata financijskog sektora ako institucija nema značajno ulaganje</w:t>
            </w:r>
          </w:p>
          <w:p w14:paraId="35734353" w14:textId="77777777" w:rsidR="00CC7D2C" w:rsidRPr="002A677E" w:rsidRDefault="00CC7D2C" w:rsidP="00320EFD">
            <w:pPr>
              <w:pStyle w:val="InstructionsText"/>
            </w:pPr>
            <w:r>
              <w:t xml:space="preserve">Članci 44., 46. i 49. Uredbe (EU) br. 575/2013</w:t>
            </w:r>
          </w:p>
          <w:p w14:paraId="21EA9B4D" w14:textId="77777777" w:rsidR="00CC7D2C" w:rsidRPr="002A677E" w:rsidRDefault="00CC7D2C" w:rsidP="00320EFD">
            <w:pPr>
              <w:pStyle w:val="InstructionsText"/>
            </w:pPr>
            <w:r>
              <w:t xml:space="preserve">Izravna ulaganja u redovni osnovni kapital subjekata financijskog sektora ako institucija nema značajno ulaganje, isključujući:</w:t>
            </w:r>
          </w:p>
          <w:p w14:paraId="40548BC6" w14:textId="77777777" w:rsidR="00CC7D2C" w:rsidRPr="002A677E" w:rsidRDefault="00CC7D2C" w:rsidP="00320EFD">
            <w:pPr>
              <w:pStyle w:val="InstructionsText"/>
            </w:pPr>
            <w:r>
              <w:t xml:space="preserve">a)</w:t>
            </w:r>
            <w:r>
              <w:tab/>
            </w:r>
            <w:r>
              <w:t xml:space="preserve">pozicije proizišle iz usluge provedbe ponude odnosno prodaje financijskih instrumenata uz obvezu otkupa koje se drže najviše 5 radnih dana;</w:t>
            </w:r>
            <w:r>
              <w:t xml:space="preserve"> </w:t>
            </w:r>
          </w:p>
          <w:p w14:paraId="06830A9E" w14:textId="77777777" w:rsidR="00CC7D2C" w:rsidRPr="002A677E" w:rsidRDefault="00CC7D2C" w:rsidP="00320EFD">
            <w:pPr>
              <w:pStyle w:val="InstructionsText"/>
            </w:pPr>
            <w:r>
              <w:t xml:space="preserve">b)</w:t>
            </w:r>
            <w:r>
              <w:tab/>
            </w:r>
            <w:r>
              <w:t xml:space="preserve">iznose koji se odnose na ulaganja za koja se primjenjuje bilo koja mogućnost iz članka 49</w:t>
            </w:r>
            <w:r>
              <w:t xml:space="preserve"> </w:t>
            </w:r>
            <w:r>
              <w:t xml:space="preserve">i</w:t>
            </w:r>
            <w:r>
              <w:t xml:space="preserve"> </w:t>
            </w:r>
          </w:p>
          <w:p w14:paraId="6C3B0126" w14:textId="77777777" w:rsidR="00CC7D2C" w:rsidRPr="002A677E" w:rsidRDefault="00CC7D2C" w:rsidP="00320EFD">
            <w:pPr>
              <w:pStyle w:val="InstructionsText"/>
            </w:pPr>
            <w:r>
              <w:t xml:space="preserve">c)</w:t>
            </w:r>
            <w:r>
              <w:tab/>
            </w:r>
            <w:r>
              <w:t xml:space="preserve">ulaganja koja se tretiraju kao recipročna međusobna ulaganja u skladu s člankom 36. stavkom 1. točkom (g) Uredbe (EU) br.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t xml:space="preserve">0260</w:t>
            </w:r>
          </w:p>
        </w:tc>
        <w:tc>
          <w:tcPr>
            <w:tcW w:w="7049" w:type="dxa"/>
          </w:tcPr>
          <w:p w14:paraId="205AF52F" w14:textId="77777777" w:rsidR="00CC7D2C" w:rsidRPr="002A677E" w:rsidRDefault="00CC7D2C" w:rsidP="00320EFD">
            <w:pPr>
              <w:pStyle w:val="InstructionsText"/>
            </w:pPr>
            <w:r>
              <w:rPr>
                <w:rStyle w:val="InstructionsTabelleberschrift"/>
                <w:sz w:val="24"/>
                <w:rFonts w:ascii="Times New Roman" w:hAnsi="Times New Roman"/>
              </w:rPr>
              <w:t xml:space="preserve">12.1.2.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izravnim bruto ulaganjima</w:t>
            </w:r>
          </w:p>
          <w:p w14:paraId="5C7CD820" w14:textId="77777777" w:rsidR="00CC7D2C" w:rsidRPr="002A677E" w:rsidRDefault="00CC7D2C" w:rsidP="00320EFD">
            <w:pPr>
              <w:pStyle w:val="InstructionsText"/>
            </w:pPr>
            <w:r>
              <w:t xml:space="preserve">Članak 45. Uredbe (EU) br. 575/2013</w:t>
            </w:r>
          </w:p>
          <w:p w14:paraId="3C7C2B7A" w14:textId="77777777" w:rsidR="00CC7D2C" w:rsidRPr="002A677E" w:rsidRDefault="00CC7D2C" w:rsidP="00320EFD">
            <w:pPr>
              <w:pStyle w:val="InstructionsText"/>
            </w:pPr>
            <w:r>
              <w:t xml:space="preserve">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 xml:space="preserve">0270</w:t>
            </w:r>
          </w:p>
        </w:tc>
        <w:tc>
          <w:tcPr>
            <w:tcW w:w="7049" w:type="dxa"/>
          </w:tcPr>
          <w:p w14:paraId="41725CD8" w14:textId="77777777" w:rsidR="00CC7D2C" w:rsidRPr="002A677E" w:rsidRDefault="00CC7D2C" w:rsidP="00320EFD">
            <w:pPr>
              <w:pStyle w:val="InstructionsText"/>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Neizravna ulaganja u redovni osnovni kapital subjekata financijskog sektora ako institucija nema značajno ulaganje</w:t>
            </w:r>
          </w:p>
          <w:p w14:paraId="5B60A6DB" w14:textId="77777777" w:rsidR="00CC7D2C" w:rsidRPr="002A677E" w:rsidRDefault="00CC7D2C" w:rsidP="00320EFD">
            <w:pPr>
              <w:pStyle w:val="InstructionsText"/>
            </w:pPr>
            <w:r>
              <w:t xml:space="preserve">Članak 4. stavak 1. točka 114. i članci 44. i 45. Uredbe (EU) br.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 xml:space="preserve">0280</w:t>
            </w:r>
          </w:p>
        </w:tc>
        <w:tc>
          <w:tcPr>
            <w:tcW w:w="7049" w:type="dxa"/>
          </w:tcPr>
          <w:p w14:paraId="30ADD00A" w14:textId="77777777" w:rsidR="00CC7D2C" w:rsidRPr="002A677E" w:rsidRDefault="00CC7D2C" w:rsidP="00320EFD">
            <w:pPr>
              <w:pStyle w:val="InstructionsText"/>
            </w:pPr>
            <w:r>
              <w:rPr>
                <w:rStyle w:val="InstructionsTabelleberschrift"/>
                <w:sz w:val="24"/>
                <w:rFonts w:ascii="Times New Roman" w:hAnsi="Times New Roman"/>
              </w:rPr>
              <w:t xml:space="preserve">12.2.1.</w:t>
            </w:r>
            <w:r>
              <w:rPr>
                <w:rStyle w:val="InstructionsTabelleberschrift"/>
                <w:sz w:val="24"/>
                <w:rFonts w:ascii="Times New Roman" w:hAnsi="Times New Roman"/>
              </w:rPr>
              <w:tab/>
            </w:r>
            <w:r>
              <w:rPr>
                <w:rStyle w:val="InstructionsTabelleberschrift"/>
                <w:sz w:val="24"/>
                <w:rFonts w:ascii="Times New Roman" w:hAnsi="Times New Roman"/>
              </w:rPr>
              <w:t xml:space="preserve">Bruto neizravna ulaganja u redovni osnovni kapital subjekata financijskog sektora ako institucija nema značajno ulaganje</w:t>
            </w:r>
          </w:p>
          <w:p w14:paraId="1712D6BE" w14:textId="77777777" w:rsidR="00CC7D2C" w:rsidRPr="002A677E" w:rsidRDefault="00CC7D2C" w:rsidP="00320EFD">
            <w:pPr>
              <w:pStyle w:val="InstructionsText"/>
            </w:pPr>
            <w:r>
              <w:t xml:space="preserve">Članak 4. stavak 1. točka 114. i članci 44. i 45. Uredbe (EU) br. 575/2013</w:t>
            </w:r>
          </w:p>
          <w:p w14:paraId="48C4F8F6" w14:textId="77777777" w:rsidR="00CC7D2C" w:rsidRPr="002A677E" w:rsidRDefault="00CC7D2C" w:rsidP="00320EFD">
            <w:pPr>
              <w:pStyle w:val="InstructionsText"/>
            </w:pPr>
            <w:r>
              <w:t xml:space="preserve">Iskazuje se iznos neizravnih ulaganja u instrumente kapitala subjekata financijskog sektora u knjizi trgovanja u obliku ulaganja u indeksne vrijednosne papire.</w:t>
            </w:r>
            <w:r>
              <w:t xml:space="preserve"> </w:t>
            </w:r>
            <w:r>
              <w:t xml:space="preserve">Dobiva se izračunom odnosne izloženosti prema instrumentima kapitala subjekata financijskog sektora u indeksima.</w:t>
            </w:r>
          </w:p>
          <w:p w14:paraId="478FC936" w14:textId="77777777" w:rsidR="00CC7D2C" w:rsidRPr="002A677E" w:rsidRDefault="00CC7D2C" w:rsidP="00320EFD">
            <w:pPr>
              <w:pStyle w:val="InstructionsText"/>
            </w:pPr>
            <w:r>
              <w:t xml:space="preserve">Ne uključuju se ulaganja koja se tretiraju kao recipročna međusobna ulaganja u skladu s člankom 36. stavkom 1. točkom (g) Uredbe (EU) br. 575/2013.</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 xml:space="preserve">0290</w:t>
            </w:r>
          </w:p>
        </w:tc>
        <w:tc>
          <w:tcPr>
            <w:tcW w:w="7049" w:type="dxa"/>
          </w:tcPr>
          <w:p w14:paraId="52B39F7D" w14:textId="77777777" w:rsidR="00CC7D2C" w:rsidRPr="002A677E" w:rsidRDefault="00CC7D2C" w:rsidP="00320EFD">
            <w:pPr>
              <w:pStyle w:val="InstructionsText"/>
            </w:pPr>
            <w:r>
              <w:rPr>
                <w:rStyle w:val="InstructionsTabelleberschrift"/>
                <w:sz w:val="24"/>
                <w:rFonts w:ascii="Times New Roman" w:hAnsi="Times New Roman"/>
              </w:rPr>
              <w:t xml:space="preserve">12.2.2.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neizravnim bruto ulaganjima</w:t>
            </w:r>
          </w:p>
          <w:p w14:paraId="4FFA5E51" w14:textId="77777777" w:rsidR="00CC7D2C" w:rsidRPr="002A677E" w:rsidRDefault="00CC7D2C" w:rsidP="00320EFD">
            <w:pPr>
              <w:pStyle w:val="InstructionsText"/>
            </w:pPr>
            <w:r>
              <w:t xml:space="preserve">Članak 4. stavak 1. točka 114. i članak 45. Uredbe (EU) br. 575/2013</w:t>
            </w:r>
          </w:p>
          <w:p w14:paraId="53013672" w14:textId="77777777" w:rsidR="00CC7D2C" w:rsidRPr="002A677E" w:rsidRDefault="00CC7D2C" w:rsidP="00320EFD">
            <w:pPr>
              <w:pStyle w:val="InstructionsText"/>
            </w:pPr>
            <w:r>
              <w:t xml:space="preserve">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t xml:space="preserve">0291</w:t>
            </w:r>
          </w:p>
        </w:tc>
        <w:tc>
          <w:tcPr>
            <w:tcW w:w="7049" w:type="dxa"/>
            <w:vAlign w:val="center"/>
          </w:tcPr>
          <w:p w14:paraId="661C3FE9"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12.3.1.</w:t>
            </w:r>
            <w:r>
              <w:rPr>
                <w:rStyle w:val="InstructionsTabelleberschrift"/>
                <w:sz w:val="24"/>
                <w:rFonts w:ascii="Times New Roman" w:hAnsi="Times New Roman"/>
              </w:rPr>
              <w:tab/>
            </w:r>
            <w:r>
              <w:rPr>
                <w:rStyle w:val="InstructionsTabelleberschrift"/>
                <w:sz w:val="24"/>
                <w:rFonts w:ascii="Times New Roman" w:hAnsi="Times New Roman"/>
              </w:rPr>
              <w:t xml:space="preserve">Sintetska ulaganja u redovni osnovni kapital subjekata financijskog sektora ako institucija nema značajno ulaganje</w:t>
            </w:r>
          </w:p>
          <w:p w14:paraId="64CCB38C"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Članak 4. stavak 1. točka 126. i članci 44. i 45. Uredbe (EU) br.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 xml:space="preserve">0292</w:t>
            </w:r>
          </w:p>
        </w:tc>
        <w:tc>
          <w:tcPr>
            <w:tcW w:w="7049" w:type="dxa"/>
            <w:vAlign w:val="center"/>
          </w:tcPr>
          <w:p w14:paraId="1F37D1AB"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sz w:val="24"/>
                <w:rFonts w:ascii="Times New Roman" w:hAnsi="Times New Roman"/>
              </w:rPr>
              <w:t xml:space="preserve">12.3.2.</w:t>
            </w:r>
            <w:r>
              <w:rPr>
                <w:rStyle w:val="InstructionsTabelleberschrift"/>
                <w:sz w:val="24"/>
                <w:rFonts w:ascii="Times New Roman" w:hAnsi="Times New Roman"/>
              </w:rPr>
              <w:tab/>
            </w:r>
            <w:r>
              <w:rPr>
                <w:rStyle w:val="InstructionsTabelleberschrift"/>
                <w:sz w:val="24"/>
                <w:rFonts w:ascii="Times New Roman" w:hAnsi="Times New Roman"/>
              </w:rPr>
              <w:t xml:space="preserve">Bruto sintetska ulaganja u redovni osnovni kapital subjekata financijskog sektora ako institucija nema značajno ulaganje</w:t>
            </w:r>
          </w:p>
          <w:p w14:paraId="3B736157"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Članak 4. stavak 1. točka 126. i članci 44. i 45. Uredbe (EU) br.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 xml:space="preserve">0293</w:t>
            </w:r>
          </w:p>
        </w:tc>
        <w:tc>
          <w:tcPr>
            <w:tcW w:w="7049" w:type="dxa"/>
            <w:vAlign w:val="center"/>
          </w:tcPr>
          <w:p w14:paraId="1544EF3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12.3.3.</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sintetskim bruto ulaganjima</w:t>
            </w:r>
          </w:p>
          <w:p w14:paraId="10993EDD"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4. stavak 1. točka 126. i članak 45.</w:t>
            </w:r>
            <w:r>
              <w:t xml:space="preserve"> Uredbe (EU) br. 575/2013</w:t>
            </w:r>
          </w:p>
          <w:p w14:paraId="620D54C3"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 xml:space="preserve">0300</w:t>
            </w:r>
          </w:p>
        </w:tc>
        <w:tc>
          <w:tcPr>
            <w:tcW w:w="7049" w:type="dxa"/>
          </w:tcPr>
          <w:p w14:paraId="22CCC24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dodatni osnovni kapital subjekata financijskog sektora ako institucija nema značajno ulaganje, ne uključujući kratke pozicije</w:t>
            </w:r>
          </w:p>
          <w:p w14:paraId="2446C324" w14:textId="77777777" w:rsidR="00CC7D2C" w:rsidRPr="002A677E" w:rsidRDefault="00CC7D2C" w:rsidP="00320EFD">
            <w:pPr>
              <w:pStyle w:val="InstructionsText"/>
            </w:pPr>
            <w:r>
              <w:t xml:space="preserve">Članci 58., 59. i 60. Uredbe (EU) br.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 xml:space="preserve">0310</w:t>
            </w:r>
          </w:p>
        </w:tc>
        <w:tc>
          <w:tcPr>
            <w:tcW w:w="7049" w:type="dxa"/>
          </w:tcPr>
          <w:p w14:paraId="652A887A" w14:textId="77777777" w:rsidR="00CC7D2C" w:rsidRPr="002A677E" w:rsidRDefault="00CC7D2C" w:rsidP="00320EFD">
            <w:pPr>
              <w:pStyle w:val="InstructionsText"/>
            </w:pPr>
            <w:r>
              <w:rPr>
                <w:rStyle w:val="InstructionsTabelleberschrift"/>
                <w:sz w:val="24"/>
                <w:rFonts w:ascii="Times New Roman" w:hAnsi="Times New Roman"/>
              </w:rPr>
              <w:t xml:space="preserve">13.1.</w:t>
            </w:r>
            <w:r>
              <w:rPr>
                <w:rStyle w:val="InstructionsTabelleberschrift"/>
                <w:sz w:val="24"/>
                <w:rFonts w:ascii="Times New Roman" w:hAnsi="Times New Roman"/>
              </w:rPr>
              <w:tab/>
            </w:r>
            <w:r>
              <w:rPr>
                <w:rStyle w:val="InstructionsTabelleberschrift"/>
                <w:sz w:val="24"/>
                <w:rFonts w:ascii="Times New Roman" w:hAnsi="Times New Roman"/>
              </w:rPr>
              <w:t xml:space="preserve">Izravna ulaganja u dodatni osnovni kapital subjekata financijskog sektora ako institucija nema značajno ulaganje</w:t>
            </w:r>
          </w:p>
          <w:p w14:paraId="2BC29626" w14:textId="77777777" w:rsidR="00CC7D2C" w:rsidRPr="002A677E" w:rsidRDefault="00CC7D2C" w:rsidP="00320EFD">
            <w:pPr>
              <w:pStyle w:val="InstructionsText"/>
            </w:pPr>
            <w:r>
              <w:t xml:space="preserve">Članci 58. i 59. te članak 60. stavak 2. Uredbe (EU) br.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 xml:space="preserve">0320</w:t>
            </w:r>
          </w:p>
        </w:tc>
        <w:tc>
          <w:tcPr>
            <w:tcW w:w="7049" w:type="dxa"/>
          </w:tcPr>
          <w:p w14:paraId="086716D9" w14:textId="77777777" w:rsidR="00CC7D2C" w:rsidRPr="002A677E" w:rsidRDefault="00CC7D2C" w:rsidP="00320EFD">
            <w:pPr>
              <w:pStyle w:val="InstructionsText"/>
            </w:pPr>
            <w:r>
              <w:rPr>
                <w:rStyle w:val="InstructionsTabelleberschrift"/>
                <w:sz w:val="24"/>
                <w:rFonts w:ascii="Times New Roman" w:hAnsi="Times New Roman"/>
              </w:rPr>
              <w:t xml:space="preserve">13.1.1.</w:t>
            </w:r>
            <w:r>
              <w:rPr>
                <w:rStyle w:val="InstructionsTabelleberschrift"/>
                <w:sz w:val="24"/>
                <w:rFonts w:ascii="Times New Roman" w:hAnsi="Times New Roman"/>
              </w:rPr>
              <w:tab/>
            </w:r>
            <w:r>
              <w:rPr>
                <w:rStyle w:val="InstructionsTabelleberschrift"/>
                <w:sz w:val="24"/>
                <w:rFonts w:ascii="Times New Roman" w:hAnsi="Times New Roman"/>
              </w:rPr>
              <w:t xml:space="preserve">Bruto izravna ulaganja u dodatni osnovni kapital subjekata financijskog sektora ako institucija nema značajno ulaganje</w:t>
            </w:r>
          </w:p>
          <w:p w14:paraId="75E43435" w14:textId="77777777" w:rsidR="00CC7D2C" w:rsidRPr="002A677E" w:rsidRDefault="00CC7D2C" w:rsidP="00320EFD">
            <w:pPr>
              <w:pStyle w:val="InstructionsText"/>
            </w:pPr>
            <w:r>
              <w:t xml:space="preserve">Članak 58. i članak 60. stavak 2. Uredbe (EU) br. 575/2013</w:t>
            </w:r>
          </w:p>
          <w:p w14:paraId="4EB3C9FE" w14:textId="77777777" w:rsidR="00CC7D2C" w:rsidRPr="002A677E" w:rsidRDefault="00CC7D2C" w:rsidP="00320EFD">
            <w:pPr>
              <w:pStyle w:val="InstructionsText"/>
            </w:pPr>
            <w:r>
              <w:t xml:space="preserve">Izravna ulaganja u dodatni osnovni kapital subjekata financijskog sektora ako institucija nema značajno ulaganje, isključujući:</w:t>
            </w:r>
          </w:p>
          <w:p w14:paraId="6258EF1C" w14:textId="77777777" w:rsidR="00CC7D2C" w:rsidRPr="002A677E" w:rsidRDefault="00CC7D2C" w:rsidP="00320EFD">
            <w:pPr>
              <w:pStyle w:val="InstructionsText"/>
            </w:pPr>
            <w:r>
              <w:t xml:space="preserve">a)</w:t>
            </w:r>
            <w:r>
              <w:tab/>
            </w:r>
            <w:r>
              <w:t xml:space="preserve">pozicije proizišle iz usluge provedbe ponude odnosno prodaje financijskih instrumenata uz obvezu otkupa koje se drže najviše 5 radnih dana;</w:t>
            </w:r>
            <w:r>
              <w:t xml:space="preserve"> </w:t>
            </w:r>
            <w:r>
              <w:t xml:space="preserve">i</w:t>
            </w:r>
            <w:r>
              <w:t xml:space="preserve"> </w:t>
            </w:r>
          </w:p>
          <w:p w14:paraId="08D9FD36" w14:textId="77777777" w:rsidR="00CC7D2C" w:rsidRPr="002A677E" w:rsidRDefault="00CC7D2C" w:rsidP="00320EFD">
            <w:pPr>
              <w:pStyle w:val="InstructionsText"/>
            </w:pPr>
            <w:r>
              <w:t xml:space="preserve">b)</w:t>
            </w:r>
            <w:r>
              <w:tab/>
            </w:r>
            <w:r>
              <w:t xml:space="preserve">ulaganja koja se tretiraju kao recipročna međusobna ulaganja u skladu s člankom 56. točkom (b) Uredbe (EU) br.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t xml:space="preserve">0330</w:t>
            </w:r>
          </w:p>
        </w:tc>
        <w:tc>
          <w:tcPr>
            <w:tcW w:w="7049" w:type="dxa"/>
          </w:tcPr>
          <w:p w14:paraId="5D44305F" w14:textId="77777777" w:rsidR="00CC7D2C" w:rsidRPr="002A677E" w:rsidRDefault="00CC7D2C" w:rsidP="00320EFD">
            <w:pPr>
              <w:pStyle w:val="InstructionsText"/>
            </w:pPr>
            <w:r>
              <w:rPr>
                <w:rStyle w:val="InstructionsTabelleberschrift"/>
                <w:sz w:val="24"/>
                <w:rFonts w:ascii="Times New Roman" w:hAnsi="Times New Roman"/>
              </w:rPr>
              <w:t xml:space="preserve">13.1.2.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izravnim bruto ulaganjima</w:t>
            </w:r>
          </w:p>
          <w:p w14:paraId="1C009EDB" w14:textId="77777777" w:rsidR="00CC7D2C" w:rsidRPr="002A677E" w:rsidRDefault="00CC7D2C" w:rsidP="00320EFD">
            <w:pPr>
              <w:pStyle w:val="InstructionsText"/>
            </w:pPr>
            <w:r>
              <w:t xml:space="preserve">Članak 59. Uredbe (EU) br. 575/2013</w:t>
            </w:r>
          </w:p>
          <w:p w14:paraId="5EDAF213" w14:textId="77777777" w:rsidR="00CC7D2C" w:rsidRPr="002A677E" w:rsidRDefault="00CC7D2C" w:rsidP="00320EFD">
            <w:pPr>
              <w:pStyle w:val="InstructionsText"/>
            </w:pPr>
            <w:r>
              <w:t xml:space="preserve">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 xml:space="preserve">0340</w:t>
            </w:r>
          </w:p>
        </w:tc>
        <w:tc>
          <w:tcPr>
            <w:tcW w:w="7049" w:type="dxa"/>
          </w:tcPr>
          <w:p w14:paraId="12834DD7" w14:textId="77777777" w:rsidR="00CC7D2C" w:rsidRPr="002A677E" w:rsidRDefault="00CC7D2C" w:rsidP="00320EFD">
            <w:pPr>
              <w:pStyle w:val="InstructionsText"/>
            </w:pPr>
            <w:r>
              <w:rPr>
                <w:rStyle w:val="InstructionsTabelleberschrift"/>
                <w:sz w:val="24"/>
                <w:rFonts w:ascii="Times New Roman" w:hAnsi="Times New Roman"/>
              </w:rPr>
              <w:t xml:space="preserve">13.2.</w:t>
            </w:r>
            <w:r>
              <w:rPr>
                <w:rStyle w:val="InstructionsTabelleberschrift"/>
                <w:sz w:val="24"/>
                <w:rFonts w:ascii="Times New Roman" w:hAnsi="Times New Roman"/>
              </w:rPr>
              <w:tab/>
            </w:r>
            <w:r>
              <w:rPr>
                <w:rStyle w:val="InstructionsTabelleberschrift"/>
                <w:sz w:val="24"/>
                <w:rFonts w:ascii="Times New Roman" w:hAnsi="Times New Roman"/>
              </w:rPr>
              <w:t xml:space="preserve">Neizravna ulaganja u dodatni osnovni kapital subjekata financijskog sektora ako institucija nema značajno ulaganje</w:t>
            </w:r>
          </w:p>
          <w:p w14:paraId="524DE4E1" w14:textId="77777777" w:rsidR="00CC7D2C" w:rsidRPr="002A677E" w:rsidRDefault="00CC7D2C" w:rsidP="00320EFD">
            <w:pPr>
              <w:pStyle w:val="InstructionsText"/>
            </w:pPr>
            <w:r>
              <w:t xml:space="preserve">Članak 4. stavak 1. točka 114. i članci 58. i 59. Uredbe (EU) br.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 xml:space="preserve">0350</w:t>
            </w:r>
          </w:p>
        </w:tc>
        <w:tc>
          <w:tcPr>
            <w:tcW w:w="7049" w:type="dxa"/>
          </w:tcPr>
          <w:p w14:paraId="3C475B52" w14:textId="77777777" w:rsidR="00CC7D2C" w:rsidRPr="002A677E" w:rsidRDefault="00CC7D2C" w:rsidP="00320EFD">
            <w:pPr>
              <w:pStyle w:val="InstructionsText"/>
            </w:pPr>
            <w:r>
              <w:rPr>
                <w:rStyle w:val="InstructionsTabelleberschrift"/>
                <w:sz w:val="24"/>
                <w:rFonts w:ascii="Times New Roman" w:hAnsi="Times New Roman"/>
              </w:rPr>
              <w:t xml:space="preserve">13.2.1.</w:t>
            </w:r>
            <w:r>
              <w:rPr>
                <w:rStyle w:val="InstructionsTabelleberschrift"/>
                <w:sz w:val="24"/>
                <w:rFonts w:ascii="Times New Roman" w:hAnsi="Times New Roman"/>
              </w:rPr>
              <w:tab/>
            </w:r>
            <w:r>
              <w:rPr>
                <w:rStyle w:val="InstructionsTabelleberschrift"/>
                <w:sz w:val="24"/>
                <w:rFonts w:ascii="Times New Roman" w:hAnsi="Times New Roman"/>
              </w:rPr>
              <w:t xml:space="preserve">Bruto neizravna ulaganja u dodatni osnovni kapital subjekata financijskog sektora ako institucija nema značajno ulaganje</w:t>
            </w:r>
          </w:p>
          <w:p w14:paraId="18873CD2" w14:textId="77777777" w:rsidR="00CC7D2C" w:rsidRPr="002A677E" w:rsidRDefault="00CC7D2C" w:rsidP="00320EFD">
            <w:pPr>
              <w:pStyle w:val="InstructionsText"/>
            </w:pPr>
            <w:r>
              <w:t xml:space="preserve">Članak 4. stavak 1. točka 114. i članci 58. i 59. Uredbe (EU) br. 575/2013</w:t>
            </w:r>
          </w:p>
          <w:p w14:paraId="17350A93" w14:textId="77777777" w:rsidR="00CC7D2C" w:rsidRPr="002A677E" w:rsidRDefault="00CC7D2C" w:rsidP="00320EFD">
            <w:pPr>
              <w:pStyle w:val="InstructionsText"/>
            </w:pPr>
            <w:r>
              <w:t xml:space="preserve">Iskazuje se iznos neizravnih ulaganja u instrumente kapitala subjekata financijskog sektora u knjizi trgovanja u obliku ulaganja u indeksne vrijednosne papire.</w:t>
            </w:r>
            <w:r>
              <w:t xml:space="preserve"> </w:t>
            </w:r>
            <w:r>
              <w:t xml:space="preserve">Dobiva se izračunom odnosne izloženosti prema instrumentima kapitala subjekata financijskog sektora u indeksima.</w:t>
            </w:r>
          </w:p>
          <w:p w14:paraId="68E36B69" w14:textId="77777777" w:rsidR="00CC7D2C" w:rsidRPr="002A677E" w:rsidRDefault="00CC7D2C" w:rsidP="00320EFD">
            <w:pPr>
              <w:pStyle w:val="InstructionsText"/>
            </w:pPr>
            <w:r>
              <w:t xml:space="preserve">Ne uključuju se ulaganja koja se tretiraju kao recipročna međusobna ulaganja u skladu s člankom 56. točkom (b) Uredbe (EU) br. 575/2013.</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 xml:space="preserve">0360</w:t>
            </w:r>
          </w:p>
        </w:tc>
        <w:tc>
          <w:tcPr>
            <w:tcW w:w="7049" w:type="dxa"/>
          </w:tcPr>
          <w:p w14:paraId="1C759B69" w14:textId="77777777" w:rsidR="00CC7D2C" w:rsidRPr="002A677E" w:rsidRDefault="00CC7D2C" w:rsidP="00320EFD">
            <w:pPr>
              <w:pStyle w:val="InstructionsText"/>
            </w:pPr>
            <w:r>
              <w:rPr>
                <w:rStyle w:val="InstructionsTabelleberschrift"/>
                <w:sz w:val="24"/>
                <w:rFonts w:ascii="Times New Roman" w:hAnsi="Times New Roman"/>
              </w:rPr>
              <w:t xml:space="preserve">13.2.2.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neizravnim bruto ulaganjima</w:t>
            </w:r>
          </w:p>
          <w:p w14:paraId="66D7BED8" w14:textId="77777777" w:rsidR="00CC7D2C" w:rsidRPr="002A677E" w:rsidRDefault="00CC7D2C" w:rsidP="00320EFD">
            <w:pPr>
              <w:pStyle w:val="InstructionsText"/>
            </w:pPr>
            <w:r>
              <w:t xml:space="preserve">Članak 4. stavak 1. točka 114. i članak 59. Uredbe (EU) br. 575/2013</w:t>
            </w:r>
          </w:p>
          <w:p w14:paraId="7DC14B0B" w14:textId="77777777" w:rsidR="00CC7D2C" w:rsidRPr="002A677E" w:rsidRDefault="00CC7D2C" w:rsidP="00320EFD">
            <w:pPr>
              <w:pStyle w:val="InstructionsText"/>
            </w:pPr>
            <w:r>
              <w:t xml:space="preserve">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 xml:space="preserve">0361</w:t>
            </w:r>
          </w:p>
        </w:tc>
        <w:tc>
          <w:tcPr>
            <w:tcW w:w="7049" w:type="dxa"/>
            <w:vAlign w:val="center"/>
          </w:tcPr>
          <w:p w14:paraId="036B6DB1" w14:textId="77777777" w:rsidR="00CC7D2C" w:rsidRPr="002A677E" w:rsidRDefault="00CC7D2C" w:rsidP="00320EFD">
            <w:pPr>
              <w:pStyle w:val="InstructionsText"/>
            </w:pPr>
            <w:r>
              <w:rPr>
                <w:rStyle w:val="InstructionsTabelleberschrift"/>
                <w:sz w:val="24"/>
                <w:rFonts w:ascii="Times New Roman" w:hAnsi="Times New Roman"/>
              </w:rPr>
              <w:t xml:space="preserve">13.3.</w:t>
            </w:r>
            <w:r>
              <w:rPr>
                <w:rStyle w:val="InstructionsTabelleberschrift"/>
                <w:sz w:val="24"/>
                <w:rFonts w:ascii="Times New Roman" w:hAnsi="Times New Roman"/>
              </w:rPr>
              <w:tab/>
            </w:r>
            <w:r>
              <w:rPr>
                <w:rStyle w:val="InstructionsTabelleberschrift"/>
                <w:sz w:val="24"/>
                <w:rFonts w:ascii="Times New Roman" w:hAnsi="Times New Roman"/>
              </w:rPr>
              <w:t xml:space="preserve">Sintetska ulaganja u dodatni osnovni kapital subjekata financijskog sektora ako institucija nema značajno ulaganje</w:t>
            </w:r>
          </w:p>
          <w:p w14:paraId="4B5BDACC"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Članak 4. stavak 1. točka 126. i članci 58. i 59. Uredbe (EU) br.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t xml:space="preserve">0362</w:t>
            </w:r>
          </w:p>
        </w:tc>
        <w:tc>
          <w:tcPr>
            <w:tcW w:w="7049" w:type="dxa"/>
            <w:vAlign w:val="center"/>
          </w:tcPr>
          <w:p w14:paraId="1AB1D048" w14:textId="77777777" w:rsidR="00CC7D2C" w:rsidRPr="002A677E" w:rsidRDefault="00CC7D2C" w:rsidP="00320EFD">
            <w:pPr>
              <w:pStyle w:val="InstructionsText"/>
            </w:pPr>
            <w:r>
              <w:rPr>
                <w:rStyle w:val="InstructionsTabelleberschrift"/>
                <w:sz w:val="24"/>
                <w:rFonts w:ascii="Times New Roman" w:hAnsi="Times New Roman"/>
              </w:rPr>
              <w:t xml:space="preserve">13.3.1.</w:t>
            </w:r>
            <w:r>
              <w:rPr>
                <w:rStyle w:val="InstructionsTabelleberschrift"/>
                <w:sz w:val="24"/>
                <w:rFonts w:ascii="Times New Roman" w:hAnsi="Times New Roman"/>
              </w:rPr>
              <w:tab/>
            </w:r>
            <w:r>
              <w:rPr>
                <w:rStyle w:val="InstructionsTabelleberschrift"/>
                <w:sz w:val="24"/>
                <w:rFonts w:ascii="Times New Roman" w:hAnsi="Times New Roman"/>
              </w:rPr>
              <w:t xml:space="preserve">Bruto sintetska ulaganja u dodatni osnovni kapital subjekata financijskog sektora ako institucija nema značajno ulaganje</w:t>
            </w:r>
          </w:p>
          <w:p w14:paraId="32901ED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Članak 4. stavak 1. točka 126. i članci 58. i 59. Uredbe (EU) br.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 xml:space="preserve">0363</w:t>
            </w:r>
          </w:p>
        </w:tc>
        <w:tc>
          <w:tcPr>
            <w:tcW w:w="7049" w:type="dxa"/>
            <w:vAlign w:val="center"/>
          </w:tcPr>
          <w:p w14:paraId="28BA1E67" w14:textId="77777777" w:rsidR="00CC7D2C" w:rsidRPr="002A677E" w:rsidRDefault="00CC7D2C" w:rsidP="00320EFD">
            <w:pPr>
              <w:pStyle w:val="InstructionsText"/>
            </w:pPr>
            <w:r>
              <w:rPr>
                <w:rStyle w:val="InstructionsTabelleberschrift"/>
                <w:sz w:val="24"/>
                <w:rFonts w:ascii="Times New Roman" w:hAnsi="Times New Roman"/>
              </w:rPr>
              <w:t xml:space="preserve">13.3.2.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sintetskim bruto ulaganjima</w:t>
            </w:r>
          </w:p>
          <w:p w14:paraId="072D1CD4" w14:textId="77777777" w:rsidR="00CC7D2C" w:rsidRPr="002A677E" w:rsidRDefault="00CC7D2C" w:rsidP="00320EFD">
            <w:pPr>
              <w:pStyle w:val="InstructionsText"/>
            </w:pPr>
            <w:r>
              <w:t xml:space="preserve">Članak 4. stavak 1. točka 126. i članak 59.</w:t>
            </w:r>
            <w:r>
              <w:t xml:space="preserve"> Uredbe (EU) br. 575/2013</w:t>
            </w:r>
          </w:p>
          <w:p w14:paraId="68B7A876"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 xml:space="preserve">0370</w:t>
            </w:r>
          </w:p>
        </w:tc>
        <w:tc>
          <w:tcPr>
            <w:tcW w:w="7049" w:type="dxa"/>
          </w:tcPr>
          <w:p w14:paraId="04EC7CD0" w14:textId="77777777" w:rsidR="00CC7D2C" w:rsidRPr="002A677E" w:rsidRDefault="00CC7D2C" w:rsidP="00320EFD">
            <w:pPr>
              <w:pStyle w:val="InstructionsText"/>
            </w:pPr>
            <w:r>
              <w:rPr>
                <w:rStyle w:val="InstructionsTabelleberschrift"/>
                <w:sz w:val="24"/>
                <w:rFonts w:ascii="Times New Roman" w:hAnsi="Times New Roman"/>
              </w:rPr>
              <w:t xml:space="preserve">14.</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dopunski kapital subjekata financijskog sektora ako institucija nema značajno ulaganje, ne uključujući kratke pozicije</w:t>
            </w:r>
          </w:p>
          <w:p w14:paraId="7F7CE21E" w14:textId="77777777" w:rsidR="00CC7D2C" w:rsidRPr="002A677E" w:rsidRDefault="00CC7D2C" w:rsidP="00320EFD">
            <w:pPr>
              <w:pStyle w:val="InstructionsText"/>
            </w:pPr>
            <w:r>
              <w:t xml:space="preserve">Članci 68., 69. i 70. Uredbe (EU) br.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 xml:space="preserve">0380</w:t>
            </w:r>
          </w:p>
        </w:tc>
        <w:tc>
          <w:tcPr>
            <w:tcW w:w="7049" w:type="dxa"/>
          </w:tcPr>
          <w:p w14:paraId="14053A9D" w14:textId="77777777" w:rsidR="00CC7D2C" w:rsidRPr="002A677E" w:rsidRDefault="00CC7D2C" w:rsidP="00320EFD">
            <w:pPr>
              <w:pStyle w:val="InstructionsText"/>
            </w:pPr>
            <w:r>
              <w:rPr>
                <w:rStyle w:val="InstructionsTabelleberschrift"/>
                <w:sz w:val="24"/>
                <w:rFonts w:ascii="Times New Roman" w:hAnsi="Times New Roman"/>
              </w:rPr>
              <w:t xml:space="preserve">14.1.</w:t>
            </w:r>
            <w:r>
              <w:rPr>
                <w:rStyle w:val="InstructionsTabelleberschrift"/>
                <w:sz w:val="24"/>
                <w:rFonts w:ascii="Times New Roman" w:hAnsi="Times New Roman"/>
              </w:rPr>
              <w:tab/>
            </w:r>
            <w:r>
              <w:rPr>
                <w:rStyle w:val="InstructionsTabelleberschrift"/>
                <w:sz w:val="24"/>
                <w:rFonts w:ascii="Times New Roman" w:hAnsi="Times New Roman"/>
              </w:rPr>
              <w:t xml:space="preserve">Izravna ulaganja u dopunski kapital subjekata financijskog sektora ako institucija nema značajno ulaganje</w:t>
            </w:r>
          </w:p>
          <w:p w14:paraId="27A664CA" w14:textId="77777777" w:rsidR="00CC7D2C" w:rsidRPr="002A677E" w:rsidRDefault="00CC7D2C" w:rsidP="00320EFD">
            <w:pPr>
              <w:pStyle w:val="InstructionsText"/>
            </w:pPr>
            <w:r>
              <w:t xml:space="preserve">Članci 68. i 69. te članak 70. stavak 2. Uredbe (EU) br.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 xml:space="preserve">0390</w:t>
            </w:r>
          </w:p>
        </w:tc>
        <w:tc>
          <w:tcPr>
            <w:tcW w:w="7049" w:type="dxa"/>
          </w:tcPr>
          <w:p w14:paraId="68C193DA" w14:textId="77777777" w:rsidR="00CC7D2C" w:rsidRPr="002A677E" w:rsidRDefault="00CC7D2C" w:rsidP="00320EFD">
            <w:pPr>
              <w:pStyle w:val="InstructionsText"/>
            </w:pPr>
            <w:r>
              <w:rPr>
                <w:rStyle w:val="InstructionsTabelleberschrift"/>
                <w:sz w:val="24"/>
                <w:rFonts w:ascii="Times New Roman" w:hAnsi="Times New Roman"/>
              </w:rPr>
              <w:t xml:space="preserve">14.1.1.</w:t>
            </w:r>
            <w:r>
              <w:rPr>
                <w:rStyle w:val="InstructionsTabelleberschrift"/>
                <w:sz w:val="24"/>
                <w:rFonts w:ascii="Times New Roman" w:hAnsi="Times New Roman"/>
              </w:rPr>
              <w:tab/>
            </w:r>
            <w:r>
              <w:rPr>
                <w:rStyle w:val="InstructionsTabelleberschrift"/>
                <w:sz w:val="24"/>
                <w:rFonts w:ascii="Times New Roman" w:hAnsi="Times New Roman"/>
              </w:rPr>
              <w:t xml:space="preserve">Bruto izravna ulaganja u dopunski kapital subjekata financijskog sektora ako institucija nema značajno ulaganje</w:t>
            </w:r>
          </w:p>
          <w:p w14:paraId="65520E33" w14:textId="77777777" w:rsidR="00CC7D2C" w:rsidRPr="002A677E" w:rsidRDefault="00CC7D2C" w:rsidP="00320EFD">
            <w:pPr>
              <w:pStyle w:val="InstructionsText"/>
            </w:pPr>
            <w:r>
              <w:t xml:space="preserve">Članak 68. i članak 70. stavak 2. Uredbe (EU) br. 575/2013</w:t>
            </w:r>
          </w:p>
          <w:p w14:paraId="17F7ABF9" w14:textId="77777777" w:rsidR="00CC7D2C" w:rsidRPr="002A677E" w:rsidRDefault="00CC7D2C" w:rsidP="00320EFD">
            <w:pPr>
              <w:pStyle w:val="InstructionsText"/>
            </w:pPr>
            <w:r>
              <w:t xml:space="preserve">Izravna ulaganja u dopunski kapital subjekata financijskog sektora ako institucija nema značajno ulaganje, isključujući:</w:t>
            </w:r>
          </w:p>
          <w:p w14:paraId="138D2316" w14:textId="77777777" w:rsidR="00CC7D2C" w:rsidRPr="002A677E" w:rsidRDefault="00CC7D2C" w:rsidP="00320EFD">
            <w:pPr>
              <w:pStyle w:val="InstructionsText"/>
            </w:pPr>
            <w:r>
              <w:t xml:space="preserve">a)</w:t>
            </w:r>
            <w:r>
              <w:tab/>
            </w:r>
            <w:r>
              <w:t xml:space="preserve">pozicije proizišle iz usluge provedbe ponude odnosno prodaje financijskih instrumenata uz obvezu otkupa koje se drže najviše 5 radnih dana;</w:t>
            </w:r>
            <w:r>
              <w:t xml:space="preserve"> </w:t>
            </w:r>
            <w:r>
              <w:t xml:space="preserve">i</w:t>
            </w:r>
            <w:r>
              <w:t xml:space="preserve"> </w:t>
            </w:r>
          </w:p>
          <w:p w14:paraId="2887BC3D" w14:textId="77777777" w:rsidR="00CC7D2C" w:rsidRPr="002A677E" w:rsidRDefault="00CC7D2C" w:rsidP="00320EFD">
            <w:pPr>
              <w:pStyle w:val="InstructionsText"/>
            </w:pPr>
            <w:r>
              <w:t xml:space="preserve">b)</w:t>
            </w:r>
            <w:r>
              <w:tab/>
            </w:r>
            <w:r>
              <w:t xml:space="preserve">ulaganja koja se tretiraju kao recipročna međusobna ulaganja u skladu s člankom 66. točkom (b) Uredbe (EU) br.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 xml:space="preserve">0400</w:t>
            </w:r>
          </w:p>
        </w:tc>
        <w:tc>
          <w:tcPr>
            <w:tcW w:w="7049" w:type="dxa"/>
          </w:tcPr>
          <w:p w14:paraId="2A3DABB5" w14:textId="77777777" w:rsidR="00CC7D2C" w:rsidRPr="002A677E" w:rsidRDefault="00CC7D2C" w:rsidP="00320EFD">
            <w:pPr>
              <w:pStyle w:val="InstructionsText"/>
            </w:pPr>
            <w:r>
              <w:rPr>
                <w:rStyle w:val="InstructionsTabelleberschrift"/>
                <w:sz w:val="24"/>
                <w:rFonts w:ascii="Times New Roman" w:hAnsi="Times New Roman"/>
              </w:rPr>
              <w:t xml:space="preserve">14.1.2.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izravnim bruto ulaganjima</w:t>
            </w:r>
          </w:p>
          <w:p w14:paraId="1AF115D3" w14:textId="77777777" w:rsidR="00CC7D2C" w:rsidRPr="002A677E" w:rsidRDefault="00CC7D2C" w:rsidP="00320EFD">
            <w:pPr>
              <w:pStyle w:val="InstructionsText"/>
            </w:pPr>
            <w:r>
              <w:t xml:space="preserve">Članak 69. Uredbe (EU) br. 575/2013</w:t>
            </w:r>
          </w:p>
          <w:p w14:paraId="2DDF012E" w14:textId="77777777" w:rsidR="00CC7D2C" w:rsidRPr="002A677E" w:rsidRDefault="00CC7D2C" w:rsidP="00320EFD">
            <w:pPr>
              <w:pStyle w:val="InstructionsText"/>
            </w:pPr>
            <w:r>
              <w:t xml:space="preserve">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t xml:space="preserve">0410</w:t>
            </w:r>
          </w:p>
        </w:tc>
        <w:tc>
          <w:tcPr>
            <w:tcW w:w="7049" w:type="dxa"/>
          </w:tcPr>
          <w:p w14:paraId="0411814E" w14:textId="77777777" w:rsidR="00CC7D2C" w:rsidRPr="002A677E" w:rsidRDefault="00CC7D2C" w:rsidP="00320EFD">
            <w:pPr>
              <w:pStyle w:val="InstructionsText"/>
            </w:pPr>
            <w:r>
              <w:rPr>
                <w:rStyle w:val="InstructionsTabelleberschrift"/>
                <w:sz w:val="24"/>
                <w:rFonts w:ascii="Times New Roman" w:hAnsi="Times New Roman"/>
              </w:rPr>
              <w:t xml:space="preserve">14.2.</w:t>
            </w:r>
            <w:r>
              <w:rPr>
                <w:rStyle w:val="InstructionsTabelleberschrift"/>
                <w:sz w:val="24"/>
                <w:rFonts w:ascii="Times New Roman" w:hAnsi="Times New Roman"/>
              </w:rPr>
              <w:tab/>
            </w:r>
            <w:r>
              <w:rPr>
                <w:rStyle w:val="InstructionsTabelleberschrift"/>
                <w:sz w:val="24"/>
                <w:rFonts w:ascii="Times New Roman" w:hAnsi="Times New Roman"/>
              </w:rPr>
              <w:t xml:space="preserve">Neizravna ulaganja u dopunski kapital subjekata financijskog sektora ako institucija nema značajno ulaganje</w:t>
            </w:r>
          </w:p>
          <w:p w14:paraId="2E9A4143" w14:textId="77777777" w:rsidR="00CC7D2C" w:rsidRPr="002A677E" w:rsidRDefault="00CC7D2C" w:rsidP="00320EFD">
            <w:pPr>
              <w:pStyle w:val="InstructionsText"/>
            </w:pPr>
            <w:r>
              <w:t xml:space="preserve">Članak 4. stavak 1. točka 114. i članci 68. i 69. Uredbe (EU) br.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 xml:space="preserve">0420</w:t>
            </w:r>
          </w:p>
        </w:tc>
        <w:tc>
          <w:tcPr>
            <w:tcW w:w="7049" w:type="dxa"/>
          </w:tcPr>
          <w:p w14:paraId="010CE0F5" w14:textId="77777777" w:rsidR="00CC7D2C" w:rsidRPr="002A677E" w:rsidRDefault="00CC7D2C" w:rsidP="00320EFD">
            <w:pPr>
              <w:pStyle w:val="InstructionsText"/>
            </w:pPr>
            <w:r>
              <w:rPr>
                <w:rStyle w:val="InstructionsTabelleberschrift"/>
                <w:sz w:val="24"/>
                <w:rFonts w:ascii="Times New Roman" w:hAnsi="Times New Roman"/>
              </w:rPr>
              <w:t xml:space="preserve">14.2.1.</w:t>
            </w:r>
            <w:r>
              <w:rPr>
                <w:rStyle w:val="InstructionsTabelleberschrift"/>
                <w:sz w:val="24"/>
                <w:rFonts w:ascii="Times New Roman" w:hAnsi="Times New Roman"/>
              </w:rPr>
              <w:tab/>
            </w:r>
            <w:r>
              <w:rPr>
                <w:rStyle w:val="InstructionsTabelleberschrift"/>
                <w:sz w:val="24"/>
                <w:rFonts w:ascii="Times New Roman" w:hAnsi="Times New Roman"/>
              </w:rPr>
              <w:t xml:space="preserve">Bruto neizravna ulaganja u dopunski kapital subjekata financijskog sektora ako institucija nema značajno ulaganje</w:t>
            </w:r>
          </w:p>
          <w:p w14:paraId="661ED498" w14:textId="77777777" w:rsidR="00CC7D2C" w:rsidRPr="002A677E" w:rsidRDefault="00CC7D2C" w:rsidP="00320EFD">
            <w:pPr>
              <w:pStyle w:val="InstructionsText"/>
            </w:pPr>
            <w:r>
              <w:t xml:space="preserve">Članak 4. stavak 1. točka 114. i članci 68. i 69. Uredbe (EU) br. 575/2013</w:t>
            </w:r>
          </w:p>
          <w:p w14:paraId="47CEB0E6" w14:textId="77777777" w:rsidR="00CC7D2C" w:rsidRPr="002A677E" w:rsidRDefault="00CC7D2C" w:rsidP="00320EFD">
            <w:pPr>
              <w:pStyle w:val="InstructionsText"/>
            </w:pPr>
            <w:r>
              <w:t xml:space="preserve">Iskazuje se iznos neizravnih ulaganja u instrumente kapitala subjekata financijskog sektora u knjizi trgovanja u obliku ulaganja u indeksne vrijednosne papire.</w:t>
            </w:r>
            <w:r>
              <w:t xml:space="preserve"> </w:t>
            </w:r>
            <w:r>
              <w:t xml:space="preserve">Dobiva se izračunom odnosne izloženosti prema instrumentima kapitala subjekata financijskog sektora u indeksima.</w:t>
            </w:r>
          </w:p>
          <w:p w14:paraId="5F653926" w14:textId="77777777" w:rsidR="00CC7D2C" w:rsidRPr="002A677E" w:rsidRDefault="00CC7D2C" w:rsidP="00320EFD">
            <w:pPr>
              <w:pStyle w:val="InstructionsText"/>
            </w:pPr>
            <w:r>
              <w:t xml:space="preserve">Ne uključuju se ulaganja koja se tretiraju kao recipročna međusobna ulaganja u skladu s člankom 66. točkom (b) Uredbe (EU) br. 575/2013.</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 xml:space="preserve">0430</w:t>
            </w:r>
          </w:p>
        </w:tc>
        <w:tc>
          <w:tcPr>
            <w:tcW w:w="7049" w:type="dxa"/>
          </w:tcPr>
          <w:p w14:paraId="05B2F446" w14:textId="77777777" w:rsidR="00CC7D2C" w:rsidRPr="002A677E" w:rsidRDefault="00CC7D2C" w:rsidP="00320EFD">
            <w:pPr>
              <w:pStyle w:val="InstructionsText"/>
            </w:pPr>
            <w:r>
              <w:rPr>
                <w:rStyle w:val="InstructionsTabelleberschrift"/>
                <w:sz w:val="24"/>
                <w:rFonts w:ascii="Times New Roman" w:hAnsi="Times New Roman"/>
              </w:rPr>
              <w:t xml:space="preserve">14.2.2.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neizravnim bruto ulaganjima</w:t>
            </w:r>
          </w:p>
          <w:p w14:paraId="3D51CA91" w14:textId="77777777" w:rsidR="00CC7D2C" w:rsidRPr="002A677E" w:rsidRDefault="00CC7D2C" w:rsidP="00320EFD">
            <w:pPr>
              <w:pStyle w:val="InstructionsText"/>
            </w:pPr>
            <w:r>
              <w:t xml:space="preserve">Članak 4. stavak 1. točka 114. i članak 69. Uredbe (EU) br. 575/2013</w:t>
            </w:r>
          </w:p>
          <w:p w14:paraId="05D4EBCE" w14:textId="77777777" w:rsidR="00CC7D2C" w:rsidRPr="002A677E" w:rsidRDefault="00CC7D2C" w:rsidP="00320EFD">
            <w:pPr>
              <w:pStyle w:val="InstructionsText"/>
            </w:pPr>
            <w:r>
              <w:t xml:space="preserve">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 xml:space="preserve">0431</w:t>
            </w:r>
          </w:p>
        </w:tc>
        <w:tc>
          <w:tcPr>
            <w:tcW w:w="7049" w:type="dxa"/>
          </w:tcPr>
          <w:p w14:paraId="5B185F2E" w14:textId="77777777" w:rsidR="00CC7D2C" w:rsidRPr="002A677E" w:rsidRDefault="00CC7D2C" w:rsidP="00320EFD">
            <w:pPr>
              <w:pStyle w:val="InstructionsText"/>
            </w:pPr>
            <w:r>
              <w:rPr>
                <w:rStyle w:val="InstructionsTabelleberschrift"/>
                <w:sz w:val="24"/>
                <w:rFonts w:ascii="Times New Roman" w:hAnsi="Times New Roman"/>
              </w:rPr>
              <w:t xml:space="preserve">14.3.</w:t>
            </w:r>
            <w:r>
              <w:rPr>
                <w:rStyle w:val="InstructionsTabelleberschrift"/>
                <w:sz w:val="24"/>
                <w:rFonts w:ascii="Times New Roman" w:hAnsi="Times New Roman"/>
              </w:rPr>
              <w:tab/>
            </w:r>
            <w:r>
              <w:rPr>
                <w:rStyle w:val="InstructionsTabelleberschrift"/>
                <w:sz w:val="24"/>
                <w:rFonts w:ascii="Times New Roman" w:hAnsi="Times New Roman"/>
              </w:rPr>
              <w:t xml:space="preserve">Sintetska ulaganja u dopunski kapital subjekata financijskog sektora ako institucija nema značajno ulaganje</w:t>
            </w:r>
          </w:p>
          <w:p w14:paraId="51085EB2" w14:textId="77777777" w:rsidR="00CC7D2C" w:rsidRPr="002A677E" w:rsidRDefault="00CC7D2C" w:rsidP="00320EFD">
            <w:pPr>
              <w:pStyle w:val="InstructionsText"/>
              <w:rPr>
                <w:rStyle w:val="InstructionsTabelleberschrift"/>
                <w:sz w:val="24"/>
                <w:rFonts w:ascii="Times New Roman" w:hAnsi="Times New Roman"/>
              </w:rPr>
            </w:pPr>
            <w:r>
              <w:t xml:space="preserve">Članak 4. stavak 1. točka 126. i članci 68. i 69. Uredbe (EU) br.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 xml:space="preserve">0432</w:t>
            </w:r>
          </w:p>
        </w:tc>
        <w:tc>
          <w:tcPr>
            <w:tcW w:w="7049" w:type="dxa"/>
          </w:tcPr>
          <w:p w14:paraId="04B98A3C" w14:textId="77777777" w:rsidR="00CC7D2C" w:rsidRPr="002A677E" w:rsidRDefault="00CC7D2C" w:rsidP="00320EFD">
            <w:pPr>
              <w:pStyle w:val="InstructionsText"/>
            </w:pPr>
            <w:r>
              <w:rPr>
                <w:rStyle w:val="InstructionsTabelleberschrift"/>
                <w:sz w:val="24"/>
                <w:rFonts w:ascii="Times New Roman" w:hAnsi="Times New Roman"/>
              </w:rPr>
              <w:t xml:space="preserve">14.3.1.</w:t>
            </w:r>
            <w:r>
              <w:rPr>
                <w:rStyle w:val="InstructionsTabelleberschrift"/>
                <w:sz w:val="24"/>
                <w:rFonts w:ascii="Times New Roman" w:hAnsi="Times New Roman"/>
              </w:rPr>
              <w:tab/>
            </w:r>
            <w:r>
              <w:rPr>
                <w:rStyle w:val="InstructionsTabelleberschrift"/>
                <w:sz w:val="24"/>
                <w:rFonts w:ascii="Times New Roman" w:hAnsi="Times New Roman"/>
              </w:rPr>
              <w:t xml:space="preserve">Bruto sintetska ulaganja u dopunski kapital subjekata financijskog sektora ako institucija nema značajno ulaganje</w:t>
            </w:r>
          </w:p>
          <w:p w14:paraId="5CF8D059"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Članak 4. stavak 1. točka 126. i članci 68. i 69. Uredbe (EU) br.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 xml:space="preserve">0433</w:t>
            </w:r>
          </w:p>
        </w:tc>
        <w:tc>
          <w:tcPr>
            <w:tcW w:w="7049" w:type="dxa"/>
          </w:tcPr>
          <w:p w14:paraId="7629D40E" w14:textId="77777777" w:rsidR="00CC7D2C" w:rsidRPr="002A677E" w:rsidRDefault="00CC7D2C" w:rsidP="00320EFD">
            <w:pPr>
              <w:pStyle w:val="InstructionsText"/>
            </w:pPr>
            <w:r>
              <w:rPr>
                <w:rStyle w:val="InstructionsTabelleberschrift"/>
                <w:sz w:val="24"/>
                <w:rFonts w:ascii="Times New Roman" w:hAnsi="Times New Roman"/>
              </w:rPr>
              <w:t xml:space="preserve">14.3.2.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sintetskim bruto ulaganjima</w:t>
            </w:r>
          </w:p>
          <w:p w14:paraId="3DB92575" w14:textId="77777777" w:rsidR="00CC7D2C" w:rsidRPr="002A677E" w:rsidRDefault="00CC7D2C" w:rsidP="00320EFD">
            <w:pPr>
              <w:pStyle w:val="InstructionsText"/>
            </w:pPr>
            <w:r>
              <w:t xml:space="preserve">Članak 4. stavak 1. točka 126. i članak 69. Uredbe (EU) br. 575/2013</w:t>
            </w:r>
          </w:p>
          <w:p w14:paraId="02DEC376"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t xml:space="preserve">0440</w:t>
            </w:r>
          </w:p>
        </w:tc>
        <w:tc>
          <w:tcPr>
            <w:tcW w:w="7049" w:type="dxa"/>
          </w:tcPr>
          <w:p w14:paraId="0FF9C857" w14:textId="77777777" w:rsidR="00CC7D2C" w:rsidRPr="002A677E" w:rsidRDefault="00CC7D2C" w:rsidP="00320EFD">
            <w:pPr>
              <w:pStyle w:val="InstructionsText"/>
            </w:pPr>
            <w:r>
              <w:rPr>
                <w:rStyle w:val="InstructionsTabelleberschrift"/>
                <w:sz w:val="24"/>
                <w:rFonts w:ascii="Times New Roman" w:hAnsi="Times New Roman"/>
              </w:rPr>
              <w:t xml:space="preserve">15.</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redovni osnovni kapital subjekata financijskog sektora ako institucija ima značajno ulaganje, ne uključujući kratke pozicije</w:t>
            </w:r>
          </w:p>
          <w:p w14:paraId="7C875F9C" w14:textId="77777777" w:rsidR="00CC7D2C" w:rsidRPr="002A677E" w:rsidRDefault="00CC7D2C" w:rsidP="00320EFD">
            <w:pPr>
              <w:pStyle w:val="InstructionsText"/>
            </w:pPr>
            <w:r>
              <w:t xml:space="preserve">Članci 44., 45., 47. i 49. Uredbe (EU) br.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 xml:space="preserve">0450</w:t>
            </w:r>
          </w:p>
        </w:tc>
        <w:tc>
          <w:tcPr>
            <w:tcW w:w="7049" w:type="dxa"/>
          </w:tcPr>
          <w:p w14:paraId="67599E27" w14:textId="77777777" w:rsidR="00CC7D2C" w:rsidRPr="002A677E" w:rsidRDefault="00CC7D2C" w:rsidP="00320EFD">
            <w:pPr>
              <w:pStyle w:val="InstructionsText"/>
            </w:pPr>
            <w:r>
              <w:rPr>
                <w:rStyle w:val="InstructionsTabelleberschrift"/>
                <w:sz w:val="24"/>
                <w:rFonts w:ascii="Times New Roman" w:hAnsi="Times New Roman"/>
              </w:rPr>
              <w:t xml:space="preserve">15.1.</w:t>
            </w:r>
            <w:r>
              <w:rPr>
                <w:rStyle w:val="InstructionsTabelleberschrift"/>
                <w:sz w:val="24"/>
                <w:rFonts w:ascii="Times New Roman" w:hAnsi="Times New Roman"/>
              </w:rPr>
              <w:tab/>
            </w:r>
            <w:r>
              <w:rPr>
                <w:rStyle w:val="InstructionsTabelleberschrift"/>
                <w:sz w:val="24"/>
                <w:rFonts w:ascii="Times New Roman" w:hAnsi="Times New Roman"/>
              </w:rPr>
              <w:t xml:space="preserve">Izravna ulaganja u redovni osnovni kapital subjekata financijskog sektora ako institucija ima značajno ulaganje</w:t>
            </w:r>
          </w:p>
          <w:p w14:paraId="741527BD" w14:textId="77777777" w:rsidR="00CC7D2C" w:rsidRPr="002A677E" w:rsidRDefault="00CC7D2C" w:rsidP="00320EFD">
            <w:pPr>
              <w:pStyle w:val="InstructionsText"/>
            </w:pPr>
            <w:r>
              <w:t xml:space="preserve">Članci 44., 45., 47. i 49. Uredbe (EU) br.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 xml:space="preserve">0460</w:t>
            </w:r>
          </w:p>
        </w:tc>
        <w:tc>
          <w:tcPr>
            <w:tcW w:w="7049" w:type="dxa"/>
          </w:tcPr>
          <w:p w14:paraId="2B980E39" w14:textId="77777777" w:rsidR="00CC7D2C" w:rsidRPr="002A677E" w:rsidRDefault="00CC7D2C" w:rsidP="00320EFD">
            <w:pPr>
              <w:pStyle w:val="InstructionsText"/>
            </w:pPr>
            <w:r>
              <w:rPr>
                <w:rStyle w:val="InstructionsTabelleberschrift"/>
                <w:sz w:val="24"/>
                <w:rFonts w:ascii="Times New Roman" w:hAnsi="Times New Roman"/>
              </w:rPr>
              <w:t xml:space="preserve">15.1.1.</w:t>
            </w:r>
            <w:r>
              <w:rPr>
                <w:rStyle w:val="InstructionsTabelleberschrift"/>
                <w:sz w:val="24"/>
                <w:rFonts w:ascii="Times New Roman" w:hAnsi="Times New Roman"/>
              </w:rPr>
              <w:tab/>
            </w:r>
            <w:r>
              <w:rPr>
                <w:rStyle w:val="InstructionsTabelleberschrift"/>
                <w:sz w:val="24"/>
                <w:rFonts w:ascii="Times New Roman" w:hAnsi="Times New Roman"/>
              </w:rPr>
              <w:t xml:space="preserve">Bruto izravna ulaganja u redovni osnovni kapital subjekata financijskog sektora ako institucija ima značajno ulaganje</w:t>
            </w:r>
          </w:p>
          <w:p w14:paraId="036661F9" w14:textId="77777777" w:rsidR="00CC7D2C" w:rsidRPr="002A677E" w:rsidRDefault="00CC7D2C" w:rsidP="00320EFD">
            <w:pPr>
              <w:pStyle w:val="InstructionsText"/>
            </w:pPr>
            <w:r>
              <w:t xml:space="preserve">Članci 44., 45., 47. i 49. Uredbe (EU) br. 575/2013</w:t>
            </w:r>
          </w:p>
          <w:p w14:paraId="09C948F4" w14:textId="77777777" w:rsidR="00CC7D2C" w:rsidRPr="002A677E" w:rsidRDefault="00CC7D2C" w:rsidP="00320EFD">
            <w:pPr>
              <w:pStyle w:val="InstructionsText"/>
            </w:pPr>
            <w:r>
              <w:t xml:space="preserve">Izravna ulaganja u redovni osnovni kapital subjekata financijskog sektora ako institucija ima značajno ulaganje, isključujući:</w:t>
            </w:r>
          </w:p>
          <w:p w14:paraId="0A0074A9" w14:textId="77777777" w:rsidR="00CC7D2C" w:rsidRPr="002A677E" w:rsidRDefault="00CC7D2C" w:rsidP="00320EFD">
            <w:pPr>
              <w:pStyle w:val="InstructionsText"/>
            </w:pPr>
            <w:r>
              <w:t xml:space="preserve">a)</w:t>
            </w:r>
            <w:r>
              <w:tab/>
            </w:r>
            <w:r>
              <w:t xml:space="preserve">pozicije proizišle iz usluge provedbe ponude odnosno prodaje financijskih instrumenata uz obvezu otkupa koje se drže najviše 5 radnih dana;</w:t>
            </w:r>
            <w:r>
              <w:t xml:space="preserve"> </w:t>
            </w:r>
          </w:p>
          <w:p w14:paraId="4E883DD4" w14:textId="77777777" w:rsidR="00CC7D2C" w:rsidRPr="002A677E" w:rsidRDefault="00CC7D2C" w:rsidP="00320EFD">
            <w:pPr>
              <w:pStyle w:val="InstructionsText"/>
            </w:pPr>
            <w:r>
              <w:t xml:space="preserve">b)</w:t>
            </w:r>
            <w:r>
              <w:tab/>
            </w:r>
            <w:r>
              <w:t xml:space="preserve">iznose koji se odnose na ulaganja za koja se primjenjuje bilo koja mogućnost iz članka 49.</w:t>
            </w:r>
            <w:r>
              <w:t xml:space="preserve"> </w:t>
            </w:r>
            <w:r>
              <w:t xml:space="preserve">i</w:t>
            </w:r>
            <w:r>
              <w:t xml:space="preserve"> </w:t>
            </w:r>
          </w:p>
          <w:p w14:paraId="5BB8BDF6" w14:textId="77777777" w:rsidR="00CC7D2C" w:rsidRPr="002A677E" w:rsidRDefault="00CC7D2C" w:rsidP="00320EFD">
            <w:pPr>
              <w:pStyle w:val="InstructionsText"/>
            </w:pPr>
            <w:r>
              <w:t xml:space="preserve">c)</w:t>
            </w:r>
            <w:r>
              <w:tab/>
            </w:r>
            <w:r>
              <w:t xml:space="preserve">ulaganja koja se tretiraju kao recipročna međusobna ulaganja u skladu s člankom 36. stavkom 1. točkom (g) Uredbe (EU) br.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 xml:space="preserve">0470</w:t>
            </w:r>
          </w:p>
        </w:tc>
        <w:tc>
          <w:tcPr>
            <w:tcW w:w="7049" w:type="dxa"/>
          </w:tcPr>
          <w:p w14:paraId="4713E01D" w14:textId="77777777" w:rsidR="00CC7D2C" w:rsidRPr="002A677E" w:rsidRDefault="00CC7D2C" w:rsidP="00320EFD">
            <w:pPr>
              <w:pStyle w:val="InstructionsText"/>
            </w:pPr>
            <w:r>
              <w:rPr>
                <w:rStyle w:val="InstructionsTabelleberschrift"/>
                <w:sz w:val="24"/>
                <w:rFonts w:ascii="Times New Roman" w:hAnsi="Times New Roman"/>
              </w:rPr>
              <w:t xml:space="preserve">15.1.2.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izravnim bruto ulaganjima</w:t>
            </w:r>
          </w:p>
          <w:p w14:paraId="608988C8" w14:textId="77777777" w:rsidR="00CC7D2C" w:rsidRPr="002A677E" w:rsidRDefault="00CC7D2C" w:rsidP="00320EFD">
            <w:pPr>
              <w:pStyle w:val="InstructionsText"/>
            </w:pPr>
            <w:r>
              <w:t xml:space="preserve">Članak 45. Uredbe (EU) br. 575/2013</w:t>
            </w:r>
          </w:p>
          <w:p w14:paraId="17514F1A" w14:textId="77777777" w:rsidR="00CC7D2C" w:rsidRPr="002A677E" w:rsidRDefault="00CC7D2C" w:rsidP="00320EFD">
            <w:pPr>
              <w:pStyle w:val="InstructionsText"/>
            </w:pPr>
            <w:r>
              <w:t xml:space="preserve">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 xml:space="preserve">0480</w:t>
            </w:r>
          </w:p>
        </w:tc>
        <w:tc>
          <w:tcPr>
            <w:tcW w:w="7049" w:type="dxa"/>
          </w:tcPr>
          <w:p w14:paraId="761DBFD7" w14:textId="77777777" w:rsidR="00CC7D2C" w:rsidRPr="002A677E" w:rsidRDefault="00CC7D2C" w:rsidP="00320EFD">
            <w:pPr>
              <w:pStyle w:val="InstructionsText"/>
            </w:pPr>
            <w:r>
              <w:rPr>
                <w:rStyle w:val="InstructionsTabelleberschrift"/>
                <w:sz w:val="24"/>
                <w:rFonts w:ascii="Times New Roman" w:hAnsi="Times New Roman"/>
              </w:rPr>
              <w:t xml:space="preserve">15.2.</w:t>
            </w:r>
            <w:r>
              <w:rPr>
                <w:rStyle w:val="InstructionsTabelleberschrift"/>
                <w:sz w:val="24"/>
                <w:rFonts w:ascii="Times New Roman" w:hAnsi="Times New Roman"/>
              </w:rPr>
              <w:tab/>
            </w:r>
            <w:r>
              <w:rPr>
                <w:rStyle w:val="InstructionsTabelleberschrift"/>
                <w:sz w:val="24"/>
                <w:rFonts w:ascii="Times New Roman" w:hAnsi="Times New Roman"/>
              </w:rPr>
              <w:t xml:space="preserve">Neizravna ulaganja u redovni osnovni kapital subjekata financijskog sektora ako institucija ima značajno ulaganje</w:t>
            </w:r>
          </w:p>
          <w:p w14:paraId="6E5583DA" w14:textId="77777777" w:rsidR="00CC7D2C" w:rsidRPr="002A677E" w:rsidRDefault="00CC7D2C" w:rsidP="00320EFD">
            <w:pPr>
              <w:pStyle w:val="InstructionsText"/>
            </w:pPr>
            <w:r>
              <w:t xml:space="preserve">Članak 4. stavak 1. točka 114. i članci 44. i 45. Uredbe (EU) br.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t xml:space="preserve">0490</w:t>
            </w:r>
          </w:p>
        </w:tc>
        <w:tc>
          <w:tcPr>
            <w:tcW w:w="7049" w:type="dxa"/>
          </w:tcPr>
          <w:p w14:paraId="698DA054" w14:textId="77777777" w:rsidR="00CC7D2C" w:rsidRPr="002A677E" w:rsidRDefault="00CC7D2C" w:rsidP="00320EFD">
            <w:pPr>
              <w:pStyle w:val="InstructionsText"/>
            </w:pPr>
            <w:r>
              <w:rPr>
                <w:rStyle w:val="InstructionsTabelleberschrift"/>
                <w:sz w:val="24"/>
                <w:rFonts w:ascii="Times New Roman" w:hAnsi="Times New Roman"/>
              </w:rPr>
              <w:t xml:space="preserve">15.2.1.</w:t>
            </w:r>
            <w:r>
              <w:rPr>
                <w:rStyle w:val="InstructionsTabelleberschrift"/>
                <w:sz w:val="24"/>
                <w:rFonts w:ascii="Times New Roman" w:hAnsi="Times New Roman"/>
              </w:rPr>
              <w:tab/>
            </w:r>
            <w:r>
              <w:rPr>
                <w:rStyle w:val="InstructionsTabelleberschrift"/>
                <w:sz w:val="24"/>
                <w:rFonts w:ascii="Times New Roman" w:hAnsi="Times New Roman"/>
              </w:rPr>
              <w:t xml:space="preserve">Bruto neizravna ulaganja u redovni osnovni kapital subjekata financijskog sektora ako institucija ima značajno ulaganje</w:t>
            </w:r>
          </w:p>
          <w:p w14:paraId="794C9AFE" w14:textId="77777777" w:rsidR="00CC7D2C" w:rsidRPr="002A677E" w:rsidRDefault="00CC7D2C" w:rsidP="00320EFD">
            <w:pPr>
              <w:pStyle w:val="InstructionsText"/>
            </w:pPr>
            <w:r>
              <w:t xml:space="preserve">Članak 4. stavak 1. točka 114. i članci 44. i 45. Uredbe (EU) br. 575/2013</w:t>
            </w:r>
          </w:p>
          <w:p w14:paraId="0AE2F25F" w14:textId="77777777" w:rsidR="00CC7D2C" w:rsidRPr="002A677E" w:rsidRDefault="00CC7D2C" w:rsidP="00320EFD">
            <w:pPr>
              <w:pStyle w:val="InstructionsText"/>
            </w:pPr>
            <w:r>
              <w:t xml:space="preserve">Iskazuje se iznos neizravnih ulaganja u instrumente kapitala subjekata financijskog sektora u knjizi trgovanja u obliku ulaganja u indeksne vrijednosne papire.</w:t>
            </w:r>
            <w:r>
              <w:t xml:space="preserve"> </w:t>
            </w:r>
            <w:r>
              <w:t xml:space="preserve">Dobiva se izračunom odnosne izloženosti prema instrumentima kapitala subjekata financijskog sektora u indeksima.</w:t>
            </w:r>
          </w:p>
          <w:p w14:paraId="3F78CFCC" w14:textId="77777777" w:rsidR="00CC7D2C" w:rsidRPr="002A677E" w:rsidRDefault="00CC7D2C" w:rsidP="00320EFD">
            <w:pPr>
              <w:pStyle w:val="InstructionsText"/>
            </w:pPr>
            <w:r>
              <w:t xml:space="preserve">Ne uključuju se ulaganja koja se tretiraju kao recipročna međusobna ulaganja u skladu s člankom 36. stavkom 1. točkom (g) Uredbe (EU) br. 575/2013.</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 xml:space="preserve">0500</w:t>
            </w:r>
          </w:p>
        </w:tc>
        <w:tc>
          <w:tcPr>
            <w:tcW w:w="7049" w:type="dxa"/>
          </w:tcPr>
          <w:p w14:paraId="44D389F7" w14:textId="77777777" w:rsidR="00CC7D2C" w:rsidRPr="002A677E" w:rsidRDefault="00CC7D2C" w:rsidP="00320EFD">
            <w:pPr>
              <w:pStyle w:val="InstructionsText"/>
            </w:pPr>
            <w:r>
              <w:rPr>
                <w:rStyle w:val="InstructionsTabelleberschrift"/>
                <w:sz w:val="24"/>
                <w:rFonts w:ascii="Times New Roman" w:hAnsi="Times New Roman"/>
              </w:rPr>
              <w:t xml:space="preserve">15.2.2.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neizravnim bruto ulaganjima</w:t>
            </w:r>
          </w:p>
          <w:p w14:paraId="0260A712" w14:textId="77777777" w:rsidR="00CC7D2C" w:rsidRPr="002A677E" w:rsidRDefault="00CC7D2C" w:rsidP="00320EFD">
            <w:pPr>
              <w:pStyle w:val="InstructionsText"/>
            </w:pPr>
            <w:r>
              <w:t xml:space="preserve">Članak 4. stavak 1. točka 114. i članak 45. Uredbe (EU) br. 575/2013</w:t>
            </w:r>
          </w:p>
          <w:p w14:paraId="50F604F3" w14:textId="77777777" w:rsidR="00CC7D2C" w:rsidRPr="002A677E" w:rsidRDefault="00CC7D2C" w:rsidP="00320EFD">
            <w:pPr>
              <w:pStyle w:val="InstructionsText"/>
            </w:pPr>
            <w:r>
              <w:t xml:space="preserve">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 xml:space="preserve">0501</w:t>
            </w:r>
          </w:p>
        </w:tc>
        <w:tc>
          <w:tcPr>
            <w:tcW w:w="7049" w:type="dxa"/>
          </w:tcPr>
          <w:p w14:paraId="4F06B854" w14:textId="77777777" w:rsidR="00CC7D2C" w:rsidRPr="002A677E" w:rsidRDefault="00CC7D2C" w:rsidP="00320EFD">
            <w:pPr>
              <w:pStyle w:val="InstructionsText"/>
            </w:pPr>
            <w:r>
              <w:rPr>
                <w:rStyle w:val="InstructionsTabelleberschrift"/>
                <w:sz w:val="24"/>
                <w:rFonts w:ascii="Times New Roman" w:hAnsi="Times New Roman"/>
              </w:rPr>
              <w:t xml:space="preserve">15.3.</w:t>
            </w:r>
            <w:r>
              <w:rPr>
                <w:rStyle w:val="InstructionsTabelleberschrift"/>
                <w:sz w:val="24"/>
                <w:rFonts w:ascii="Times New Roman" w:hAnsi="Times New Roman"/>
              </w:rPr>
              <w:tab/>
            </w:r>
            <w:r>
              <w:rPr>
                <w:rStyle w:val="InstructionsTabelleberschrift"/>
                <w:sz w:val="24"/>
                <w:rFonts w:ascii="Times New Roman" w:hAnsi="Times New Roman"/>
              </w:rPr>
              <w:t xml:space="preserve">Sintetska ulaganja u redovni osnovni kapital subjekata financijskog sektora ako institucija ima značajno ulaganje</w:t>
            </w:r>
          </w:p>
          <w:p w14:paraId="4FDA5923" w14:textId="77777777" w:rsidR="00CC7D2C" w:rsidRPr="002A677E" w:rsidRDefault="00CC7D2C" w:rsidP="00320EFD">
            <w:pPr>
              <w:pStyle w:val="InstructionsText"/>
            </w:pPr>
            <w:r>
              <w:t xml:space="preserve">Članak 4. stavak 1. točka 126. i članci 44. i 45. Uredbe (EU) br.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 xml:space="preserve">0502</w:t>
            </w:r>
          </w:p>
        </w:tc>
        <w:tc>
          <w:tcPr>
            <w:tcW w:w="7049" w:type="dxa"/>
          </w:tcPr>
          <w:p w14:paraId="37BEEACC" w14:textId="77777777" w:rsidR="00CC7D2C" w:rsidRPr="002A677E" w:rsidRDefault="00CC7D2C" w:rsidP="00320EFD">
            <w:pPr>
              <w:pStyle w:val="InstructionsText"/>
            </w:pPr>
            <w:r>
              <w:rPr>
                <w:rStyle w:val="InstructionsTabelleberschrift"/>
                <w:sz w:val="24"/>
                <w:rFonts w:ascii="Times New Roman" w:hAnsi="Times New Roman"/>
              </w:rPr>
              <w:t xml:space="preserve">15.3.1.</w:t>
            </w:r>
            <w:r>
              <w:rPr>
                <w:rStyle w:val="InstructionsTabelleberschrift"/>
                <w:sz w:val="24"/>
                <w:rFonts w:ascii="Times New Roman" w:hAnsi="Times New Roman"/>
              </w:rPr>
              <w:tab/>
            </w:r>
            <w:r>
              <w:rPr>
                <w:rStyle w:val="InstructionsTabelleberschrift"/>
                <w:sz w:val="24"/>
                <w:rFonts w:ascii="Times New Roman" w:hAnsi="Times New Roman"/>
              </w:rPr>
              <w:t xml:space="preserve">Bruto sintetska ulaganja u redovni osnovni kapital subjekata financijskog sektora ako institucija ima značajno ulaganje</w:t>
            </w:r>
          </w:p>
          <w:p w14:paraId="324270A6" w14:textId="77777777" w:rsidR="00CC7D2C" w:rsidRPr="002A677E" w:rsidRDefault="00CC7D2C" w:rsidP="00320EFD">
            <w:pPr>
              <w:pStyle w:val="InstructionsText"/>
            </w:pPr>
            <w:r>
              <w:t xml:space="preserve">Članak 4. stavak 1. točka 126. i članci 44. i 45. Uredbe (EU) br.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 xml:space="preserve">0503</w:t>
            </w:r>
          </w:p>
        </w:tc>
        <w:tc>
          <w:tcPr>
            <w:tcW w:w="7049" w:type="dxa"/>
          </w:tcPr>
          <w:p w14:paraId="316380A6" w14:textId="77777777" w:rsidR="00CC7D2C" w:rsidRPr="002A677E" w:rsidRDefault="00CC7D2C" w:rsidP="00320EFD">
            <w:pPr>
              <w:pStyle w:val="InstructionsText"/>
            </w:pPr>
            <w:r>
              <w:rPr>
                <w:rStyle w:val="InstructionsTabelleberschrift"/>
                <w:sz w:val="24"/>
                <w:rFonts w:ascii="Times New Roman" w:hAnsi="Times New Roman"/>
              </w:rPr>
              <w:t xml:space="preserve">15.3.2.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sintetskim bruto ulaganjima</w:t>
            </w:r>
          </w:p>
          <w:p w14:paraId="514B205E" w14:textId="77777777" w:rsidR="00CC7D2C" w:rsidRPr="002A677E" w:rsidRDefault="00CC7D2C" w:rsidP="00320EFD">
            <w:pPr>
              <w:pStyle w:val="InstructionsText"/>
            </w:pPr>
            <w:r>
              <w:t xml:space="preserve">Članak 4. stavak 1. točka 126. i članak 45.</w:t>
            </w:r>
            <w:r>
              <w:t xml:space="preserve"> Uredbe (EU) br. 575/2013</w:t>
            </w:r>
          </w:p>
          <w:p w14:paraId="4A259B9A" w14:textId="77777777" w:rsidR="00CC7D2C" w:rsidRPr="002A677E" w:rsidRDefault="00CC7D2C" w:rsidP="00320EFD">
            <w:pPr>
              <w:pStyle w:val="InstructionsText"/>
            </w:pPr>
            <w:r>
              <w:t xml:space="preserve">Člankom 45.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t xml:space="preserve">0504</w:t>
            </w:r>
          </w:p>
        </w:tc>
        <w:tc>
          <w:tcPr>
            <w:tcW w:w="7049" w:type="dxa"/>
          </w:tcPr>
          <w:p w14:paraId="2A2242F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Ulaganja u redovni osnovni kapital subjekata financijskog sektora ako institucija ima značajno ulaganje – na koja se primjenjuje ponder rizika od 250 %</w:t>
            </w:r>
          </w:p>
          <w:p w14:paraId="7F700D84" w14:textId="77777777" w:rsidR="00CC7D2C" w:rsidRPr="002A677E" w:rsidRDefault="00CC7D2C" w:rsidP="00320EFD">
            <w:pPr>
              <w:pStyle w:val="InstructionsText"/>
            </w:pPr>
            <w:r>
              <w:t xml:space="preserve">Članak 48. stavak 4. Uredbe (EU) br. 575/2013</w:t>
            </w:r>
          </w:p>
          <w:p w14:paraId="08C3709A" w14:textId="77777777" w:rsidR="00CC7D2C" w:rsidRPr="002A677E" w:rsidRDefault="00CC7D2C" w:rsidP="00320EFD">
            <w:pPr>
              <w:pStyle w:val="InstructionsText"/>
            </w:pPr>
            <w:r>
              <w:t xml:space="preserve">Iznos značajnih ulaganja u redovni osnovni kapital subjekata financijskog sektora koja se ne odbijaju u skladu s člankom 48. stavkom 1.Uredbe (EU) br. 575/2013, već se na njih primjenjuje ponder rizika od 250 % u skladu s člankom 48. stavkom 4. te uredbe.</w:t>
            </w:r>
          </w:p>
          <w:p w14:paraId="4CC369EF" w14:textId="77777777" w:rsidR="00CC7D2C" w:rsidRPr="002A677E" w:rsidRDefault="00CC7D2C" w:rsidP="00320EFD">
            <w:pPr>
              <w:pStyle w:val="InstructionsText"/>
              <w:rPr>
                <w:rStyle w:val="InstructionsTabelleberschrift"/>
                <w:sz w:val="24"/>
                <w:rFonts w:ascii="Times New Roman" w:hAnsi="Times New Roman"/>
              </w:rPr>
            </w:pPr>
            <w:r>
              <w:t xml:space="preserve">Iskazani iznos jednak je iznosu značajnih ulaganja prije primjene pondera rizika.</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 xml:space="preserve">0510</w:t>
            </w:r>
          </w:p>
        </w:tc>
        <w:tc>
          <w:tcPr>
            <w:tcW w:w="7049" w:type="dxa"/>
          </w:tcPr>
          <w:p w14:paraId="37A68C4A" w14:textId="77777777" w:rsidR="00CC7D2C" w:rsidRPr="002A677E" w:rsidRDefault="00CC7D2C" w:rsidP="00320EFD">
            <w:pPr>
              <w:pStyle w:val="InstructionsText"/>
            </w:pPr>
            <w:r>
              <w:rPr>
                <w:rStyle w:val="InstructionsTabelleberschrift"/>
                <w:sz w:val="24"/>
                <w:rFonts w:ascii="Times New Roman" w:hAnsi="Times New Roman"/>
              </w:rPr>
              <w:t xml:space="preserve">16 Ulaganja u dodatni osnovni kapital subjekata financijskog sektora ako institucija ima značajno ulaganje, ne uključujući kratke pozicije</w:t>
            </w:r>
          </w:p>
          <w:p w14:paraId="0B60B353" w14:textId="77777777" w:rsidR="00CC7D2C" w:rsidRPr="002A677E" w:rsidRDefault="00CC7D2C" w:rsidP="00320EFD">
            <w:pPr>
              <w:pStyle w:val="InstructionsText"/>
            </w:pPr>
            <w:r>
              <w:t xml:space="preserve">Članci 58. i 59. Uredbe (EU) br.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 xml:space="preserve">0520</w:t>
            </w:r>
          </w:p>
        </w:tc>
        <w:tc>
          <w:tcPr>
            <w:tcW w:w="7049" w:type="dxa"/>
          </w:tcPr>
          <w:p w14:paraId="396E8E7A" w14:textId="77777777" w:rsidR="00CC7D2C" w:rsidRPr="002A677E" w:rsidRDefault="00CC7D2C" w:rsidP="00320EFD">
            <w:pPr>
              <w:pStyle w:val="InstructionsText"/>
            </w:pPr>
            <w:r>
              <w:rPr>
                <w:rStyle w:val="InstructionsTabelleberschrift"/>
                <w:sz w:val="24"/>
                <w:rFonts w:ascii="Times New Roman" w:hAnsi="Times New Roman"/>
              </w:rPr>
              <w:t xml:space="preserve">16.1.</w:t>
            </w:r>
            <w:r>
              <w:rPr>
                <w:rStyle w:val="InstructionsTabelleberschrift"/>
                <w:sz w:val="24"/>
                <w:rFonts w:ascii="Times New Roman" w:hAnsi="Times New Roman"/>
              </w:rPr>
              <w:tab/>
            </w:r>
            <w:r>
              <w:rPr>
                <w:rStyle w:val="InstructionsTabelleberschrift"/>
                <w:sz w:val="24"/>
                <w:rFonts w:ascii="Times New Roman" w:hAnsi="Times New Roman"/>
              </w:rPr>
              <w:t xml:space="preserve">Izravna ulaganja u dodatni osnovni kapital subjekata financijskog sektora ako institucija ima značajno ulaganje</w:t>
            </w:r>
          </w:p>
          <w:p w14:paraId="615CAEA4" w14:textId="77777777" w:rsidR="00CC7D2C" w:rsidRPr="002A677E" w:rsidRDefault="00CC7D2C" w:rsidP="00320EFD">
            <w:pPr>
              <w:pStyle w:val="InstructionsText"/>
            </w:pPr>
            <w:r>
              <w:t xml:space="preserve">Članci 58. i 59. Uredbe (EU) br.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 xml:space="preserve">0530</w:t>
            </w:r>
          </w:p>
        </w:tc>
        <w:tc>
          <w:tcPr>
            <w:tcW w:w="7049" w:type="dxa"/>
          </w:tcPr>
          <w:p w14:paraId="3FCC12A6" w14:textId="77777777" w:rsidR="00CC7D2C" w:rsidRPr="002A677E" w:rsidRDefault="00CC7D2C" w:rsidP="00320EFD">
            <w:pPr>
              <w:pStyle w:val="InstructionsText"/>
            </w:pPr>
            <w:r>
              <w:rPr>
                <w:rStyle w:val="InstructionsTabelleberschrift"/>
                <w:sz w:val="24"/>
                <w:rFonts w:ascii="Times New Roman" w:hAnsi="Times New Roman"/>
              </w:rPr>
              <w:t xml:space="preserve">16.1.1.</w:t>
            </w:r>
            <w:r>
              <w:rPr>
                <w:rStyle w:val="InstructionsTabelleberschrift"/>
                <w:sz w:val="24"/>
                <w:rFonts w:ascii="Times New Roman" w:hAnsi="Times New Roman"/>
              </w:rPr>
              <w:tab/>
            </w:r>
            <w:r>
              <w:rPr>
                <w:rStyle w:val="InstructionsTabelleberschrift"/>
                <w:sz w:val="24"/>
                <w:rFonts w:ascii="Times New Roman" w:hAnsi="Times New Roman"/>
              </w:rPr>
              <w:t xml:space="preserve">Bruto izravna ulaganja u dodatni osnovni kapital subjekata financijskog sektora ako institucija ima značajno ulaganje</w:t>
            </w:r>
          </w:p>
          <w:p w14:paraId="12F44F50" w14:textId="77777777" w:rsidR="00CC7D2C" w:rsidRPr="002A677E" w:rsidRDefault="00CC7D2C" w:rsidP="00320EFD">
            <w:pPr>
              <w:pStyle w:val="InstructionsText"/>
            </w:pPr>
            <w:r>
              <w:t xml:space="preserve">Članak 58. Uredbe (EU) br. 575/2013</w:t>
            </w:r>
          </w:p>
          <w:p w14:paraId="41935DD8" w14:textId="77777777" w:rsidR="00CC7D2C" w:rsidRPr="002A677E" w:rsidRDefault="00CC7D2C" w:rsidP="00320EFD">
            <w:pPr>
              <w:pStyle w:val="InstructionsText"/>
            </w:pPr>
            <w:r>
              <w:t xml:space="preserve">Izravna ulaganja u dodatni osnovni kapital subjekata financijskog sektora ako institucija ima značajno ulaganje, isključujući:</w:t>
            </w:r>
          </w:p>
          <w:p w14:paraId="4D8400A2" w14:textId="77777777" w:rsidR="00CC7D2C" w:rsidRPr="002A677E" w:rsidRDefault="00CC7D2C" w:rsidP="00320EFD">
            <w:pPr>
              <w:pStyle w:val="InstructionsText"/>
            </w:pPr>
            <w:r>
              <w:t xml:space="preserve">a)</w:t>
            </w:r>
            <w:r>
              <w:tab/>
            </w:r>
            <w:r>
              <w:t xml:space="preserve">pozicije proizišle iz usluge provedbe ponude odnosno prodaje financijskih instrumenata uz obvezu otkupa koje se drže najviše 5 radnih dana (članak 56. točka (d) Uredbe (EU) br. 575/2013;</w:t>
            </w:r>
            <w:r>
              <w:t xml:space="preserve"> </w:t>
            </w:r>
            <w:r>
              <w:t xml:space="preserve">i</w:t>
            </w:r>
          </w:p>
          <w:p w14:paraId="5C192689" w14:textId="77777777" w:rsidR="00CC7D2C" w:rsidRPr="002A677E" w:rsidRDefault="00CC7D2C" w:rsidP="00320EFD">
            <w:pPr>
              <w:pStyle w:val="InstructionsText"/>
            </w:pPr>
            <w:r>
              <w:t xml:space="preserve">b)</w:t>
            </w:r>
            <w:r>
              <w:tab/>
            </w:r>
            <w:r>
              <w:t xml:space="preserve">ulaganja koja se tretiraju kao recipročna međusobna ulaganja u skladu s člankom 56. točkom (b) Uredbe (EU) br.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 xml:space="preserve">0540</w:t>
            </w:r>
          </w:p>
        </w:tc>
        <w:tc>
          <w:tcPr>
            <w:tcW w:w="7049" w:type="dxa"/>
          </w:tcPr>
          <w:p w14:paraId="035896E1" w14:textId="77777777" w:rsidR="00CC7D2C" w:rsidRPr="002A677E" w:rsidRDefault="00CC7D2C" w:rsidP="00320EFD">
            <w:pPr>
              <w:pStyle w:val="InstructionsText"/>
            </w:pPr>
            <w:r>
              <w:rPr>
                <w:rStyle w:val="InstructionsTabelleberschrift"/>
                <w:sz w:val="24"/>
                <w:rFonts w:ascii="Times New Roman" w:hAnsi="Times New Roman"/>
              </w:rPr>
              <w:t xml:space="preserve">16.1.2.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izravnim bruto ulaganjima</w:t>
            </w:r>
          </w:p>
          <w:p w14:paraId="78A0D4FB" w14:textId="77777777" w:rsidR="00CC7D2C" w:rsidRPr="002A677E" w:rsidRDefault="00CC7D2C" w:rsidP="00320EFD">
            <w:pPr>
              <w:pStyle w:val="InstructionsText"/>
            </w:pPr>
            <w:r>
              <w:t xml:space="preserve">Članak 59. Uredbe (EU) br. 575/2013</w:t>
            </w:r>
          </w:p>
          <w:p w14:paraId="4D179792" w14:textId="77777777" w:rsidR="00CC7D2C" w:rsidRPr="002A677E" w:rsidRDefault="00CC7D2C" w:rsidP="00320EFD">
            <w:pPr>
              <w:pStyle w:val="InstructionsText"/>
            </w:pPr>
            <w:r>
              <w:t xml:space="preserve">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 xml:space="preserve">0550</w:t>
            </w:r>
          </w:p>
        </w:tc>
        <w:tc>
          <w:tcPr>
            <w:tcW w:w="7049" w:type="dxa"/>
          </w:tcPr>
          <w:p w14:paraId="4644AFF9" w14:textId="77777777" w:rsidR="00CC7D2C" w:rsidRPr="002A677E" w:rsidRDefault="00CC7D2C" w:rsidP="00320EFD">
            <w:pPr>
              <w:pStyle w:val="InstructionsText"/>
            </w:pPr>
            <w:r>
              <w:rPr>
                <w:rStyle w:val="InstructionsTabelleberschrift"/>
                <w:sz w:val="24"/>
                <w:rFonts w:ascii="Times New Roman" w:hAnsi="Times New Roman"/>
              </w:rPr>
              <w:t xml:space="preserve">16.2.</w:t>
            </w:r>
            <w:r>
              <w:rPr>
                <w:rStyle w:val="InstructionsTabelleberschrift"/>
                <w:sz w:val="24"/>
                <w:rFonts w:ascii="Times New Roman" w:hAnsi="Times New Roman"/>
              </w:rPr>
              <w:tab/>
            </w:r>
            <w:r>
              <w:rPr>
                <w:rStyle w:val="InstructionsTabelleberschrift"/>
                <w:sz w:val="24"/>
                <w:rFonts w:ascii="Times New Roman" w:hAnsi="Times New Roman"/>
              </w:rPr>
              <w:t xml:space="preserve">Neizravna ulaganja u dodatni osnovni kapital subjekata financijskog sektora ako institucija ima značajno ulaganje</w:t>
            </w:r>
          </w:p>
          <w:p w14:paraId="541FB02F" w14:textId="77777777" w:rsidR="00CC7D2C" w:rsidRPr="002A677E" w:rsidRDefault="00CC7D2C" w:rsidP="00320EFD">
            <w:pPr>
              <w:pStyle w:val="InstructionsText"/>
            </w:pPr>
            <w:r>
              <w:t xml:space="preserve">Članak 4. stavak 1. točka 114. i članci 58. i 59. Uredbe (EU) br.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t xml:space="preserve">0560</w:t>
            </w:r>
          </w:p>
        </w:tc>
        <w:tc>
          <w:tcPr>
            <w:tcW w:w="7049" w:type="dxa"/>
          </w:tcPr>
          <w:p w14:paraId="1B287A9A" w14:textId="77777777" w:rsidR="00CC7D2C" w:rsidRPr="002A677E" w:rsidRDefault="00CC7D2C" w:rsidP="00320EFD">
            <w:pPr>
              <w:pStyle w:val="InstructionsText"/>
            </w:pPr>
            <w:r>
              <w:rPr>
                <w:rStyle w:val="InstructionsTabelleberschrift"/>
                <w:sz w:val="24"/>
                <w:rFonts w:ascii="Times New Roman" w:hAnsi="Times New Roman"/>
              </w:rPr>
              <w:t xml:space="preserve">16.2.1.</w:t>
            </w:r>
            <w:r>
              <w:rPr>
                <w:rStyle w:val="InstructionsTabelleberschrift"/>
                <w:sz w:val="24"/>
                <w:rFonts w:ascii="Times New Roman" w:hAnsi="Times New Roman"/>
              </w:rPr>
              <w:tab/>
            </w:r>
            <w:r>
              <w:rPr>
                <w:rStyle w:val="InstructionsTabelleberschrift"/>
                <w:sz w:val="24"/>
                <w:rFonts w:ascii="Times New Roman" w:hAnsi="Times New Roman"/>
              </w:rPr>
              <w:t xml:space="preserve">Bruto neizravna ulaganja u dodatni osnovni kapital subjekata financijskog sektora ako institucija ima značajno ulaganje</w:t>
            </w:r>
          </w:p>
          <w:p w14:paraId="7AF4342B" w14:textId="77777777" w:rsidR="00CC7D2C" w:rsidRPr="002A677E" w:rsidRDefault="00CC7D2C" w:rsidP="00320EFD">
            <w:pPr>
              <w:pStyle w:val="InstructionsText"/>
            </w:pPr>
            <w:r>
              <w:t xml:space="preserve">Članak 4. stavak 1. točka 114. i članci 58. i 59. Uredbe (EU) br. 575/2013</w:t>
            </w:r>
          </w:p>
          <w:p w14:paraId="058247BE" w14:textId="77777777" w:rsidR="00CC7D2C" w:rsidRPr="002A677E" w:rsidRDefault="00CC7D2C" w:rsidP="00320EFD">
            <w:pPr>
              <w:pStyle w:val="InstructionsText"/>
            </w:pPr>
            <w:r>
              <w:t xml:space="preserve">Iskazuje se iznos neizravnih ulaganja u instrumente kapitala subjekata financijskog sektora u knjizi trgovanja u obliku ulaganja u indeksne vrijednosne papire.</w:t>
            </w:r>
            <w:r>
              <w:t xml:space="preserve"> </w:t>
            </w:r>
            <w:r>
              <w:t xml:space="preserve">Dobiva se izračunom odnosne izloženosti prema instrumentima kapitala subjekata financijskog sektora u indeksima.</w:t>
            </w:r>
          </w:p>
          <w:p w14:paraId="7206E9B6" w14:textId="77777777" w:rsidR="00CC7D2C" w:rsidRPr="002A677E" w:rsidRDefault="00CC7D2C" w:rsidP="00320EFD">
            <w:pPr>
              <w:pStyle w:val="InstructionsText"/>
            </w:pPr>
            <w:r>
              <w:t xml:space="preserve">Ne uključuju se ulaganja koja se tretiraju kao recipročna međusobna ulaganja u skladu s člankom 56. točkom (b) Uredbe (EU) br. 575/2013.</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 xml:space="preserve">0570</w:t>
            </w:r>
          </w:p>
        </w:tc>
        <w:tc>
          <w:tcPr>
            <w:tcW w:w="7049" w:type="dxa"/>
          </w:tcPr>
          <w:p w14:paraId="21582B89" w14:textId="77777777" w:rsidR="00CC7D2C" w:rsidRPr="002A677E" w:rsidRDefault="00CC7D2C" w:rsidP="00320EFD">
            <w:pPr>
              <w:pStyle w:val="InstructionsText"/>
            </w:pPr>
            <w:r>
              <w:rPr>
                <w:rStyle w:val="InstructionsTabelleberschrift"/>
                <w:sz w:val="24"/>
                <w:rFonts w:ascii="Times New Roman" w:hAnsi="Times New Roman"/>
              </w:rPr>
              <w:t xml:space="preserve">16.2.2.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neizravnim bruto ulaganjima</w:t>
            </w:r>
          </w:p>
          <w:p w14:paraId="4E8AE615" w14:textId="77777777" w:rsidR="00CC7D2C" w:rsidRPr="002A677E" w:rsidRDefault="00CC7D2C" w:rsidP="00320EFD">
            <w:pPr>
              <w:pStyle w:val="InstructionsText"/>
            </w:pPr>
            <w:r>
              <w:t xml:space="preserve">Članak 4. stavak 1. točka 114. i članak 59. Uredbe (EU) br. 575/2013</w:t>
            </w:r>
          </w:p>
          <w:p w14:paraId="41A9A020" w14:textId="77777777" w:rsidR="00CC7D2C" w:rsidRPr="002A677E" w:rsidRDefault="00CC7D2C" w:rsidP="00320EFD">
            <w:pPr>
              <w:pStyle w:val="InstructionsText"/>
            </w:pPr>
            <w:r>
              <w:t xml:space="preserve">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 xml:space="preserve">0571</w:t>
            </w:r>
          </w:p>
        </w:tc>
        <w:tc>
          <w:tcPr>
            <w:tcW w:w="7049" w:type="dxa"/>
          </w:tcPr>
          <w:p w14:paraId="0424C170" w14:textId="77777777" w:rsidR="00CC7D2C" w:rsidRPr="002A677E" w:rsidRDefault="00CC7D2C" w:rsidP="00320EFD">
            <w:pPr>
              <w:pStyle w:val="InstructionsText"/>
            </w:pPr>
            <w:r>
              <w:rPr>
                <w:rStyle w:val="InstructionsTabelleberschrift"/>
                <w:sz w:val="24"/>
                <w:rFonts w:ascii="Times New Roman" w:hAnsi="Times New Roman"/>
              </w:rPr>
              <w:t xml:space="preserve">16.3.</w:t>
            </w:r>
            <w:r>
              <w:rPr>
                <w:rStyle w:val="InstructionsTabelleberschrift"/>
                <w:sz w:val="24"/>
                <w:rFonts w:ascii="Times New Roman" w:hAnsi="Times New Roman"/>
              </w:rPr>
              <w:tab/>
            </w:r>
            <w:r>
              <w:rPr>
                <w:rStyle w:val="InstructionsTabelleberschrift"/>
                <w:sz w:val="24"/>
                <w:rFonts w:ascii="Times New Roman" w:hAnsi="Times New Roman"/>
              </w:rPr>
              <w:t xml:space="preserve">Sintetska ulaganja u dodatni osnovni kapital subjekata financijskog sektora ako institucija ima značajno ulaganje</w:t>
            </w:r>
          </w:p>
          <w:p w14:paraId="111D908D"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Članak 4. stavak 1. točka 126. i članci 58. i 59. Uredbe (EU) br.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 xml:space="preserve">0572</w:t>
            </w:r>
          </w:p>
        </w:tc>
        <w:tc>
          <w:tcPr>
            <w:tcW w:w="7049" w:type="dxa"/>
          </w:tcPr>
          <w:p w14:paraId="05C0021B" w14:textId="77777777" w:rsidR="00CC7D2C" w:rsidRPr="002A677E" w:rsidRDefault="00CC7D2C" w:rsidP="00320EFD">
            <w:pPr>
              <w:pStyle w:val="InstructionsText"/>
            </w:pPr>
            <w:r>
              <w:rPr>
                <w:rStyle w:val="InstructionsTabelleberschrift"/>
                <w:sz w:val="24"/>
                <w:rFonts w:ascii="Times New Roman" w:hAnsi="Times New Roman"/>
              </w:rPr>
              <w:t xml:space="preserve">16.3.1.</w:t>
            </w:r>
            <w:r>
              <w:rPr>
                <w:rStyle w:val="InstructionsTabelleberschrift"/>
                <w:sz w:val="24"/>
                <w:rFonts w:ascii="Times New Roman" w:hAnsi="Times New Roman"/>
              </w:rPr>
              <w:tab/>
            </w:r>
            <w:r>
              <w:rPr>
                <w:rStyle w:val="InstructionsTabelleberschrift"/>
                <w:sz w:val="24"/>
                <w:rFonts w:ascii="Times New Roman" w:hAnsi="Times New Roman"/>
              </w:rPr>
              <w:t xml:space="preserve">Bruto sintetska ulaganja u dodatni osnovni kapital subjekata financijskog sektora ako institucija ima značajno ulaganje</w:t>
            </w:r>
          </w:p>
          <w:p w14:paraId="321D808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Članak 4. stavak 1. točka 126. i članci 58. i 59. Uredbe (EU) br.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 xml:space="preserve">0573</w:t>
            </w:r>
          </w:p>
        </w:tc>
        <w:tc>
          <w:tcPr>
            <w:tcW w:w="7049" w:type="dxa"/>
          </w:tcPr>
          <w:p w14:paraId="7A9705B1" w14:textId="77777777" w:rsidR="00CC7D2C" w:rsidRPr="002A677E" w:rsidRDefault="00CC7D2C" w:rsidP="00320EFD">
            <w:pPr>
              <w:pStyle w:val="InstructionsText"/>
            </w:pPr>
            <w:r>
              <w:rPr>
                <w:rStyle w:val="InstructionsTabelleberschrift"/>
                <w:sz w:val="24"/>
                <w:rFonts w:ascii="Times New Roman" w:hAnsi="Times New Roman"/>
              </w:rPr>
              <w:t xml:space="preserve">16.3.2.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sintetskim bruto ulaganjima</w:t>
            </w:r>
          </w:p>
          <w:p w14:paraId="0EC24D17" w14:textId="77777777" w:rsidR="00CC7D2C" w:rsidRPr="002A677E" w:rsidRDefault="00CC7D2C" w:rsidP="00320EFD">
            <w:pPr>
              <w:pStyle w:val="InstructionsText"/>
            </w:pPr>
            <w:r>
              <w:t xml:space="preserve">Članak 4. stavak 1. točka 126. i članak 59. Uredbe (EU) br. 575/2013</w:t>
            </w:r>
          </w:p>
          <w:p w14:paraId="4F143383"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Člankom 59.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t xml:space="preserve">0580</w:t>
            </w:r>
          </w:p>
        </w:tc>
        <w:tc>
          <w:tcPr>
            <w:tcW w:w="7049" w:type="dxa"/>
          </w:tcPr>
          <w:p w14:paraId="0D7DB5BA" w14:textId="77777777" w:rsidR="00CC7D2C" w:rsidRPr="002A677E" w:rsidRDefault="00CC7D2C" w:rsidP="00320EFD">
            <w:pPr>
              <w:pStyle w:val="InstructionsText"/>
            </w:pPr>
            <w:r>
              <w:rPr>
                <w:rStyle w:val="InstructionsTabelleberschrift"/>
                <w:sz w:val="24"/>
                <w:rFonts w:ascii="Times New Roman" w:hAnsi="Times New Roman"/>
              </w:rPr>
              <w:t xml:space="preserve">17 Ulaganja u dopunski kapital subjekata financijskog sektora ako institucija ima značajno ulaganje, ne uključujući kratke pozicije</w:t>
            </w:r>
          </w:p>
          <w:p w14:paraId="2AB15F70" w14:textId="77777777" w:rsidR="00CC7D2C" w:rsidRPr="002A677E" w:rsidRDefault="00CC7D2C" w:rsidP="00320EFD">
            <w:pPr>
              <w:pStyle w:val="InstructionsText"/>
            </w:pPr>
            <w:r>
              <w:t xml:space="preserve">Članci 68. i 69. Uredbe (EU) br.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 xml:space="preserve">0590</w:t>
            </w:r>
          </w:p>
        </w:tc>
        <w:tc>
          <w:tcPr>
            <w:tcW w:w="7049" w:type="dxa"/>
          </w:tcPr>
          <w:p w14:paraId="0080DEBC" w14:textId="77777777" w:rsidR="00CC7D2C" w:rsidRPr="002A677E" w:rsidRDefault="00CC7D2C" w:rsidP="00320EFD">
            <w:pPr>
              <w:pStyle w:val="InstructionsText"/>
            </w:pPr>
            <w:r>
              <w:rPr>
                <w:rStyle w:val="InstructionsTabelleberschrift"/>
                <w:sz w:val="24"/>
                <w:rFonts w:ascii="Times New Roman" w:hAnsi="Times New Roman"/>
              </w:rPr>
              <w:t xml:space="preserve">17.1.</w:t>
            </w:r>
            <w:r>
              <w:rPr>
                <w:rStyle w:val="InstructionsTabelleberschrift"/>
                <w:sz w:val="24"/>
                <w:rFonts w:ascii="Times New Roman" w:hAnsi="Times New Roman"/>
              </w:rPr>
              <w:tab/>
            </w:r>
            <w:r>
              <w:rPr>
                <w:rStyle w:val="InstructionsTabelleberschrift"/>
                <w:sz w:val="24"/>
                <w:rFonts w:ascii="Times New Roman" w:hAnsi="Times New Roman"/>
              </w:rPr>
              <w:t xml:space="preserve">Izravna ulaganja u dopunski kapital subjekata financijskog sektora ako institucija ima značajno ulaganje</w:t>
            </w:r>
          </w:p>
          <w:p w14:paraId="6AED8073" w14:textId="77777777" w:rsidR="00CC7D2C" w:rsidRPr="002A677E" w:rsidRDefault="00CC7D2C" w:rsidP="00320EFD">
            <w:pPr>
              <w:pStyle w:val="InstructionsText"/>
            </w:pPr>
            <w:r>
              <w:t xml:space="preserve">Članci 68. i 69. Uredbe (EU) br.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 xml:space="preserve">0600</w:t>
            </w:r>
          </w:p>
        </w:tc>
        <w:tc>
          <w:tcPr>
            <w:tcW w:w="7049" w:type="dxa"/>
          </w:tcPr>
          <w:p w14:paraId="1F18D607" w14:textId="77777777" w:rsidR="00CC7D2C" w:rsidRPr="002A677E" w:rsidRDefault="00CC7D2C" w:rsidP="00320EFD">
            <w:pPr>
              <w:pStyle w:val="InstructionsText"/>
            </w:pPr>
            <w:r>
              <w:rPr>
                <w:rStyle w:val="InstructionsTabelleberschrift"/>
                <w:sz w:val="24"/>
                <w:rFonts w:ascii="Times New Roman" w:hAnsi="Times New Roman"/>
              </w:rPr>
              <w:t xml:space="preserve">17.1.1.</w:t>
            </w:r>
            <w:r>
              <w:rPr>
                <w:rStyle w:val="InstructionsTabelleberschrift"/>
                <w:sz w:val="24"/>
                <w:rFonts w:ascii="Times New Roman" w:hAnsi="Times New Roman"/>
              </w:rPr>
              <w:tab/>
            </w:r>
            <w:r>
              <w:rPr>
                <w:rStyle w:val="InstructionsTabelleberschrift"/>
                <w:sz w:val="24"/>
                <w:rFonts w:ascii="Times New Roman" w:hAnsi="Times New Roman"/>
              </w:rPr>
              <w:t xml:space="preserve">Bruto izravna ulaganja u dopunski kapital subjekata financijskog sektora ako institucija ima značajno ulaganje</w:t>
            </w:r>
          </w:p>
          <w:p w14:paraId="16D79134" w14:textId="77777777" w:rsidR="00CC7D2C" w:rsidRPr="002A677E" w:rsidRDefault="00CC7D2C" w:rsidP="00320EFD">
            <w:pPr>
              <w:pStyle w:val="InstructionsText"/>
            </w:pPr>
            <w:r>
              <w:t xml:space="preserve">Članak 68. Uredbe (EU) br. 575/2013</w:t>
            </w:r>
          </w:p>
          <w:p w14:paraId="66EA3661" w14:textId="77777777" w:rsidR="00CC7D2C" w:rsidRPr="002A677E" w:rsidRDefault="00CC7D2C" w:rsidP="00320EFD">
            <w:pPr>
              <w:pStyle w:val="InstructionsText"/>
            </w:pPr>
            <w:r>
              <w:t xml:space="preserve">Izravna ulaganja u dopunski kapital subjekata financijskog sektora ako institucija ima značajno ulaganje, isključujući:</w:t>
            </w:r>
          </w:p>
          <w:p w14:paraId="423513CF" w14:textId="77777777" w:rsidR="00CC7D2C" w:rsidRPr="002A677E" w:rsidRDefault="00CC7D2C" w:rsidP="00320EFD">
            <w:pPr>
              <w:pStyle w:val="InstructionsText"/>
            </w:pPr>
            <w:r>
              <w:t xml:space="preserve">a)</w:t>
            </w:r>
            <w:r>
              <w:tab/>
            </w:r>
            <w:r>
              <w:t xml:space="preserve">pozicije proizišle iz usluge provedbe ponude odnosno prodaje financijskih instrumenata uz obvezu otkupa koje se drže najviše 5 radnih dana (članak 66. točka (d) Uredbe (EU) br. 575/2013;</w:t>
            </w:r>
            <w:r>
              <w:t xml:space="preserve"> </w:t>
            </w:r>
            <w:r>
              <w:t xml:space="preserve">i</w:t>
            </w:r>
            <w:r>
              <w:t xml:space="preserve"> </w:t>
            </w:r>
          </w:p>
          <w:p w14:paraId="0945CD9C" w14:textId="77777777" w:rsidR="00CC7D2C" w:rsidRPr="002A677E" w:rsidRDefault="00CC7D2C" w:rsidP="00320EFD">
            <w:pPr>
              <w:pStyle w:val="InstructionsText"/>
            </w:pPr>
            <w:r>
              <w:t xml:space="preserve">b)</w:t>
            </w:r>
            <w:r>
              <w:tab/>
            </w:r>
            <w:r>
              <w:t xml:space="preserve">ulaganja koja se tretiraju kao recipročna međusobna ulaganja u skladu s člankom 66. točkom (b) Uredbe (EU) br.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 xml:space="preserve">0610</w:t>
            </w:r>
          </w:p>
        </w:tc>
        <w:tc>
          <w:tcPr>
            <w:tcW w:w="7049" w:type="dxa"/>
          </w:tcPr>
          <w:p w14:paraId="069B8E47" w14:textId="77777777" w:rsidR="00CC7D2C" w:rsidRPr="002A677E" w:rsidRDefault="00CC7D2C" w:rsidP="00320EFD">
            <w:pPr>
              <w:pStyle w:val="InstructionsText"/>
            </w:pPr>
            <w:r>
              <w:rPr>
                <w:rStyle w:val="InstructionsTabelleberschrift"/>
                <w:sz w:val="24"/>
                <w:rFonts w:ascii="Times New Roman" w:hAnsi="Times New Roman"/>
              </w:rPr>
              <w:t xml:space="preserve">17.1.2.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izravnim bruto ulaganjima</w:t>
            </w:r>
          </w:p>
          <w:p w14:paraId="18ADFB22" w14:textId="77777777" w:rsidR="00CC7D2C" w:rsidRPr="002A677E" w:rsidRDefault="00CC7D2C" w:rsidP="00320EFD">
            <w:pPr>
              <w:pStyle w:val="InstructionsText"/>
            </w:pPr>
            <w:r>
              <w:t xml:space="preserve">Članak 69. Uredbe (EU) br. 575/2013</w:t>
            </w:r>
          </w:p>
          <w:p w14:paraId="658809D0" w14:textId="77777777" w:rsidR="00CC7D2C" w:rsidRPr="002A677E" w:rsidRDefault="00CC7D2C" w:rsidP="00320EFD">
            <w:pPr>
              <w:pStyle w:val="InstructionsText"/>
            </w:pPr>
            <w:r>
              <w:t xml:space="preserve">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 xml:space="preserve">0620</w:t>
            </w:r>
          </w:p>
        </w:tc>
        <w:tc>
          <w:tcPr>
            <w:tcW w:w="7049" w:type="dxa"/>
          </w:tcPr>
          <w:p w14:paraId="4E256A4B" w14:textId="77777777" w:rsidR="00CC7D2C" w:rsidRPr="002A677E" w:rsidRDefault="00CC7D2C" w:rsidP="00320EFD">
            <w:pPr>
              <w:pStyle w:val="InstructionsText"/>
            </w:pPr>
            <w:r>
              <w:rPr>
                <w:rStyle w:val="InstructionsTabelleberschrift"/>
                <w:sz w:val="24"/>
                <w:rFonts w:ascii="Times New Roman" w:hAnsi="Times New Roman"/>
              </w:rPr>
              <w:t xml:space="preserve">17.2.</w:t>
            </w:r>
            <w:r>
              <w:rPr>
                <w:rStyle w:val="InstructionsTabelleberschrift"/>
                <w:sz w:val="24"/>
                <w:rFonts w:ascii="Times New Roman" w:hAnsi="Times New Roman"/>
              </w:rPr>
              <w:tab/>
            </w:r>
            <w:r>
              <w:rPr>
                <w:rStyle w:val="InstructionsTabelleberschrift"/>
                <w:sz w:val="24"/>
                <w:rFonts w:ascii="Times New Roman" w:hAnsi="Times New Roman"/>
              </w:rPr>
              <w:t xml:space="preserve">Neizravna ulaganja u dopunski kapital subjekata financijskog sektora ako institucija ima značajno ulaganje</w:t>
            </w:r>
          </w:p>
          <w:p w14:paraId="0C6BA394" w14:textId="77777777" w:rsidR="00CC7D2C" w:rsidRPr="002A677E" w:rsidRDefault="00CC7D2C" w:rsidP="00320EFD">
            <w:pPr>
              <w:pStyle w:val="InstructionsText"/>
            </w:pPr>
            <w:r>
              <w:t xml:space="preserve">Članak 4. stavak 1. točka 114. i članci 68. i 69. Uredbe (EU) br.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 xml:space="preserve">0630</w:t>
            </w:r>
          </w:p>
        </w:tc>
        <w:tc>
          <w:tcPr>
            <w:tcW w:w="7049" w:type="dxa"/>
          </w:tcPr>
          <w:p w14:paraId="26BE456B" w14:textId="77777777" w:rsidR="00CC7D2C" w:rsidRPr="002A677E" w:rsidRDefault="00CC7D2C" w:rsidP="00320EFD">
            <w:pPr>
              <w:pStyle w:val="InstructionsText"/>
            </w:pPr>
            <w:r>
              <w:rPr>
                <w:rStyle w:val="InstructionsTabelleberschrift"/>
                <w:sz w:val="24"/>
                <w:rFonts w:ascii="Times New Roman" w:hAnsi="Times New Roman"/>
              </w:rPr>
              <w:t xml:space="preserve">17.2.1.</w:t>
            </w:r>
            <w:r>
              <w:rPr>
                <w:rStyle w:val="InstructionsTabelleberschrift"/>
                <w:sz w:val="24"/>
                <w:rFonts w:ascii="Times New Roman" w:hAnsi="Times New Roman"/>
              </w:rPr>
              <w:tab/>
            </w:r>
            <w:r>
              <w:rPr>
                <w:rStyle w:val="InstructionsTabelleberschrift"/>
                <w:sz w:val="24"/>
                <w:rFonts w:ascii="Times New Roman" w:hAnsi="Times New Roman"/>
              </w:rPr>
              <w:t xml:space="preserve">Bruto neizravna ulaganja u dopunski kapital subjekata financijskog sektora ako institucija ima značajno ulaganje</w:t>
            </w:r>
          </w:p>
          <w:p w14:paraId="6C79EB51" w14:textId="77777777" w:rsidR="00CC7D2C" w:rsidRPr="002A677E" w:rsidRDefault="00CC7D2C" w:rsidP="00320EFD">
            <w:pPr>
              <w:pStyle w:val="InstructionsText"/>
            </w:pPr>
            <w:r>
              <w:t xml:space="preserve">Članak 4. stavak 1. točka 114. i članci 68. i 69. Uredbe (EU) br. 575/2013</w:t>
            </w:r>
          </w:p>
          <w:p w14:paraId="1C456D47" w14:textId="77777777" w:rsidR="00CC7D2C" w:rsidRPr="002A677E" w:rsidRDefault="00CC7D2C" w:rsidP="00320EFD">
            <w:pPr>
              <w:pStyle w:val="InstructionsText"/>
            </w:pPr>
            <w:r>
              <w:t xml:space="preserve">Iskazuje se iznos neizravnih ulaganja u instrumente kapitala subjekata financijskog sektora u knjizi trgovanja u obliku ulaganja u indeksne vrijednosne papire.</w:t>
            </w:r>
            <w:r>
              <w:t xml:space="preserve"> </w:t>
            </w:r>
            <w:r>
              <w:t xml:space="preserve">Dobiva se izračunom odnosne izloženosti prema instrumentima kapitala subjekata financijskog sektora u indeksima.</w:t>
            </w:r>
          </w:p>
          <w:p w14:paraId="2E7DF12B" w14:textId="77777777" w:rsidR="00CC7D2C" w:rsidRPr="002A677E" w:rsidRDefault="00CC7D2C" w:rsidP="00320EFD">
            <w:pPr>
              <w:pStyle w:val="InstructionsText"/>
            </w:pPr>
            <w:r>
              <w:t xml:space="preserve">Ne uključuju se ulaganja koja se tretiraju kao recipročna međusobna ulaganja u skladu s člankom 66. točkom (b) Uredbe (EU) br. 575/2013.</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t xml:space="preserve">0640</w:t>
            </w:r>
          </w:p>
        </w:tc>
        <w:tc>
          <w:tcPr>
            <w:tcW w:w="7049" w:type="dxa"/>
          </w:tcPr>
          <w:p w14:paraId="0ECB9762" w14:textId="77777777" w:rsidR="00CC7D2C" w:rsidRPr="002A677E" w:rsidRDefault="00CC7D2C" w:rsidP="00320EFD">
            <w:pPr>
              <w:pStyle w:val="InstructionsText"/>
            </w:pPr>
            <w:r>
              <w:rPr>
                <w:rStyle w:val="InstructionsTabelleberschrift"/>
                <w:sz w:val="24"/>
                <w:rFonts w:ascii="Times New Roman" w:hAnsi="Times New Roman"/>
              </w:rPr>
              <w:t xml:space="preserve">17.2.2.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neizravnim bruto ulaganjima</w:t>
            </w:r>
          </w:p>
          <w:p w14:paraId="337B5275" w14:textId="77777777" w:rsidR="00CC7D2C" w:rsidRPr="002A677E" w:rsidRDefault="00CC7D2C" w:rsidP="00320EFD">
            <w:pPr>
              <w:pStyle w:val="InstructionsText"/>
            </w:pPr>
            <w:r>
              <w:t xml:space="preserve">Članak 4. stavak 1. točka 114. i članak 69. Uredbe (EU) br. 575/2013</w:t>
            </w:r>
          </w:p>
          <w:p w14:paraId="1D1733C3" w14:textId="77777777" w:rsidR="00CC7D2C" w:rsidRPr="002A677E" w:rsidRDefault="00CC7D2C" w:rsidP="00320EFD">
            <w:pPr>
              <w:pStyle w:val="InstructionsText"/>
            </w:pPr>
            <w:r>
              <w:t xml:space="preserve">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 xml:space="preserve">0641</w:t>
            </w:r>
          </w:p>
        </w:tc>
        <w:tc>
          <w:tcPr>
            <w:tcW w:w="7049" w:type="dxa"/>
            <w:vAlign w:val="center"/>
          </w:tcPr>
          <w:p w14:paraId="7550DD64" w14:textId="77777777" w:rsidR="00CC7D2C" w:rsidRPr="002A677E" w:rsidRDefault="00CC7D2C" w:rsidP="00320EFD">
            <w:pPr>
              <w:pStyle w:val="InstructionsText"/>
            </w:pPr>
            <w:r>
              <w:rPr>
                <w:rStyle w:val="InstructionsTabelleberschrift"/>
                <w:sz w:val="24"/>
                <w:rFonts w:ascii="Times New Roman" w:hAnsi="Times New Roman"/>
              </w:rPr>
              <w:t xml:space="preserve">17.3.</w:t>
            </w:r>
            <w:r>
              <w:rPr>
                <w:rStyle w:val="InstructionsTabelleberschrift"/>
                <w:sz w:val="24"/>
                <w:rFonts w:ascii="Times New Roman" w:hAnsi="Times New Roman"/>
              </w:rPr>
              <w:tab/>
            </w:r>
            <w:r>
              <w:rPr>
                <w:rStyle w:val="InstructionsTabelleberschrift"/>
                <w:sz w:val="24"/>
                <w:rFonts w:ascii="Times New Roman" w:hAnsi="Times New Roman"/>
              </w:rPr>
              <w:t xml:space="preserve">Sintetska ulaganja u dopunski kapital subjekata financijskog sektora ako institucija ima značajno ulaganje</w:t>
            </w:r>
          </w:p>
          <w:p w14:paraId="3A4A3413"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Članak 4. stavak 1. točka 126. i članci 68. i 69. Uredbe (EU) br.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 xml:space="preserve">0642</w:t>
            </w:r>
          </w:p>
        </w:tc>
        <w:tc>
          <w:tcPr>
            <w:tcW w:w="7049" w:type="dxa"/>
            <w:vAlign w:val="center"/>
          </w:tcPr>
          <w:p w14:paraId="0B22ABCC" w14:textId="77777777" w:rsidR="00CC7D2C" w:rsidRPr="002A677E" w:rsidRDefault="00CC7D2C" w:rsidP="00320EFD">
            <w:pPr>
              <w:pStyle w:val="InstructionsText"/>
            </w:pPr>
            <w:r>
              <w:rPr>
                <w:rStyle w:val="InstructionsTabelleberschrift"/>
                <w:sz w:val="24"/>
                <w:rFonts w:ascii="Times New Roman" w:hAnsi="Times New Roman"/>
              </w:rPr>
              <w:t xml:space="preserve">17.3.1.</w:t>
            </w:r>
            <w:r>
              <w:rPr>
                <w:rStyle w:val="InstructionsTabelleberschrift"/>
                <w:sz w:val="24"/>
                <w:rFonts w:ascii="Times New Roman" w:hAnsi="Times New Roman"/>
              </w:rPr>
              <w:tab/>
            </w:r>
            <w:r>
              <w:rPr>
                <w:rStyle w:val="InstructionsTabelleberschrift"/>
                <w:sz w:val="24"/>
                <w:rFonts w:ascii="Times New Roman" w:hAnsi="Times New Roman"/>
              </w:rPr>
              <w:t xml:space="preserve">Bruto sintetska ulaganja u dopunski kapital subjekata financijskog sektora ako institucija ima značajno ulaganje</w:t>
            </w:r>
          </w:p>
          <w:p w14:paraId="4C256628"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Članak 4. stavak 1. točka 126. i članci 68. i 69. Uredbe (EU) br.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 xml:space="preserve">0643</w:t>
            </w:r>
          </w:p>
        </w:tc>
        <w:tc>
          <w:tcPr>
            <w:tcW w:w="7049" w:type="dxa"/>
            <w:vAlign w:val="center"/>
          </w:tcPr>
          <w:p w14:paraId="3E61F6CA" w14:textId="77777777" w:rsidR="00CC7D2C" w:rsidRPr="002A677E" w:rsidRDefault="00CC7D2C" w:rsidP="00320EFD">
            <w:pPr>
              <w:pStyle w:val="InstructionsText"/>
            </w:pPr>
            <w:r>
              <w:rPr>
                <w:rStyle w:val="InstructionsTabelleberschrift"/>
                <w:sz w:val="24"/>
                <w:rFonts w:ascii="Times New Roman" w:hAnsi="Times New Roman"/>
              </w:rPr>
              <w:t xml:space="preserve">17.3.2.</w:t>
            </w:r>
            <w:r>
              <w:rPr>
                <w:rStyle w:val="InstructionsTabelleberschrift"/>
                <w:sz w:val="24"/>
                <w:rFonts w:ascii="Times New Roman" w:hAnsi="Times New Roman"/>
              </w:rPr>
              <w:tab/>
            </w:r>
            <w:r>
              <w:rPr>
                <w:rStyle w:val="InstructionsTabelleberschrift"/>
                <w:sz w:val="24"/>
                <w:rFonts w:ascii="Times New Roman" w:hAnsi="Times New Roman"/>
              </w:rPr>
              <w:t xml:space="preserve">(–) Odobreni prijeboj kratkih pozicija prethodno uključenim sintetskim bruto ulaganjima</w:t>
            </w:r>
          </w:p>
          <w:p w14:paraId="4F4571E8" w14:textId="77777777" w:rsidR="00CC7D2C" w:rsidRPr="002A677E" w:rsidRDefault="00CC7D2C" w:rsidP="00320EFD">
            <w:pPr>
              <w:pStyle w:val="InstructionsText"/>
            </w:pPr>
            <w:r>
              <w:t xml:space="preserve">Članak 4. stavak 1. točka 126. i članak 69. Uredbe (EU) br. 575/2013</w:t>
            </w:r>
          </w:p>
          <w:p w14:paraId="362FB8E8"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Člankom 69. točkom (a) Uredbe (EU) br. 575/2013 omogućuje se prijeboj kratkih pozicija u istoj odnosnoj izloženosti ako je datum dospijeća kratke pozicije isti kao datum dospijeća duge pozicije ili je nakon tog datuma ili ako je preostali rok dospijeća kratke pozicije najmanje godinu dana.</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 xml:space="preserve">0650</w:t>
            </w:r>
          </w:p>
        </w:tc>
        <w:tc>
          <w:tcPr>
            <w:tcW w:w="7049" w:type="dxa"/>
          </w:tcPr>
          <w:p w14:paraId="00327085" w14:textId="77777777" w:rsidR="00CC7D2C" w:rsidRPr="002A677E" w:rsidRDefault="00CC7D2C" w:rsidP="00320EFD">
            <w:pPr>
              <w:pStyle w:val="InstructionsText"/>
            </w:pPr>
            <w:r>
              <w:rPr>
                <w:rStyle w:val="InstructionsTabelleberschrift"/>
                <w:sz w:val="24"/>
                <w:rFonts w:ascii="Times New Roman" w:hAnsi="Times New Roman"/>
              </w:rPr>
              <w:t xml:space="preserve">18 Izloženosti ulaganja u redovni osnovni kapital subjekata financijskog sektora ponderirane rizikom koja se ne odbijaju od redovnog osnovnog kapitala institucije</w:t>
            </w:r>
          </w:p>
          <w:p w14:paraId="2A1347E7" w14:textId="77777777" w:rsidR="00CC7D2C" w:rsidRPr="002A677E" w:rsidRDefault="00CC7D2C" w:rsidP="00320EFD">
            <w:pPr>
              <w:pStyle w:val="InstructionsText"/>
            </w:pPr>
            <w:r>
              <w:t xml:space="preserve">Članak 46. stavak 4., članak 48. stavak 4. te članak 49. stavak 4. Uredbe (EU) br.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t xml:space="preserve">0660</w:t>
            </w:r>
          </w:p>
        </w:tc>
        <w:tc>
          <w:tcPr>
            <w:tcW w:w="7049" w:type="dxa"/>
          </w:tcPr>
          <w:p w14:paraId="7D93F8F7" w14:textId="77777777" w:rsidR="00CC7D2C" w:rsidRPr="002A677E" w:rsidRDefault="00CC7D2C" w:rsidP="00320EFD">
            <w:pPr>
              <w:pStyle w:val="InstructionsText"/>
            </w:pPr>
            <w:r>
              <w:rPr>
                <w:rStyle w:val="InstructionsTabelleberschrift"/>
                <w:sz w:val="24"/>
                <w:rFonts w:ascii="Times New Roman" w:hAnsi="Times New Roman"/>
              </w:rPr>
              <w:t xml:space="preserve">19 Izloženosti ulaganja u dodatni osnovni kapital subjekata financijskog sektora ponderirane rizikom koje se ne odbijaju od dodatnog osnovnog kapitala institucije</w:t>
            </w:r>
          </w:p>
          <w:p w14:paraId="30C320BB" w14:textId="77777777" w:rsidR="00CC7D2C" w:rsidRPr="002A677E" w:rsidRDefault="00CC7D2C" w:rsidP="00320EFD">
            <w:pPr>
              <w:pStyle w:val="InstructionsText"/>
            </w:pPr>
            <w:r>
              <w:t xml:space="preserve">Članak 60. stavak 4. Uredbe (EU) br.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 xml:space="preserve">0670</w:t>
            </w:r>
          </w:p>
        </w:tc>
        <w:tc>
          <w:tcPr>
            <w:tcW w:w="7049" w:type="dxa"/>
          </w:tcPr>
          <w:p w14:paraId="3326F623" w14:textId="77777777" w:rsidR="00CC7D2C" w:rsidRPr="002A677E" w:rsidRDefault="00CC7D2C" w:rsidP="00320EFD">
            <w:pPr>
              <w:pStyle w:val="InstructionsText"/>
            </w:pPr>
            <w:r>
              <w:rPr>
                <w:rStyle w:val="InstructionsTabelleberschrift"/>
                <w:sz w:val="24"/>
                <w:rFonts w:ascii="Times New Roman" w:hAnsi="Times New Roman"/>
              </w:rPr>
              <w:t xml:space="preserve">20 Izloženosti ulaganja u dopunski kapital subjekata financijskog sektora ponderirane rizikom koja se ne odbijaju od dopunskog kapitala institucije</w:t>
            </w:r>
          </w:p>
          <w:p w14:paraId="78BD6DA2" w14:textId="77777777" w:rsidR="00CC7D2C" w:rsidRPr="002A677E" w:rsidRDefault="00CC7D2C" w:rsidP="00320EFD">
            <w:pPr>
              <w:pStyle w:val="InstructionsText"/>
            </w:pPr>
            <w:r>
              <w:t xml:space="preserve">Članak 70. stavak 4. Uredbe (EU) br.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 xml:space="preserve">0680</w:t>
            </w:r>
          </w:p>
        </w:tc>
        <w:tc>
          <w:tcPr>
            <w:tcW w:w="7049" w:type="dxa"/>
          </w:tcPr>
          <w:p w14:paraId="0D13141E" w14:textId="77777777" w:rsidR="00CC7D2C" w:rsidRPr="002A677E" w:rsidRDefault="00CC7D2C" w:rsidP="00320EFD">
            <w:pPr>
              <w:pStyle w:val="InstructionsText"/>
            </w:pPr>
            <w:r>
              <w:rPr>
                <w:rStyle w:val="InstructionsTabelleberschrift"/>
                <w:sz w:val="24"/>
                <w:rFonts w:ascii="Times New Roman" w:hAnsi="Times New Roman"/>
              </w:rPr>
              <w:t xml:space="preserve">21.</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instrumente redovnog osnovnog kapitala subjekata financijskog sektora ako institucija nema značajno ulaganje, privremeno izuzeta</w:t>
            </w:r>
          </w:p>
          <w:p w14:paraId="2FF787C2" w14:textId="77777777" w:rsidR="00CC7D2C" w:rsidRPr="002A677E" w:rsidRDefault="00CC7D2C" w:rsidP="00320EFD">
            <w:pPr>
              <w:pStyle w:val="InstructionsText"/>
            </w:pPr>
            <w:r>
              <w:t xml:space="preserve">Članak 79. Uredbe (EU) br. 575/2013</w:t>
            </w:r>
          </w:p>
          <w:p w14:paraId="461FF48B" w14:textId="77777777" w:rsidR="00CC7D2C" w:rsidRPr="002A677E" w:rsidRDefault="00CC7D2C" w:rsidP="00320EFD">
            <w:pPr>
              <w:pStyle w:val="InstructionsText"/>
            </w:pPr>
            <w:r>
              <w:t xml:space="preserve">Nadležno tijelo može privremeno primijeniti izuzeće od odredaba o odbitku od redovnog osnovnog kapitala koje se primjenjuju na ulaganja u instrumente specifičnog subjekta financijskog sektora ako to smatra ulaganjem radi financijske pomoći u svrhu reorganizacije i spašavanja tog subjekta.</w:t>
            </w:r>
          </w:p>
          <w:p w14:paraId="52F554E2" w14:textId="77777777" w:rsidR="00CC7D2C" w:rsidRPr="002A677E" w:rsidRDefault="00CC7D2C" w:rsidP="00320EFD">
            <w:pPr>
              <w:pStyle w:val="InstructionsText"/>
            </w:pPr>
            <w:r>
              <w:t xml:space="preserve">Potrebno je napomenuti da se ti instrumenti iskazuju i u stavci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 xml:space="preserve">0690</w:t>
            </w:r>
          </w:p>
        </w:tc>
        <w:tc>
          <w:tcPr>
            <w:tcW w:w="7049" w:type="dxa"/>
          </w:tcPr>
          <w:p w14:paraId="724FAE2C" w14:textId="77777777" w:rsidR="00CC7D2C" w:rsidRPr="002A677E" w:rsidRDefault="00CC7D2C" w:rsidP="00320EFD">
            <w:pPr>
              <w:pStyle w:val="InstructionsText"/>
            </w:pPr>
            <w:r>
              <w:rPr>
                <w:rStyle w:val="InstructionsTabelleberschrift"/>
                <w:sz w:val="24"/>
                <w:rFonts w:ascii="Times New Roman" w:hAnsi="Times New Roman"/>
              </w:rPr>
              <w:t xml:space="preserve">22.</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instrumente redovnog osnovnog kapitala subjekata financijskog sektora ako institucija ima značajno ulaganje, privremeno izuzeta</w:t>
            </w:r>
          </w:p>
          <w:p w14:paraId="75D9BB74" w14:textId="77777777" w:rsidR="00CC7D2C" w:rsidRPr="002A677E" w:rsidRDefault="00CC7D2C" w:rsidP="00320EFD">
            <w:pPr>
              <w:pStyle w:val="InstructionsText"/>
            </w:pPr>
            <w:r>
              <w:t xml:space="preserve">Članak 79. Uredbe (EU) br. 575/2013</w:t>
            </w:r>
          </w:p>
          <w:p w14:paraId="3CF93984" w14:textId="77777777" w:rsidR="00CC7D2C" w:rsidRPr="002A677E" w:rsidRDefault="00CC7D2C" w:rsidP="00320EFD">
            <w:pPr>
              <w:pStyle w:val="InstructionsText"/>
            </w:pPr>
            <w:r>
              <w:t xml:space="preserve">Nadležno tijelo može primijeniti izuzeće od odredaba o odbitku od redovnog osnovnog kapitala koje se primjenjuju na ulaganja u instrumente specifičnog subjekta financijskog sektora ako to smatra ulaganjem radi financijske pomoći u svrhu reorganizacije i spašavanja tog subjekta.</w:t>
            </w:r>
          </w:p>
          <w:p w14:paraId="402057D7" w14:textId="77777777" w:rsidR="00CC7D2C" w:rsidRPr="002A677E" w:rsidRDefault="00CC7D2C" w:rsidP="00320EFD">
            <w:pPr>
              <w:pStyle w:val="InstructionsText"/>
            </w:pPr>
            <w:r>
              <w:t xml:space="preserve">Potrebno je napomenuti da se ti instrumenti iskazuju i u stavci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 xml:space="preserve">0700</w:t>
            </w:r>
          </w:p>
        </w:tc>
        <w:tc>
          <w:tcPr>
            <w:tcW w:w="7049" w:type="dxa"/>
          </w:tcPr>
          <w:p w14:paraId="161AE868" w14:textId="77777777" w:rsidR="00CC7D2C" w:rsidRPr="002A677E" w:rsidRDefault="00CC7D2C" w:rsidP="00320EFD">
            <w:pPr>
              <w:pStyle w:val="InstructionsText"/>
            </w:pPr>
            <w:r>
              <w:rPr>
                <w:rStyle w:val="InstructionsTabelleberschrift"/>
                <w:sz w:val="24"/>
                <w:rFonts w:ascii="Times New Roman" w:hAnsi="Times New Roman"/>
              </w:rPr>
              <w:t xml:space="preserve">23.</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instrumente dodatnog osnovnog kapitala subjekata financijskog sektora ako institucija nema značajno ulaganje, privremeno izuzeta</w:t>
            </w:r>
          </w:p>
          <w:p w14:paraId="21529E99" w14:textId="77777777" w:rsidR="00CC7D2C" w:rsidRPr="002A677E" w:rsidRDefault="00CC7D2C" w:rsidP="00320EFD">
            <w:pPr>
              <w:pStyle w:val="InstructionsText"/>
            </w:pPr>
            <w:r>
              <w:t xml:space="preserve">Članak 79. Uredbe (EU) br. 575/2013</w:t>
            </w:r>
          </w:p>
          <w:p w14:paraId="799B0BA0" w14:textId="77777777" w:rsidR="00CC7D2C" w:rsidRPr="002A677E" w:rsidRDefault="00CC7D2C" w:rsidP="00320EFD">
            <w:pPr>
              <w:pStyle w:val="InstructionsText"/>
            </w:pPr>
            <w:r>
              <w:t xml:space="preserve">Nadležno tijelo može privremeno primijeniti izuzeće od odredaba o odbitku od dodatnog osnovnog kapitala koje se primjenjuju na ulaganja u instrumente specifičnog subjekta financijskog sektora ako to smatra ulaganjem radi financijske pomoći u svrhu reorganizacije i spašavanja tog subjekta.</w:t>
            </w:r>
          </w:p>
          <w:p w14:paraId="4C19F43B" w14:textId="77777777" w:rsidR="00CC7D2C" w:rsidRPr="002A677E" w:rsidRDefault="00CC7D2C" w:rsidP="00320EFD">
            <w:pPr>
              <w:pStyle w:val="InstructionsText"/>
            </w:pPr>
            <w:r>
              <w:t xml:space="preserve">Potrebno je napomenuti da se ti instrumenti iskazuju i u stavci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t xml:space="preserve">0710</w:t>
            </w:r>
          </w:p>
        </w:tc>
        <w:tc>
          <w:tcPr>
            <w:tcW w:w="7049" w:type="dxa"/>
          </w:tcPr>
          <w:p w14:paraId="1BB5D659" w14:textId="77777777" w:rsidR="00CC7D2C" w:rsidRPr="002A677E" w:rsidRDefault="00CC7D2C" w:rsidP="00320EFD">
            <w:pPr>
              <w:pStyle w:val="InstructionsText"/>
            </w:pPr>
            <w:r>
              <w:rPr>
                <w:rStyle w:val="InstructionsTabelleberschrift"/>
                <w:sz w:val="24"/>
                <w:rFonts w:ascii="Times New Roman" w:hAnsi="Times New Roman"/>
              </w:rPr>
              <w:t xml:space="preserve">24.</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instrumente dodatnog osnovnog kapitala subjekata financijskog sektora ako institucija ima značajno ulaganje, privremeno izuzeta</w:t>
            </w:r>
          </w:p>
          <w:p w14:paraId="29ECC364" w14:textId="77777777" w:rsidR="00CC7D2C" w:rsidRPr="002A677E" w:rsidRDefault="00CC7D2C" w:rsidP="00320EFD">
            <w:pPr>
              <w:pStyle w:val="InstructionsText"/>
            </w:pPr>
            <w:r>
              <w:t xml:space="preserve">Članak 79. Uredbe (EU) br. 575/2013</w:t>
            </w:r>
          </w:p>
          <w:p w14:paraId="7B10897F" w14:textId="77777777" w:rsidR="00CC7D2C" w:rsidRPr="002A677E" w:rsidRDefault="00CC7D2C" w:rsidP="00320EFD">
            <w:pPr>
              <w:pStyle w:val="InstructionsText"/>
            </w:pPr>
            <w:r>
              <w:t xml:space="preserve">Nadležno tijelo može privremeno primijeniti izuzeće od odredaba o odbitku od dodatnog osnovnog kapitala koje se primjenjuju na ulaganja u instrumente specifičnog subjekta financijskog sektora ako to smatra ulaganjem radi financijske pomoći u svrhu reorganizacije i spašavanja tog subjekta.</w:t>
            </w:r>
          </w:p>
          <w:p w14:paraId="4477D9DA" w14:textId="77777777" w:rsidR="00CC7D2C" w:rsidRPr="002A677E" w:rsidRDefault="00CC7D2C" w:rsidP="00320EFD">
            <w:pPr>
              <w:pStyle w:val="InstructionsText"/>
            </w:pPr>
            <w:r>
              <w:t xml:space="preserve">Potrebno je napomenuti da se ti instrumenti iskazuju i u stavci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 xml:space="preserve">0720</w:t>
            </w:r>
          </w:p>
        </w:tc>
        <w:tc>
          <w:tcPr>
            <w:tcW w:w="7049" w:type="dxa"/>
          </w:tcPr>
          <w:p w14:paraId="1AFA5BF2" w14:textId="77777777" w:rsidR="00CC7D2C" w:rsidRPr="002A677E" w:rsidRDefault="00CC7D2C" w:rsidP="00320EFD">
            <w:pPr>
              <w:pStyle w:val="InstructionsText"/>
            </w:pPr>
            <w:r>
              <w:rPr>
                <w:rStyle w:val="InstructionsTabelleberschrift"/>
                <w:sz w:val="24"/>
                <w:rFonts w:ascii="Times New Roman" w:hAnsi="Times New Roman"/>
              </w:rPr>
              <w:t xml:space="preserve">25.</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instrumente dopunskog kapitala subjekata financijskog sektora ako institucija nema značajno ulaganje, privremeno izuzeta</w:t>
            </w:r>
          </w:p>
          <w:p w14:paraId="11A612C2" w14:textId="77777777" w:rsidR="00CC7D2C" w:rsidRPr="002A677E" w:rsidRDefault="00CC7D2C" w:rsidP="00320EFD">
            <w:pPr>
              <w:pStyle w:val="InstructionsText"/>
            </w:pPr>
            <w:r>
              <w:t xml:space="preserve">Članak 79. Uredbe (EU) br. 575/2013</w:t>
            </w:r>
          </w:p>
          <w:p w14:paraId="2B2A46AA" w14:textId="77777777" w:rsidR="00CC7D2C" w:rsidRPr="002A677E" w:rsidRDefault="00CC7D2C" w:rsidP="00320EFD">
            <w:pPr>
              <w:pStyle w:val="InstructionsText"/>
            </w:pPr>
            <w:r>
              <w:t xml:space="preserve">Nadležno tijelo može primijeniti izuzeće od odredaba o odbitku od dopunskog kapitala koje se primjenjuju na ulaganja u instrumente specifičnog subjekta financijskog sektora ako to smatra ulaganjem radi financijske pomoći u svrhu reorganizacije i spašavanja tog subjekta.</w:t>
            </w:r>
          </w:p>
          <w:p w14:paraId="0FE5A55A" w14:textId="77777777" w:rsidR="00CC7D2C" w:rsidRPr="002A677E" w:rsidRDefault="00CC7D2C" w:rsidP="00320EFD">
            <w:pPr>
              <w:pStyle w:val="InstructionsText"/>
            </w:pPr>
            <w:r>
              <w:t xml:space="preserve">Potrebno je napomenuti da se ti instrumenti iskazuju i u stavci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 xml:space="preserve">0730</w:t>
            </w:r>
          </w:p>
        </w:tc>
        <w:tc>
          <w:tcPr>
            <w:tcW w:w="7049" w:type="dxa"/>
          </w:tcPr>
          <w:p w14:paraId="06A26F26" w14:textId="77777777" w:rsidR="00CC7D2C" w:rsidRPr="002A677E" w:rsidRDefault="00CC7D2C" w:rsidP="00320EFD">
            <w:pPr>
              <w:pStyle w:val="InstructionsText"/>
            </w:pPr>
            <w:r>
              <w:rPr>
                <w:rStyle w:val="InstructionsTabelleberschrift"/>
                <w:sz w:val="24"/>
                <w:rFonts w:ascii="Times New Roman" w:hAnsi="Times New Roman"/>
              </w:rPr>
              <w:t xml:space="preserve">26.</w:t>
            </w:r>
            <w:r>
              <w:rPr>
                <w:rStyle w:val="InstructionsTabelleberschrift"/>
                <w:sz w:val="24"/>
                <w:rFonts w:ascii="Times New Roman" w:hAnsi="Times New Roman"/>
              </w:rPr>
              <w:tab/>
            </w:r>
            <w:r>
              <w:rPr>
                <w:rStyle w:val="InstructionsTabelleberschrift"/>
                <w:sz w:val="24"/>
                <w:rFonts w:ascii="Times New Roman" w:hAnsi="Times New Roman"/>
              </w:rPr>
              <w:t xml:space="preserve">Ulaganja u instrumente dopunskog kapitala subjekata financijskog sektora ako institucija ima značajno ulaganje, privremeno izuzeta</w:t>
            </w:r>
          </w:p>
          <w:p w14:paraId="208EC193" w14:textId="77777777" w:rsidR="00CC7D2C" w:rsidRPr="002A677E" w:rsidRDefault="00CC7D2C" w:rsidP="00320EFD">
            <w:pPr>
              <w:pStyle w:val="InstructionsText"/>
            </w:pPr>
            <w:r>
              <w:t xml:space="preserve">Članak 79. Uredbe (EU) br. 575/2013</w:t>
            </w:r>
          </w:p>
          <w:p w14:paraId="1FA4E3CB" w14:textId="77777777" w:rsidR="00CC7D2C" w:rsidRPr="002A677E" w:rsidRDefault="00CC7D2C" w:rsidP="00320EFD">
            <w:pPr>
              <w:pStyle w:val="InstructionsText"/>
            </w:pPr>
            <w:r>
              <w:t xml:space="preserve">Nadležno tijelo može primijeniti izuzeće od odredaba o odbitku od dopunskog kapitala koje se primjenjuju na ulaganja u instrumente specifičnog subjekta financijskog sektora ako to smatra ulaganjem radi financijske pomoći u svrhu reorganizacije i spašavanja tog subjekta.</w:t>
            </w:r>
          </w:p>
          <w:p w14:paraId="13C3AFDA" w14:textId="77777777" w:rsidR="00CC7D2C" w:rsidRPr="002A677E" w:rsidRDefault="00CC7D2C" w:rsidP="00320EFD">
            <w:pPr>
              <w:pStyle w:val="InstructionsText"/>
            </w:pPr>
            <w:r>
              <w:t xml:space="preserve">Potrebno je napomenuti da se ti instrumenti iskazuju i u stavci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t xml:space="preserve">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sz w:val="24"/>
                <w:rFonts w:ascii="Times New Roman" w:hAnsi="Times New Roman"/>
              </w:rPr>
              <w:t xml:space="preserve">27.</w:t>
            </w:r>
            <w:r>
              <w:rPr>
                <w:rStyle w:val="InstructionsTabelleberschrift"/>
                <w:sz w:val="24"/>
                <w:rFonts w:ascii="Times New Roman" w:hAnsi="Times New Roman"/>
              </w:rPr>
              <w:tab/>
            </w:r>
            <w:r>
              <w:rPr>
                <w:rStyle w:val="InstructionsTabelleberschrift"/>
                <w:sz w:val="24"/>
                <w:rFonts w:ascii="Times New Roman" w:hAnsi="Times New Roman"/>
              </w:rPr>
              <w:t xml:space="preserve">Zahtjev za kombinirani zaštitni sloj</w:t>
            </w:r>
          </w:p>
          <w:p w14:paraId="0AF29A6F" w14:textId="77777777" w:rsidR="00CC7D2C" w:rsidRPr="002A677E" w:rsidRDefault="00CC7D2C" w:rsidP="00320EFD">
            <w:pPr>
              <w:pStyle w:val="InstructionsText"/>
            </w:pPr>
            <w:r>
              <w:t xml:space="preserve">Članak 128. točka 6. Direktive 2013/36/EU</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 xml:space="preserve">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sz w:val="24"/>
                <w:rFonts w:ascii="Times New Roman" w:hAnsi="Times New Roman"/>
              </w:rPr>
              <w:t xml:space="preserve">Zaštitni sloj za očuvanje kapitala</w:t>
            </w:r>
          </w:p>
          <w:p w14:paraId="1304A556" w14:textId="77777777" w:rsidR="00CC7D2C" w:rsidRPr="002A677E" w:rsidRDefault="00CC7D2C" w:rsidP="00320EFD">
            <w:pPr>
              <w:pStyle w:val="InstructionsText"/>
            </w:pPr>
            <w:r>
              <w:t xml:space="preserve">Članak 128. točka 1. i članak 129. Direktive 2013/36/EU</w:t>
            </w:r>
            <w:r>
              <w:t xml:space="preserve"> </w:t>
            </w:r>
          </w:p>
          <w:p w14:paraId="34478878" w14:textId="77777777" w:rsidR="00CC7D2C" w:rsidRPr="002A677E" w:rsidRDefault="00CC7D2C" w:rsidP="00320EFD">
            <w:pPr>
              <w:pStyle w:val="InstructionsText"/>
            </w:pPr>
            <w:r>
              <w:t xml:space="preserve">U skladu s člankom 129. stavkom 1. Direktive 2013/36/EU zaštitni sloj za očuvanje kapitala dodatni je iznos redovnog osnovnog kapitala.</w:t>
            </w:r>
            <w:r>
              <w:t xml:space="preserve"> </w:t>
            </w:r>
            <w:r>
              <w:t xml:space="preserve">Budući da je stopa zaštitnog sloja za očuvanje kapitala od 2,5 % stabilna, iznos se iskazuje u ovom retku.</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 xml:space="preserve">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sz w:val="24"/>
                <w:rFonts w:ascii="Times New Roman" w:hAnsi="Times New Roman"/>
              </w:rPr>
              <w:t xml:space="preserve">Zaštitni sloj za očuvanje kapitala zbog makrobonitetnog ili sistemskog rizika utvrđenog na razini države članice</w:t>
            </w:r>
            <w:r>
              <w:rPr>
                <w:rStyle w:val="InstructionsTabelleberschrift"/>
                <w:sz w:val="24"/>
                <w:rFonts w:ascii="Times New Roman" w:hAnsi="Times New Roman"/>
              </w:rPr>
              <w:t xml:space="preserve"> </w:t>
            </w:r>
          </w:p>
          <w:p w14:paraId="6B9D8D9B" w14:textId="77777777" w:rsidR="00CC7D2C" w:rsidRPr="002A677E" w:rsidRDefault="00CC7D2C" w:rsidP="00320EFD">
            <w:pPr>
              <w:pStyle w:val="InstructionsText"/>
            </w:pPr>
            <w:r>
              <w:t xml:space="preserve">Članak 458. stavak 2. točka (d) podtočka iv. Uredbe (EU) br. 575/2013</w:t>
            </w:r>
          </w:p>
          <w:p w14:paraId="164E576A" w14:textId="77777777" w:rsidR="00CC7D2C" w:rsidRPr="002A677E" w:rsidRDefault="00CC7D2C" w:rsidP="00320EFD">
            <w:pPr>
              <w:pStyle w:val="InstructionsText"/>
            </w:pPr>
            <w:r>
              <w:t xml:space="preserve">U ovom se retku iskazuje iznos zaštitnog sloja za očuvanje kapitala zbog makrobonitetnog ili sistemskog rizika utvrđenog na razini države članice, čije se iskazivanje, u skladu s člankom 458. Uredbe (EU) br. 575/2013, može zatražiti uz iskazivanje zaštitnog sloja za očuvanje kapitala.</w:t>
            </w:r>
          </w:p>
          <w:p w14:paraId="567C4AC2" w14:textId="77777777" w:rsidR="00CC7D2C" w:rsidRPr="002A677E" w:rsidRDefault="00CC7D2C" w:rsidP="00320EFD">
            <w:pPr>
              <w:pStyle w:val="InstructionsText"/>
            </w:pPr>
            <w:r>
              <w:t xml:space="preserve">Iskazani iznos predstavlja iznos regulatornog kapitala koji je potreban za ispunjenje odgovarajućeg zahtjeva za zaštitni sloj kapitala na izvještajni datum.</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 xml:space="preserve">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sz w:val="24"/>
                <w:rFonts w:ascii="Times New Roman" w:hAnsi="Times New Roman"/>
              </w:rPr>
              <w:t xml:space="preserve">Protuciklički zaštitni sloj kapitala specifičan za instituciju</w:t>
            </w:r>
            <w:r>
              <w:rPr>
                <w:rStyle w:val="InstructionsTabelleberschrift"/>
                <w:sz w:val="24"/>
                <w:rFonts w:ascii="Times New Roman" w:hAnsi="Times New Roman"/>
              </w:rPr>
              <w:t xml:space="preserve"> </w:t>
            </w:r>
          </w:p>
          <w:p w14:paraId="5911F73C" w14:textId="77777777" w:rsidR="00CC7D2C" w:rsidRPr="002A677E" w:rsidRDefault="00CC7D2C" w:rsidP="00320EFD">
            <w:pPr>
              <w:pStyle w:val="InstructionsText"/>
            </w:pPr>
            <w:r>
              <w:t xml:space="preserve">Članak 128. točka 2., članak 130., članci od 135. do 140. Direktive 2013/36/EU</w:t>
            </w:r>
            <w:r>
              <w:t xml:space="preserve"> </w:t>
            </w:r>
          </w:p>
          <w:p w14:paraId="2146B003" w14:textId="77777777" w:rsidR="00CC7D2C" w:rsidRPr="002A677E" w:rsidRDefault="00CC7D2C" w:rsidP="00320EFD">
            <w:pPr>
              <w:pStyle w:val="InstructionsText"/>
            </w:pPr>
            <w:r>
              <w:t xml:space="preserve">Iskazani iznos predstavlja iznos regulatornog kapitala koji je potreban za ispunjenje odgovarajućeg zahtjeva za zaštitni sloj kapitala na izvještajni datum.</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 xml:space="preserve">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sz w:val="24"/>
                <w:rFonts w:ascii="Times New Roman" w:hAnsi="Times New Roman"/>
              </w:rPr>
              <w:t xml:space="preserve">Zaštitni sloj za sistemski rizik</w:t>
            </w:r>
            <w:r>
              <w:rPr>
                <w:rStyle w:val="InstructionsTabelleberschrift"/>
                <w:sz w:val="24"/>
                <w:rFonts w:ascii="Times New Roman" w:hAnsi="Times New Roman"/>
              </w:rPr>
              <w:t xml:space="preserve"> </w:t>
            </w:r>
          </w:p>
          <w:p w14:paraId="441B636C" w14:textId="77777777" w:rsidR="00CC7D2C" w:rsidRPr="002A677E" w:rsidRDefault="00CC7D2C" w:rsidP="00320EFD">
            <w:pPr>
              <w:pStyle w:val="InstructionsText"/>
            </w:pPr>
            <w:r>
              <w:t xml:space="preserve">Članak 128. točka 5. i članci 133. i 134. Direktive 2013/36/EU</w:t>
            </w:r>
            <w:r>
              <w:t xml:space="preserve"> </w:t>
            </w:r>
          </w:p>
          <w:p w14:paraId="69C1F43C" w14:textId="77777777" w:rsidR="00CC7D2C" w:rsidRPr="002A677E" w:rsidRDefault="00CC7D2C" w:rsidP="00320EFD">
            <w:pPr>
              <w:pStyle w:val="InstructionsText"/>
            </w:pPr>
            <w:r>
              <w:t xml:space="preserve">Iskazani iznos predstavlja iznos regulatornog kapitala koji je potreban za ispunjenje odgovarajućeg zahtjeva za zaštitni sloj kapitala na izvještajni datum.</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 xml:space="preserve">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Zaštitni sloj za globalnu sistemski važnu instituciju</w:t>
            </w:r>
          </w:p>
          <w:p w14:paraId="4259170F"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Članak 128. točka 3. i članak 131. Direktive 2013/36/EU</w:t>
            </w:r>
          </w:p>
          <w:p w14:paraId="6ED66F1E"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Iskazani iznos predstavlja iznos regulatornog kapitala koji je potreban za ispunjenje odgovarajućeg zahtjeva za zaštitni sloj kapitala na izvještajni datum.</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 xml:space="preserve">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Zaštitni sloj za ostale sistemski važne institucije</w:t>
            </w:r>
            <w:r>
              <w:rPr>
                <w:rStyle w:val="InstructionsTabelleberschrift"/>
                <w:sz w:val="24"/>
                <w:rFonts w:ascii="Times New Roman" w:hAnsi="Times New Roman"/>
              </w:rPr>
              <w:t xml:space="preserve"> </w:t>
            </w:r>
          </w:p>
          <w:p w14:paraId="295F628B"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Članak 128. točka 4. i članak 131. Direktive 2013/36/EU</w:t>
            </w:r>
          </w:p>
          <w:p w14:paraId="4B543D3F" w14:textId="77777777" w:rsidR="00CC7D2C" w:rsidRPr="002A677E" w:rsidRDefault="00CC7D2C" w:rsidP="00320EFD">
            <w:pPr>
              <w:pStyle w:val="InstructionsText"/>
              <w:rPr>
                <w:rStyle w:val="InstructionsTabelleberschrift"/>
                <w:b w:val="0"/>
                <w:bCs w:val="0"/>
                <w:sz w:val="24"/>
                <w:u w:val="none"/>
                <w:rFonts w:ascii="Times New Roman" w:hAnsi="Times New Roman"/>
              </w:rPr>
            </w:pPr>
            <w:r>
              <w:t xml:space="preserve">Iskazani iznos predstavlja iznos regulatornog kapitala koji je potreban za ispunjenje odgovarajućeg zahtjeva za zaštitni sloj kapitala na izvještajni datum.</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t xml:space="preserve">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28.</w:t>
            </w:r>
            <w:r>
              <w:rPr>
                <w:rStyle w:val="InstructionsTabelleberschrift"/>
                <w:sz w:val="24"/>
                <w:rFonts w:ascii="Times New Roman" w:hAnsi="Times New Roman"/>
              </w:rPr>
              <w:tab/>
            </w:r>
            <w:r>
              <w:rPr>
                <w:rStyle w:val="InstructionsTabelleberschrift"/>
                <w:sz w:val="24"/>
                <w:rFonts w:ascii="Times New Roman" w:hAnsi="Times New Roman"/>
              </w:rPr>
              <w:t xml:space="preserve">Kapitalni zahtjevi povezani s prilagodbama za drugi stup</w:t>
            </w:r>
          </w:p>
          <w:p w14:paraId="7A04542A"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Članak 104.a stavak 1. Direktive 2013/36/EU.</w:t>
            </w:r>
            <w:r>
              <w:rPr>
                <w:rStyle w:val="InstructionsTabelleberschrift"/>
                <w:b w:val="0"/>
                <w:sz w:val="24"/>
                <w:u w:val="none"/>
                <w:rFonts w:ascii="Times New Roman" w:hAnsi="Times New Roman"/>
              </w:rPr>
              <w:t xml:space="preserve"> </w:t>
            </w:r>
          </w:p>
          <w:p w14:paraId="131DD05D"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Ako nadležno tijelo odluči da institucija treba izračunati dodatne kapitalne zahtjeve za potrebe drugog stupa, iznos tih dodatnih kapitalnih zahtjeva iskazuju se u ovom retku.</w:t>
            </w:r>
            <w:r>
              <w:rPr>
                <w:rStyle w:val="InstructionsTabelleberschrift"/>
                <w:b w:val="0"/>
                <w:sz w:val="24"/>
                <w:u w:val="none"/>
                <w:rFonts w:ascii="Times New Roman" w:hAnsi="Times New Roman"/>
              </w:rPr>
              <w:t xml:space="preserve">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 xml:space="preserve">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29.</w:t>
            </w:r>
            <w:r>
              <w:rPr>
                <w:rStyle w:val="InstructionsTabelleberschrift"/>
                <w:sz w:val="24"/>
                <w:rFonts w:ascii="Times New Roman" w:hAnsi="Times New Roman"/>
              </w:rPr>
              <w:tab/>
            </w:r>
            <w:r>
              <w:rPr>
                <w:rStyle w:val="InstructionsTabelleberschrift"/>
                <w:sz w:val="24"/>
                <w:rFonts w:ascii="Times New Roman" w:hAnsi="Times New Roman"/>
              </w:rPr>
              <w:t xml:space="preserve">Inicijalni kapital</w:t>
            </w:r>
          </w:p>
          <w:p w14:paraId="46BF5068" w14:textId="77777777" w:rsidR="00CC7D2C" w:rsidRPr="002A677E" w:rsidRDefault="00CC7D2C" w:rsidP="00320EFD">
            <w:pPr>
              <w:pStyle w:val="InstructionsText"/>
              <w:rPr>
                <w:rStyle w:val="InstructionsTabelleberschrift"/>
                <w:b w:val="0"/>
                <w:sz w:val="24"/>
                <w:u w:val="none"/>
                <w:rFonts w:ascii="Times New Roman" w:hAnsi="Times New Roman"/>
              </w:rPr>
            </w:pPr>
            <w:r>
              <w:t xml:space="preserve">Članak 12. i članci od 28 do 31. Direktive 2013/36/EU i članak 93. Uredbe (EU) br.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 xml:space="preserve">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30.</w:t>
            </w:r>
            <w:r>
              <w:rPr>
                <w:rStyle w:val="InstructionsTabelleberschrift"/>
                <w:sz w:val="24"/>
                <w:rFonts w:ascii="Times New Roman" w:hAnsi="Times New Roman"/>
              </w:rPr>
              <w:tab/>
            </w:r>
            <w:r>
              <w:rPr>
                <w:rStyle w:val="InstructionsTabelleberschrift"/>
                <w:sz w:val="24"/>
                <w:rFonts w:ascii="Times New Roman" w:hAnsi="Times New Roman"/>
              </w:rPr>
              <w:t xml:space="preserve">Regulatorni kapital na osnovi fiksnih općih troškova</w:t>
            </w:r>
          </w:p>
          <w:p w14:paraId="0512C5F3" w14:textId="77777777" w:rsidR="00CC7D2C" w:rsidRDefault="00CC7D2C" w:rsidP="00320EFD">
            <w:pPr>
              <w:pStyle w:val="InstructionsText"/>
            </w:pPr>
            <w:r>
              <w:t xml:space="preserve">Članak 95. stavak 2. točka (b), članak 96. stavak 2. točka (b), članak 97. i članak 98 stavak 1. točka (a) Uredbe (EU) br. 575/2013</w:t>
            </w:r>
          </w:p>
          <w:p w14:paraId="3C40AD1B" w14:textId="77777777" w:rsidR="00CC7D2C" w:rsidRPr="00232921" w:rsidRDefault="00CC7D2C" w:rsidP="00320EFD">
            <w:pPr>
              <w:pStyle w:val="InstructionsText"/>
              <w:rPr>
                <w:rStyle w:val="InstructionsTabelleberschrift"/>
                <w:b w:val="0"/>
                <w:sz w:val="24"/>
                <w:u w:val="none"/>
                <w:rFonts w:ascii="Times New Roman" w:hAnsi="Times New Roman"/>
              </w:rPr>
            </w:pPr>
            <w:r>
              <w:t xml:space="preserve">Iskazuje se iznos kapitalnih zahtjeva koji proizlazi iz prethodno navedenih članaka.</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 xml:space="preserve">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31.</w:t>
            </w:r>
            <w:r>
              <w:rPr>
                <w:rStyle w:val="InstructionsTabelleberschrift"/>
                <w:sz w:val="24"/>
                <w:rFonts w:ascii="Times New Roman" w:hAnsi="Times New Roman"/>
              </w:rPr>
              <w:tab/>
            </w:r>
            <w:r>
              <w:rPr>
                <w:rStyle w:val="InstructionsTabelleberschrift"/>
                <w:sz w:val="24"/>
                <w:rFonts w:ascii="Times New Roman" w:hAnsi="Times New Roman"/>
              </w:rPr>
              <w:t xml:space="preserve">Strane originalne izloženosti</w:t>
            </w:r>
          </w:p>
          <w:p w14:paraId="16401F26"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Informacije potrebne za izračun praga za izvješćivanje iz obrasca CR GB </w:t>
            </w:r>
            <w:r>
              <w:t xml:space="preserve">u skladu s </w:t>
            </w:r>
            <w:r>
              <w:rPr>
                <w:rStyle w:val="InstructionsTabelleberschrift"/>
                <w:b w:val="0"/>
                <w:sz w:val="24"/>
                <w:u w:val="none"/>
                <w:rFonts w:ascii="Times New Roman" w:hAnsi="Times New Roman"/>
              </w:rPr>
              <w:t xml:space="preserve">člankom 5. stavkom 5. ove Provedbene uredbe.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Prag se izračunava na osnovi originalne izloženosti prije konverzijskog faktora.</w:t>
            </w:r>
            <w:r>
              <w:rPr>
                <w:rStyle w:val="InstructionsTabelleberschrift"/>
                <w:b w:val="0"/>
                <w:sz w:val="24"/>
                <w:u w:val="none"/>
                <w:rFonts w:ascii="Times New Roman" w:hAnsi="Times New Roman"/>
              </w:rPr>
              <w:t xml:space="preserve"> </w:t>
            </w:r>
          </w:p>
          <w:p w14:paraId="34F7B9BD"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Izloženosti se smatraju domaćima ako su to izloženosti prema drugim ugovornim stranama u državi članici u kojoj se nalazi institucija.</w:t>
            </w:r>
          </w:p>
          <w:p w14:paraId="1E9D65B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Odstupajući od članka 21. stavka 1. točke (a) ove Provedbene uredbe, ovaj se redak uvijek ispunjava.</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 xml:space="preserve">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32.</w:t>
            </w:r>
            <w:r>
              <w:rPr>
                <w:rStyle w:val="InstructionsTabelleberschrift"/>
                <w:sz w:val="24"/>
                <w:rFonts w:ascii="Times New Roman" w:hAnsi="Times New Roman"/>
              </w:rPr>
              <w:tab/>
            </w:r>
            <w:r>
              <w:rPr>
                <w:rStyle w:val="InstructionsTabelleberschrift"/>
                <w:sz w:val="24"/>
                <w:rFonts w:ascii="Times New Roman" w:hAnsi="Times New Roman"/>
              </w:rPr>
              <w:t xml:space="preserve">Ukupne originalne izloženosti</w:t>
            </w:r>
          </w:p>
          <w:p w14:paraId="543A84DC"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Informacije potrebne za izračun praga za izvješćivanje iz obrasca CR GB </w:t>
            </w:r>
            <w:r>
              <w:t xml:space="preserve">u skladu s </w:t>
            </w:r>
            <w:r>
              <w:rPr>
                <w:rStyle w:val="InstructionsTabelleberschrift"/>
                <w:b w:val="0"/>
                <w:sz w:val="24"/>
                <w:u w:val="none"/>
                <w:rFonts w:ascii="Times New Roman" w:hAnsi="Times New Roman"/>
              </w:rPr>
              <w:t xml:space="preserve">člankom 5. stavkom 5. ove Provedbene uredbe.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Prag se izračunava na osnovi originalne izloženosti prije konverzijskog faktora.</w:t>
            </w:r>
          </w:p>
          <w:p w14:paraId="6407DB57"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Izloženosti se smatraju domaćima ako su to izloženosti prema drugim ugovornim stranama u državi članici u kojoj se nalazi institucija.</w:t>
            </w:r>
          </w:p>
          <w:p w14:paraId="1C76764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b w:val="0"/>
                <w:sz w:val="24"/>
                <w:u w:val="none"/>
                <w:rFonts w:ascii="Times New Roman" w:hAnsi="Times New Roman"/>
              </w:rPr>
              <w:t xml:space="preserve">Odstupajući od članka 21. stavka 1. točke (a) ove Provedbene uredbe, ovaj se redak uvijek ispunjava.</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t xml:space="preserve">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33   PRILAGODBA DONJE GRANICE PRIJE PRIMJENE PRIJELAZNE GORNJE GRANICE</w:t>
            </w:r>
          </w:p>
          <w:p w14:paraId="0E5E8397" w14:textId="77777777" w:rsidR="00CC7D2C" w:rsidRPr="002A677E" w:rsidRDefault="00CC7D2C" w:rsidP="00320EFD">
            <w:pPr>
              <w:pStyle w:val="InstructionsText"/>
              <w:rPr>
                <w:rStyle w:val="InstructionsTabelleberschrift"/>
                <w:sz w:val="24"/>
                <w:rFonts w:ascii="Times New Roman" w:hAnsi="Times New Roman"/>
              </w:rPr>
            </w:pPr>
            <w:r>
              <w:t xml:space="preserve">Za institucije na koje se primjenjuje minimalna donja granica u skladu s člankom 92. stavkom 3. Uredbe (EU) br. 575/2013, prilagodba donje granice bez primjene prijelazne gornje granice iz članka 465. stavka 2. Uredbe (EU) br.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 xml:space="preserve">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34   PRILAGODBA DONJE GRANICE NAKON PRIMJENE PRIJELAZNE GORNJE GRANICE</w:t>
            </w:r>
          </w:p>
          <w:p w14:paraId="373CB5D0" w14:textId="77777777" w:rsidR="00CC7D2C" w:rsidRDefault="00CC7D2C" w:rsidP="00320EFD">
            <w:pPr>
              <w:pStyle w:val="InstructionsText"/>
              <w:rPr>
                <w:rStyle w:val="InstructionsTabelleberschrift"/>
                <w:sz w:val="24"/>
                <w:rFonts w:ascii="Times New Roman" w:hAnsi="Times New Roman"/>
              </w:rPr>
            </w:pPr>
            <w:r>
              <w:t xml:space="preserve">Za institucije na koje se primjenjuje minimalna donja granica u skladu s člankom 92. stavkom 3. Uredbe (EU) br. 575/2013, prilagodba donje granice nakon primjene prijelazne gornje granice iz članka 465. stavka 2. Uredbe (EU) br.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 xml:space="preserve">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35     POTPUNA PRILAGODBA DONJE GRANICE</w:t>
            </w:r>
            <w:r>
              <w:rPr>
                <w:rStyle w:val="InstructionsTabelleberschrift"/>
                <w:sz w:val="24"/>
                <w:rFonts w:ascii="Times New Roman" w:hAnsi="Times New Roman"/>
              </w:rPr>
              <w:t xml:space="preserve"> </w:t>
            </w:r>
          </w:p>
          <w:p w14:paraId="7B9000EF" w14:textId="77777777" w:rsidR="00CC7D2C" w:rsidRPr="002A677E" w:rsidRDefault="00CC7D2C" w:rsidP="00320EFD">
            <w:pPr>
              <w:pStyle w:val="InstructionsText"/>
              <w:rPr>
                <w:rStyle w:val="InstructionsTabelleberschrift"/>
                <w:sz w:val="24"/>
                <w:rFonts w:ascii="Times New Roman" w:hAnsi="Times New Roman"/>
              </w:rPr>
            </w:pPr>
            <w:r>
              <w:t xml:space="preserve">Za institucije na koje se primjenjuje minimalna donja granica u skladu s člankom 92. stavkom 3. Uredbe (EU) br. 575/2013, prilagodba donje granice bez primjene svih prijelaznih aranžmana iz članka 465. Uredbe (EU) br.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 xml:space="preserve">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36.        Primijenjena minimalna donja granica (%)</w:t>
            </w:r>
          </w:p>
          <w:p w14:paraId="1C24BB02" w14:textId="77777777" w:rsidR="00CC7D2C" w:rsidRPr="002906CD" w:rsidRDefault="00CC7D2C" w:rsidP="00822842">
            <w:pPr>
              <w:autoSpaceDE w:val="0"/>
              <w:autoSpaceDN w:val="0"/>
              <w:adjustRightInd w:val="0"/>
              <w:spacing w:before="0" w:after="0"/>
              <w:jc w:val="left"/>
              <w:rPr>
                <w:sz w:val="24"/>
                <w:rFonts w:ascii="Times New Roman" w:eastAsia="Arial" w:hAnsi="Times New Roman"/>
              </w:rPr>
            </w:pPr>
            <w:r>
              <w:rPr>
                <w:sz w:val="24"/>
                <w:rFonts w:ascii="Times New Roman" w:hAnsi="Times New Roman"/>
              </w:rPr>
              <w:t xml:space="preserve">Minimalna donja granica, izražena kao postotak, koju banka primjenjuje u</w:t>
            </w:r>
          </w:p>
          <w:p w14:paraId="4826F3C6" w14:textId="77777777" w:rsidR="00CC7D2C" w:rsidRPr="002A677E" w:rsidRDefault="00CC7D2C" w:rsidP="00320EFD">
            <w:pPr>
              <w:pStyle w:val="InstructionsText"/>
              <w:rPr>
                <w:rStyle w:val="InstructionsTabelleberschrift"/>
                <w:sz w:val="24"/>
                <w:rFonts w:ascii="Times New Roman" w:hAnsi="Times New Roman"/>
              </w:rPr>
            </w:pPr>
            <w:r>
              <w:t xml:space="preserve">svom izračunu vrijednosti prilagodbe donje granice:</w:t>
            </w:r>
            <w:r>
              <w:t xml:space="preserve"> </w:t>
            </w:r>
            <w:r>
              <w:t xml:space="preserve">faktor „x” na temelju članka 92. stavka 3. i članka 465. stavka 1. Uredbe (EU) br.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 xml:space="preserve">1.6.</w:t>
      </w:r>
      <w:r>
        <w:tab/>
      </w:r>
      <w:r>
        <w:t xml:space="preserve">PRIJELAZNE ODREDBE i INSTRUMENTI KOJI SE NASTAVLJAJU PRIZNAVATI:</w:t>
      </w:r>
      <w:r>
        <w:t xml:space="preserve"> </w:t>
      </w:r>
      <w:r>
        <w:t xml:space="preserve">INSTRUMENTI KOJI NISU INSTRUMENTI DRŽAVNE POTPORE (CA5</w:t>
      </w:r>
      <w:bookmarkEnd w:id="46"/>
      <w:r>
        <w:t xml:space="preserve">)</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 xml:space="preserve">1.6.1.</w:t>
      </w:r>
      <w:r>
        <w:tab/>
      </w:r>
      <w:r>
        <w:t xml:space="preserve">Opće napomene</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16</w:t>
      </w:r>
      <w:r>
        <w:fldChar w:fldCharType="end"/>
      </w:r>
      <w:r>
        <w:t xml:space="preserve">.</w:t>
      </w:r>
      <w:r>
        <w:tab/>
      </w:r>
      <w:r>
        <w:t xml:space="preserve">U obrascu CA5 navodi se sažetak izračuna elemenata i odbitaka regulatornog kapitala na koje se primjenjuju prijelazne odredbe utvrđene u člancima od 465. do 491., člancima 494.a i 494.b Uredbe (EU) br. 575/2013.</w:t>
      </w:r>
      <w:r>
        <w:t xml:space="preserve"> </w:t>
      </w:r>
    </w:p>
    <w:p w14:paraId="5236D7A3"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17</w:t>
      </w:r>
      <w:r>
        <w:fldChar w:fldCharType="end"/>
      </w:r>
      <w:r>
        <w:t xml:space="preserve">.</w:t>
      </w:r>
      <w:r>
        <w:tab/>
      </w:r>
      <w:r>
        <w:t xml:space="preserve">Obrazac CA5 strukturiran je kako slijedi:</w:t>
      </w:r>
    </w:p>
    <w:p w14:paraId="1CFB5D30" w14:textId="77777777" w:rsidR="00CC7D2C" w:rsidRPr="002A677E" w:rsidRDefault="00CC7D2C" w:rsidP="00886567">
      <w:pPr>
        <w:pStyle w:val="InstructionsText2"/>
        <w:numPr>
          <w:ilvl w:val="0"/>
          <w:numId w:val="0"/>
        </w:numPr>
        <w:ind w:left="993"/>
      </w:pPr>
      <w:r>
        <w:t xml:space="preserve">(a)</w:t>
      </w:r>
      <w:r>
        <w:tab/>
      </w:r>
      <w:r>
        <w:t xml:space="preserve">U obrascu CA5.1 navodi se sažetak ukupnih usklađenja koje je potrebno izvršiti u različitim komponentama regularnog kapitala (iskazanima u CA1 u skladu sa završnim odredbama) zbog primjene prijelaznih odredaba.</w:t>
      </w:r>
      <w:r>
        <w:t xml:space="preserve"> </w:t>
      </w:r>
      <w:r>
        <w:t xml:space="preserve">Elementi iz ovog obrasca iskazuju se kao „usklađenja” različitih komponenti kapitala u CA1 kako bi u komponentama regulatornog kapitala odražavali učinke prijelaznih odredaba.</w:t>
      </w:r>
    </w:p>
    <w:p w14:paraId="7232AD29" w14:textId="77777777" w:rsidR="00CC7D2C" w:rsidRPr="002A677E" w:rsidRDefault="00CC7D2C" w:rsidP="00886567">
      <w:pPr>
        <w:pStyle w:val="InstructionsText2"/>
        <w:numPr>
          <w:ilvl w:val="0"/>
          <w:numId w:val="0"/>
        </w:numPr>
        <w:ind w:left="993"/>
      </w:pPr>
      <w:r>
        <w:t xml:space="preserve">(b)</w:t>
      </w:r>
      <w:r>
        <w:tab/>
      </w:r>
      <w:r>
        <w:t xml:space="preserve">U obrascu 5.2 nalaze se detaljniji podaci o izračunu tih instrumenata koji se nastavljaju priznavati i koji nisu državna potpora.</w:t>
      </w:r>
      <w:r>
        <w:t xml:space="preserve">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dirty="true"/>
      </w:r>
      <w:r w:rsidRPr="002A677E">
        <w:instrText xml:space="preserve"> seq paragraphs </w:instrText>
      </w:r>
      <w:r w:rsidRPr="00624117">
        <w:fldChar w:fldCharType="separate"/>
      </w:r>
      <w:r>
        <w:t>18</w:t>
      </w:r>
      <w:r w:rsidRPr="00624117">
        <w:fldChar w:fldCharType="end"/>
      </w:r>
      <w:r>
        <w:t xml:space="preserve">.</w:t>
      </w:r>
      <w:r>
        <w:tab/>
      </w:r>
      <w:r>
        <w:t xml:space="preserve">U prva četiri stupca institucije iskazuju usklađenja redovnog osnovnog kapitala, dodatnog osnovnog kapitala i dopunskog kapitala te iznos koji je potrebno tretirati kao rizikom ponderiranu imovinu.</w:t>
      </w:r>
      <w:r>
        <w:t xml:space="preserve"> </w:t>
      </w:r>
      <w:r>
        <w:t xml:space="preserve">Institucije su dužne iskazati i odgovarajući postotak u stupcu 0050 i priznati iznos bez priznavanja prijelaznih odredaba u stupcu 0060.</w:t>
      </w:r>
    </w:p>
    <w:p w14:paraId="6EDAB8B1"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19</w:t>
      </w:r>
      <w:r>
        <w:fldChar w:fldCharType="end"/>
      </w:r>
      <w:r>
        <w:t xml:space="preserve">.</w:t>
      </w:r>
      <w:r>
        <w:tab/>
      </w:r>
      <w:r>
        <w:t xml:space="preserve">Institucije u CA5 iskazuju samo elemente tijekom razdoblja u kojem se primjenjuju prijelazne odredbe utvrđene u dijelu desetom Uredbe (EU) br. 575/2013.</w:t>
      </w:r>
    </w:p>
    <w:p w14:paraId="57EC4F24"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20</w:t>
      </w:r>
      <w:r>
        <w:fldChar w:fldCharType="end"/>
      </w:r>
      <w:r>
        <w:t xml:space="preserve">.</w:t>
      </w:r>
      <w:r>
        <w:tab/>
      </w:r>
      <w:r>
        <w:t xml:space="preserve">Nekim prijelaznim odredbama propisuje se odbitak od osnovnog kapitala.</w:t>
      </w:r>
      <w:r>
        <w:t xml:space="preserve"> </w:t>
      </w:r>
      <w:r>
        <w:t xml:space="preserve">Ako je to slučaj kada se preostali iznos odbitka ili odbitaka primjenjuje na osnovni kapital i ne postoji dovoljno dodatnog osnovnog kapitala za apsorbiranje tog iznosa, višak se odbija od redovnog osnovnog kapitala.</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 xml:space="preserve">1.6.2.</w:t>
      </w:r>
      <w:r>
        <w:tab/>
      </w:r>
      <w:r>
        <w:t xml:space="preserve">C 05.01 – PRIJELAZNE ODREDBE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21</w:t>
      </w:r>
      <w:r>
        <w:fldChar w:fldCharType="end"/>
      </w:r>
      <w:r>
        <w:t xml:space="preserve">.</w:t>
      </w:r>
      <w:r>
        <w:tab/>
      </w:r>
      <w:r>
        <w:t xml:space="preserve">Institucije u obrascu CA5.1 iskazuju prijelazne odredbe o komponentama regulatornog kapitala kako je propisano u člancima od 465. do 491., člancima 494.a i 494.b Uredbe (EU) br. 575/2013, u usporedbi s primjenom završnih odredaba iz dijela drugog glave II. te uredbe.</w:t>
      </w:r>
      <w:r>
        <w:t xml:space="preserve"> </w:t>
      </w:r>
    </w:p>
    <w:p w14:paraId="60637655" w14:textId="77777777" w:rsidR="00CC7D2C" w:rsidRPr="002A677E" w:rsidRDefault="00CC7D2C" w:rsidP="00886567">
      <w:pPr>
        <w:pStyle w:val="InstructionsText2"/>
        <w:numPr>
          <w:ilvl w:val="0"/>
          <w:numId w:val="0"/>
        </w:numPr>
      </w:pPr>
      <w:r>
        <w:lastRenderedPageBreak/>
        <w:fldChar w:fldCharType="begin" w:dirty="true"/>
      </w:r>
      <w:r>
        <w:instrText>seq paragraphs</w:instrText>
      </w:r>
      <w:r>
        <w:fldChar w:fldCharType="separate"/>
      </w:r>
      <w:r>
        <w:t>22</w:t>
      </w:r>
      <w:r>
        <w:fldChar w:fldCharType="end"/>
      </w:r>
      <w:r>
        <w:t xml:space="preserve">.</w:t>
      </w:r>
      <w:r>
        <w:tab/>
      </w:r>
      <w:r>
        <w:t xml:space="preserve">Institucije u redcima od 0060 do 0065 iskazuju informacije o prijelaznim odredbama za instrumente koji se nastavljaju priznavati.</w:t>
      </w:r>
      <w:r>
        <w:t xml:space="preserve"> </w:t>
      </w:r>
      <w:r>
        <w:t xml:space="preserve">Vrijednosti koje se iskazuju u retku 0060 iz CA5.1 odražavaju prijelazne odredbe uključene u Uredbu (EU) br. 575/2013 u verziji koja se primjenjivala do 26. lipnja 2019. i mogu se izvesti iz odgovarajućih odjeljaka CA5.2.</w:t>
      </w:r>
      <w:r>
        <w:t xml:space="preserve"> </w:t>
      </w:r>
      <w:r>
        <w:t xml:space="preserve">U redcima od 0061 do 0065 iskazuje se učinak prijelaznih odredaba članaka 494.a i 494.b Uredbe (EU) br. 575/2013.</w:t>
      </w:r>
    </w:p>
    <w:p w14:paraId="62BF86C6"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23</w:t>
      </w:r>
      <w:r>
        <w:fldChar w:fldCharType="end"/>
      </w:r>
      <w:r>
        <w:t xml:space="preserve">.</w:t>
      </w:r>
      <w:r>
        <w:tab/>
      </w:r>
      <w:r>
        <w:t xml:space="preserve">U redcima od 0070 do 0092 institucije iskazuju informacije o prijelaznim odredbama za manjinske udjele i instrumente dodatnog osnovnog kapitala i dopunskog kapitala društava kćeri (u skladu s člancima 479. i 480. Uredbe (EU) br. 575/2013).</w:t>
      </w:r>
    </w:p>
    <w:p w14:paraId="68A24959"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24</w:t>
      </w:r>
      <w:r>
        <w:fldChar w:fldCharType="end"/>
      </w:r>
      <w:r>
        <w:t xml:space="preserve">.</w:t>
      </w:r>
      <w:r>
        <w:tab/>
      </w:r>
      <w:r>
        <w:t xml:space="preserve">U redcima od 0100 nadalje institucije iskazuju informacije o učinku prijelaznih odredaba o nerealiziranim dobicima i gubicima, odbicima, dodatnim filtrima i odbicima i MSFI-ju 9.</w:t>
      </w:r>
    </w:p>
    <w:p w14:paraId="34E4B8FE"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25</w:t>
      </w:r>
      <w:r>
        <w:fldChar w:fldCharType="end"/>
      </w:r>
      <w:r>
        <w:t xml:space="preserve">.</w:t>
      </w:r>
      <w:r>
        <w:tab/>
      </w:r>
      <w:r>
        <w:t xml:space="preserve">To bi moglo biti u slučajevima kada prijelazni odbici od redovnog osnovnog kapitala, dodatnog osnovnog kapitala ili dopunskog kapitala premašuju redovni osnovni kapital, dodatni osnovni kapital ili dopunski kapital institucije.</w:t>
      </w:r>
      <w:r>
        <w:t xml:space="preserve"> </w:t>
      </w:r>
      <w:r>
        <w:t xml:space="preserve">Taj se učinak – ako proizlazi iz prijelaznih odredaba – iskazuje u odgovarajućim rubrikama u obrascu CA1.</w:t>
      </w:r>
      <w:r>
        <w:t xml:space="preserve"> </w:t>
      </w:r>
      <w:r>
        <w:t xml:space="preserve">Kao posljedica toga, usklađenja u stupcima obrasca CA5 ne uključuju nikakve učinke prelijevanja u slučaju nedostatnog dostupnog kapitala.</w:t>
      </w:r>
      <w:r>
        <w:t xml:space="preserve">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 xml:space="preserve">1.6.2.1.</w:t>
      </w:r>
      <w:r>
        <w:tab/>
      </w:r>
      <w:r>
        <w:t xml:space="preserve">Upute za specifične pozicije</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 xml:space="preserve">Stupci</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5E5AC16B"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Usklađenja redovnog osnovnog kapitala</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7478" w:type="dxa"/>
          </w:tcPr>
          <w:p w14:paraId="005FA4F8"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Usklađenja dodatnog osnovnog kapitala</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7478" w:type="dxa"/>
          </w:tcPr>
          <w:p w14:paraId="5782068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Usklađenja dopunskog kapitala</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7478" w:type="dxa"/>
          </w:tcPr>
          <w:p w14:paraId="4008BFC2"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Usklađenja uključena u rizikom ponderiranu imovinu</w:t>
            </w:r>
          </w:p>
          <w:p w14:paraId="2AB15337" w14:textId="77777777" w:rsidR="00CC7D2C" w:rsidRPr="002A677E" w:rsidRDefault="00CC7D2C" w:rsidP="00320EFD">
            <w:pPr>
              <w:pStyle w:val="InstructionsText"/>
              <w:rPr>
                <w:rStyle w:val="InstructionsTabelleText"/>
                <w:sz w:val="24"/>
                <w:rFonts w:ascii="Times New Roman" w:hAnsi="Times New Roman"/>
              </w:rPr>
            </w:pPr>
            <w:r>
              <w:t xml:space="preserve">U stupac 0040 uključuju se relevantni iznosi kojima se usklađuje iznos ukupne izloženosti riziku iz članka 92. stavka 3. Uredbe (EU) br. 575/2013 zbog prijelaznih odredaba.</w:t>
            </w:r>
            <w:r>
              <w:rPr>
                <w:rStyle w:val="InstructionsTabelleText"/>
                <w:sz w:val="24"/>
                <w:rFonts w:ascii="Times New Roman" w:hAnsi="Times New Roman"/>
              </w:rPr>
              <w:t xml:space="preserve"> </w:t>
            </w:r>
            <w:r>
              <w:t xml:space="preserve">U iznosima koji se iskazuju uzima se u obzir primjena odredaba iz dijela trećeg glave II. poglavlja 2. ili 3. ili dijela trećeg glave IV. u skladu s člankom 92. stavkom 4. Uredbe (EU) br. 575/2013.</w:t>
            </w:r>
            <w:r>
              <w:rPr>
                <w:rStyle w:val="InstructionsTabelleText"/>
                <w:sz w:val="24"/>
                <w:rFonts w:ascii="Times New Roman" w:hAnsi="Times New Roman"/>
              </w:rPr>
              <w:t xml:space="preserve"> </w:t>
            </w:r>
            <w:r>
              <w:rPr>
                <w:rStyle w:val="InstructionsTabelleText"/>
                <w:sz w:val="24"/>
                <w:rFonts w:ascii="Times New Roman" w:hAnsi="Times New Roman"/>
              </w:rPr>
              <w:t xml:space="preserve">To znači da se iznosi na temelju prijelaznih odredaba na koje se primjenjuje dio treći glava II. poglavlje 2. ili 3. iskazuju kao iznosi izloženosti ponderirani rizikom, dok iznosi na temelju prijelaznih odredaba na koje se primjenjuje dio treći glava IV. predstavljaju kapitalne zahtjeve pomnožene sa 12,5.</w:t>
            </w:r>
          </w:p>
          <w:p w14:paraId="6FD2215F"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rStyle w:val="InstructionsTabelleText"/>
                <w:sz w:val="24"/>
                <w:rFonts w:ascii="Times New Roman" w:hAnsi="Times New Roman"/>
              </w:rPr>
              <w:t xml:space="preserve">Dok su stupci od 0010 do 0030 izravno povezani s obrascem CA1, usklađenja uključena u iznos ukupne izloženosti riziku nisu izravno povezana s relevantnim obrascima za kreditni rizik.</w:t>
            </w:r>
            <w:r>
              <w:rPr>
                <w:rStyle w:val="InstructionsTabelleText"/>
                <w:sz w:val="24"/>
                <w:rFonts w:ascii="Times New Roman" w:hAnsi="Times New Roman"/>
              </w:rPr>
              <w:t xml:space="preserve"> </w:t>
            </w:r>
            <w:r>
              <w:rPr>
                <w:rStyle w:val="InstructionsTabelleText"/>
                <w:sz w:val="24"/>
                <w:rFonts w:ascii="Times New Roman" w:hAnsi="Times New Roman"/>
              </w:rPr>
              <w:t xml:space="preserve">Ako postoje usklađenja koja proizlaze iz prijelaznih odredaba u vezi s iznosom ukupne izloženosti riziku, navedena se usklađenja izravno uključuju u obrazac CR SA, CR IRB, CR EQU IRB, MKR SA TDI, MKR SA EQU ili MKR IM. Osim toga, navedeni se učinci iskazuju u stupcu 0040 obrasca CA5.1.</w:t>
            </w:r>
            <w:r>
              <w:rPr>
                <w:rStyle w:val="InstructionsTabelleText"/>
                <w:sz w:val="24"/>
                <w:rFonts w:ascii="Times New Roman" w:hAnsi="Times New Roman"/>
              </w:rPr>
              <w:t xml:space="preserve"> </w:t>
            </w:r>
            <w:r>
              <w:rPr>
                <w:rStyle w:val="InstructionsTabelleText"/>
                <w:sz w:val="24"/>
                <w:rFonts w:ascii="Times New Roman" w:hAnsi="Times New Roman"/>
              </w:rPr>
              <w:t xml:space="preserve">Kao posljedica toga, ti su iznosi samo bilješke.</w:t>
            </w:r>
            <w:r>
              <w:rPr>
                <w:rStyle w:val="InstructionsTabelleText"/>
                <w:sz w:val="24"/>
                <w:rFonts w:ascii="Times New Roman" w:hAnsi="Times New Roman"/>
              </w:rPr>
              <w:t xml:space="preserve">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7478" w:type="dxa"/>
          </w:tcPr>
          <w:p w14:paraId="554E45F6"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Primjenjivi postotak</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7C91F59F"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Priznati iznos bez prijelaznih odredaba</w:t>
            </w:r>
          </w:p>
          <w:p w14:paraId="0688C622"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Ovaj stupac uključuje iznos svakog instrumenta prije primjene prijelaznih odredaba, tj. osnovni iznos koji je relevantan za izračun usklađenja.</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 xml:space="preserve">Redci</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0AE528B2" w14:textId="77777777" w:rsidR="00CC7D2C" w:rsidRPr="002A677E" w:rsidRDefault="00CC7D2C" w:rsidP="00320EFD">
            <w:pPr>
              <w:pStyle w:val="InstructionsText"/>
              <w:rPr>
                <w:rStyle w:val="FormatvorlageInstructionsTabelleText"/>
                <w:b/>
                <w:sz w:val="24"/>
                <w:u w:val="single"/>
                <w:rFonts w:ascii="Times New Roman" w:hAnsi="Times New Roman"/>
              </w:rPr>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Ukupna usklađenja</w:t>
            </w:r>
          </w:p>
          <w:p w14:paraId="1456E00D" w14:textId="77777777" w:rsidR="00CC7D2C" w:rsidRPr="001235ED" w:rsidRDefault="00CC7D2C" w:rsidP="00822842">
            <w:pPr>
              <w:spacing w:before="0"/>
              <w:rPr>
                <w:rStyle w:val="FormatvorlageInstructionsTabelleText"/>
                <w:bCs w:val="0"/>
                <w:sz w:val="24"/>
                <w:rFonts w:ascii="Times New Roman" w:hAnsi="Times New Roman"/>
              </w:rPr>
            </w:pPr>
            <w:r>
              <w:rPr>
                <w:rStyle w:val="InstructionsTabelleText"/>
                <w:sz w:val="24"/>
                <w:rFonts w:ascii="Times New Roman" w:hAnsi="Times New Roman"/>
              </w:rPr>
              <w:t xml:space="preserve">Ovaj redak odražava ukupni učinak prijelaznih usklađenja na različite vrste kapitala, uvećan za iznose ponderirane rizikom proizišle iz tih usklađenja.</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0020</w:t>
            </w:r>
            <w:r>
              <w:rPr>
                <w:rStyle w:val="InstructionsTabelleText"/>
                <w:sz w:val="24"/>
                <w:rFonts w:ascii="Times New Roman" w:hAnsi="Times New Roman"/>
              </w:rPr>
              <w:t xml:space="preserve"> </w:t>
            </w:r>
          </w:p>
        </w:tc>
        <w:tc>
          <w:tcPr>
            <w:tcW w:w="7478" w:type="dxa"/>
          </w:tcPr>
          <w:p w14:paraId="42B60E68"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koji se nastavljaju priznavati</w:t>
            </w:r>
          </w:p>
          <w:p w14:paraId="5D53743C" w14:textId="77777777" w:rsidR="00CC7D2C" w:rsidRPr="001235ED" w:rsidRDefault="00CC7D2C" w:rsidP="00822842">
            <w:pPr>
              <w:spacing w:before="0"/>
              <w:rPr>
                <w:rStyle w:val="InstructionsTabelleText"/>
                <w:sz w:val="24"/>
                <w:rFonts w:ascii="Times New Roman" w:hAnsi="Times New Roman"/>
              </w:rPr>
            </w:pPr>
            <w:r>
              <w:rPr>
                <w:sz w:val="24"/>
                <w:rStyle w:val="InstructionsTabelleText"/>
                <w:rFonts w:ascii="Times New Roman" w:hAnsi="Times New Roman"/>
              </w:rPr>
              <w:t xml:space="preserve">Članci od 483. do 491.</w:t>
            </w:r>
            <w:r>
              <w:rPr>
                <w:sz w:val="24"/>
                <w:rFonts w:ascii="Times New Roman" w:hAnsi="Times New Roman"/>
              </w:rPr>
              <w:t xml:space="preserve"> Uredbe (EU) br. 575/2013</w:t>
            </w:r>
          </w:p>
          <w:p w14:paraId="659F146F" w14:textId="77777777" w:rsidR="00CC7D2C" w:rsidRPr="002A677E" w:rsidRDefault="00CC7D2C" w:rsidP="00822842">
            <w:pPr>
              <w:spacing w:before="0"/>
              <w:rPr>
                <w:rStyle w:val="FormatvorlageInstructionsTabelleText"/>
                <w:sz w:val="24"/>
                <w:rFonts w:ascii="Times New Roman" w:hAnsi="Times New Roman"/>
              </w:rPr>
            </w:pPr>
            <w:r>
              <w:rPr>
                <w:rStyle w:val="InstructionsTabelleText"/>
                <w:sz w:val="24"/>
                <w:rFonts w:ascii="Times New Roman" w:hAnsi="Times New Roman"/>
              </w:rPr>
              <w:t xml:space="preserve">Ovaj redak odražava ukupni učinak instrumenata koji se nastavljaju priznavati u prijelaznom razdoblju na različite vrste kapitala.</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55E430E6" w14:textId="77777777" w:rsidR="00CC7D2C" w:rsidRPr="001235ED" w:rsidRDefault="00CC7D2C" w:rsidP="00822842">
            <w:pPr>
              <w:spacing w:before="0"/>
              <w:rPr>
                <w:rStyle w:val="InstructionsTabelleText"/>
                <w:b/>
                <w:bCs/>
                <w:sz w:val="24"/>
                <w:u w:val="single"/>
                <w:rFonts w:ascii="Times New Roman" w:hAnsi="Times New Roman"/>
              </w:rPr>
            </w:pPr>
            <w:r>
              <w:rPr>
                <w:rStyle w:val="InstructionsTabelleberschrift"/>
                <w:sz w:val="24"/>
                <w:rFonts w:ascii="Times New Roman" w:hAnsi="Times New Roman"/>
              </w:rPr>
              <w:t xml:space="preserve">1.1.2.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koji nisu instrumenti državne potpore</w:t>
            </w:r>
          </w:p>
          <w:p w14:paraId="2E34CAEA" w14:textId="77777777" w:rsidR="00CC7D2C" w:rsidRPr="002A677E" w:rsidRDefault="00CC7D2C" w:rsidP="00822842">
            <w:pPr>
              <w:spacing w:before="0"/>
              <w:rPr>
                <w:b/>
                <w:bCs/>
                <w:sz w:val="24"/>
                <w:rFonts w:ascii="Times New Roman" w:hAnsi="Times New Roman"/>
              </w:rPr>
            </w:pPr>
            <w:r>
              <w:rPr>
                <w:rStyle w:val="InstructionsTabelleText"/>
                <w:sz w:val="24"/>
                <w:rFonts w:ascii="Times New Roman" w:hAnsi="Times New Roman"/>
              </w:rPr>
              <w:t xml:space="preserve">Iznosi koje je potrebno iskazati dobivaju se iz stupca 060 obrasca CA5.2.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0061</w:t>
            </w:r>
          </w:p>
        </w:tc>
        <w:tc>
          <w:tcPr>
            <w:tcW w:w="7478" w:type="dxa"/>
          </w:tcPr>
          <w:p w14:paraId="77D7B0C1"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izdani putem subjekata posebne namjene</w:t>
            </w:r>
          </w:p>
          <w:p w14:paraId="28A4DB45"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Članak 494.a Uredbe (EU) br.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0062</w:t>
            </w:r>
          </w:p>
        </w:tc>
        <w:tc>
          <w:tcPr>
            <w:tcW w:w="7478" w:type="dxa"/>
          </w:tcPr>
          <w:p w14:paraId="1061D83D" w14:textId="77777777" w:rsidR="00CC7D2C" w:rsidRPr="001235ED" w:rsidRDefault="00CC7D2C" w:rsidP="00822842">
            <w:pPr>
              <w:spacing w:before="0"/>
              <w:rPr>
                <w:rStyle w:val="InstructionsTabelleberschrift"/>
                <w:sz w:val="24"/>
                <w:rFonts w:ascii="Times New Roman" w:hAnsi="Times New Roman"/>
              </w:rPr>
            </w:pPr>
            <w:r>
              <w:rPr>
                <w:sz w:val="24"/>
                <w:rStyle w:val="InstructionsTabelleberschrift"/>
                <w:rFonts w:ascii="Times New Roman" w:hAnsi="Times New Roman"/>
              </w:rPr>
              <w:t xml:space="preserve">1.1.4.</w:t>
            </w:r>
            <w:r>
              <w:rPr>
                <w:sz w:val="24"/>
                <w:rStyle w:val="InstructionsTabelleberschrift"/>
                <w:rFonts w:ascii="Times New Roman" w:hAnsi="Times New Roman"/>
              </w:rPr>
              <w:tab/>
            </w:r>
            <w:r>
              <w:rPr>
                <w:sz w:val="24"/>
                <w:rStyle w:val="InstructionsTabelleberschrift"/>
                <w:rFonts w:ascii="Times New Roman" w:hAnsi="Times New Roman"/>
              </w:rPr>
              <w:t xml:space="preserve">Instrumenti izdani prije 27. lipnja 2019. koji ne ispunjavaju kriterije prihvatljivosti povezane s ovlastima za otpis i konverziju u skladu s člankom 59. Direktive 2014/59/EU ili su predmet sporazuma o prijeboju ili netiranju</w:t>
            </w:r>
          </w:p>
          <w:p w14:paraId="14B14CDE"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Članak 494.b Uredbe (EU) br. 575/2013</w:t>
            </w:r>
          </w:p>
          <w:p w14:paraId="70DE96AB"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Institucije iskazuju iznos instrumenata iz područja primjene članka 494.b Uredbe (EU) br. 575/2013 koji ne ispunjavaju jedan ili više kriterija prihvatljivosti iz članka 52. stavka 1. točaka (p), (q) i (r) ili članka 63. točaka (n), (o) i (p) te uredbe, ovisno o tome što je primjenjivo.</w:t>
            </w:r>
          </w:p>
          <w:p w14:paraId="26471CE7"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U slučaju instrumenata dopunskog kapitala koji su prihvatljivi u skladu s člankom 494.b stavkom 2. Uredbe (EU) br. 575/2013, primjenjuju se odredbe o amortizaciji iz članka 64. te uredbe.</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0063</w:t>
            </w:r>
          </w:p>
        </w:tc>
        <w:tc>
          <w:tcPr>
            <w:tcW w:w="7478" w:type="dxa"/>
          </w:tcPr>
          <w:p w14:paraId="4900B75E"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1.1.4.1.*</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bez propisanog ili ugovorno obvezujućeg otpisa ili konverzije pri izvršenju ovlasti u skladu s člankom 59. Direktiva 2014/59/EU</w:t>
            </w:r>
          </w:p>
          <w:p w14:paraId="3B877986"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Članak 494.b, članak 52. stavak 1. točka (p) i članak 63. točka (n) Uredbe (EU) br. 575/2013</w:t>
            </w:r>
          </w:p>
          <w:p w14:paraId="574DE47E"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Institucije iskazuju iznos instrumenata iz područja primjene članka 494.b Uredbe (EU) br. 575/2013 koji ne ispunjavaju kriterije prihvatljivosti iz članka 52. stavka 1. točke (p) ili (n) ili članka 63. te uredbe, ovisno o tome što je primjenjivo.</w:t>
            </w:r>
          </w:p>
          <w:p w14:paraId="6243954E"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To uključuje i instrumente koji dodatno ne ispunjavaju kriterije prihvatljivosti iz članka 52. stavka 1. točke (q) ili (r) Uredbe (EU) br. 575/2013 ili članka 63. točaka (o) ili (p) te uredbe, ovisno o tome što je primjenjivo.</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0064</w:t>
            </w:r>
          </w:p>
        </w:tc>
        <w:tc>
          <w:tcPr>
            <w:tcW w:w="7478" w:type="dxa"/>
          </w:tcPr>
          <w:p w14:paraId="3EC08114"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1.1.4.2.*</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uređeni pravom treće zemlje bez učinkovitog i provedivog izvršenja ovlasti u skladu s člankom 59. Direktiva 2014/59/EU</w:t>
            </w:r>
          </w:p>
          <w:p w14:paraId="7A24A8EA"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Članak 494.b, članak 52. stavak 1. točka (q) i članak 63. točka (o) Uredbe (EU) br. 575/2013</w:t>
            </w:r>
          </w:p>
          <w:p w14:paraId="6B71123D"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Institucije iskazuju iznos instrumenata iz područja primjene članka 494.b Uredbe (EU) br. 575/2013 koji ne ispunjavaju kriterije prihvatljivosti iz članka 52. stavka 1. točke (q) ili članka 63. točke (o) te uredbe, ovisno o tome što je primjenjivo.</w:t>
            </w:r>
          </w:p>
          <w:p w14:paraId="6BD5AA77"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To uključuje i instrumente koji dodatno ne ispunjavaju kriterije prihvatljivosti iz članka 52. stavka 1. točke (p) ili (r) Uredbe (EU) br. 575/2013 ili članka 63. točke (n) ili (p) te uredbe, ovisno o tome što je primjenjivo.</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0065</w:t>
            </w:r>
          </w:p>
        </w:tc>
        <w:tc>
          <w:tcPr>
            <w:tcW w:w="7478" w:type="dxa"/>
          </w:tcPr>
          <w:p w14:paraId="37024AB6" w14:textId="77777777" w:rsidR="00CC7D2C" w:rsidRPr="001235ED" w:rsidRDefault="00CC7D2C" w:rsidP="00822842">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1.1.4.3.*</w:t>
            </w:r>
            <w:r>
              <w:rPr>
                <w:rStyle w:val="InstructionsTabelleberschrift"/>
                <w:sz w:val="24"/>
                <w:rFonts w:ascii="Times New Roman" w:hAnsi="Times New Roman"/>
              </w:rPr>
              <w:tab/>
            </w:r>
            <w:r>
              <w:rPr>
                <w:rStyle w:val="InstructionsTabelleberschrift"/>
                <w:sz w:val="24"/>
                <w:rFonts w:ascii="Times New Roman" w:hAnsi="Times New Roman"/>
              </w:rPr>
              <w:t xml:space="preserve">od čega:</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Instrumenti koji su predmet sporazuma o prijeboju ili netiranju</w:t>
            </w:r>
          </w:p>
          <w:p w14:paraId="6DF8EE66"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Članak 494.b, članak 52. stavak 1. točka (r) i članak 63. točka (p) Uredbe (EU) br. 575/2013</w:t>
            </w:r>
          </w:p>
          <w:p w14:paraId="01DEA76F" w14:textId="77777777" w:rsidR="00CC7D2C" w:rsidRPr="002A677E" w:rsidRDefault="00CC7D2C" w:rsidP="00822842">
            <w:pPr>
              <w:spacing w:before="0"/>
              <w:rPr>
                <w:rStyle w:val="InstructionsTabelleberschrift"/>
                <w:b w:val="0"/>
                <w:sz w:val="24"/>
                <w:u w:val="none"/>
                <w:rFonts w:ascii="Times New Roman" w:hAnsi="Times New Roman"/>
              </w:rPr>
            </w:pPr>
            <w:r>
              <w:rPr>
                <w:sz w:val="24"/>
                <w:rFonts w:ascii="Times New Roman" w:hAnsi="Times New Roman"/>
              </w:rPr>
              <w:t xml:space="preserve">Institucije iskazuju iznos instrumenata iz područja primjene članka 494.b Uredbe (EU) br. 575/2013 koji ne ispunjavaju kriterije prihvatljivosti iz članka 52. stavka 1. točke (r) ili članka 63. točke (p) te uredbe, ovisno o tome što je primjenjivo.</w:t>
            </w:r>
          </w:p>
          <w:p w14:paraId="55CA01D9" w14:textId="77777777" w:rsidR="00CC7D2C" w:rsidRPr="002A677E" w:rsidRDefault="00CC7D2C" w:rsidP="00822842">
            <w:pPr>
              <w:spacing w:before="0"/>
              <w:rPr>
                <w:rStyle w:val="InstructionsTabelleberschrift"/>
                <w:sz w:val="24"/>
                <w:rFonts w:ascii="Times New Roman" w:hAnsi="Times New Roman"/>
              </w:rPr>
            </w:pPr>
            <w:r>
              <w:rPr>
                <w:sz w:val="24"/>
                <w:rFonts w:ascii="Times New Roman" w:hAnsi="Times New Roman"/>
              </w:rPr>
              <w:t xml:space="preserve">To uključuje i instrumente koji dodatno ne ispunjavaju kriterije prihvatljivosti iz članka 52. stavka 1. točke (p) ili (q) Uredbe (EU) br. 575/2013 ili članka 63. točke (n) ili (o) te uredbe, ovisno o tome što je primjenjivo.</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7478" w:type="dxa"/>
          </w:tcPr>
          <w:p w14:paraId="4A5542BD" w14:textId="77777777" w:rsidR="00CC7D2C" w:rsidRPr="002A677E" w:rsidRDefault="00CC7D2C" w:rsidP="00320EFD">
            <w:pPr>
              <w:pStyle w:val="InstructionsText"/>
              <w:rPr>
                <w:rStyle w:val="InstructionsTabelleText"/>
                <w:b/>
                <w:sz w:val="24"/>
                <w:u w:val="single"/>
                <w:rFonts w:ascii="Times New Roman" w:hAnsi="Times New Roman"/>
              </w:rPr>
            </w:pPr>
            <w:r>
              <w:rPr>
                <w:rStyle w:val="InstructionsTabelleberschrift"/>
                <w:sz w:val="24"/>
                <w:rFonts w:ascii="Times New Roman" w:hAnsi="Times New Roman"/>
              </w:rPr>
              <w:t xml:space="preserve">1.2.</w:t>
            </w:r>
            <w:r>
              <w:rPr>
                <w:rStyle w:val="InstructionsTabelleberschrift"/>
                <w:sz w:val="24"/>
                <w:rFonts w:ascii="Times New Roman" w:hAnsi="Times New Roman"/>
              </w:rPr>
              <w:tab/>
            </w:r>
            <w:r>
              <w:rPr>
                <w:rStyle w:val="InstructionsTabelleberschrift"/>
                <w:sz w:val="24"/>
                <w:rFonts w:ascii="Times New Roman" w:hAnsi="Times New Roman"/>
              </w:rPr>
              <w:t xml:space="preserve">Manjinski udjeli i ekvivalenti</w:t>
            </w:r>
          </w:p>
          <w:p w14:paraId="43EE34BC" w14:textId="77777777" w:rsidR="00CC7D2C" w:rsidRPr="001235ED" w:rsidRDefault="00CC7D2C" w:rsidP="00822842">
            <w:pPr>
              <w:spacing w:before="0"/>
              <w:rPr>
                <w:rStyle w:val="InstructionsTabelleText"/>
                <w:sz w:val="24"/>
                <w:rFonts w:ascii="Times New Roman" w:hAnsi="Times New Roman"/>
              </w:rPr>
            </w:pPr>
            <w:r>
              <w:rPr>
                <w:sz w:val="24"/>
                <w:rStyle w:val="InstructionsTabelleText"/>
                <w:rFonts w:ascii="Times New Roman" w:hAnsi="Times New Roman"/>
              </w:rPr>
              <w:t xml:space="preserve">Članci 479. i 480.</w:t>
            </w:r>
            <w:r>
              <w:rPr>
                <w:sz w:val="24"/>
                <w:rFonts w:ascii="Times New Roman" w:hAnsi="Times New Roman"/>
              </w:rPr>
              <w:t xml:space="preserve"> Uredbe (EU) br. 575/2013</w:t>
            </w:r>
          </w:p>
          <w:p w14:paraId="2469F59A" w14:textId="77777777" w:rsidR="00CC7D2C" w:rsidRPr="002A677E" w:rsidRDefault="00CC7D2C" w:rsidP="00822842">
            <w:pPr>
              <w:spacing w:before="0"/>
              <w:rPr>
                <w:rStyle w:val="InstructionsTabelleText"/>
                <w:sz w:val="24"/>
                <w:rFonts w:ascii="Times New Roman" w:hAnsi="Times New Roman"/>
              </w:rPr>
            </w:pPr>
            <w:r>
              <w:rPr>
                <w:rStyle w:val="InstructionsTabelleText"/>
                <w:sz w:val="24"/>
                <w:rFonts w:ascii="Times New Roman" w:hAnsi="Times New Roman"/>
              </w:rPr>
              <w:t xml:space="preserve">Ovaj redak odražava učinke prijelaznih odredaba na manjinske udjele koji se priznaju kao redovni osnovni kapital,</w:t>
            </w:r>
            <w:r>
              <w:rPr>
                <w:rStyle w:val="InstructionsTabelleText"/>
                <w:sz w:val="24"/>
                <w:rFonts w:ascii="Times New Roman" w:hAnsi="Times New Roman"/>
              </w:rPr>
              <w:t xml:space="preserve"> </w:t>
            </w:r>
            <w:r>
              <w:rPr>
                <w:rStyle w:val="InstructionsTabelleText"/>
                <w:sz w:val="24"/>
                <w:rFonts w:ascii="Times New Roman" w:hAnsi="Times New Roman"/>
              </w:rPr>
              <w:t xml:space="preserve">instrumente kvalificiranog osnovnog kapitala koji se priznaju kao konsolidirani dodatni osnovni kapital </w:t>
            </w:r>
            <w:r>
              <w:rPr>
                <w:rStyle w:val="InstructionsTabelleText"/>
                <w:sz w:val="24"/>
                <w:rFonts w:ascii="Times New Roman" w:hAnsi="Times New Roman"/>
              </w:rPr>
              <w:t xml:space="preserve"> </w:t>
            </w:r>
            <w:r>
              <w:rPr>
                <w:rStyle w:val="InstructionsTabelleText"/>
                <w:sz w:val="24"/>
                <w:rFonts w:ascii="Times New Roman" w:hAnsi="Times New Roman"/>
              </w:rPr>
              <w:t xml:space="preserve">i kvalificirani regulatorni kapital koji se priznaje kao konsolidirani dopunski kapital.</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7478" w:type="dxa"/>
          </w:tcPr>
          <w:p w14:paraId="629F154E" w14:textId="77777777" w:rsidR="00CC7D2C" w:rsidRPr="002A677E" w:rsidRDefault="00CC7D2C" w:rsidP="00320EFD">
            <w:pPr>
              <w:pStyle w:val="InstructionsText"/>
              <w:rPr>
                <w:rStyle w:val="InstructionsTabelleberschrift"/>
                <w:bCs w:val="0"/>
                <w:sz w:val="24"/>
                <w:rFonts w:ascii="Times New Roman" w:hAnsi="Times New Roman"/>
              </w:rPr>
            </w:pPr>
            <w:r>
              <w:rPr>
                <w:rStyle w:val="InstructionsTabelleberschrift"/>
                <w:sz w:val="24"/>
                <w:rFonts w:ascii="Times New Roman" w:hAnsi="Times New Roman"/>
              </w:rPr>
              <w:t xml:space="preserve">1.2.1.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i stavke u kapitalu koji ne ispunjavaju uvjete za manjinske udjele</w:t>
            </w:r>
          </w:p>
          <w:p w14:paraId="0C0141BB"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Članak 479.</w:t>
            </w:r>
            <w:r>
              <w:t xml:space="preserve"> Uredbe (EU) br. 575/2013</w:t>
            </w:r>
          </w:p>
          <w:p w14:paraId="27436818"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Iznos koji se iskazuje u stupcu 060 ovog retka iznos je koji ispunjava uvjete za konsolidirane rezerve u skladu s prethodnom uredbom.</w:t>
            </w:r>
            <w:r>
              <w:rPr>
                <w:rStyle w:val="InstructionsTabelleText"/>
                <w:sz w:val="24"/>
                <w:rFonts w:ascii="Times New Roman" w:hAnsi="Times New Roman"/>
              </w:rPr>
              <w:t xml:space="preserve">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7478" w:type="dxa"/>
          </w:tcPr>
          <w:p w14:paraId="64E4E380"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1.2.2.</w:t>
            </w:r>
            <w:r>
              <w:rPr>
                <w:rStyle w:val="InstructionsTabelleberschrift"/>
                <w:sz w:val="24"/>
                <w:rFonts w:ascii="Times New Roman" w:hAnsi="Times New Roman"/>
              </w:rPr>
              <w:tab/>
            </w:r>
            <w:r>
              <w:rPr>
                <w:rStyle w:val="InstructionsTabelleberschrift"/>
                <w:sz w:val="24"/>
                <w:rFonts w:ascii="Times New Roman" w:hAnsi="Times New Roman"/>
              </w:rPr>
              <w:t xml:space="preserve">Prijelazno priznavanje u konsolidiranom regulatornom kapitalu manjinskih udjela</w:t>
            </w:r>
          </w:p>
          <w:p w14:paraId="3BF8A481"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Članci 84. i 480.</w:t>
            </w:r>
            <w:r>
              <w:t xml:space="preserve"> Uredbe (EU) br. 575/2013</w:t>
            </w:r>
          </w:p>
          <w:p w14:paraId="4CCBBE22" w14:textId="77777777" w:rsidR="00CC7D2C" w:rsidRPr="002A677E" w:rsidRDefault="00CC7D2C" w:rsidP="00320EFD">
            <w:pPr>
              <w:pStyle w:val="InstructionsText"/>
              <w:rPr>
                <w:rStyle w:val="InstructionsTabelleberschrift"/>
                <w:b w:val="0"/>
                <w:bCs w:val="0"/>
                <w:sz w:val="24"/>
                <w:u w:val="none"/>
                <w:rFonts w:ascii="Times New Roman" w:hAnsi="Times New Roman"/>
              </w:rPr>
            </w:pPr>
            <w:r>
              <w:rPr>
                <w:rStyle w:val="InstructionsTabelleText"/>
                <w:sz w:val="24"/>
                <w:rFonts w:ascii="Times New Roman" w:hAnsi="Times New Roman"/>
              </w:rPr>
              <w:t xml:space="preserve">Iznos koji se iskazuje u stupcu 0060 ovog retka priznati je iznos bez prijelaznih odredaba.</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0091</w:t>
            </w:r>
          </w:p>
        </w:tc>
        <w:tc>
          <w:tcPr>
            <w:tcW w:w="7478" w:type="dxa"/>
          </w:tcPr>
          <w:p w14:paraId="27718CC0"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1.2.3.</w:t>
            </w:r>
            <w:r>
              <w:rPr>
                <w:rStyle w:val="InstructionsTabelleberschrift"/>
                <w:sz w:val="24"/>
                <w:rFonts w:ascii="Times New Roman" w:hAnsi="Times New Roman"/>
              </w:rPr>
              <w:tab/>
            </w:r>
            <w:r>
              <w:rPr>
                <w:rStyle w:val="InstructionsTabelleberschrift"/>
                <w:sz w:val="24"/>
                <w:rFonts w:ascii="Times New Roman" w:hAnsi="Times New Roman"/>
              </w:rPr>
              <w:t xml:space="preserve">Prijelazno priznavanje u konsolidiranom regulatornom kapitalu kvalificiranog dodatnog osnovnog kapitala</w:t>
            </w:r>
          </w:p>
          <w:p w14:paraId="4A315E24"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Članci 85. i 480.</w:t>
            </w:r>
            <w:r>
              <w:t xml:space="preserve"> Uredbe (EU) br. 575/2013</w:t>
            </w:r>
          </w:p>
          <w:p w14:paraId="62F5745A"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Iznos koji se iskazuje u stupcu 0060 ovog retka priznati je iznos bez prijelaznih odredaba.</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0092</w:t>
            </w:r>
          </w:p>
        </w:tc>
        <w:tc>
          <w:tcPr>
            <w:tcW w:w="7478" w:type="dxa"/>
          </w:tcPr>
          <w:p w14:paraId="54E9560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1.2.4.</w:t>
            </w:r>
            <w:r>
              <w:rPr>
                <w:rStyle w:val="InstructionsTabelleberschrift"/>
                <w:sz w:val="24"/>
                <w:rFonts w:ascii="Times New Roman" w:hAnsi="Times New Roman"/>
              </w:rPr>
              <w:tab/>
            </w:r>
            <w:r>
              <w:rPr>
                <w:rStyle w:val="InstructionsTabelleberschrift"/>
                <w:sz w:val="24"/>
                <w:rFonts w:ascii="Times New Roman" w:hAnsi="Times New Roman"/>
              </w:rPr>
              <w:t xml:space="preserve">Prijelazno priznavanje u konsolidiranom regulatornom kapitalu kvalificiranog dopunskog kapitala</w:t>
            </w:r>
          </w:p>
          <w:p w14:paraId="16966D71"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Članci 87. i 480.</w:t>
            </w:r>
            <w:r>
              <w:t xml:space="preserve"> Uredbe (EU) br. 575/2013</w:t>
            </w:r>
          </w:p>
          <w:p w14:paraId="23F1372F"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Iznos koji se iskazuje u stupcu 0060 ovog retka priznati je iznos bez prijelaznih odredaba.</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7478" w:type="dxa"/>
          </w:tcPr>
          <w:p w14:paraId="255FB18E"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w:t>
            </w:r>
            <w:r>
              <w:rPr>
                <w:rStyle w:val="InstructionsTabelleberschrift"/>
                <w:sz w:val="24"/>
                <w:rFonts w:ascii="Times New Roman" w:hAnsi="Times New Roman"/>
              </w:rPr>
              <w:tab/>
            </w:r>
            <w:r>
              <w:rPr>
                <w:rStyle w:val="InstructionsTabelleberschrift"/>
                <w:sz w:val="24"/>
                <w:rFonts w:ascii="Times New Roman" w:hAnsi="Times New Roman"/>
              </w:rPr>
              <w:t xml:space="preserve">Ostala prijelazna usklađenja</w:t>
            </w:r>
          </w:p>
          <w:p w14:paraId="632B4D61" w14:textId="77777777" w:rsidR="00CC7D2C" w:rsidRPr="001235ED" w:rsidRDefault="00CC7D2C" w:rsidP="00822842">
            <w:pPr>
              <w:spacing w:before="0"/>
              <w:rPr>
                <w:rStyle w:val="InstructionsTabelleText"/>
                <w:sz w:val="24"/>
                <w:rFonts w:ascii="Times New Roman" w:hAnsi="Times New Roman"/>
              </w:rPr>
            </w:pPr>
            <w:r>
              <w:rPr>
                <w:sz w:val="24"/>
                <w:rFonts w:ascii="Times New Roman" w:hAnsi="Times New Roman"/>
              </w:rPr>
              <w:t xml:space="preserve">Članci od 468. do 478. i članak 481. Uredbe (EU) br. 575/2013</w:t>
            </w:r>
          </w:p>
          <w:p w14:paraId="0F44764E" w14:textId="77777777" w:rsidR="00CC7D2C" w:rsidRPr="002A677E" w:rsidRDefault="00CC7D2C" w:rsidP="00822842">
            <w:pPr>
              <w:spacing w:before="0"/>
              <w:rPr>
                <w:rStyle w:val="InstructionsTabelleText"/>
                <w:sz w:val="24"/>
                <w:rFonts w:ascii="Times New Roman" w:hAnsi="Times New Roman"/>
              </w:rPr>
            </w:pPr>
            <w:r>
              <w:rPr>
                <w:rStyle w:val="InstructionsTabelleText"/>
                <w:sz w:val="24"/>
                <w:rFonts w:ascii="Times New Roman" w:hAnsi="Times New Roman"/>
              </w:rPr>
              <w:t xml:space="preserve">Ovaj redak odražava ukupni učinak prijelaznih usklađenja odbitka na različite vrste kapitala, nerealizirane dobitke i gubitke, dodatne filtre i odbitke, uvećan za iznose ponderirane rizikom proizišle iz tih usklađenja.</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0111</w:t>
            </w:r>
          </w:p>
        </w:tc>
        <w:tc>
          <w:tcPr>
            <w:tcW w:w="7478" w:type="dxa"/>
          </w:tcPr>
          <w:p w14:paraId="61444EF5"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1.3.1.6 Nerealizirani dobici i gubici iz određenih dužničkih izloženosti prema središnjim državama, jedinicama područne (regionalne) ili lokalne samouprave i subjektima javnog sektora</w:t>
            </w:r>
          </w:p>
          <w:p w14:paraId="1495FA2D"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Text"/>
                <w:sz w:val="24"/>
                <w:rFonts w:ascii="Times New Roman" w:hAnsi="Times New Roman"/>
              </w:rPr>
              <w:t xml:space="preserve">Članak 468.</w:t>
            </w:r>
            <w:r>
              <w:t xml:space="preserve"> Uredbe (EU) br.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0112</w:t>
            </w:r>
          </w:p>
        </w:tc>
        <w:tc>
          <w:tcPr>
            <w:tcW w:w="7478" w:type="dxa"/>
          </w:tcPr>
          <w:p w14:paraId="1064522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1.3.1.6.1. od čega: iznos A</w:t>
            </w:r>
          </w:p>
          <w:p w14:paraId="73AFBA3D" w14:textId="77777777" w:rsidR="00CC7D2C" w:rsidRPr="002A677E" w:rsidRDefault="00CC7D2C" w:rsidP="00320EFD">
            <w:pPr>
              <w:pStyle w:val="InstructionsText"/>
              <w:rPr>
                <w:rStyle w:val="InstructionsTabelleberschrift"/>
                <w:sz w:val="24"/>
                <w:u w:val="none"/>
                <w:rFonts w:ascii="Times New Roman" w:hAnsi="Times New Roman"/>
              </w:rPr>
            </w:pPr>
            <w:r>
              <w:t xml:space="preserve">Iznos A, kako je izračunat u skladu s formulom iz članka 468. stavka 1. Uredbe (EU) br.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0140</w:t>
            </w:r>
          </w:p>
        </w:tc>
        <w:tc>
          <w:tcPr>
            <w:tcW w:w="7478" w:type="dxa"/>
          </w:tcPr>
          <w:p w14:paraId="76450B48"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1.3.2.</w:t>
            </w:r>
            <w:r>
              <w:rPr>
                <w:rStyle w:val="InstructionsTabelleberschrift"/>
                <w:sz w:val="24"/>
                <w:rFonts w:ascii="Times New Roman" w:hAnsi="Times New Roman"/>
              </w:rPr>
              <w:tab/>
            </w:r>
            <w:r>
              <w:rPr>
                <w:rStyle w:val="InstructionsTabelleberschrift"/>
                <w:sz w:val="24"/>
                <w:rFonts w:ascii="Times New Roman" w:hAnsi="Times New Roman"/>
              </w:rPr>
              <w:t xml:space="preserve">Odbici</w:t>
            </w:r>
          </w:p>
          <w:p w14:paraId="51CECA1B" w14:textId="77777777" w:rsidR="00CC7D2C" w:rsidRPr="001235ED" w:rsidRDefault="00CC7D2C" w:rsidP="00822842">
            <w:pPr>
              <w:spacing w:before="0"/>
              <w:rPr>
                <w:rStyle w:val="InstructionsTabelleText"/>
                <w:sz w:val="24"/>
                <w:rFonts w:ascii="Times New Roman" w:hAnsi="Times New Roman"/>
              </w:rPr>
            </w:pPr>
            <w:r>
              <w:rPr>
                <w:sz w:val="24"/>
                <w:rStyle w:val="InstructionsTabelleText"/>
                <w:rFonts w:ascii="Times New Roman" w:hAnsi="Times New Roman"/>
              </w:rPr>
              <w:t xml:space="preserve">Članak 36. stavak 1. i članci od 469. do 478.</w:t>
            </w:r>
            <w:r>
              <w:rPr>
                <w:sz w:val="24"/>
                <w:rFonts w:ascii="Times New Roman" w:hAnsi="Times New Roman"/>
              </w:rPr>
              <w:t xml:space="preserve"> Uredbe (EU) br. 575/2013</w:t>
            </w:r>
          </w:p>
          <w:p w14:paraId="052C5EE1" w14:textId="77777777" w:rsidR="00CC7D2C" w:rsidRPr="002A677E" w:rsidRDefault="00CC7D2C" w:rsidP="00822842">
            <w:pPr>
              <w:spacing w:before="0"/>
              <w:rPr>
                <w:rStyle w:val="InstructionsTabelleText"/>
                <w:sz w:val="24"/>
                <w:rFonts w:ascii="Times New Roman" w:hAnsi="Times New Roman"/>
              </w:rPr>
            </w:pPr>
            <w:r>
              <w:rPr>
                <w:rStyle w:val="InstructionsTabelleText"/>
                <w:sz w:val="24"/>
                <w:rFonts w:ascii="Times New Roman" w:hAnsi="Times New Roman"/>
              </w:rPr>
              <w:t xml:space="preserve">Ovaj redak odražava ukupni učinak prijelaznih odredaba na odbitke.</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0170</w:t>
            </w:r>
          </w:p>
        </w:tc>
        <w:tc>
          <w:tcPr>
            <w:tcW w:w="7478" w:type="dxa"/>
          </w:tcPr>
          <w:p w14:paraId="5C3F70B3"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1.3.2.3.</w:t>
            </w:r>
            <w:r>
              <w:rPr>
                <w:rStyle w:val="InstructionsTabelleberschrift"/>
                <w:sz w:val="24"/>
                <w:rFonts w:ascii="Times New Roman" w:hAnsi="Times New Roman"/>
              </w:rPr>
              <w:tab/>
            </w:r>
            <w:r>
              <w:rPr>
                <w:rStyle w:val="InstructionsTabelleberschrift"/>
                <w:sz w:val="24"/>
                <w:rFonts w:ascii="Times New Roman" w:hAnsi="Times New Roman"/>
              </w:rPr>
              <w:t xml:space="preserve">Odgođena porezna imovina koja ovisi o budućoj profitabilnosti i ne proizlazi iz privremenih razlika</w:t>
            </w:r>
          </w:p>
          <w:p w14:paraId="08D3639D" w14:textId="77777777" w:rsidR="00CC7D2C" w:rsidRPr="002A677E" w:rsidRDefault="00CC7D2C" w:rsidP="00320EFD">
            <w:pPr>
              <w:pStyle w:val="InstructionsText"/>
              <w:rPr>
                <w:rStyle w:val="InstructionsTabelleText"/>
                <w:sz w:val="24"/>
                <w:rFonts w:ascii="Times New Roman" w:hAnsi="Times New Roman"/>
              </w:rPr>
            </w:pPr>
            <w:r>
              <w:t xml:space="preserve">Članak 36. stavak 1. točka (c), članak 469. stavak 1. i članak 472. stavak 5. i članak 478. Uredbe (EU) br. 575/2013</w:t>
            </w:r>
          </w:p>
          <w:p w14:paraId="30A136AF" w14:textId="77777777" w:rsidR="00CC7D2C" w:rsidRPr="002A677E" w:rsidRDefault="00CC7D2C" w:rsidP="00320EFD">
            <w:pPr>
              <w:pStyle w:val="InstructionsText"/>
              <w:rPr>
                <w:rStyle w:val="InstructionsTabelleText"/>
                <w:sz w:val="24"/>
                <w:rFonts w:ascii="Times New Roman" w:hAnsi="Times New Roman"/>
              </w:rPr>
            </w:pPr>
            <w:r>
              <w:t xml:space="preserve">Pri određivanju iznosa prethodno navedene odgođene porezne imovine koji je potrebno odbiti, institucije uzimaju u obzir odredbe članka 38. Uredbe (EU) br. 575/2013 koje se odnose na umanjenje odgođene porezne imovine za odgođene porezne obveze.</w:t>
            </w:r>
          </w:p>
          <w:p w14:paraId="33BB9757"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Iznos koji se iskazuje u stupcu 0060 ovog retka:</w:t>
            </w:r>
            <w:r>
              <w:rPr>
                <w:rStyle w:val="InstructionsTabelleText"/>
                <w:sz w:val="24"/>
                <w:rFonts w:ascii="Times New Roman" w:hAnsi="Times New Roman"/>
              </w:rPr>
              <w:t xml:space="preserve"> </w:t>
            </w:r>
            <w:r>
              <w:t xml:space="preserve">Ukupni iznos u skladu s člankom 469. stavkom 1. Uredbe (EU) 575/2013</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0380</w:t>
            </w:r>
          </w:p>
        </w:tc>
        <w:tc>
          <w:tcPr>
            <w:tcW w:w="7478" w:type="dxa"/>
          </w:tcPr>
          <w:p w14:paraId="32137C1C"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1.3.2,9.</w:t>
            </w:r>
            <w:r>
              <w:rPr>
                <w:rStyle w:val="InstructionsTabelleberschrift"/>
                <w:sz w:val="24"/>
                <w:rFonts w:ascii="Times New Roman" w:hAnsi="Times New Roman"/>
              </w:rPr>
              <w:tab/>
            </w:r>
            <w:r>
              <w:rPr>
                <w:rStyle w:val="InstructionsTabelleberschrift"/>
                <w:sz w:val="24"/>
                <w:rFonts w:ascii="Times New Roman" w:hAnsi="Times New Roman"/>
              </w:rPr>
              <w:t xml:space="preserve">Odgođena porezna imovina koja ovisi o budućoj profitabilnosti i proizlazi iz privremenih razlika i instrumenti redovnog osnovnog kapitala subjekata financijskog sektora ako institucija ima značajno ulaganje</w:t>
            </w:r>
          </w:p>
          <w:p w14:paraId="308D07D4" w14:textId="77777777" w:rsidR="00CC7D2C" w:rsidRPr="002A677E" w:rsidRDefault="00CC7D2C" w:rsidP="00320EFD">
            <w:pPr>
              <w:pStyle w:val="InstructionsText"/>
              <w:rPr>
                <w:rStyle w:val="InstructionsTabelleText"/>
                <w:sz w:val="24"/>
                <w:rFonts w:ascii="Times New Roman" w:hAnsi="Times New Roman"/>
              </w:rPr>
            </w:pPr>
            <w:r>
              <w:t xml:space="preserve">Članak 470. stavci 2. i 3. Uredbe (EU) br. 575/2013</w:t>
            </w:r>
          </w:p>
          <w:p w14:paraId="2D7218B3"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Iznos koji se iskazuje u stupcu 0060 ovog retka:</w:t>
            </w:r>
            <w:r>
              <w:rPr>
                <w:rStyle w:val="InstructionsTabelleText"/>
                <w:sz w:val="24"/>
                <w:rFonts w:ascii="Times New Roman" w:hAnsi="Times New Roman"/>
              </w:rPr>
              <w:t xml:space="preserve"> </w:t>
            </w:r>
            <w:r>
              <w:rPr>
                <w:rStyle w:val="InstructionsTabelleText"/>
                <w:sz w:val="24"/>
                <w:rFonts w:ascii="Times New Roman" w:hAnsi="Times New Roman"/>
              </w:rPr>
              <w:t xml:space="preserve">Članak 470. stavak 1.</w:t>
            </w:r>
            <w:r>
              <w:t xml:space="preserve"> Uredbe (EU) br.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0385</w:t>
            </w:r>
          </w:p>
        </w:tc>
        <w:tc>
          <w:tcPr>
            <w:tcW w:w="7478" w:type="dxa"/>
          </w:tcPr>
          <w:p w14:paraId="3A586672"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Odgođena porezna imovina koja ovisi o budućoj profitabilnosti i proizlazi iz privremenih razlika</w:t>
            </w:r>
          </w:p>
          <w:p w14:paraId="6C5EEFFD" w14:textId="77777777" w:rsidR="00CC7D2C" w:rsidRPr="002A677E" w:rsidRDefault="00CC7D2C" w:rsidP="00320EFD">
            <w:pPr>
              <w:pStyle w:val="InstructionsText"/>
              <w:rPr>
                <w:rStyle w:val="InstructionsTabelleText"/>
                <w:bCs/>
                <w:sz w:val="24"/>
                <w:rFonts w:ascii="Times New Roman" w:hAnsi="Times New Roman"/>
              </w:rPr>
            </w:pPr>
            <w:r>
              <w:rPr>
                <w:rStyle w:val="InstructionsTabelleText"/>
                <w:sz w:val="24"/>
                <w:rFonts w:ascii="Times New Roman" w:hAnsi="Times New Roman"/>
              </w:rPr>
              <w:t xml:space="preserve">Članak 469. stavak 1. točka (c), članak 472. stavak 5. i članak 478.</w:t>
            </w:r>
            <w:r>
              <w:t xml:space="preserve"> Uredbe (EU) br. 575/2013</w:t>
            </w:r>
          </w:p>
          <w:p w14:paraId="1129AF2E"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Text"/>
                <w:sz w:val="24"/>
                <w:rFonts w:ascii="Times New Roman" w:hAnsi="Times New Roman"/>
              </w:rPr>
              <w:t xml:space="preserve">Dio odgođene porezne imovine koja ovisi o budućoj profitabilnosti i proizlazi iz privremenih razlika koji premašuje prag od 10</w:t>
            </w:r>
            <w:r>
              <w:t xml:space="preserve"> </w:t>
            </w:r>
            <w:r>
              <w:rPr>
                <w:rStyle w:val="InstructionsTabelleText"/>
                <w:sz w:val="24"/>
                <w:rFonts w:ascii="Times New Roman" w:hAnsi="Times New Roman"/>
              </w:rPr>
              <w:t xml:space="preserve">% iz članka 470. stavka 2. točke (a) </w:t>
            </w:r>
            <w:r>
              <w:t xml:space="preserve">Uredbe (EU) br. 575/2013</w:t>
            </w:r>
            <w:r>
              <w:rPr>
                <w:rStyle w:val="InstructionsTabelleText"/>
                <w:sz w:val="24"/>
                <w:rFonts w:ascii="Times New Roman" w:hAnsi="Times New Roman"/>
              </w:rPr>
              <w:t xml:space="preserve">.</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0425</w:t>
            </w:r>
          </w:p>
        </w:tc>
        <w:tc>
          <w:tcPr>
            <w:tcW w:w="7478" w:type="dxa"/>
          </w:tcPr>
          <w:p w14:paraId="0B77B959" w14:textId="77777777" w:rsidR="00CC7D2C" w:rsidRPr="002A677E" w:rsidRDefault="00CC7D2C" w:rsidP="00320EFD">
            <w:pPr>
              <w:pStyle w:val="InstructionsText"/>
              <w:rPr>
                <w:rStyle w:val="InstructionsTabelleberschrift"/>
                <w:sz w:val="24"/>
                <w:rFonts w:ascii="Times New Roman" w:hAnsi="Times New Roman"/>
              </w:rPr>
            </w:pPr>
            <w:r>
              <w:rPr>
                <w:rStyle w:val="InstructionsTabelleberschrift"/>
                <w:sz w:val="24"/>
                <w:rFonts w:ascii="Times New Roman" w:hAnsi="Times New Roman"/>
              </w:rPr>
              <w:t xml:space="preserve">1.3.2.11.</w:t>
            </w:r>
            <w:r>
              <w:rPr>
                <w:rStyle w:val="InstructionsTabelleberschrift"/>
                <w:sz w:val="24"/>
                <w:rFonts w:ascii="Times New Roman" w:hAnsi="Times New Roman"/>
              </w:rPr>
              <w:tab/>
            </w:r>
            <w:r>
              <w:rPr>
                <w:rStyle w:val="InstructionsTabelleberschrift"/>
                <w:sz w:val="24"/>
                <w:rFonts w:ascii="Times New Roman" w:hAnsi="Times New Roman"/>
              </w:rPr>
              <w:t xml:space="preserve">Izuzeće od odbitka ulaganja u kapital društava za osiguranje od stavki redovnog osnovnog kapitala</w:t>
            </w:r>
          </w:p>
          <w:p w14:paraId="0B0E33F2" w14:textId="77777777" w:rsidR="00CC7D2C" w:rsidRPr="002A677E" w:rsidRDefault="00CC7D2C" w:rsidP="00320EFD">
            <w:pPr>
              <w:pStyle w:val="InstructionsText"/>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Članak 471.</w:t>
            </w:r>
            <w:r>
              <w:t xml:space="preserve"> Uredbe (EU) br.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0430</w:t>
            </w:r>
          </w:p>
        </w:tc>
        <w:tc>
          <w:tcPr>
            <w:tcW w:w="7478" w:type="dxa"/>
          </w:tcPr>
          <w:p w14:paraId="48E9C03E" w14:textId="77777777" w:rsidR="00CC7D2C" w:rsidRPr="002A677E" w:rsidRDefault="00CC7D2C" w:rsidP="00320EFD">
            <w:pPr>
              <w:pStyle w:val="InstructionsText"/>
              <w:rPr>
                <w:rStyle w:val="InstructionsTabelleText"/>
                <w:b/>
                <w:bCs/>
                <w:sz w:val="24"/>
                <w:u w:val="single"/>
                <w:rFonts w:ascii="Times New Roman" w:hAnsi="Times New Roman"/>
              </w:rPr>
            </w:pPr>
            <w:r>
              <w:rPr>
                <w:rStyle w:val="InstructionsTabelleberschrift"/>
                <w:sz w:val="24"/>
                <w:rFonts w:ascii="Times New Roman" w:hAnsi="Times New Roman"/>
              </w:rPr>
              <w:t xml:space="preserve">1.3.3.</w:t>
            </w:r>
            <w:r>
              <w:rPr>
                <w:rStyle w:val="InstructionsTabelleberschrift"/>
                <w:sz w:val="24"/>
                <w:rFonts w:ascii="Times New Roman" w:hAnsi="Times New Roman"/>
              </w:rPr>
              <w:tab/>
            </w:r>
            <w:r>
              <w:rPr>
                <w:rStyle w:val="InstructionsTabelleberschrift"/>
                <w:sz w:val="24"/>
                <w:rFonts w:ascii="Times New Roman" w:hAnsi="Times New Roman"/>
              </w:rPr>
              <w:t xml:space="preserve">Dodatni filtri i odbici</w:t>
            </w:r>
          </w:p>
          <w:p w14:paraId="4A80E244" w14:textId="77777777" w:rsidR="00CC7D2C" w:rsidRPr="001235ED" w:rsidRDefault="00CC7D2C" w:rsidP="00822842">
            <w:pPr>
              <w:spacing w:before="0"/>
              <w:rPr>
                <w:rStyle w:val="InstructionsTabelleText"/>
                <w:sz w:val="24"/>
                <w:rFonts w:ascii="Times New Roman" w:hAnsi="Times New Roman"/>
              </w:rPr>
            </w:pPr>
            <w:r>
              <w:rPr>
                <w:sz w:val="24"/>
                <w:rStyle w:val="InstructionsTabelleText"/>
                <w:rFonts w:ascii="Times New Roman" w:hAnsi="Times New Roman"/>
              </w:rPr>
              <w:t xml:space="preserve">Članak 481.</w:t>
            </w:r>
            <w:r>
              <w:rPr>
                <w:sz w:val="24"/>
                <w:rFonts w:ascii="Times New Roman" w:hAnsi="Times New Roman"/>
              </w:rPr>
              <w:t xml:space="preserve"> Uredbe (EU) br. 575/2013</w:t>
            </w:r>
          </w:p>
          <w:p w14:paraId="4D751914" w14:textId="77777777" w:rsidR="00CC7D2C" w:rsidRPr="002A677E" w:rsidRDefault="00CC7D2C" w:rsidP="00320EFD">
            <w:pPr>
              <w:pStyle w:val="InstructionsText"/>
              <w:rPr>
                <w:rStyle w:val="InstructionsTabelleText"/>
                <w:sz w:val="24"/>
                <w:rFonts w:ascii="Times New Roman" w:hAnsi="Times New Roman"/>
              </w:rPr>
            </w:pPr>
            <w:r>
              <w:rPr>
                <w:rStyle w:val="InstructionsTabelleText"/>
                <w:sz w:val="24"/>
                <w:rFonts w:ascii="Times New Roman" w:hAnsi="Times New Roman"/>
              </w:rPr>
              <w:t xml:space="preserve">Ovaj redak odražava ukupni učinak prijelaznih odredaba na dodatne filtre i odbitke.</w:t>
            </w:r>
          </w:p>
          <w:p w14:paraId="204FEDF5" w14:textId="77777777" w:rsidR="00CC7D2C" w:rsidRPr="002A677E" w:rsidRDefault="00CC7D2C" w:rsidP="00320EFD">
            <w:pPr>
              <w:pStyle w:val="InstructionsText"/>
              <w:rPr>
                <w:rStyle w:val="InstructionsTabelleText"/>
                <w:sz w:val="24"/>
                <w:rFonts w:ascii="Times New Roman" w:hAnsi="Times New Roman"/>
              </w:rPr>
            </w:pPr>
            <w:r>
              <w:t xml:space="preserve">U skladu s člankom 481. Uredbe (EU) br. 575/2013, u stavci 1.3.3 institucije iskazuju informacije o filtrima i odbicima propisane u skladu s nacionalnim mjerama za prenošenje članaka 57. i 66. Direktive 2006/48/EZ i članaka 13. i 16. Direktive 2006/49/EZ, a nisu propisane u skladu s dijelom drugim.</w:t>
            </w:r>
            <w:r>
              <w:rPr>
                <w:rStyle w:val="InstructionsTabelleText"/>
                <w:sz w:val="24"/>
                <w:rFonts w:ascii="Times New Roman" w:hAnsi="Times New Roman"/>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 xml:space="preserve">1.6.3.</w:t>
      </w:r>
      <w:r>
        <w:rPr>
          <w:u w:val="none"/>
        </w:rPr>
        <w:tab/>
      </w:r>
      <w:r>
        <w:t xml:space="preserve">C 05.02 – INSTRUMENTI KOJI SE NASTAVLJAJU PRIZNAVATI:</w:t>
      </w:r>
      <w:r>
        <w:t xml:space="preserve"> </w:t>
      </w:r>
      <w:r>
        <w:t xml:space="preserve">INSTRUMENTI KOJI NISU INSTRUMENTI DRŽAVNE POTPORE (CA5.2</w:t>
      </w:r>
      <w:r>
        <w:t xml:space="preserve">)</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dirty="true"/>
      </w:r>
      <w:r>
        <w:instrText>seq paragraphs</w:instrText>
      </w:r>
      <w:r>
        <w:fldChar w:fldCharType="separate"/>
      </w:r>
      <w:r>
        <w:t>26</w:t>
      </w:r>
      <w:r>
        <w:fldChar w:fldCharType="end"/>
      </w:r>
      <w:r>
        <w:t xml:space="preserve">.</w:t>
      </w:r>
      <w:r>
        <w:tab/>
      </w:r>
      <w:r>
        <w:t xml:space="preserve">Institucije iskazuje informacije o prijelaznim odredbama za instrumente koji se nastavljaju priznavati i koji nisu instrumenti državne potpore (članci od 484. do 491. Uredbe (EU) br.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 xml:space="preserve">1.6.3.1.</w:t>
      </w:r>
      <w:r>
        <w:rPr>
          <w:u w:val="none"/>
        </w:rPr>
        <w:tab/>
      </w:r>
      <w:r>
        <w:t xml:space="preserve">Upute za specifične pozicije</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Stupci</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05CE570E"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Iznos instrumenata uvećan za povezanu premiju na dionice</w:t>
            </w:r>
          </w:p>
          <w:p w14:paraId="57EE6D2E"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Članak 484. stavci 3., 4. i 5. Uredbe (EU) br. 575/2013</w:t>
            </w:r>
          </w:p>
          <w:p w14:paraId="70DF6748"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Instrumenti koji ispunjavaju uvjete za svaki redak, uključujući njihove povezane premije na dionice</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7478" w:type="dxa"/>
          </w:tcPr>
          <w:p w14:paraId="00C0E3F0"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Osnova za izračun ograničenja</w:t>
            </w:r>
          </w:p>
          <w:p w14:paraId="02F52F4E"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Članak 486. stavci 2., 3. i 4. Uredbe (EU) br.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7478" w:type="dxa"/>
          </w:tcPr>
          <w:p w14:paraId="785BDDF7"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Primjenjivi postotak</w:t>
            </w:r>
          </w:p>
          <w:p w14:paraId="775F53AC"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486. stavak 5.</w:t>
            </w:r>
            <w:r>
              <w:rPr>
                <w:sz w:val="24"/>
                <w:rFonts w:ascii="Times New Roman" w:hAnsi="Times New Roman"/>
              </w:rPr>
              <w:t xml:space="preserve"> Uredbe (EU) br.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7478" w:type="dxa"/>
          </w:tcPr>
          <w:p w14:paraId="533EF047"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Ograničenje</w:t>
            </w:r>
          </w:p>
          <w:p w14:paraId="3094B820"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Članak 486. stavci od 2. do 5. Uredbe (EU) br.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7478" w:type="dxa"/>
          </w:tcPr>
          <w:p w14:paraId="72FD0C26"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 Iznos koji premašuje ograničenja za nastavak priznavanja</w:t>
            </w:r>
          </w:p>
          <w:p w14:paraId="70C8059D"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486. stavci od 2. do 5.</w:t>
            </w:r>
            <w:r>
              <w:rPr>
                <w:sz w:val="24"/>
                <w:rFonts w:ascii="Times New Roman" w:hAnsi="Times New Roman"/>
              </w:rPr>
              <w:t xml:space="preserve"> Uredbe (EU) br.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759344B0"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Ukupni iznos koji se nastavlja priznavati</w:t>
            </w:r>
          </w:p>
          <w:p w14:paraId="2DBF0D19"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jednak je iznosima iskazanima u odgovarajućim stupcima u retku 060 obrasca CA 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 xml:space="preserve">Redci</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0010</w:t>
            </w:r>
          </w:p>
        </w:tc>
        <w:tc>
          <w:tcPr>
            <w:tcW w:w="7478" w:type="dxa"/>
          </w:tcPr>
          <w:p w14:paraId="2154F427"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koji ispunjavaju uvjete iz članka 57. točke (a) Direktive 2006/48/EZ</w:t>
            </w:r>
          </w:p>
          <w:p w14:paraId="532731BE"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484. stavak 3.</w:t>
            </w:r>
            <w:r>
              <w:rPr>
                <w:sz w:val="24"/>
                <w:rFonts w:ascii="Times New Roman" w:hAnsi="Times New Roman"/>
              </w:rPr>
              <w:t xml:space="preserve"> Uredbe (EU) br. 575/2013.</w:t>
            </w:r>
          </w:p>
          <w:p w14:paraId="21AC1AFF"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0020</w:t>
            </w:r>
          </w:p>
        </w:tc>
        <w:tc>
          <w:tcPr>
            <w:tcW w:w="7478" w:type="dxa"/>
          </w:tcPr>
          <w:p w14:paraId="403525BD"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koji ispunjavaju uvjete iz članka 57. točke (ca) i članka 154. stavaka 8. i 9. Direktive 2006/48/EZ, podložno ograničenju iz članka 489. Uredbe (EU) br. 575/2013</w:t>
            </w:r>
          </w:p>
          <w:p w14:paraId="51F58E37"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484. stavak 4.</w:t>
            </w:r>
            <w:r>
              <w:rPr>
                <w:sz w:val="24"/>
                <w:rFonts w:ascii="Times New Roman" w:hAnsi="Times New Roman"/>
              </w:rPr>
              <w:t xml:space="preserve"> Uredbe (EU) br.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0030</w:t>
            </w:r>
          </w:p>
        </w:tc>
        <w:tc>
          <w:tcPr>
            <w:tcW w:w="7478" w:type="dxa"/>
          </w:tcPr>
          <w:p w14:paraId="02B565BD"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2.1.</w:t>
            </w:r>
            <w:r>
              <w:rPr>
                <w:rStyle w:val="InstructionsTabelleberschrift"/>
                <w:sz w:val="24"/>
                <w:rFonts w:ascii="Times New Roman" w:hAnsi="Times New Roman"/>
              </w:rPr>
              <w:tab/>
            </w:r>
            <w:r>
              <w:rPr>
                <w:rStyle w:val="InstructionsTabelleberschrift"/>
                <w:sz w:val="24"/>
                <w:rFonts w:ascii="Times New Roman" w:hAnsi="Times New Roman"/>
              </w:rPr>
              <w:t xml:space="preserve">Ukupni instrumenti bez opcije kupnje ili poticaja na otkup</w:t>
            </w:r>
          </w:p>
          <w:p w14:paraId="040CC4ED" w14:textId="77777777" w:rsidR="00CC7D2C" w:rsidRPr="002A677E" w:rsidRDefault="00CC7D2C" w:rsidP="00822842">
            <w:pPr>
              <w:pStyle w:val="body"/>
              <w:rPr>
                <w:rStyle w:val="InstructionsTabelleText"/>
                <w:bCs/>
                <w:sz w:val="24"/>
                <w:rFonts w:ascii="Times New Roman" w:hAnsi="Times New Roman"/>
              </w:rPr>
            </w:pPr>
            <w:r>
              <w:rPr>
                <w:sz w:val="24"/>
                <w:rFonts w:ascii="Times New Roman" w:hAnsi="Times New Roman"/>
              </w:rPr>
              <w:t xml:space="preserve">Članci od 484. stavak 4. i članak 489. Uredbe (EU) br. 575/2013</w:t>
            </w:r>
          </w:p>
          <w:p w14:paraId="78EB7397"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0040</w:t>
            </w:r>
          </w:p>
        </w:tc>
        <w:tc>
          <w:tcPr>
            <w:tcW w:w="7478" w:type="dxa"/>
          </w:tcPr>
          <w:p w14:paraId="3E8C8E3B"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koji se nastavljaju priznavati s opcijom kupnje i poticajem na otkup</w:t>
            </w:r>
          </w:p>
          <w:p w14:paraId="31393B5C" w14:textId="77777777" w:rsidR="00CC7D2C" w:rsidRPr="002A677E" w:rsidRDefault="00CC7D2C" w:rsidP="00822842">
            <w:pPr>
              <w:pStyle w:val="body"/>
              <w:rPr>
                <w:rStyle w:val="InstructionsTabelleText"/>
                <w:bCs/>
                <w:sz w:val="24"/>
                <w:rFonts w:ascii="Times New Roman" w:hAnsi="Times New Roman"/>
              </w:rPr>
            </w:pPr>
            <w:r>
              <w:rPr>
                <w:sz w:val="24"/>
                <w:rStyle w:val="InstructionsTabelleText"/>
                <w:rFonts w:ascii="Times New Roman" w:hAnsi="Times New Roman"/>
              </w:rPr>
              <w:t xml:space="preserve">Članak 489.</w:t>
            </w:r>
            <w:r>
              <w:rPr>
                <w:sz w:val="24"/>
                <w:rFonts w:ascii="Times New Roman" w:hAnsi="Times New Roman"/>
              </w:rPr>
              <w:t xml:space="preserve"> Uredbe (EU) br.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0050</w:t>
            </w:r>
          </w:p>
        </w:tc>
        <w:tc>
          <w:tcPr>
            <w:tcW w:w="7478" w:type="dxa"/>
          </w:tcPr>
          <w:p w14:paraId="06467FE2"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2.2.1.</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s opcijom kupnje koja se može izvršiti nakon izvještajnog datuma koji ispunjavaju uvjete iz članka 52. Uredbe (EU) br. 575/2013 nakon datuma efektivnog dospijeća</w:t>
            </w:r>
          </w:p>
          <w:p w14:paraId="59A4A4EB"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489. stavak 3. i članak 491. točka (a)</w:t>
            </w:r>
            <w:r>
              <w:rPr>
                <w:sz w:val="24"/>
                <w:rFonts w:ascii="Times New Roman" w:hAnsi="Times New Roman"/>
              </w:rPr>
              <w:t xml:space="preserve"> Uredbe (EU) br. 575/2013</w:t>
            </w:r>
          </w:p>
          <w:p w14:paraId="1C579E78"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0060</w:t>
            </w:r>
          </w:p>
        </w:tc>
        <w:tc>
          <w:tcPr>
            <w:tcW w:w="7478" w:type="dxa"/>
          </w:tcPr>
          <w:p w14:paraId="67A37367"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2.2.2.</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s opcijom kupnje koja se može izvršiti nakon izvještajnog datuma koji ispunjavaju uvjete iz članka 52. Uredbe (EU) br. 575/2013 nakon datuma efektivnog dospijeća</w:t>
            </w:r>
          </w:p>
          <w:p w14:paraId="048F3294"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489. stavak 5. i članak 491. točka (a)</w:t>
            </w:r>
            <w:r>
              <w:rPr>
                <w:sz w:val="24"/>
                <w:rFonts w:ascii="Times New Roman" w:hAnsi="Times New Roman"/>
              </w:rPr>
              <w:t xml:space="preserve"> Uredbe (EU) br. 575/2013</w:t>
            </w:r>
          </w:p>
          <w:p w14:paraId="04940A6C"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0070</w:t>
            </w:r>
          </w:p>
        </w:tc>
        <w:tc>
          <w:tcPr>
            <w:tcW w:w="7478" w:type="dxa"/>
          </w:tcPr>
          <w:p w14:paraId="1DAC7195"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2.2.3.</w:t>
            </w:r>
            <w:r>
              <w:rPr>
                <w:rStyle w:val="InstructionsTabelleberschrift"/>
                <w:sz w:val="24"/>
                <w:rFonts w:ascii="Times New Roman" w:hAnsi="Times New Roman"/>
              </w:rPr>
              <w:tab/>
            </w:r>
            <w:r>
              <w:rPr>
                <w:rStyle w:val="InstructionsTabelleberschrift"/>
                <w:sz w:val="24"/>
                <w:rFonts w:ascii="Times New Roman" w:hAnsi="Times New Roman"/>
              </w:rPr>
              <w:t xml:space="preserve">Instrumenti s opcijom kupnje koja se može izvršiti prije 20. srpnja 2011. ili na taj dan koji ne ispunjavaju uvjete iz članka 52. Uredbe (EU) br. 575/2013 nakon datuma efektivnog dospijeća</w:t>
            </w:r>
          </w:p>
          <w:p w14:paraId="7B8E2D41"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Članak 489. stavak 6. i članak 491. točka (c) Uredbe (EU) br. 575/2013</w:t>
            </w:r>
          </w:p>
          <w:p w14:paraId="186B056F"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0080</w:t>
            </w:r>
          </w:p>
        </w:tc>
        <w:tc>
          <w:tcPr>
            <w:tcW w:w="7478" w:type="dxa"/>
          </w:tcPr>
          <w:p w14:paraId="0578B089"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2.3.</w:t>
            </w:r>
            <w:r>
              <w:rPr>
                <w:rStyle w:val="InstructionsTabelleberschrift"/>
                <w:sz w:val="24"/>
                <w:rFonts w:ascii="Times New Roman" w:hAnsi="Times New Roman"/>
              </w:rPr>
              <w:tab/>
            </w:r>
            <w:r>
              <w:rPr>
                <w:rStyle w:val="InstructionsTabelleberschrift"/>
                <w:sz w:val="24"/>
                <w:rFonts w:ascii="Times New Roman" w:hAnsi="Times New Roman"/>
              </w:rPr>
              <w:t xml:space="preserve">Prekoračenje ograničenja za instrumente redovnog osnovnog kapitala koji se nastavljaju priznavati</w:t>
            </w:r>
          </w:p>
          <w:p w14:paraId="021928ED"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487. stavak 1.</w:t>
            </w:r>
            <w:r>
              <w:rPr>
                <w:sz w:val="24"/>
                <w:rFonts w:ascii="Times New Roman" w:hAnsi="Times New Roman"/>
              </w:rPr>
              <w:t xml:space="preserve"> Uredbe (EU) br. 575/2013</w:t>
            </w:r>
          </w:p>
          <w:p w14:paraId="1A43C592"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Prekoračenje ograničenja za instrumente redovnog osnovnog kapitala koji se nastavljaju priznavati može se tretirati kao instrumente koji se mogu nastaviti priznavati kao instrumenti dodatnog osnovnog kapitala.</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0090</w:t>
            </w:r>
          </w:p>
        </w:tc>
        <w:tc>
          <w:tcPr>
            <w:tcW w:w="7478" w:type="dxa"/>
          </w:tcPr>
          <w:p w14:paraId="1C9F59FE"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3.</w:t>
            </w:r>
            <w:r>
              <w:rPr>
                <w:rStyle w:val="InstructionsTabelleberschrift"/>
                <w:sz w:val="24"/>
                <w:rFonts w:ascii="Times New Roman" w:hAnsi="Times New Roman"/>
              </w:rPr>
              <w:tab/>
            </w:r>
            <w:r>
              <w:rPr>
                <w:rStyle w:val="InstructionsTabelleberschrift"/>
                <w:sz w:val="24"/>
                <w:rFonts w:ascii="Times New Roman" w:hAnsi="Times New Roman"/>
              </w:rPr>
              <w:t xml:space="preserve">Stavke koje ispunjavaju uvjete iz članka 57. točke (e), (f), (g) ili (h) Direktive 2006/48/EZ, podložno ograničenju iz članka 490. Uredbe (EU) br. 575/2013</w:t>
            </w:r>
          </w:p>
          <w:p w14:paraId="284C24AA" w14:textId="77777777" w:rsidR="00CC7D2C" w:rsidRPr="002A677E" w:rsidRDefault="00CC7D2C" w:rsidP="00822842">
            <w:pPr>
              <w:pStyle w:val="body"/>
              <w:rPr>
                <w:rStyle w:val="InstructionsTabelleText"/>
                <w:bCs/>
                <w:sz w:val="24"/>
                <w:rFonts w:ascii="Times New Roman" w:hAnsi="Times New Roman"/>
              </w:rPr>
            </w:pPr>
            <w:r>
              <w:rPr>
                <w:sz w:val="24"/>
                <w:rStyle w:val="InstructionsTabelleText"/>
                <w:rFonts w:ascii="Times New Roman" w:hAnsi="Times New Roman"/>
              </w:rPr>
              <w:t xml:space="preserve">Članak 484. stavak 5.</w:t>
            </w:r>
            <w:r>
              <w:rPr>
                <w:sz w:val="24"/>
                <w:rFonts w:ascii="Times New Roman" w:hAnsi="Times New Roman"/>
              </w:rPr>
              <w:t xml:space="preserve"> Uredbe (EU) br.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0100</w:t>
            </w:r>
          </w:p>
        </w:tc>
        <w:tc>
          <w:tcPr>
            <w:tcW w:w="7478" w:type="dxa"/>
          </w:tcPr>
          <w:p w14:paraId="05A58798"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3.1.</w:t>
            </w:r>
            <w:r>
              <w:rPr>
                <w:rStyle w:val="InstructionsTabelleberschrift"/>
                <w:sz w:val="24"/>
                <w:rFonts w:ascii="Times New Roman" w:hAnsi="Times New Roman"/>
              </w:rPr>
              <w:tab/>
            </w:r>
            <w:r>
              <w:rPr>
                <w:rStyle w:val="InstructionsTabelleberschrift"/>
                <w:sz w:val="24"/>
                <w:rFonts w:ascii="Times New Roman" w:hAnsi="Times New Roman"/>
              </w:rPr>
              <w:t xml:space="preserve">Ukupne stavke bez poticaja na otkup</w:t>
            </w:r>
          </w:p>
          <w:p w14:paraId="3A4F871E"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490.</w:t>
            </w:r>
            <w:r>
              <w:rPr>
                <w:sz w:val="24"/>
                <w:rFonts w:ascii="Times New Roman" w:hAnsi="Times New Roman"/>
              </w:rPr>
              <w:t xml:space="preserve"> Uredbe (EU) br.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0110</w:t>
            </w:r>
          </w:p>
        </w:tc>
        <w:tc>
          <w:tcPr>
            <w:tcW w:w="7478" w:type="dxa"/>
          </w:tcPr>
          <w:p w14:paraId="628DDBED"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3.2.</w:t>
            </w:r>
            <w:r>
              <w:rPr>
                <w:rStyle w:val="InstructionsTabelleberschrift"/>
                <w:sz w:val="24"/>
                <w:rFonts w:ascii="Times New Roman" w:hAnsi="Times New Roman"/>
              </w:rPr>
              <w:tab/>
            </w:r>
            <w:r>
              <w:rPr>
                <w:rStyle w:val="InstructionsTabelleberschrift"/>
                <w:sz w:val="24"/>
                <w:rFonts w:ascii="Times New Roman" w:hAnsi="Times New Roman"/>
              </w:rPr>
              <w:t xml:space="preserve">Stavke koje se nastavljaju priznavati s poticajem na otkup</w:t>
            </w:r>
          </w:p>
          <w:p w14:paraId="773B0F07"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490.</w:t>
            </w:r>
            <w:r>
              <w:rPr>
                <w:sz w:val="24"/>
                <w:rFonts w:ascii="Times New Roman" w:hAnsi="Times New Roman"/>
              </w:rPr>
              <w:t xml:space="preserve"> Uredbe (EU) br.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0120</w:t>
            </w:r>
          </w:p>
        </w:tc>
        <w:tc>
          <w:tcPr>
            <w:tcW w:w="7478" w:type="dxa"/>
          </w:tcPr>
          <w:p w14:paraId="19E4C86B" w14:textId="77777777" w:rsidR="00CC7D2C" w:rsidRPr="002A677E" w:rsidRDefault="00CC7D2C" w:rsidP="00822842">
            <w:pPr>
              <w:pStyle w:val="body"/>
              <w:rPr>
                <w:rStyle w:val="InstructionsTabelleText"/>
                <w:b/>
                <w:bCs/>
                <w:sz w:val="24"/>
                <w:u w:val="single"/>
                <w:rFonts w:ascii="Times New Roman" w:hAnsi="Times New Roman"/>
              </w:rPr>
            </w:pPr>
            <w:r>
              <w:rPr>
                <w:rStyle w:val="InstructionsTabelleberschrift"/>
                <w:sz w:val="24"/>
                <w:rFonts w:ascii="Times New Roman" w:hAnsi="Times New Roman"/>
              </w:rPr>
              <w:t xml:space="preserve">3.2.1.</w:t>
            </w:r>
            <w:r>
              <w:rPr>
                <w:rStyle w:val="InstructionsTabelleberschrift"/>
                <w:sz w:val="24"/>
                <w:rFonts w:ascii="Times New Roman" w:hAnsi="Times New Roman"/>
              </w:rPr>
              <w:tab/>
            </w:r>
            <w:r>
              <w:rPr>
                <w:rStyle w:val="InstructionsTabelleberschrift"/>
                <w:sz w:val="24"/>
                <w:rFonts w:ascii="Times New Roman" w:hAnsi="Times New Roman"/>
              </w:rPr>
              <w:t xml:space="preserve">Stavke s opcijom kupnje koja se može izvršiti nakon izvještajnog datuma koji ispunjavaju uvjete iz članka 63. Uredbe (EU) br. 575/2013 nakon datuma efektivnog dospijeća</w:t>
            </w:r>
          </w:p>
          <w:p w14:paraId="78E9816A"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490. stavak 3. i članak 491. točka (a)</w:t>
            </w:r>
            <w:r>
              <w:rPr>
                <w:sz w:val="24"/>
                <w:rFonts w:ascii="Times New Roman" w:hAnsi="Times New Roman"/>
              </w:rPr>
              <w:t xml:space="preserve"> Uredbe (EU) br. 575/2013</w:t>
            </w:r>
          </w:p>
          <w:p w14:paraId="3116C9D4"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0130</w:t>
            </w:r>
          </w:p>
        </w:tc>
        <w:tc>
          <w:tcPr>
            <w:tcW w:w="7478" w:type="dxa"/>
          </w:tcPr>
          <w:p w14:paraId="3632494F" w14:textId="77777777" w:rsidR="00CC7D2C" w:rsidRPr="002A677E" w:rsidRDefault="00CC7D2C" w:rsidP="00822842">
            <w:pPr>
              <w:pStyle w:val="body"/>
              <w:rPr>
                <w:rStyle w:val="InstructionsTabelleText"/>
                <w:b/>
                <w:sz w:val="24"/>
                <w:u w:val="single"/>
                <w:rFonts w:ascii="Times New Roman" w:hAnsi="Times New Roman"/>
              </w:rPr>
            </w:pPr>
            <w:r>
              <w:rPr>
                <w:rStyle w:val="InstructionsTabelleberschrift"/>
                <w:sz w:val="24"/>
                <w:rFonts w:ascii="Times New Roman" w:hAnsi="Times New Roman"/>
              </w:rPr>
              <w:t xml:space="preserve">3.2.2.</w:t>
            </w:r>
            <w:r>
              <w:rPr>
                <w:rStyle w:val="InstructionsTabelleberschrift"/>
                <w:sz w:val="24"/>
                <w:rFonts w:ascii="Times New Roman" w:hAnsi="Times New Roman"/>
              </w:rPr>
              <w:tab/>
            </w:r>
            <w:r>
              <w:rPr>
                <w:rStyle w:val="InstructionsTabelleberschrift"/>
                <w:sz w:val="24"/>
                <w:rFonts w:ascii="Times New Roman" w:hAnsi="Times New Roman"/>
              </w:rPr>
              <w:t xml:space="preserve">Stavke s opcijom kupnje koja se može izvršiti nakon izvještajnog datuma koji ne ispunjavaju uvjete iz članka 63. Uredbe (EU) br. 575/2013 nakon datuma efektivnog dospijeća</w:t>
            </w:r>
          </w:p>
          <w:p w14:paraId="42333F81"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490. stavak 5. i članak 491. točka (a)</w:t>
            </w:r>
            <w:r>
              <w:rPr>
                <w:sz w:val="24"/>
                <w:rFonts w:ascii="Times New Roman" w:hAnsi="Times New Roman"/>
              </w:rPr>
              <w:t xml:space="preserve"> Uredbe (EU) br. 575/2013</w:t>
            </w:r>
          </w:p>
          <w:p w14:paraId="43180F9B"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0140</w:t>
            </w:r>
          </w:p>
        </w:tc>
        <w:tc>
          <w:tcPr>
            <w:tcW w:w="7478" w:type="dxa"/>
          </w:tcPr>
          <w:p w14:paraId="1E7D6E71" w14:textId="77777777" w:rsidR="00CC7D2C" w:rsidRPr="002A677E" w:rsidRDefault="00CC7D2C" w:rsidP="00822842">
            <w:pPr>
              <w:pStyle w:val="body"/>
              <w:rPr>
                <w:rStyle w:val="InstructionsTabelleberschrift"/>
                <w:bCs w:val="0"/>
                <w:sz w:val="24"/>
                <w:rFonts w:ascii="Times New Roman" w:hAnsi="Times New Roman"/>
              </w:rPr>
            </w:pPr>
            <w:r>
              <w:rPr>
                <w:rStyle w:val="InstructionsTabelleberschrift"/>
                <w:sz w:val="24"/>
                <w:rFonts w:ascii="Times New Roman" w:hAnsi="Times New Roman"/>
              </w:rPr>
              <w:t xml:space="preserve">3.2.3.</w:t>
            </w:r>
            <w:r>
              <w:rPr>
                <w:rStyle w:val="InstructionsTabelleberschrift"/>
                <w:sz w:val="24"/>
                <w:rFonts w:ascii="Times New Roman" w:hAnsi="Times New Roman"/>
              </w:rPr>
              <w:tab/>
            </w:r>
            <w:r>
              <w:rPr>
                <w:rStyle w:val="InstructionsTabelleberschrift"/>
                <w:sz w:val="24"/>
                <w:rFonts w:ascii="Times New Roman" w:hAnsi="Times New Roman"/>
              </w:rPr>
              <w:t xml:space="preserve">Stavke s opcijom kupnje koja se može izvršiti prije ili na dan 20. srpnja 2011. koji ne ispunjavaju uvjete iz članka 63. Uredbe (EU) br. 575/2013 nakon datuma efektivnog dospijeća</w:t>
            </w:r>
          </w:p>
          <w:p w14:paraId="4D02A052" w14:textId="77777777" w:rsidR="00CC7D2C" w:rsidRPr="002A677E" w:rsidRDefault="00CC7D2C" w:rsidP="00822842">
            <w:pPr>
              <w:pStyle w:val="body"/>
              <w:rPr>
                <w:rStyle w:val="InstructionsTabelleText"/>
                <w:sz w:val="24"/>
                <w:rFonts w:ascii="Times New Roman" w:hAnsi="Times New Roman"/>
              </w:rPr>
            </w:pPr>
            <w:r>
              <w:rPr>
                <w:sz w:val="24"/>
                <w:rFonts w:ascii="Times New Roman" w:hAnsi="Times New Roman"/>
              </w:rPr>
              <w:t xml:space="preserve">Članak 490. stavak 6. i članak 491. točka (c) Uredbe (EU) br. 575/2013</w:t>
            </w:r>
          </w:p>
          <w:p w14:paraId="78CD3743"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Iznos koji se iskazuje uključuje povezane račune premija na dionice.</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0150</w:t>
            </w:r>
          </w:p>
        </w:tc>
        <w:tc>
          <w:tcPr>
            <w:tcW w:w="7478" w:type="dxa"/>
          </w:tcPr>
          <w:p w14:paraId="388B843C" w14:textId="77777777" w:rsidR="00CC7D2C" w:rsidRPr="002A677E" w:rsidRDefault="00CC7D2C" w:rsidP="00822842">
            <w:pPr>
              <w:pStyle w:val="body"/>
              <w:rPr>
                <w:rStyle w:val="InstructionsTabelleberschrift"/>
                <w:sz w:val="24"/>
                <w:rFonts w:ascii="Times New Roman" w:hAnsi="Times New Roman"/>
              </w:rPr>
            </w:pPr>
            <w:r>
              <w:rPr>
                <w:rStyle w:val="InstructionsTabelleberschrift"/>
                <w:sz w:val="24"/>
                <w:rFonts w:ascii="Times New Roman" w:hAnsi="Times New Roman"/>
              </w:rPr>
              <w:t xml:space="preserve">3.3.</w:t>
            </w:r>
            <w:r>
              <w:rPr>
                <w:rStyle w:val="InstructionsTabelleberschrift"/>
                <w:sz w:val="24"/>
                <w:rFonts w:ascii="Times New Roman" w:hAnsi="Times New Roman"/>
              </w:rPr>
              <w:tab/>
            </w:r>
            <w:r>
              <w:rPr>
                <w:rStyle w:val="InstructionsTabelleberschrift"/>
                <w:sz w:val="24"/>
                <w:rFonts w:ascii="Times New Roman" w:hAnsi="Times New Roman"/>
              </w:rPr>
              <w:t xml:space="preserve">Prekoračenje ograničenja za instrumente dodatnog osnovnog kapitala koji se nastavljaju priznavati</w:t>
            </w:r>
          </w:p>
          <w:p w14:paraId="5B5CC604" w14:textId="77777777" w:rsidR="00CC7D2C" w:rsidRPr="002A677E" w:rsidRDefault="00CC7D2C" w:rsidP="00822842">
            <w:pPr>
              <w:pStyle w:val="body"/>
              <w:rPr>
                <w:rStyle w:val="InstructionsTabelleText"/>
                <w:sz w:val="24"/>
                <w:rFonts w:ascii="Times New Roman" w:hAnsi="Times New Roman"/>
              </w:rPr>
            </w:pPr>
            <w:r>
              <w:rPr>
                <w:sz w:val="24"/>
                <w:rStyle w:val="InstructionsTabelleText"/>
                <w:rFonts w:ascii="Times New Roman" w:hAnsi="Times New Roman"/>
              </w:rPr>
              <w:t xml:space="preserve">Članak 487. stavak 2.</w:t>
            </w:r>
            <w:r>
              <w:rPr>
                <w:sz w:val="24"/>
                <w:rFonts w:ascii="Times New Roman" w:hAnsi="Times New Roman"/>
              </w:rPr>
              <w:t xml:space="preserve"> Uredbe (EU) br. 575/2013</w:t>
            </w:r>
            <w:r>
              <w:rPr>
                <w:sz w:val="24"/>
                <w:rFonts w:ascii="Times New Roman" w:hAnsi="Times New Roman"/>
              </w:rPr>
              <w:t xml:space="preserve"> </w:t>
            </w:r>
          </w:p>
          <w:p w14:paraId="11256797" w14:textId="77777777" w:rsidR="00CC7D2C" w:rsidRPr="002A677E" w:rsidRDefault="00CC7D2C" w:rsidP="00822842">
            <w:pPr>
              <w:pStyle w:val="body"/>
              <w:rPr>
                <w:rStyle w:val="InstructionsTabelleText"/>
                <w:sz w:val="24"/>
                <w:rFonts w:ascii="Times New Roman" w:hAnsi="Times New Roman"/>
              </w:rPr>
            </w:pPr>
            <w:r>
              <w:rPr>
                <w:rStyle w:val="InstructionsTabelleText"/>
                <w:sz w:val="24"/>
                <w:rFonts w:ascii="Times New Roman" w:hAnsi="Times New Roman"/>
              </w:rPr>
              <w:t xml:space="preserve">Prekoračenje ograničenja za instrumente dodatnog osnovnog kapitala koji se nastavljaju priznavati može se tretirati kao instrumente koji se mogu nastaviti priznavati kao instrumenti dopunskog kapitala.</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rPr>
          <w:sz w:val="20"/>
        </w:rPr>
        <w:tab/>
      </w:r>
      <w:r>
        <w:rPr>
          <w:sz w:val="20"/>
          <w:color w:val="444444"/>
        </w:rPr>
        <w:t xml:space="preserve">Delegirana uredba Komisije (EU) br. 241/2014 оd 7. siječnja 2014. o dopuni Uredbe (EU) br. 575/2013 Europskog parlamenta i Vijeća u pogledu regulatornih tehničkih standarda za kapitalne zahtjeve za institucije (SL L 74, 14.3.2014., str. 8.)</w:t>
      </w:r>
      <w:r>
        <w:rPr>
          <w:sz w:val="20"/>
          <w:color w:val="444444"/>
          <w:rStyle w:val="Emphasis"/>
        </w:rP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val="hr-HR"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val="hr-HR"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val="hr-HR"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val="hr-HR"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val="hr-HR"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val="hr-HR"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val="hr-H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hr-HR"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hr-HR"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hr-HR"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hr-HR"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hr-HR"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hr-HR"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val="hr-HR"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hr-H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val="hr-HR"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hr-HR"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hr-HR"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val="hr-HR"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hr-HR"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val="hr-HR"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hr-HR"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val="hr-HR"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hr-HR"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val="hr-HR"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hr-HR"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hr-HR"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val="hr-H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val="hr-HR"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val="hr-HR"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hr-HR"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lang w:val="hr-HR"/>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hr-HR"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lang w:val="hr-HR"/>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val="hr-HR"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hr-HR"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lang w:val="hr-HR"/>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lang w:val="hr-HR"/>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lang w:val="hr-HR"/>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lang w:val="hr-HR"/>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val="hr-HR" w:eastAsia="en-GB"/>
    </w:rPr>
  </w:style>
  <w:style w:type="paragraph" w:customStyle="1" w:styleId="List1">
    <w:name w:val="List1"/>
    <w:autoRedefine/>
    <w:qFormat/>
    <w:rsid w:val="00CC7D2C"/>
    <w:pPr>
      <w:numPr>
        <w:numId w:val="31"/>
      </w:numPr>
      <w:spacing w:after="0" w:line="240" w:lineRule="auto"/>
    </w:pPr>
    <w:rPr>
      <w:rFonts w:eastAsiaTheme="minorEastAsia"/>
      <w:kern w:val="0"/>
      <w:lang w:val="hr-HR"/>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lang w:val="hr-H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lang w:val="hr-HR"/>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hr-HR"/>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lang w:val="hr-HR"/>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lang w:val="hr-HR"/>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val="hr-HR"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lang w:val="hr-H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lang w:val="hr-HR"/>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lang w:val="hr-H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lang w:val="hr-H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hr-HR"/>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hr-HR"/>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val="hr-HR"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lang w:val="hr-HR"/>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lang w:val="hr-HR"/>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val="hr-HR"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val="hr-HR"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val="hr-HR"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val="hr-HR"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val="hr-HR"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hr-HR"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val="hr-HR"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0E088C56-1E5E-47D0-8FA0-325C50E7B30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64</Pages>
  <Words>20100</Words>
  <Characters>116787</Characters>
  <Application>Microsoft Office Word</Application>
  <DocSecurity>0</DocSecurity>
  <Lines>2245</Lines>
  <Paragraphs>728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2024-07-04T16:45:00Z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