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3B806" w14:textId="7920D372" w:rsidR="009E7D0C" w:rsidRPr="00B3568A" w:rsidRDefault="00B3568A" w:rsidP="00DD6EF2">
      <w:pPr>
        <w:suppressAutoHyphens/>
        <w:jc w:val="center"/>
        <w:rPr>
          <w:rFonts w:ascii="Times New Roman" w:hAnsi="Times New Roman"/>
          <w:sz w:val="24"/>
          <w:szCs w:val="22"/>
        </w:rPr>
      </w:pPr>
      <w:bookmarkStart w:id="0" w:name="_Toc262568021"/>
      <w:bookmarkStart w:id="1" w:name="_Toc295829847"/>
      <w:r>
        <w:rPr>
          <w:rFonts w:ascii="Times New Roman" w:hAnsi="Times New Roman"/>
          <w:sz w:val="24"/>
        </w:rPr>
        <w:t>IT</w:t>
      </w:r>
    </w:p>
    <w:p w14:paraId="2704A83C" w14:textId="77777777" w:rsidR="009E7D0C" w:rsidRPr="00037E7B" w:rsidRDefault="009E7D0C" w:rsidP="00DD6EF2">
      <w:pPr>
        <w:suppressAutoHyphens/>
        <w:jc w:val="center"/>
        <w:rPr>
          <w:rFonts w:ascii="Times New Roman" w:hAnsi="Times New Roman"/>
          <w:sz w:val="24"/>
        </w:rPr>
      </w:pPr>
    </w:p>
    <w:p w14:paraId="24333E7A" w14:textId="5D6FD9D5" w:rsidR="008D696E" w:rsidRPr="00037E7B" w:rsidRDefault="008D696E" w:rsidP="00DD6EF2">
      <w:pPr>
        <w:suppressAutoHyphens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ALLEGATO II</w:t>
      </w:r>
    </w:p>
    <w:p w14:paraId="37362007" w14:textId="3F4F12C2" w:rsidR="002648B0" w:rsidRPr="00037E7B" w:rsidRDefault="00DD6EF2" w:rsidP="00DD6EF2">
      <w:pPr>
        <w:suppressAutoHyphens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"</w:t>
      </w:r>
      <w:r w:rsidR="008D696E">
        <w:rPr>
          <w:rFonts w:ascii="Times New Roman" w:hAnsi="Times New Roman"/>
          <w:sz w:val="24"/>
        </w:rPr>
        <w:t>ALLEGATO II</w:t>
      </w:r>
    </w:p>
    <w:p w14:paraId="327777EC" w14:textId="77777777" w:rsidR="002648B0" w:rsidRPr="00037E7B" w:rsidRDefault="00D11E4C" w:rsidP="00DD6EF2">
      <w:pPr>
        <w:suppressAutoHyphens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ISTRUZIONI PER LE SEGNALAZIONI RIGUARDANTI I FONDI PROPRI E I REQUISITI DI FONDI PROPRI</w:t>
      </w:r>
    </w:p>
    <w:p w14:paraId="2C40683C" w14:textId="77777777" w:rsidR="00436204" w:rsidRPr="00DD6EF2" w:rsidRDefault="00436204" w:rsidP="00DD6EF2">
      <w:pPr>
        <w:suppressAutoHyphens/>
        <w:jc w:val="center"/>
        <w:rPr>
          <w:rFonts w:ascii="Times New Roman" w:hAnsi="Times New Roman"/>
          <w:b/>
          <w:sz w:val="22"/>
          <w:szCs w:val="22"/>
          <w:lang w:eastAsia="de-DE"/>
        </w:rPr>
      </w:pPr>
    </w:p>
    <w:p w14:paraId="7E85F65D" w14:textId="77777777" w:rsidR="002648B0" w:rsidRPr="00DD6EF2" w:rsidRDefault="002648B0" w:rsidP="00DD6EF2">
      <w:pPr>
        <w:suppressAutoHyphens/>
        <w:rPr>
          <w:rFonts w:ascii="Times New Roman" w:hAnsi="Times New Roman"/>
          <w:szCs w:val="20"/>
        </w:rPr>
      </w:pPr>
    </w:p>
    <w:p w14:paraId="74494658" w14:textId="77777777" w:rsidR="002648B0" w:rsidRPr="00037E7B" w:rsidRDefault="002648B0" w:rsidP="00DD6EF2">
      <w:pPr>
        <w:pStyle w:val="Heading2"/>
        <w:suppressAutoHyphens/>
        <w:rPr>
          <w:rFonts w:ascii="Times New Roman" w:hAnsi="Times New Roman"/>
        </w:rPr>
      </w:pPr>
      <w:bookmarkStart w:id="2" w:name="_Toc360188322"/>
      <w:bookmarkStart w:id="3" w:name="_Toc473560870"/>
      <w:bookmarkStart w:id="4" w:name="_Toc151714358"/>
      <w:r>
        <w:rPr>
          <w:rFonts w:ascii="Times New Roman" w:hAnsi="Times New Roman"/>
        </w:rPr>
        <w:t>PARTE II: ISTRUZIONI RELATIVE AI MODELLI</w:t>
      </w:r>
      <w:bookmarkEnd w:id="2"/>
      <w:bookmarkEnd w:id="3"/>
      <w:bookmarkEnd w:id="4"/>
    </w:p>
    <w:p w14:paraId="76BE57B6" w14:textId="77777777" w:rsidR="00964546" w:rsidRPr="00DD6EF2" w:rsidRDefault="00964546" w:rsidP="00DD6EF2">
      <w:pPr>
        <w:suppressAutoHyphens/>
        <w:rPr>
          <w:lang w:eastAsia="x-none"/>
        </w:rPr>
      </w:pPr>
    </w:p>
    <w:p w14:paraId="31A06314" w14:textId="70B4B7D9" w:rsidR="00964546" w:rsidRPr="00037E7B" w:rsidRDefault="00964546" w:rsidP="00DD6EF2">
      <w:pPr>
        <w:suppressAutoHyphens/>
      </w:pPr>
      <w:r>
        <w:t>(…)</w:t>
      </w:r>
    </w:p>
    <w:p w14:paraId="607D2E45" w14:textId="2ECC5240" w:rsidR="00AB3069" w:rsidRPr="00037E7B" w:rsidRDefault="003E6AEB" w:rsidP="00DD6EF2">
      <w:pPr>
        <w:pStyle w:val="Instructionsberschrift2"/>
        <w:numPr>
          <w:ilvl w:val="0"/>
          <w:numId w:val="0"/>
        </w:numPr>
        <w:suppressAutoHyphens/>
        <w:ind w:left="357" w:hanging="357"/>
      </w:pPr>
      <w:bookmarkStart w:id="5" w:name="_Toc151714534"/>
      <w:bookmarkEnd w:id="0"/>
      <w:bookmarkEnd w:id="1"/>
      <w:r>
        <w:rPr>
          <w:rFonts w:ascii="Times New Roman" w:hAnsi="Times New Roman"/>
          <w:sz w:val="24"/>
        </w:rPr>
        <w:t>9. Soglie per portafoglio di negoziazione e rischio di mercato, il confine tra portafoglio di negoziazione e non-portafoglio di negoziazione e riclassificazioni</w:t>
      </w:r>
      <w:bookmarkEnd w:id="5"/>
    </w:p>
    <w:p w14:paraId="1FF5D1DF" w14:textId="771ED598" w:rsidR="00A4497F" w:rsidRPr="00037E7B" w:rsidRDefault="003E6AEB" w:rsidP="00DD6EF2">
      <w:pPr>
        <w:pStyle w:val="Instructionsberschrift2"/>
        <w:numPr>
          <w:ilvl w:val="0"/>
          <w:numId w:val="0"/>
        </w:numPr>
        <w:suppressAutoHyphens/>
        <w:ind w:left="357" w:hanging="357"/>
        <w:rPr>
          <w:rFonts w:ascii="Times New Roman" w:hAnsi="Times New Roman" w:cs="Times New Roman"/>
          <w:sz w:val="24"/>
        </w:rPr>
      </w:pPr>
      <w:bookmarkStart w:id="6" w:name="_Toc7084156"/>
      <w:bookmarkStart w:id="7" w:name="_Toc37168636"/>
      <w:bookmarkStart w:id="8" w:name="_Toc151714535"/>
      <w:r>
        <w:rPr>
          <w:rFonts w:ascii="Times New Roman" w:hAnsi="Times New Roman"/>
          <w:sz w:val="24"/>
        </w:rPr>
        <w:t>9.1</w:t>
      </w:r>
      <w:r>
        <w:tab/>
      </w:r>
      <w:bookmarkEnd w:id="6"/>
      <w:r>
        <w:rPr>
          <w:rFonts w:ascii="Times New Roman" w:hAnsi="Times New Roman"/>
          <w:sz w:val="24"/>
        </w:rPr>
        <w:t>C 90.00 - Soglie relative al portafoglio di negoziazione e al rischio di mercato</w:t>
      </w:r>
      <w:bookmarkEnd w:id="7"/>
      <w:bookmarkEnd w:id="8"/>
    </w:p>
    <w:p w14:paraId="458F8B64" w14:textId="77777777" w:rsidR="00F65FA6" w:rsidRPr="00037E7B" w:rsidRDefault="00F65FA6" w:rsidP="00DD6EF2">
      <w:pPr>
        <w:pStyle w:val="Instructionsberschrift2"/>
        <w:numPr>
          <w:ilvl w:val="0"/>
          <w:numId w:val="0"/>
        </w:numPr>
        <w:suppressAutoHyphens/>
        <w:spacing w:after="200"/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9" w:name="_Toc151714536"/>
      <w:r>
        <w:rPr>
          <w:rFonts w:ascii="Times New Roman" w:hAnsi="Times New Roman"/>
          <w:sz w:val="24"/>
          <w:u w:val="none"/>
        </w:rPr>
        <w:t>9.1.1</w:t>
      </w:r>
      <w:r w:rsidRPr="00DD6EF2">
        <w:rPr>
          <w:u w:val="none"/>
        </w:rPr>
        <w:tab/>
      </w:r>
      <w:r>
        <w:rPr>
          <w:rFonts w:ascii="Times New Roman" w:hAnsi="Times New Roman"/>
          <w:sz w:val="24"/>
          <w:u w:val="none"/>
        </w:rPr>
        <w:t>Osservazioni di carattere generale</w:t>
      </w:r>
    </w:p>
    <w:p w14:paraId="2EE35BE9" w14:textId="159A3D1C" w:rsidR="00F65FA6" w:rsidRPr="00037E7B" w:rsidRDefault="00F65FA6" w:rsidP="00DD6EF2">
      <w:pPr>
        <w:pStyle w:val="InstructionsText2"/>
        <w:numPr>
          <w:ilvl w:val="0"/>
          <w:numId w:val="61"/>
        </w:numPr>
        <w:suppressAutoHyphens/>
        <w:spacing w:line="259" w:lineRule="auto"/>
      </w:pPr>
      <w:r>
        <w:t>Le informazioni fornite in questo modello riflettono il risultato del calcolo di cui all</w:t>
      </w:r>
      <w:r w:rsidR="00DD6EF2">
        <w:t>'</w:t>
      </w:r>
      <w:r>
        <w:t>articolo 94 del regolamento (UE) n.</w:t>
      </w:r>
      <w:r w:rsidR="00DD6EF2">
        <w:t> </w:t>
      </w:r>
      <w:r>
        <w:t>575/2013 (deroga per le piccole operazioni attinenti al portafoglio di negoziazione) e l</w:t>
      </w:r>
      <w:r w:rsidR="00DD6EF2">
        <w:t>'</w:t>
      </w:r>
      <w:r>
        <w:t>entità delle operazioni in bilancio e fuori bilancio dell</w:t>
      </w:r>
      <w:r w:rsidR="00DD6EF2">
        <w:t>'</w:t>
      </w:r>
      <w:r>
        <w:t>ente soggette a rischio di mercato calcolata conformemente all</w:t>
      </w:r>
      <w:r w:rsidR="00DD6EF2">
        <w:t>'</w:t>
      </w:r>
      <w:r>
        <w:t>articolo 325 bis del regolamento (UE) n. 575/2013.</w:t>
      </w:r>
    </w:p>
    <w:p w14:paraId="6349D8A7" w14:textId="77777777" w:rsidR="00F65FA6" w:rsidRPr="00037E7B" w:rsidRDefault="00F65FA6" w:rsidP="00DD6EF2">
      <w:pPr>
        <w:pStyle w:val="Instructionsberschrift2"/>
        <w:numPr>
          <w:ilvl w:val="0"/>
          <w:numId w:val="0"/>
        </w:numPr>
        <w:suppressAutoHyphens/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10" w:name="_Toc37168638"/>
      <w:r>
        <w:rPr>
          <w:rFonts w:ascii="Times New Roman" w:hAnsi="Times New Roman"/>
          <w:sz w:val="24"/>
          <w:u w:val="none"/>
        </w:rPr>
        <w:t>9.1.2</w:t>
      </w:r>
      <w:r w:rsidRPr="00DD6EF2">
        <w:rPr>
          <w:u w:val="none"/>
        </w:rPr>
        <w:tab/>
      </w:r>
      <w:r w:rsidRPr="00DD6EF2">
        <w:rPr>
          <w:rFonts w:ascii="Times New Roman" w:hAnsi="Times New Roman"/>
          <w:sz w:val="24"/>
          <w:u w:val="none"/>
        </w:rPr>
        <w:t>Istruzioni</w:t>
      </w:r>
      <w:r>
        <w:rPr>
          <w:rFonts w:ascii="Times New Roman" w:hAnsi="Times New Roman"/>
          <w:sz w:val="24"/>
          <w:u w:val="none"/>
        </w:rPr>
        <w:t xml:space="preserve"> relative a posizioni specifiche</w:t>
      </w:r>
      <w:bookmarkEnd w:id="10"/>
    </w:p>
    <w:p w14:paraId="230964CC" w14:textId="17AF537D" w:rsidR="00F65FA6" w:rsidRPr="00037E7B" w:rsidRDefault="00F65FA6" w:rsidP="00DD6EF2">
      <w:pPr>
        <w:pStyle w:val="InstructionsText2"/>
        <w:numPr>
          <w:ilvl w:val="0"/>
          <w:numId w:val="61"/>
        </w:numPr>
        <w:suppressAutoHyphens/>
        <w:spacing w:after="200" w:line="259" w:lineRule="auto"/>
        <w:ind w:left="1349" w:hanging="357"/>
      </w:pPr>
      <w:r>
        <w:t>Il risultato del calcolo di cui all</w:t>
      </w:r>
      <w:r w:rsidR="00DD6EF2">
        <w:t>'</w:t>
      </w:r>
      <w:r>
        <w:t>articolo 94 del regolamento (UE) n. 575/2013 e le informazioni sull</w:t>
      </w:r>
      <w:r w:rsidR="00DD6EF2">
        <w:t>'</w:t>
      </w:r>
      <w:r>
        <w:t>entità delle operazioni in bilancio e fuori bilancio dell</w:t>
      </w:r>
      <w:r w:rsidR="00DD6EF2">
        <w:t>'</w:t>
      </w:r>
      <w:r>
        <w:t>ente soggette a rischio di mercato calcolata conformemente all</w:t>
      </w:r>
      <w:r w:rsidR="00DD6EF2">
        <w:t>'</w:t>
      </w:r>
      <w:r>
        <w:t>articolo 325 bis del regolamento (UE) n. 575/2013 sono segnalate separatamente per ciascuna chiusura del mese nel trimestre cui si riferisce la segnalazione nelle righe da 0010 a 0030.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3"/>
        <w:gridCol w:w="7953"/>
      </w:tblGrid>
      <w:tr w:rsidR="00F65FA6" w:rsidRPr="00037E7B" w14:paraId="7A8AE764" w14:textId="77777777" w:rsidTr="00DD6EF2">
        <w:trPr>
          <w:trHeight w:val="278"/>
        </w:trPr>
        <w:tc>
          <w:tcPr>
            <w:tcW w:w="1063" w:type="dxa"/>
            <w:shd w:val="clear" w:color="auto" w:fill="BFBFBF" w:themeFill="background1" w:themeFillShade="BF"/>
          </w:tcPr>
          <w:p w14:paraId="3A6CAFB1" w14:textId="77777777" w:rsidR="00F65FA6" w:rsidRPr="00037E7B" w:rsidRDefault="00F65FA6" w:rsidP="00DD6EF2">
            <w:pPr>
              <w:pStyle w:val="BodyText"/>
              <w:suppressAutoHyphens/>
              <w:spacing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Riga</w:t>
            </w:r>
          </w:p>
        </w:tc>
        <w:tc>
          <w:tcPr>
            <w:tcW w:w="7953" w:type="dxa"/>
            <w:shd w:val="clear" w:color="auto" w:fill="BFBFBF" w:themeFill="background1" w:themeFillShade="BF"/>
          </w:tcPr>
          <w:p w14:paraId="769CDB03" w14:textId="77777777" w:rsidR="00F65FA6" w:rsidRPr="00037E7B" w:rsidRDefault="00F65FA6" w:rsidP="00DD6EF2">
            <w:pPr>
              <w:pStyle w:val="BodyText"/>
              <w:suppressAutoHyphens/>
              <w:spacing w:after="8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Riferimenti giuridici e istruzioni</w:t>
            </w:r>
          </w:p>
        </w:tc>
      </w:tr>
      <w:tr w:rsidR="00F65FA6" w:rsidRPr="00037E7B" w14:paraId="3355BF5A" w14:textId="77777777" w:rsidTr="00E02007">
        <w:tc>
          <w:tcPr>
            <w:tcW w:w="1063" w:type="dxa"/>
          </w:tcPr>
          <w:p w14:paraId="3DDBD759" w14:textId="77777777" w:rsidR="00F65FA6" w:rsidRPr="00037E7B" w:rsidRDefault="00F65FA6" w:rsidP="00DD6EF2">
            <w:pPr>
              <w:pStyle w:val="BodyText"/>
              <w:suppressAutoHyphens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0010</w:t>
            </w:r>
          </w:p>
        </w:tc>
        <w:tc>
          <w:tcPr>
            <w:tcW w:w="7953" w:type="dxa"/>
          </w:tcPr>
          <w:p w14:paraId="35E13A17" w14:textId="77777777" w:rsidR="00F65FA6" w:rsidRPr="00037E7B" w:rsidRDefault="00F65FA6" w:rsidP="00DD6EF2">
            <w:pPr>
              <w:pStyle w:val="Tabelleninhalt"/>
              <w:suppressAutoHyphens/>
              <w:spacing w:after="8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Mese 3</w:t>
            </w:r>
          </w:p>
          <w:p w14:paraId="1C7E4625" w14:textId="16D42C04" w:rsidR="00F65FA6" w:rsidRPr="00037E7B" w:rsidRDefault="00F65FA6" w:rsidP="00DD6EF2">
            <w:pPr>
              <w:pStyle w:val="Tabelleninhalt"/>
              <w:suppressAutoHyphens/>
              <w:spacing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Dati all</w:t>
            </w:r>
            <w:r w:rsidR="00DD6EF2">
              <w:rPr>
                <w:rFonts w:ascii="Times New Roman" w:hAnsi="Times New Roman"/>
              </w:rPr>
              <w:t>'</w:t>
            </w:r>
            <w:r>
              <w:rPr>
                <w:rFonts w:ascii="Times New Roman" w:hAnsi="Times New Roman"/>
              </w:rPr>
              <w:t>ultimo giorno del terzo mese del trimestre cui si riferisce la segnalazione.</w:t>
            </w:r>
          </w:p>
        </w:tc>
      </w:tr>
      <w:tr w:rsidR="00F65FA6" w:rsidRPr="00037E7B" w14:paraId="7B4ADC45" w14:textId="77777777" w:rsidTr="00E02007">
        <w:tc>
          <w:tcPr>
            <w:tcW w:w="1063" w:type="dxa"/>
          </w:tcPr>
          <w:p w14:paraId="7B9AA53A" w14:textId="77777777" w:rsidR="00F65FA6" w:rsidRPr="00037E7B" w:rsidRDefault="00F65FA6" w:rsidP="00DD6EF2">
            <w:pPr>
              <w:pStyle w:val="BodyText"/>
              <w:suppressAutoHyphens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0020</w:t>
            </w:r>
          </w:p>
        </w:tc>
        <w:tc>
          <w:tcPr>
            <w:tcW w:w="7953" w:type="dxa"/>
          </w:tcPr>
          <w:p w14:paraId="76C1917C" w14:textId="77777777" w:rsidR="00F65FA6" w:rsidRPr="00037E7B" w:rsidRDefault="00F65FA6" w:rsidP="00DD6EF2">
            <w:pPr>
              <w:pStyle w:val="Tabelleninhalt"/>
              <w:suppressAutoHyphens/>
              <w:spacing w:after="8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Mese 2</w:t>
            </w:r>
          </w:p>
          <w:p w14:paraId="7AF74624" w14:textId="51AF7279" w:rsidR="00F65FA6" w:rsidRPr="00037E7B" w:rsidRDefault="00F65FA6" w:rsidP="00DD6EF2">
            <w:pPr>
              <w:pStyle w:val="Tabelleninhalt"/>
              <w:suppressAutoHyphens/>
              <w:spacing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Dati all</w:t>
            </w:r>
            <w:r w:rsidR="00DD6EF2">
              <w:rPr>
                <w:rFonts w:ascii="Times New Roman" w:hAnsi="Times New Roman"/>
              </w:rPr>
              <w:t>'</w:t>
            </w:r>
            <w:r>
              <w:rPr>
                <w:rFonts w:ascii="Times New Roman" w:hAnsi="Times New Roman"/>
              </w:rPr>
              <w:t>ultimo giorno del secondo mese del trimestre cui si riferisce la segnalazione.</w:t>
            </w:r>
          </w:p>
        </w:tc>
      </w:tr>
      <w:tr w:rsidR="00F65FA6" w:rsidRPr="00037E7B" w14:paraId="3D6489DB" w14:textId="77777777" w:rsidTr="00E02007">
        <w:tc>
          <w:tcPr>
            <w:tcW w:w="1063" w:type="dxa"/>
          </w:tcPr>
          <w:p w14:paraId="01F13363" w14:textId="77777777" w:rsidR="00F65FA6" w:rsidRPr="00037E7B" w:rsidRDefault="00F65FA6" w:rsidP="00DD6EF2">
            <w:pPr>
              <w:pStyle w:val="BodyText"/>
              <w:suppressAutoHyphens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0030</w:t>
            </w:r>
          </w:p>
        </w:tc>
        <w:tc>
          <w:tcPr>
            <w:tcW w:w="7953" w:type="dxa"/>
          </w:tcPr>
          <w:p w14:paraId="1D4D1B3C" w14:textId="77777777" w:rsidR="00F65FA6" w:rsidRPr="00037E7B" w:rsidRDefault="00F65FA6" w:rsidP="00DD6EF2">
            <w:pPr>
              <w:pStyle w:val="Tabelleninhalt"/>
              <w:suppressAutoHyphens/>
              <w:spacing w:after="4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Mese 1</w:t>
            </w:r>
          </w:p>
          <w:p w14:paraId="321A7E1A" w14:textId="4517E61C" w:rsidR="00F65FA6" w:rsidRPr="00037E7B" w:rsidRDefault="00F65FA6" w:rsidP="00DD6EF2">
            <w:pPr>
              <w:pStyle w:val="Tabelleninhalt"/>
              <w:suppressAutoHyphens/>
              <w:spacing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Dati all</w:t>
            </w:r>
            <w:r w:rsidR="00DD6EF2">
              <w:rPr>
                <w:rFonts w:ascii="Times New Roman" w:hAnsi="Times New Roman"/>
              </w:rPr>
              <w:t>'</w:t>
            </w:r>
            <w:r>
              <w:rPr>
                <w:rFonts w:ascii="Times New Roman" w:hAnsi="Times New Roman"/>
              </w:rPr>
              <w:t>ultimo giorno del primo mese del trimestre cui si riferisce la segnalazione.</w:t>
            </w:r>
          </w:p>
        </w:tc>
      </w:tr>
    </w:tbl>
    <w:p w14:paraId="55096B4D" w14:textId="77777777" w:rsidR="00F65FA6" w:rsidRPr="00037E7B" w:rsidRDefault="00F65FA6" w:rsidP="00DD6EF2">
      <w:pPr>
        <w:suppressAutoHyphens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3"/>
        <w:gridCol w:w="7973"/>
      </w:tblGrid>
      <w:tr w:rsidR="00F65FA6" w:rsidRPr="00037E7B" w14:paraId="6AF8CFCD" w14:textId="77777777" w:rsidTr="00E02007">
        <w:tc>
          <w:tcPr>
            <w:tcW w:w="1043" w:type="dxa"/>
            <w:shd w:val="clear" w:color="auto" w:fill="BFBFBF" w:themeFill="background1" w:themeFillShade="BF"/>
          </w:tcPr>
          <w:p w14:paraId="65665385" w14:textId="77777777" w:rsidR="00F65FA6" w:rsidRPr="00037E7B" w:rsidRDefault="00F65FA6" w:rsidP="00DD6EF2">
            <w:pPr>
              <w:pStyle w:val="BodyText"/>
              <w:suppressAutoHyphens/>
              <w:spacing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Colonna</w:t>
            </w:r>
          </w:p>
        </w:tc>
        <w:tc>
          <w:tcPr>
            <w:tcW w:w="7973" w:type="dxa"/>
            <w:shd w:val="clear" w:color="auto" w:fill="BFBFBF" w:themeFill="background1" w:themeFillShade="BF"/>
          </w:tcPr>
          <w:p w14:paraId="219EFA66" w14:textId="77777777" w:rsidR="00F65FA6" w:rsidRPr="00037E7B" w:rsidRDefault="00F65FA6" w:rsidP="00DD6EF2">
            <w:pPr>
              <w:pStyle w:val="BodyText"/>
              <w:suppressAutoHyphens/>
              <w:spacing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Riferimenti giuridici e istruzioni</w:t>
            </w:r>
          </w:p>
        </w:tc>
      </w:tr>
      <w:tr w:rsidR="00F65FA6" w:rsidRPr="00037E7B" w14:paraId="57E5CA86" w14:textId="77777777" w:rsidTr="00E02007">
        <w:tc>
          <w:tcPr>
            <w:tcW w:w="1043" w:type="dxa"/>
          </w:tcPr>
          <w:p w14:paraId="6648E6E1" w14:textId="77777777" w:rsidR="00F65FA6" w:rsidRPr="00037E7B" w:rsidRDefault="00F65FA6" w:rsidP="00DD6EF2">
            <w:pPr>
              <w:pStyle w:val="BodyText"/>
              <w:suppressAutoHyphens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0010</w:t>
            </w:r>
          </w:p>
        </w:tc>
        <w:tc>
          <w:tcPr>
            <w:tcW w:w="7973" w:type="dxa"/>
          </w:tcPr>
          <w:p w14:paraId="15CE25E0" w14:textId="77777777" w:rsidR="00F65FA6" w:rsidRPr="00037E7B" w:rsidRDefault="00F65FA6" w:rsidP="00DD6EF2">
            <w:pPr>
              <w:pStyle w:val="Tabelleninhalt"/>
              <w:suppressAutoHyphens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Operazioni in bilancio e fuori bilancio soggette a rischio di mercato</w:t>
            </w:r>
          </w:p>
          <w:p w14:paraId="208FB794" w14:textId="77777777" w:rsidR="00F65FA6" w:rsidRPr="00037E7B" w:rsidRDefault="00F65FA6" w:rsidP="00DD6EF2">
            <w:pPr>
              <w:pStyle w:val="Tabelleninhalt"/>
              <w:suppressAutoHyphens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Articolo 325 bis, paragrafo 2, del regolamento (UE) n. 575/2013.</w:t>
            </w:r>
          </w:p>
          <w:p w14:paraId="44825AE5" w14:textId="62C76155" w:rsidR="00F65FA6" w:rsidRPr="00037E7B" w:rsidRDefault="00F65FA6" w:rsidP="00DD6EF2">
            <w:pPr>
              <w:pStyle w:val="Tabelleninhalt"/>
              <w:suppressAutoHyphens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D6EF2">
              <w:rPr>
                <w:rFonts w:ascii="Times New Roman" w:hAnsi="Times New Roman"/>
              </w:rPr>
              <w:t>'</w:t>
            </w:r>
            <w:r>
              <w:rPr>
                <w:rFonts w:ascii="Times New Roman" w:hAnsi="Times New Roman"/>
              </w:rPr>
              <w:t>ente segnala l</w:t>
            </w:r>
            <w:r w:rsidR="00DD6EF2">
              <w:rPr>
                <w:rFonts w:ascii="Times New Roman" w:hAnsi="Times New Roman"/>
              </w:rPr>
              <w:t>'</w:t>
            </w:r>
            <w:r>
              <w:rPr>
                <w:rFonts w:ascii="Times New Roman" w:hAnsi="Times New Roman"/>
              </w:rPr>
              <w:t>importo assoluto, calcolato conformemente all</w:t>
            </w:r>
            <w:r w:rsidR="00DD6EF2">
              <w:rPr>
                <w:rFonts w:ascii="Times New Roman" w:hAnsi="Times New Roman"/>
              </w:rPr>
              <w:t>'</w:t>
            </w:r>
            <w:r>
              <w:rPr>
                <w:rFonts w:ascii="Times New Roman" w:hAnsi="Times New Roman"/>
              </w:rPr>
              <w:t xml:space="preserve">articolo 325 bis, paragrafo 2, del regolamento (UE) n. 575/2013, che riflette le operazioni in bilancio e fuori bilancio degli enti soggette a rischio di mercato. </w:t>
            </w:r>
          </w:p>
        </w:tc>
      </w:tr>
      <w:tr w:rsidR="00F65FA6" w:rsidRPr="00037E7B" w14:paraId="5EBC2E16" w14:textId="77777777" w:rsidTr="00E02007">
        <w:tc>
          <w:tcPr>
            <w:tcW w:w="1043" w:type="dxa"/>
          </w:tcPr>
          <w:p w14:paraId="25974D86" w14:textId="77777777" w:rsidR="00F65FA6" w:rsidRPr="00037E7B" w:rsidRDefault="00F65FA6" w:rsidP="00DD6EF2">
            <w:pPr>
              <w:pStyle w:val="BodyText"/>
              <w:suppressAutoHyphens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0020 – 0060</w:t>
            </w:r>
          </w:p>
        </w:tc>
        <w:tc>
          <w:tcPr>
            <w:tcW w:w="7973" w:type="dxa"/>
          </w:tcPr>
          <w:p w14:paraId="3885D529" w14:textId="77777777" w:rsidR="00F65FA6" w:rsidRPr="00037E7B" w:rsidRDefault="00F65FA6" w:rsidP="00DD6EF2">
            <w:pPr>
              <w:pStyle w:val="Tabelleninhalt"/>
              <w:suppressAutoHyphens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Disaggregazione per portafoglio regolamentare</w:t>
            </w:r>
          </w:p>
          <w:p w14:paraId="014F6AAD" w14:textId="77777777" w:rsidR="00F65FA6" w:rsidRPr="00037E7B" w:rsidRDefault="00F65FA6" w:rsidP="00DD6EF2">
            <w:pPr>
              <w:pStyle w:val="Tabelleninhalt"/>
              <w:suppressAutoHyphens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Le operazioni in bilancio e fuori bilancio soggette a rischio di mercato sono disaggregate in operazioni riconducibili al portafoglio di negoziazione e operazioni esterne al portafoglio di negoziazione. </w:t>
            </w:r>
          </w:p>
        </w:tc>
      </w:tr>
      <w:tr w:rsidR="00F65FA6" w:rsidRPr="00037E7B" w14:paraId="5E57F79B" w14:textId="77777777" w:rsidTr="00E02007">
        <w:tc>
          <w:tcPr>
            <w:tcW w:w="1043" w:type="dxa"/>
          </w:tcPr>
          <w:p w14:paraId="7440E785" w14:textId="77777777" w:rsidR="00F65FA6" w:rsidRPr="00037E7B" w:rsidRDefault="00F65FA6" w:rsidP="00DD6EF2">
            <w:pPr>
              <w:pStyle w:val="BodyText"/>
              <w:suppressAutoHyphens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0020-0040</w:t>
            </w:r>
          </w:p>
        </w:tc>
        <w:tc>
          <w:tcPr>
            <w:tcW w:w="7973" w:type="dxa"/>
          </w:tcPr>
          <w:p w14:paraId="78FEC356" w14:textId="77777777" w:rsidR="00F65FA6" w:rsidRPr="00037E7B" w:rsidRDefault="00F65FA6" w:rsidP="00DD6EF2">
            <w:pPr>
              <w:pStyle w:val="Tabelleninhalt"/>
              <w:suppressAutoHyphens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Portafoglio di negoziazione</w:t>
            </w:r>
          </w:p>
          <w:p w14:paraId="6098BB58" w14:textId="6443F8F3" w:rsidR="00F65FA6" w:rsidRPr="00037E7B" w:rsidRDefault="00F65FA6" w:rsidP="00DD6EF2">
            <w:pPr>
              <w:pStyle w:val="Tabelleninhalt"/>
              <w:suppressAutoHyphens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Posizioni assegnate al portafoglio di negoziazione incluse nel calcolo dell</w:t>
            </w:r>
            <w:r w:rsidR="00DD6EF2">
              <w:rPr>
                <w:rFonts w:ascii="Times New Roman" w:hAnsi="Times New Roman"/>
              </w:rPr>
              <w:t>'</w:t>
            </w:r>
            <w:r>
              <w:rPr>
                <w:rFonts w:ascii="Times New Roman" w:hAnsi="Times New Roman"/>
              </w:rPr>
              <w:t>articolo 325 bis, paragrafo 2, del regolamento (UE) n. 575/2013.</w:t>
            </w:r>
          </w:p>
        </w:tc>
      </w:tr>
      <w:tr w:rsidR="00F65FA6" w:rsidRPr="00037E7B" w14:paraId="63198C07" w14:textId="77777777" w:rsidTr="00E02007">
        <w:tc>
          <w:tcPr>
            <w:tcW w:w="1043" w:type="dxa"/>
          </w:tcPr>
          <w:p w14:paraId="6FC2F0F0" w14:textId="77777777" w:rsidR="00F65FA6" w:rsidRPr="00037E7B" w:rsidRDefault="00F65FA6" w:rsidP="00DD6EF2">
            <w:pPr>
              <w:pStyle w:val="BodyText"/>
              <w:suppressAutoHyphens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0030 – 0040</w:t>
            </w:r>
          </w:p>
        </w:tc>
        <w:tc>
          <w:tcPr>
            <w:tcW w:w="7973" w:type="dxa"/>
          </w:tcPr>
          <w:p w14:paraId="24A21C27" w14:textId="3B709D7A" w:rsidR="00F65FA6" w:rsidRPr="00037E7B" w:rsidRDefault="00F65FA6" w:rsidP="00DD6EF2">
            <w:pPr>
              <w:pStyle w:val="Tabelleninhalt"/>
              <w:suppressAutoHyphens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di cui: operazioni attinenti al portafoglio di negoziazione ai fini dell</w:t>
            </w:r>
            <w:r w:rsidR="00DD6EF2">
              <w:rPr>
                <w:rFonts w:ascii="Times New Roman" w:hAnsi="Times New Roman"/>
                <w:b/>
                <w:u w:val="single"/>
              </w:rPr>
              <w:t>'</w:t>
            </w:r>
            <w:r>
              <w:rPr>
                <w:rFonts w:ascii="Times New Roman" w:hAnsi="Times New Roman"/>
                <w:b/>
                <w:u w:val="single"/>
              </w:rPr>
              <w:t>articolo 94 del regolamento (UE) n. 575/2013</w:t>
            </w:r>
          </w:p>
          <w:p w14:paraId="7A1ECC78" w14:textId="77777777" w:rsidR="00F65FA6" w:rsidRPr="00037E7B" w:rsidRDefault="00F65FA6" w:rsidP="00DD6EF2">
            <w:pPr>
              <w:pStyle w:val="Tabelleninhalt"/>
              <w:suppressAutoHyphens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Articolo 94, paragrafo 3, del regolamento (UE) n. 575/2013.</w:t>
            </w:r>
          </w:p>
          <w:p w14:paraId="0A9722AA" w14:textId="0D20C26F" w:rsidR="00F65FA6" w:rsidRPr="00037E7B" w:rsidRDefault="00F65FA6" w:rsidP="00DD6EF2">
            <w:pPr>
              <w:pStyle w:val="Tabelleninhalt"/>
              <w:suppressAutoHyphens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Come previsto dall</w:t>
            </w:r>
            <w:r w:rsidR="00DD6EF2">
              <w:rPr>
                <w:rFonts w:ascii="Times New Roman" w:hAnsi="Times New Roman"/>
              </w:rPr>
              <w:t>'</w:t>
            </w:r>
            <w:r>
              <w:rPr>
                <w:rFonts w:ascii="Times New Roman" w:hAnsi="Times New Roman"/>
              </w:rPr>
              <w:t>articolo 94, paragrafo 3, lettera b), del regolamento (UE) n.</w:t>
            </w:r>
            <w:r w:rsidR="00DD6EF2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575/2013, gli enti segnalano i valori di mercato all</w:t>
            </w:r>
            <w:r w:rsidR="00DD6EF2">
              <w:rPr>
                <w:rFonts w:ascii="Times New Roman" w:hAnsi="Times New Roman"/>
              </w:rPr>
              <w:t>'</w:t>
            </w:r>
            <w:r>
              <w:rPr>
                <w:rFonts w:ascii="Times New Roman" w:hAnsi="Times New Roman"/>
              </w:rPr>
              <w:t>ultimo giorno del mese; se</w:t>
            </w:r>
            <w:r w:rsidR="00122480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il valore di mercato non è disponibile, l</w:t>
            </w:r>
            <w:r w:rsidR="00DD6EF2">
              <w:rPr>
                <w:rFonts w:ascii="Times New Roman" w:hAnsi="Times New Roman"/>
              </w:rPr>
              <w:t>'</w:t>
            </w:r>
            <w:r>
              <w:rPr>
                <w:rFonts w:ascii="Times New Roman" w:hAnsi="Times New Roman"/>
              </w:rPr>
              <w:t>ente segnala il valore equo alla stessa data; se né il valore di mercato né il valore equo sono disponibili a tale data, l</w:t>
            </w:r>
            <w:r w:rsidR="00DD6EF2">
              <w:rPr>
                <w:rFonts w:ascii="Times New Roman" w:hAnsi="Times New Roman"/>
              </w:rPr>
              <w:t>'</w:t>
            </w:r>
            <w:r>
              <w:rPr>
                <w:rFonts w:ascii="Times New Roman" w:hAnsi="Times New Roman"/>
              </w:rPr>
              <w:t xml:space="preserve">ente segnala il valore di mercato o il valore equo più recente. </w:t>
            </w:r>
          </w:p>
        </w:tc>
      </w:tr>
      <w:tr w:rsidR="00F65FA6" w:rsidRPr="00037E7B" w14:paraId="1BA6F191" w14:textId="77777777" w:rsidTr="00E02007">
        <w:tc>
          <w:tcPr>
            <w:tcW w:w="1043" w:type="dxa"/>
          </w:tcPr>
          <w:p w14:paraId="661DD231" w14:textId="77777777" w:rsidR="00F65FA6" w:rsidRPr="00037E7B" w:rsidRDefault="00F65FA6" w:rsidP="00DD6EF2">
            <w:pPr>
              <w:pStyle w:val="BodyText"/>
              <w:suppressAutoHyphens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0030</w:t>
            </w:r>
          </w:p>
        </w:tc>
        <w:tc>
          <w:tcPr>
            <w:tcW w:w="7973" w:type="dxa"/>
          </w:tcPr>
          <w:p w14:paraId="21157FFD" w14:textId="77777777" w:rsidR="00F65FA6" w:rsidRPr="00037E7B" w:rsidRDefault="00F65FA6" w:rsidP="00DD6EF2">
            <w:pPr>
              <w:pStyle w:val="Tabelleninhalt"/>
              <w:suppressAutoHyphens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Totale</w:t>
            </w:r>
          </w:p>
          <w:p w14:paraId="50DBCCC0" w14:textId="77777777" w:rsidR="00F65FA6" w:rsidRPr="00037E7B" w:rsidRDefault="00F65FA6" w:rsidP="00DD6EF2">
            <w:pPr>
              <w:pStyle w:val="Tabelleninhalt"/>
              <w:suppressAutoHyphens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Articolo 94, paragrafo 3, del regolamento (UE) n. 575/2013.</w:t>
            </w:r>
          </w:p>
          <w:p w14:paraId="1B4AB24D" w14:textId="423C4EFD" w:rsidR="00F65FA6" w:rsidRPr="00037E7B" w:rsidRDefault="00F65FA6" w:rsidP="00DD6EF2">
            <w:pPr>
              <w:pStyle w:val="Tabelleninhalt"/>
              <w:suppressAutoHyphens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D6EF2">
              <w:rPr>
                <w:rFonts w:ascii="Times New Roman" w:hAnsi="Times New Roman"/>
              </w:rPr>
              <w:t>'</w:t>
            </w:r>
            <w:r>
              <w:rPr>
                <w:rFonts w:ascii="Times New Roman" w:hAnsi="Times New Roman"/>
              </w:rPr>
              <w:t>importo assoluto delle posizioni lunghe è sommato a quello delle posizioni corte, come prescritto dall</w:t>
            </w:r>
            <w:r w:rsidR="00DD6EF2">
              <w:rPr>
                <w:rFonts w:ascii="Times New Roman" w:hAnsi="Times New Roman"/>
              </w:rPr>
              <w:t>'</w:t>
            </w:r>
            <w:r>
              <w:rPr>
                <w:rFonts w:ascii="Times New Roman" w:hAnsi="Times New Roman"/>
              </w:rPr>
              <w:t>articolo 94, paragrafo 3, lettera c), del regolamento (UE) n. 575/2013.</w:t>
            </w:r>
          </w:p>
        </w:tc>
      </w:tr>
      <w:tr w:rsidR="00F65FA6" w:rsidRPr="00037E7B" w14:paraId="39EFF6D7" w14:textId="77777777" w:rsidTr="00E02007">
        <w:tc>
          <w:tcPr>
            <w:tcW w:w="1043" w:type="dxa"/>
          </w:tcPr>
          <w:p w14:paraId="6E8E06FD" w14:textId="77777777" w:rsidR="00F65FA6" w:rsidRPr="00037E7B" w:rsidRDefault="00F65FA6" w:rsidP="00DD6EF2">
            <w:pPr>
              <w:pStyle w:val="BodyText"/>
              <w:suppressAutoHyphens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0040</w:t>
            </w:r>
          </w:p>
        </w:tc>
        <w:tc>
          <w:tcPr>
            <w:tcW w:w="7973" w:type="dxa"/>
          </w:tcPr>
          <w:p w14:paraId="59AF0468" w14:textId="77777777" w:rsidR="00F65FA6" w:rsidRPr="00037E7B" w:rsidRDefault="00F65FA6" w:rsidP="00DD6EF2">
            <w:pPr>
              <w:pStyle w:val="Tabelleninhalt"/>
              <w:suppressAutoHyphens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in % delle attività totali</w:t>
            </w:r>
          </w:p>
          <w:p w14:paraId="2A48E439" w14:textId="77777777" w:rsidR="00F65FA6" w:rsidRPr="00037E7B" w:rsidRDefault="00F65FA6" w:rsidP="00DD6EF2">
            <w:pPr>
              <w:pStyle w:val="Tabelleninhalt"/>
              <w:suppressAutoHyphens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Articolo 94, paragrafo 1, lettera a), del regolamento (UE) n. 575/2013.</w:t>
            </w:r>
          </w:p>
          <w:p w14:paraId="49681B66" w14:textId="6C7D7438" w:rsidR="00F65FA6" w:rsidRPr="00037E7B" w:rsidRDefault="00F65FA6" w:rsidP="00DD6EF2">
            <w:pPr>
              <w:pStyle w:val="Tabelleninhalt"/>
              <w:suppressAutoHyphens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D6EF2">
              <w:rPr>
                <w:rFonts w:ascii="Times New Roman" w:hAnsi="Times New Roman"/>
              </w:rPr>
              <w:t>'</w:t>
            </w:r>
            <w:r>
              <w:rPr>
                <w:rFonts w:ascii="Times New Roman" w:hAnsi="Times New Roman"/>
              </w:rPr>
              <w:t>entità delle operazioni attinenti al portafoglio di negoziazione ai fini dell</w:t>
            </w:r>
            <w:r w:rsidR="00DD6EF2">
              <w:rPr>
                <w:rFonts w:ascii="Times New Roman" w:hAnsi="Times New Roman"/>
              </w:rPr>
              <w:t>'</w:t>
            </w:r>
            <w:r>
              <w:rPr>
                <w:rFonts w:ascii="Times New Roman" w:hAnsi="Times New Roman"/>
              </w:rPr>
              <w:t>articolo 94 del regolamento (UE) n. 575/2013 è espressa in percentuale delle attività totali.</w:t>
            </w:r>
          </w:p>
        </w:tc>
      </w:tr>
      <w:tr w:rsidR="00F65FA6" w:rsidRPr="00037E7B" w14:paraId="2C1E41CE" w14:textId="77777777" w:rsidTr="00E02007">
        <w:tc>
          <w:tcPr>
            <w:tcW w:w="1043" w:type="dxa"/>
          </w:tcPr>
          <w:p w14:paraId="45DD6754" w14:textId="77777777" w:rsidR="00F65FA6" w:rsidRPr="00037E7B" w:rsidRDefault="00F65FA6" w:rsidP="00DD6EF2">
            <w:pPr>
              <w:pStyle w:val="BodyText"/>
              <w:suppressAutoHyphens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0050 – 0060</w:t>
            </w:r>
          </w:p>
        </w:tc>
        <w:tc>
          <w:tcPr>
            <w:tcW w:w="7973" w:type="dxa"/>
          </w:tcPr>
          <w:p w14:paraId="59D1D775" w14:textId="77777777" w:rsidR="00F65FA6" w:rsidRPr="00037E7B" w:rsidRDefault="00F65FA6" w:rsidP="00DD6EF2">
            <w:pPr>
              <w:pStyle w:val="Tabelleninhalt"/>
              <w:suppressAutoHyphens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esterne al portafoglio di negoziazione </w:t>
            </w:r>
          </w:p>
          <w:p w14:paraId="62438A74" w14:textId="7F336714" w:rsidR="00F65FA6" w:rsidRPr="00037E7B" w:rsidRDefault="00F65FA6" w:rsidP="00DD6EF2">
            <w:pPr>
              <w:pStyle w:val="Tabelleninhalt"/>
              <w:suppressAutoHyphens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Posizioni esterne al portafoglio di negoziazione incluse nel calcolo dell</w:t>
            </w:r>
            <w:r w:rsidR="00DD6EF2">
              <w:rPr>
                <w:rFonts w:ascii="Times New Roman" w:hAnsi="Times New Roman"/>
              </w:rPr>
              <w:t>'</w:t>
            </w:r>
            <w:r>
              <w:rPr>
                <w:rFonts w:ascii="Times New Roman" w:hAnsi="Times New Roman"/>
              </w:rPr>
              <w:t>articolo</w:t>
            </w:r>
            <w:r w:rsidR="00DD6EF2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325 bis, paragrafo 2, del regolamento (UE) n. 575/2013.</w:t>
            </w:r>
          </w:p>
          <w:p w14:paraId="54237402" w14:textId="77777777" w:rsidR="00F65FA6" w:rsidRPr="00037E7B" w:rsidRDefault="00F65FA6" w:rsidP="00DD6EF2">
            <w:pPr>
              <w:pStyle w:val="Tabelleninhalt"/>
              <w:suppressAutoHyphens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Gli enti segnalano le posizioni esterne al portafoglio di negoziazione soggette a rischio di mercato disaggregate in posizioni soggette a rischio di cambio e posizioni soggette a rischio di posizione in merci.</w:t>
            </w:r>
          </w:p>
          <w:p w14:paraId="6F2651D5" w14:textId="22F62875" w:rsidR="00F65FA6" w:rsidRPr="00037E7B" w:rsidRDefault="00F65FA6" w:rsidP="00DD6EF2">
            <w:pPr>
              <w:pStyle w:val="Tabelleninhalt"/>
              <w:suppressAutoHyphens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Gli importi pertinenti sono determinati conformemente all</w:t>
            </w:r>
            <w:r w:rsidR="00DD6EF2">
              <w:rPr>
                <w:rFonts w:ascii="Times New Roman" w:hAnsi="Times New Roman"/>
              </w:rPr>
              <w:t>'</w:t>
            </w:r>
            <w:r>
              <w:rPr>
                <w:rFonts w:ascii="Times New Roman" w:hAnsi="Times New Roman"/>
              </w:rPr>
              <w:t xml:space="preserve">articolo 325 bis, paragrafo 2, lettere d) e </w:t>
            </w:r>
            <w:proofErr w:type="spellStart"/>
            <w:r>
              <w:rPr>
                <w:rFonts w:ascii="Times New Roman" w:hAnsi="Times New Roman"/>
              </w:rPr>
              <w:t>e</w:t>
            </w:r>
            <w:proofErr w:type="spellEnd"/>
            <w:r>
              <w:rPr>
                <w:rFonts w:ascii="Times New Roman" w:hAnsi="Times New Roman"/>
              </w:rPr>
              <w:t xml:space="preserve">), del regolamento (UE) n. 575/2013. </w:t>
            </w:r>
          </w:p>
        </w:tc>
      </w:tr>
      <w:tr w:rsidR="00F65FA6" w:rsidRPr="00037E7B" w14:paraId="15FBA6A1" w14:textId="77777777" w:rsidTr="00E02007">
        <w:tc>
          <w:tcPr>
            <w:tcW w:w="1043" w:type="dxa"/>
          </w:tcPr>
          <w:p w14:paraId="1FCF4531" w14:textId="77777777" w:rsidR="00F65FA6" w:rsidRPr="00037E7B" w:rsidRDefault="00F65FA6" w:rsidP="00DD6EF2">
            <w:pPr>
              <w:pStyle w:val="BodyText"/>
              <w:suppressAutoHyphens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0070</w:t>
            </w:r>
          </w:p>
        </w:tc>
        <w:tc>
          <w:tcPr>
            <w:tcW w:w="7973" w:type="dxa"/>
          </w:tcPr>
          <w:p w14:paraId="6D9E3BF8" w14:textId="77777777" w:rsidR="00F65FA6" w:rsidRPr="00037E7B" w:rsidRDefault="00F65FA6" w:rsidP="00DD6EF2">
            <w:pPr>
              <w:pStyle w:val="Tabelleninhalt"/>
              <w:suppressAutoHyphens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in % delle attività totali</w:t>
            </w:r>
          </w:p>
          <w:p w14:paraId="6A6F8AC2" w14:textId="77777777" w:rsidR="00F65FA6" w:rsidRPr="00037E7B" w:rsidRDefault="00F65FA6" w:rsidP="00DD6EF2">
            <w:pPr>
              <w:pStyle w:val="Tabelleninhalt"/>
              <w:suppressAutoHyphens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Articolo 325 bis, paragrafo 1, lettera a), del regolamento (UE) n. 575/2013.</w:t>
            </w:r>
          </w:p>
          <w:p w14:paraId="542B2372" w14:textId="77777777" w:rsidR="00F65FA6" w:rsidRPr="00037E7B" w:rsidRDefault="00F65FA6" w:rsidP="00DD6EF2">
            <w:pPr>
              <w:pStyle w:val="Tabelleninhalt"/>
              <w:suppressAutoHyphens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Le operazioni in bilancio e fuori bilancio soggette a rischio di mercato sono espresse in percentuale delle attività totali.</w:t>
            </w:r>
          </w:p>
        </w:tc>
      </w:tr>
      <w:tr w:rsidR="00F65FA6" w:rsidRPr="00037E7B" w14:paraId="74752559" w14:textId="77777777" w:rsidTr="00E02007">
        <w:tc>
          <w:tcPr>
            <w:tcW w:w="1043" w:type="dxa"/>
          </w:tcPr>
          <w:p w14:paraId="72343CA3" w14:textId="77777777" w:rsidR="00F65FA6" w:rsidRPr="00037E7B" w:rsidRDefault="00F65FA6" w:rsidP="00DD6EF2">
            <w:pPr>
              <w:pStyle w:val="BodyText"/>
              <w:suppressAutoHyphens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0080</w:t>
            </w:r>
          </w:p>
        </w:tc>
        <w:tc>
          <w:tcPr>
            <w:tcW w:w="7973" w:type="dxa"/>
          </w:tcPr>
          <w:p w14:paraId="5907245C" w14:textId="77777777" w:rsidR="00F65FA6" w:rsidRPr="00037E7B" w:rsidRDefault="00F65FA6" w:rsidP="00DD6EF2">
            <w:pPr>
              <w:pStyle w:val="Tabelleninhalt"/>
              <w:suppressAutoHyphens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Attività totali</w:t>
            </w:r>
          </w:p>
          <w:p w14:paraId="020AD40A" w14:textId="77777777" w:rsidR="00F65FA6" w:rsidRPr="00037E7B" w:rsidRDefault="00F65FA6" w:rsidP="00DD6EF2">
            <w:pPr>
              <w:pStyle w:val="Tabelleninhalt"/>
              <w:suppressAutoHyphens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Articolo 94, paragrafo 1, lettera a), e articolo 325 bis, paragrafo 1, lettera a), del regolamento (UE) n. 575/2013.</w:t>
            </w:r>
          </w:p>
        </w:tc>
      </w:tr>
    </w:tbl>
    <w:p w14:paraId="2C563A95" w14:textId="77777777" w:rsidR="00F65FA6" w:rsidRPr="00037E7B" w:rsidRDefault="00F65FA6" w:rsidP="00DD6EF2">
      <w:pPr>
        <w:suppressAutoHyphens/>
        <w:rPr>
          <w:rFonts w:ascii="Times New Roman" w:hAnsi="Times New Roman"/>
          <w:sz w:val="24"/>
        </w:rPr>
      </w:pPr>
    </w:p>
    <w:p w14:paraId="3D64E99A" w14:textId="053F6133" w:rsidR="00AB3069" w:rsidRPr="00037E7B" w:rsidRDefault="003E6AEB" w:rsidP="00DD6EF2">
      <w:pPr>
        <w:pStyle w:val="Instructionsberschrift2"/>
        <w:numPr>
          <w:ilvl w:val="0"/>
          <w:numId w:val="0"/>
        </w:numPr>
        <w:suppressAutoHyphens/>
        <w:ind w:left="357" w:hanging="357"/>
      </w:pPr>
      <w:r>
        <w:rPr>
          <w:rFonts w:ascii="Times New Roman" w:hAnsi="Times New Roman"/>
          <w:sz w:val="24"/>
        </w:rPr>
        <w:t>9.2 Il confine tra portafoglio di negoziazione e non-portafoglio di negoziazione (BOU)</w:t>
      </w:r>
      <w:bookmarkEnd w:id="9"/>
    </w:p>
    <w:p w14:paraId="2D9236ED" w14:textId="27F33E1C" w:rsidR="009B2CA6" w:rsidRPr="00037E7B" w:rsidRDefault="00A5627D" w:rsidP="00DD6EF2">
      <w:pPr>
        <w:pStyle w:val="Instructionsberschrift2"/>
        <w:numPr>
          <w:ilvl w:val="0"/>
          <w:numId w:val="0"/>
        </w:numPr>
        <w:suppressAutoHyphens/>
        <w:ind w:left="357" w:hanging="357"/>
        <w:rPr>
          <w:rFonts w:ascii="Times New Roman" w:hAnsi="Times New Roman" w:cs="Times New Roman"/>
          <w:sz w:val="24"/>
        </w:rPr>
      </w:pPr>
      <w:bookmarkStart w:id="11" w:name="_Toc151714537"/>
      <w:r>
        <w:rPr>
          <w:rFonts w:ascii="Times New Roman" w:hAnsi="Times New Roman"/>
          <w:sz w:val="24"/>
        </w:rPr>
        <w:t>9.2.1</w:t>
      </w:r>
      <w:r>
        <w:tab/>
      </w:r>
      <w:r>
        <w:rPr>
          <w:rFonts w:ascii="Times New Roman" w:hAnsi="Times New Roman"/>
          <w:sz w:val="24"/>
        </w:rPr>
        <w:t>Osservazioni di carattere generale</w:t>
      </w:r>
      <w:bookmarkEnd w:id="11"/>
    </w:p>
    <w:p w14:paraId="5D51F5A4" w14:textId="45D9EE15" w:rsidR="009B2CA6" w:rsidRPr="00037E7B" w:rsidRDefault="000B3833" w:rsidP="00DD6EF2">
      <w:pPr>
        <w:pStyle w:val="InstructionsText2"/>
        <w:numPr>
          <w:ilvl w:val="0"/>
          <w:numId w:val="0"/>
        </w:numPr>
        <w:suppressAutoHyphens/>
      </w:pPr>
      <w:r>
        <w:t>209a. Questo modello è utilizzato per fornire informazioni sulla composizione del portafoglio di negoziazione (BOU1) alla luce delle presunzioni per l</w:t>
      </w:r>
      <w:r w:rsidR="00DD6EF2">
        <w:t>'</w:t>
      </w:r>
      <w:r>
        <w:t>inclusione degli strumenti nei portafogli di cui all</w:t>
      </w:r>
      <w:r w:rsidR="00DD6EF2">
        <w:t>'</w:t>
      </w:r>
      <w:r>
        <w:t xml:space="preserve">articolo 104 del regolamento (UE) n. 575/2013. </w:t>
      </w:r>
    </w:p>
    <w:p w14:paraId="6EE2D450" w14:textId="77777777" w:rsidR="00015197" w:rsidRPr="00037E7B" w:rsidRDefault="00A5627D" w:rsidP="00DD6EF2">
      <w:pPr>
        <w:pStyle w:val="Instructionsberschrift2"/>
        <w:numPr>
          <w:ilvl w:val="0"/>
          <w:numId w:val="0"/>
        </w:numPr>
        <w:suppressAutoHyphens/>
        <w:ind w:left="357" w:hanging="357"/>
        <w:rPr>
          <w:rFonts w:ascii="Times New Roman" w:hAnsi="Times New Roman" w:cs="Times New Roman"/>
          <w:sz w:val="24"/>
        </w:rPr>
      </w:pPr>
      <w:bookmarkStart w:id="12" w:name="_Toc151714538"/>
      <w:r>
        <w:rPr>
          <w:rFonts w:ascii="Times New Roman" w:hAnsi="Times New Roman"/>
          <w:sz w:val="24"/>
        </w:rPr>
        <w:t>9.2.2</w:t>
      </w:r>
      <w:r>
        <w:tab/>
      </w:r>
      <w:r>
        <w:rPr>
          <w:rFonts w:ascii="Times New Roman" w:hAnsi="Times New Roman"/>
          <w:sz w:val="24"/>
        </w:rPr>
        <w:t>C 90.05 - Confine: Portafoglio di negoziazione (BOU1)</w:t>
      </w:r>
      <w:bookmarkEnd w:id="12"/>
    </w:p>
    <w:p w14:paraId="642D4D18" w14:textId="1B329C57" w:rsidR="00015197" w:rsidRPr="00037E7B" w:rsidRDefault="00015197" w:rsidP="00DD6EF2">
      <w:pPr>
        <w:pStyle w:val="Instructionsberschrift2"/>
        <w:numPr>
          <w:ilvl w:val="0"/>
          <w:numId w:val="0"/>
        </w:numPr>
        <w:suppressAutoHyphens/>
        <w:ind w:left="357" w:hanging="357"/>
        <w:rPr>
          <w:rFonts w:ascii="Times New Roman" w:hAnsi="Times New Roman" w:cs="Times New Roman"/>
          <w:sz w:val="24"/>
        </w:rPr>
      </w:pPr>
      <w:bookmarkStart w:id="13" w:name="_Toc151714539"/>
      <w:r>
        <w:rPr>
          <w:rFonts w:ascii="Times New Roman" w:hAnsi="Times New Roman"/>
          <w:sz w:val="24"/>
        </w:rPr>
        <w:t>9.2.2.1 Osservazioni di carattere generale</w:t>
      </w:r>
      <w:bookmarkEnd w:id="13"/>
    </w:p>
    <w:p w14:paraId="4E94C71F" w14:textId="0921B502" w:rsidR="00D87969" w:rsidRPr="00037E7B" w:rsidRDefault="000B3833" w:rsidP="00DD6EF2">
      <w:pPr>
        <w:pStyle w:val="InstructionsText2"/>
        <w:numPr>
          <w:ilvl w:val="0"/>
          <w:numId w:val="0"/>
        </w:numPr>
        <w:suppressAutoHyphens/>
        <w:rPr>
          <w:noProof/>
        </w:rPr>
      </w:pPr>
      <w:r>
        <w:t>209b. Gli enti segnalano in questo modello tutte le posizioni assegnate al portafoglio di negoziazione di cui all</w:t>
      </w:r>
      <w:r w:rsidR="00DD6EF2">
        <w:t>'</w:t>
      </w:r>
      <w:r>
        <w:t>articolo 4, paragrafo 1, punto 85), del regolamento (UE) n. 575/2013, ad</w:t>
      </w:r>
      <w:r w:rsidR="00DD6EF2">
        <w:t> </w:t>
      </w:r>
      <w:r>
        <w:t>eccezione degli strumenti e delle posizioni esclusi dal calcolo della soglia di cui all</w:t>
      </w:r>
      <w:r w:rsidR="00DD6EF2">
        <w:t>'</w:t>
      </w:r>
      <w:r>
        <w:t>articolo</w:t>
      </w:r>
      <w:r w:rsidR="00DD6EF2">
        <w:t> </w:t>
      </w:r>
      <w:r>
        <w:t>325 bis del regolamento (UE) n. 575/2013. 209c. In deroga all</w:t>
      </w:r>
      <w:r w:rsidR="00DD6EF2">
        <w:t>'</w:t>
      </w:r>
      <w:r>
        <w:t>articolo 21, paragrafo</w:t>
      </w:r>
      <w:r w:rsidR="00DD6EF2">
        <w:t> </w:t>
      </w:r>
      <w:r>
        <w:t>1, lettera a), del regolamento (UE) 2021/451, gli enti indicano zero rispettivamente nelle righe 0010 e 0020, colonne 0020 (</w:t>
      </w:r>
      <w:r w:rsidR="00DD6EF2">
        <w:t>"</w:t>
      </w:r>
      <w:r>
        <w:t>Obbligatoriamente nel portafoglio di negoziazione</w:t>
      </w:r>
      <w:r w:rsidR="00DD6EF2">
        <w:t>"</w:t>
      </w:r>
      <w:r>
        <w:t>), 0130 (</w:t>
      </w:r>
      <w:r w:rsidR="00DD6EF2">
        <w:t>"</w:t>
      </w:r>
      <w:r>
        <w:t>Strumenti inclusi nel portafoglio di negoziazione con l</w:t>
      </w:r>
      <w:r w:rsidR="00DD6EF2">
        <w:t>'</w:t>
      </w:r>
      <w:r>
        <w:t>approvazione dell</w:t>
      </w:r>
      <w:r w:rsidR="00DD6EF2">
        <w:t>'</w:t>
      </w:r>
      <w:r>
        <w:t>autorità competente: strumenti in fondi speculativi</w:t>
      </w:r>
      <w:r w:rsidR="00DD6EF2">
        <w:t>"</w:t>
      </w:r>
      <w:r>
        <w:t>) e 0140 (</w:t>
      </w:r>
      <w:r w:rsidR="00DD6EF2">
        <w:t>"</w:t>
      </w:r>
      <w:r>
        <w:t>Altri strumenti</w:t>
      </w:r>
      <w:r w:rsidR="00DD6EF2">
        <w:t>"</w:t>
      </w:r>
      <w:r>
        <w:t>), se il loro portafoglio di negoziazione non include alcuno strumento corrispondente alla descrizione della rispettiva cella.</w:t>
      </w:r>
    </w:p>
    <w:p w14:paraId="032CBDD2" w14:textId="553C54FC" w:rsidR="00056154" w:rsidRPr="00037E7B" w:rsidRDefault="00056154" w:rsidP="00DD6EF2">
      <w:pPr>
        <w:pStyle w:val="InstructionsText2"/>
        <w:numPr>
          <w:ilvl w:val="0"/>
          <w:numId w:val="0"/>
        </w:numPr>
        <w:suppressAutoHyphens/>
        <w:rPr>
          <w:noProof/>
        </w:rPr>
      </w:pPr>
    </w:p>
    <w:p w14:paraId="2C4982B9" w14:textId="526F501C" w:rsidR="009B2CA6" w:rsidRPr="00037E7B" w:rsidRDefault="00015197" w:rsidP="00DD6EF2">
      <w:pPr>
        <w:pStyle w:val="Instructionsberschrift2"/>
        <w:numPr>
          <w:ilvl w:val="0"/>
          <w:numId w:val="0"/>
        </w:numPr>
        <w:suppressAutoHyphens/>
        <w:ind w:left="357" w:hanging="357"/>
        <w:rPr>
          <w:rFonts w:ascii="Times New Roman" w:hAnsi="Times New Roman" w:cs="Times New Roman"/>
          <w:sz w:val="24"/>
        </w:rPr>
      </w:pPr>
      <w:bookmarkStart w:id="14" w:name="_Toc151714540"/>
      <w:r>
        <w:rPr>
          <w:rFonts w:ascii="Times New Roman" w:hAnsi="Times New Roman"/>
          <w:sz w:val="24"/>
        </w:rPr>
        <w:t>9.2.2.2 Istruzioni relative a posizioni specifiche</w:t>
      </w:r>
      <w:bookmarkEnd w:id="14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3"/>
        <w:gridCol w:w="7813"/>
      </w:tblGrid>
      <w:tr w:rsidR="009B2CA6" w:rsidRPr="00037E7B" w14:paraId="15D9E2A5" w14:textId="77777777">
        <w:tc>
          <w:tcPr>
            <w:tcW w:w="1203" w:type="dxa"/>
            <w:shd w:val="clear" w:color="auto" w:fill="BFBFBF" w:themeFill="background1" w:themeFillShade="BF"/>
          </w:tcPr>
          <w:p w14:paraId="1B28CD80" w14:textId="77777777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Colonna</w:t>
            </w:r>
          </w:p>
        </w:tc>
        <w:tc>
          <w:tcPr>
            <w:tcW w:w="7813" w:type="dxa"/>
            <w:shd w:val="clear" w:color="auto" w:fill="BFBFBF" w:themeFill="background1" w:themeFillShade="BF"/>
          </w:tcPr>
          <w:p w14:paraId="07605642" w14:textId="77777777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Riferimenti giuridici e istruzioni</w:t>
            </w:r>
          </w:p>
        </w:tc>
      </w:tr>
      <w:tr w:rsidR="009B2CA6" w:rsidRPr="00037E7B" w14:paraId="55E2B293" w14:textId="77777777">
        <w:trPr>
          <w:trHeight w:val="70"/>
        </w:trPr>
        <w:tc>
          <w:tcPr>
            <w:tcW w:w="1203" w:type="dxa"/>
          </w:tcPr>
          <w:p w14:paraId="62D87E0D" w14:textId="7B0469E1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0010 - 0150</w:t>
            </w:r>
          </w:p>
        </w:tc>
        <w:tc>
          <w:tcPr>
            <w:tcW w:w="7813" w:type="dxa"/>
            <w:vAlign w:val="bottom"/>
          </w:tcPr>
          <w:p w14:paraId="266895B6" w14:textId="33088B00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Portafoglio di negoziazione: Posizioni aggregate: Valore ai fini dell</w:t>
            </w:r>
            <w:r w:rsidR="00DD6EF2">
              <w:rPr>
                <w:rFonts w:ascii="Times New Roman" w:hAnsi="Times New Roman"/>
                <w:b/>
                <w:u w:val="single"/>
              </w:rPr>
              <w:t>'</w:t>
            </w:r>
            <w:r>
              <w:rPr>
                <w:rFonts w:ascii="Times New Roman" w:hAnsi="Times New Roman"/>
                <w:b/>
                <w:u w:val="single"/>
              </w:rPr>
              <w:t>articolo 325 bis del regolamento (UE) n. 575/2013 (valore di mercato netto (+) positivo</w:t>
            </w:r>
            <w:r w:rsidR="00DD6EF2">
              <w:rPr>
                <w:rFonts w:ascii="Times New Roman" w:hAnsi="Times New Roman"/>
                <w:b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u w:val="single"/>
              </w:rPr>
              <w:t>/</w:t>
            </w:r>
            <w:r w:rsidR="00DD6EF2">
              <w:rPr>
                <w:rFonts w:ascii="Times New Roman" w:hAnsi="Times New Roman"/>
                <w:b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u w:val="single"/>
              </w:rPr>
              <w:t>(−) negativo)</w:t>
            </w:r>
          </w:p>
          <w:p w14:paraId="00ABD96B" w14:textId="77777777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Articolo 4, paragrafo 1, punto 86), articolo 104 e articolo 325 bis, paragrafo 2, lettera a), del regolamento (UE) n. 575/2013.</w:t>
            </w:r>
          </w:p>
          <w:p w14:paraId="467A1E21" w14:textId="311C1CEB" w:rsidR="0061609C" w:rsidRPr="00037E7B" w:rsidRDefault="0061609C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lastRenderedPageBreak/>
              <w:t>Gli enti segnalano separatamente le informazioni per le posizioni lunghe aggregate e per le posizioni corte aggregate. Essi determinano il valore della posizione lunga (corta) aggregata conformemente all</w:t>
            </w:r>
            <w:r w:rsidR="00DD6EF2">
              <w:t>'</w:t>
            </w:r>
            <w:r>
              <w:t>articolo 325 bis, paragrafo 2, del regolamento (UE) n. 575/2013, con la seguente deroga: Se il valore della posizione lunga (corta) aggregata corrisponde a un valore di mercato positivo netto, in questo modello è segnalato un valore positivo; se il valore della posizione lunga (corta) aggregata corrisponde a un valore di mercato negativo netto, in questo modello è segnalato un valore negativo.</w:t>
            </w:r>
          </w:p>
        </w:tc>
      </w:tr>
      <w:tr w:rsidR="009B2CA6" w:rsidRPr="00037E7B" w14:paraId="508C4AB7" w14:textId="77777777">
        <w:tc>
          <w:tcPr>
            <w:tcW w:w="1203" w:type="dxa"/>
          </w:tcPr>
          <w:p w14:paraId="502BC619" w14:textId="735ED871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0010</w:t>
            </w:r>
          </w:p>
        </w:tc>
        <w:tc>
          <w:tcPr>
            <w:tcW w:w="7813" w:type="dxa"/>
            <w:vAlign w:val="bottom"/>
          </w:tcPr>
          <w:p w14:paraId="3A5B9DDA" w14:textId="7548675F" w:rsidR="009B2CA6" w:rsidRPr="00037E7B" w:rsidRDefault="0061609C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Posizioni aggregate — di cui: in valuta estera</w:t>
            </w:r>
          </w:p>
          <w:p w14:paraId="67C375D5" w14:textId="58B41269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Gli strumenti sono segnalati in questa colonna se sono denominati in una valuta diversa da quella di segnalazione, se hanno un sottostante denominato in tale valuta o se hanno come sottostante una posizione in valuta estera.</w:t>
            </w:r>
          </w:p>
        </w:tc>
      </w:tr>
      <w:tr w:rsidR="009B2CA6" w:rsidRPr="00037E7B" w14:paraId="03CCA48F" w14:textId="77777777">
        <w:tc>
          <w:tcPr>
            <w:tcW w:w="1203" w:type="dxa"/>
          </w:tcPr>
          <w:p w14:paraId="311B1C42" w14:textId="2702B590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0020 – 0120</w:t>
            </w:r>
          </w:p>
        </w:tc>
        <w:tc>
          <w:tcPr>
            <w:tcW w:w="7813" w:type="dxa"/>
            <w:vAlign w:val="bottom"/>
          </w:tcPr>
          <w:p w14:paraId="7817D847" w14:textId="2DFC160D" w:rsidR="009B2CA6" w:rsidRPr="00037E7B" w:rsidRDefault="0061609C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Posizioni aggregate — Obbligatoriamente nel portafoglio di negoziazione</w:t>
            </w:r>
          </w:p>
          <w:p w14:paraId="45D126DC" w14:textId="42024198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Se uno strumento soddisfa più di una condizione per essere incluso nel portafoglio di negoziazione, gli enti lo segnalano nella colonna che ritengono più appropriata tra le colonne da 0030 a 0120. Gli strumenti classificati come aventi finalità di negoziazione in base alla disciplina contabile sono segnalati nella colonna 0120 solo se non possono essere assegnati a nessuna delle colonne da 0030 a 0110.</w:t>
            </w:r>
          </w:p>
        </w:tc>
      </w:tr>
      <w:tr w:rsidR="009B2CA6" w:rsidRPr="00037E7B" w14:paraId="6AC9BF62" w14:textId="77777777">
        <w:tc>
          <w:tcPr>
            <w:tcW w:w="1203" w:type="dxa"/>
          </w:tcPr>
          <w:p w14:paraId="5CD1C53C" w14:textId="3AE6C82A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0020</w:t>
            </w:r>
          </w:p>
        </w:tc>
        <w:tc>
          <w:tcPr>
            <w:tcW w:w="7813" w:type="dxa"/>
            <w:vAlign w:val="bottom"/>
          </w:tcPr>
          <w:p w14:paraId="76886CFB" w14:textId="77777777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Obbligatoriamente nel portafoglio di negoziazione</w:t>
            </w:r>
          </w:p>
        </w:tc>
      </w:tr>
      <w:tr w:rsidR="009B2CA6" w:rsidRPr="00037E7B" w14:paraId="1DB81A60" w14:textId="77777777">
        <w:tc>
          <w:tcPr>
            <w:tcW w:w="1203" w:type="dxa"/>
          </w:tcPr>
          <w:p w14:paraId="58C00983" w14:textId="4299CC1F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0030</w:t>
            </w:r>
          </w:p>
        </w:tc>
        <w:tc>
          <w:tcPr>
            <w:tcW w:w="7813" w:type="dxa"/>
          </w:tcPr>
          <w:p w14:paraId="5A39CA9E" w14:textId="4E487AE6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Strumenti nell</w:t>
            </w:r>
            <w:r w:rsidR="00DD6EF2">
              <w:rPr>
                <w:rFonts w:ascii="Times New Roman" w:hAnsi="Times New Roman"/>
                <w:b/>
                <w:u w:val="single"/>
              </w:rPr>
              <w:t>'</w:t>
            </w:r>
            <w:r>
              <w:rPr>
                <w:rFonts w:ascii="Times New Roman" w:hAnsi="Times New Roman"/>
                <w:b/>
                <w:u w:val="single"/>
              </w:rPr>
              <w:t>ACTP</w:t>
            </w:r>
          </w:p>
          <w:p w14:paraId="761EFC0B" w14:textId="7792064A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Articolo 104, paragrafo 2, primo comma, lettera a), del regolamento (UE) n.</w:t>
            </w:r>
            <w:r w:rsidR="00DD6EF2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575/2013</w:t>
            </w:r>
          </w:p>
        </w:tc>
      </w:tr>
      <w:tr w:rsidR="009B2CA6" w:rsidRPr="00037E7B" w14:paraId="6F489832" w14:textId="77777777">
        <w:tc>
          <w:tcPr>
            <w:tcW w:w="1203" w:type="dxa"/>
          </w:tcPr>
          <w:p w14:paraId="3AD88966" w14:textId="2138AB70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0040</w:t>
            </w:r>
          </w:p>
        </w:tc>
        <w:tc>
          <w:tcPr>
            <w:tcW w:w="7813" w:type="dxa"/>
          </w:tcPr>
          <w:p w14:paraId="201BF48F" w14:textId="77777777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Strumenti che darebbero luogo a posizioni corte nette creditorie o in strumenti di capitale nel portafoglio bancario</w:t>
            </w:r>
          </w:p>
          <w:p w14:paraId="6B81D801" w14:textId="30382FC6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Articolo 104, paragrafo 2, primo comma, lettera b), del regolamento (UE) n.</w:t>
            </w:r>
            <w:r w:rsidR="00DD6EF2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575/2013</w:t>
            </w:r>
          </w:p>
        </w:tc>
      </w:tr>
      <w:tr w:rsidR="009B2CA6" w:rsidRPr="00037E7B" w14:paraId="2681A203" w14:textId="77777777">
        <w:tc>
          <w:tcPr>
            <w:tcW w:w="1203" w:type="dxa"/>
          </w:tcPr>
          <w:p w14:paraId="4F039D7D" w14:textId="1615A9ED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0050</w:t>
            </w:r>
          </w:p>
        </w:tc>
        <w:tc>
          <w:tcPr>
            <w:tcW w:w="7813" w:type="dxa"/>
          </w:tcPr>
          <w:p w14:paraId="58BDB0D5" w14:textId="77777777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Strumenti derivanti da impegni di sottoscrizione di titoli</w:t>
            </w:r>
          </w:p>
          <w:p w14:paraId="0035AEDA" w14:textId="3155AD4D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Articolo 104, paragrafo 2, primo comma, lettera c), del regolamento (UE) n.</w:t>
            </w:r>
            <w:r w:rsidR="00DD6EF2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575/2013</w:t>
            </w:r>
          </w:p>
        </w:tc>
      </w:tr>
      <w:tr w:rsidR="009B2CA6" w:rsidRPr="00037E7B" w14:paraId="0F150DD0" w14:textId="77777777">
        <w:tc>
          <w:tcPr>
            <w:tcW w:w="1203" w:type="dxa"/>
          </w:tcPr>
          <w:p w14:paraId="56310523" w14:textId="5824B274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0060</w:t>
            </w:r>
          </w:p>
        </w:tc>
        <w:tc>
          <w:tcPr>
            <w:tcW w:w="7813" w:type="dxa"/>
          </w:tcPr>
          <w:p w14:paraId="319EF2D9" w14:textId="77777777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Strumenti derivanti da attività di supporto agli scambi (market making)</w:t>
            </w:r>
          </w:p>
          <w:p w14:paraId="39D72E39" w14:textId="1E25B25D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Articolo 104, paragrafo 2, primo comma, lettera e), del regolamento (UE) n.</w:t>
            </w:r>
            <w:r w:rsidR="00DD6EF2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575/2013</w:t>
            </w:r>
          </w:p>
        </w:tc>
      </w:tr>
      <w:tr w:rsidR="009B2CA6" w:rsidRPr="00037E7B" w14:paraId="3EEE4A44" w14:textId="77777777">
        <w:tc>
          <w:tcPr>
            <w:tcW w:w="1203" w:type="dxa"/>
          </w:tcPr>
          <w:p w14:paraId="35BF9484" w14:textId="12DEDF50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0070</w:t>
            </w:r>
          </w:p>
        </w:tc>
        <w:tc>
          <w:tcPr>
            <w:tcW w:w="7813" w:type="dxa"/>
          </w:tcPr>
          <w:p w14:paraId="11B16F63" w14:textId="77777777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OIC</w:t>
            </w:r>
          </w:p>
          <w:p w14:paraId="5F0ADDDD" w14:textId="36D34B2F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Articolo 104, paragrafo 2, primo comma, lettera f), del regolamento (UE) n.</w:t>
            </w:r>
            <w:r w:rsidR="00DD6EF2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575/2013</w:t>
            </w:r>
          </w:p>
        </w:tc>
      </w:tr>
      <w:tr w:rsidR="009B2CA6" w:rsidRPr="00037E7B" w14:paraId="39B1FCD7" w14:textId="77777777">
        <w:tc>
          <w:tcPr>
            <w:tcW w:w="1203" w:type="dxa"/>
          </w:tcPr>
          <w:p w14:paraId="56A3EA85" w14:textId="5D6B9DAD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0080</w:t>
            </w:r>
          </w:p>
        </w:tc>
        <w:tc>
          <w:tcPr>
            <w:tcW w:w="7813" w:type="dxa"/>
          </w:tcPr>
          <w:p w14:paraId="6968C5A8" w14:textId="77777777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Strumenti di capitale quotati</w:t>
            </w:r>
          </w:p>
          <w:p w14:paraId="7373B9F6" w14:textId="6383E551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Articolo 104, paragrafo 2, primo comma, lettera g), del regolamento (UE) n.</w:t>
            </w:r>
            <w:r w:rsidR="00DD6EF2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575/2013</w:t>
            </w:r>
          </w:p>
        </w:tc>
      </w:tr>
      <w:tr w:rsidR="009B2CA6" w:rsidRPr="00037E7B" w14:paraId="2C868D17" w14:textId="77777777">
        <w:tc>
          <w:tcPr>
            <w:tcW w:w="1203" w:type="dxa"/>
          </w:tcPr>
          <w:p w14:paraId="7C3DA249" w14:textId="2DCB2DC7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0090</w:t>
            </w:r>
          </w:p>
        </w:tc>
        <w:tc>
          <w:tcPr>
            <w:tcW w:w="7813" w:type="dxa"/>
          </w:tcPr>
          <w:p w14:paraId="6387D715" w14:textId="77777777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SFT legate alla negoziazione</w:t>
            </w:r>
          </w:p>
          <w:p w14:paraId="6D53378A" w14:textId="0A1E8CED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Articolo 104, paragrafo 2, primo comma, lettera h), del regolamento (UE) n.</w:t>
            </w:r>
            <w:r w:rsidR="00DD6EF2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575/2013</w:t>
            </w:r>
          </w:p>
        </w:tc>
      </w:tr>
      <w:tr w:rsidR="009B2CA6" w:rsidRPr="00037E7B" w14:paraId="51E19E34" w14:textId="77777777">
        <w:tc>
          <w:tcPr>
            <w:tcW w:w="1203" w:type="dxa"/>
          </w:tcPr>
          <w:p w14:paraId="40DF6AD2" w14:textId="66A7EFB3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0100</w:t>
            </w:r>
          </w:p>
        </w:tc>
        <w:tc>
          <w:tcPr>
            <w:tcW w:w="7813" w:type="dxa"/>
          </w:tcPr>
          <w:p w14:paraId="5611CE5C" w14:textId="7EAE3DFC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Opzioni o altri derivati incorporati nelle passività proprie dell</w:t>
            </w:r>
            <w:r w:rsidR="00DD6EF2">
              <w:rPr>
                <w:rFonts w:ascii="Times New Roman" w:hAnsi="Times New Roman"/>
                <w:b/>
                <w:u w:val="single"/>
              </w:rPr>
              <w:t>'</w:t>
            </w:r>
            <w:r>
              <w:rPr>
                <w:rFonts w:ascii="Times New Roman" w:hAnsi="Times New Roman"/>
                <w:b/>
                <w:u w:val="single"/>
              </w:rPr>
              <w:t>ente (suddivisi)</w:t>
            </w:r>
          </w:p>
          <w:p w14:paraId="0426719F" w14:textId="77777777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Articolo 104, paragrafo 2, primo comma, lettera i), e terzo comma, del regolamento (UE) n. 575/2013</w:t>
            </w:r>
          </w:p>
        </w:tc>
      </w:tr>
      <w:tr w:rsidR="009B2CA6" w:rsidRPr="00037E7B" w14:paraId="0BD2C394" w14:textId="77777777">
        <w:tc>
          <w:tcPr>
            <w:tcW w:w="1203" w:type="dxa"/>
          </w:tcPr>
          <w:p w14:paraId="577F08A1" w14:textId="53A3A002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0110</w:t>
            </w:r>
          </w:p>
        </w:tc>
        <w:tc>
          <w:tcPr>
            <w:tcW w:w="7813" w:type="dxa"/>
          </w:tcPr>
          <w:p w14:paraId="3F7AFD3A" w14:textId="168D8710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Passività proprie dell</w:t>
            </w:r>
            <w:r w:rsidR="00DD6EF2">
              <w:rPr>
                <w:rFonts w:ascii="Times New Roman" w:hAnsi="Times New Roman"/>
                <w:b/>
                <w:u w:val="single"/>
              </w:rPr>
              <w:t>'</w:t>
            </w:r>
            <w:r>
              <w:rPr>
                <w:rFonts w:ascii="Times New Roman" w:hAnsi="Times New Roman"/>
                <w:b/>
                <w:u w:val="single"/>
              </w:rPr>
              <w:t>ente con opzioni o altri derivati incorporati (non</w:t>
            </w:r>
            <w:r w:rsidR="00DD6EF2">
              <w:rPr>
                <w:rFonts w:ascii="Times New Roman" w:hAnsi="Times New Roman"/>
                <w:b/>
                <w:u w:val="single"/>
              </w:rPr>
              <w:t> </w:t>
            </w:r>
            <w:r>
              <w:rPr>
                <w:rFonts w:ascii="Times New Roman" w:hAnsi="Times New Roman"/>
                <w:b/>
                <w:u w:val="single"/>
              </w:rPr>
              <w:t>suddivisi)</w:t>
            </w:r>
          </w:p>
          <w:p w14:paraId="6C5173C2" w14:textId="77777777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Articolo 104, paragrafo 2, primo comma, lettera i), e quarto comma, del regolamento (UE) n. 575/2013</w:t>
            </w:r>
          </w:p>
        </w:tc>
      </w:tr>
      <w:tr w:rsidR="009B2CA6" w:rsidRPr="00037E7B" w14:paraId="5BD829B0" w14:textId="77777777">
        <w:tc>
          <w:tcPr>
            <w:tcW w:w="1203" w:type="dxa"/>
          </w:tcPr>
          <w:p w14:paraId="2FA5C009" w14:textId="473E61D7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0120</w:t>
            </w:r>
          </w:p>
        </w:tc>
        <w:tc>
          <w:tcPr>
            <w:tcW w:w="7813" w:type="dxa"/>
          </w:tcPr>
          <w:p w14:paraId="04C4E6C0" w14:textId="77777777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Strumenti classificati come aventi finalità di negoziazione in base alla disciplina contabile (non inclusi nelle colonne precedenti)</w:t>
            </w:r>
          </w:p>
          <w:p w14:paraId="10D50030" w14:textId="16DD8A86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Articolo 104, paragrafo 2, primo comma, lettera d), del regolamento (UE) n.</w:t>
            </w:r>
            <w:r w:rsidR="00DD6EF2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575/2013</w:t>
            </w:r>
          </w:p>
          <w:p w14:paraId="5674D9E6" w14:textId="3DAB8DFF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Gli strumenti classificati come aventi finalità di negoziazione in base alla disciplina contabile sono segnalati in questa colonna solo se non sono ancora stati segnalati nelle colonne da 0030 a 0110.</w:t>
            </w:r>
          </w:p>
        </w:tc>
      </w:tr>
      <w:tr w:rsidR="009B2CA6" w:rsidRPr="00037E7B" w14:paraId="2E034E64" w14:textId="77777777">
        <w:tc>
          <w:tcPr>
            <w:tcW w:w="1203" w:type="dxa"/>
          </w:tcPr>
          <w:p w14:paraId="0EC43CAD" w14:textId="3F3C4B46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0130 </w:t>
            </w:r>
          </w:p>
        </w:tc>
        <w:tc>
          <w:tcPr>
            <w:tcW w:w="7813" w:type="dxa"/>
          </w:tcPr>
          <w:p w14:paraId="1958765E" w14:textId="5E8E0CBE" w:rsidR="009B2CA6" w:rsidRPr="00037E7B" w:rsidRDefault="0061609C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Posizioni aggregate - Strumenti inclusi nel portafoglio di negoziazione con approvazione dell</w:t>
            </w:r>
            <w:r w:rsidR="00DD6EF2">
              <w:rPr>
                <w:rFonts w:ascii="Times New Roman" w:hAnsi="Times New Roman"/>
                <w:b/>
                <w:u w:val="single"/>
              </w:rPr>
              <w:t>'</w:t>
            </w:r>
            <w:r>
              <w:rPr>
                <w:rFonts w:ascii="Times New Roman" w:hAnsi="Times New Roman"/>
                <w:b/>
                <w:u w:val="single"/>
              </w:rPr>
              <w:t>autorità competente: strumenti in fondi speculativi</w:t>
            </w:r>
          </w:p>
          <w:p w14:paraId="71C1AC7E" w14:textId="77777777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Articolo 104, paragrafo 4 bis, del regolamento (UE) n. 575/2013</w:t>
            </w:r>
          </w:p>
        </w:tc>
      </w:tr>
      <w:tr w:rsidR="009B2CA6" w:rsidRPr="00037E7B" w14:paraId="58C0F140" w14:textId="77777777">
        <w:tc>
          <w:tcPr>
            <w:tcW w:w="1203" w:type="dxa"/>
          </w:tcPr>
          <w:p w14:paraId="4FE32C77" w14:textId="078AEE3E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0140 - 0150</w:t>
            </w:r>
          </w:p>
        </w:tc>
        <w:tc>
          <w:tcPr>
            <w:tcW w:w="7813" w:type="dxa"/>
          </w:tcPr>
          <w:p w14:paraId="592DBEC6" w14:textId="54D13645" w:rsidR="009B2CA6" w:rsidRPr="00037E7B" w:rsidRDefault="0061609C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Posizioni aggregate - Altri strumenti</w:t>
            </w:r>
          </w:p>
          <w:p w14:paraId="4AFCA133" w14:textId="2C10A256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Gli strumenti sono segnalati in questa colonna se sono assegnati al portafoglio di negoziazione a norma dell</w:t>
            </w:r>
            <w:r w:rsidR="00DD6EF2">
              <w:rPr>
                <w:rFonts w:ascii="Times New Roman" w:hAnsi="Times New Roman"/>
              </w:rPr>
              <w:t>'</w:t>
            </w:r>
            <w:r>
              <w:rPr>
                <w:rFonts w:ascii="Times New Roman" w:hAnsi="Times New Roman"/>
              </w:rPr>
              <w:t>articolo 4, paragrafo 1, punto 85), del regolamento (UE) n. 575/2013 e non sono stati segnalati in nessuna delle colonne da 0020 a 0130.</w:t>
            </w:r>
          </w:p>
        </w:tc>
      </w:tr>
      <w:tr w:rsidR="009B2CA6" w:rsidRPr="00037E7B" w14:paraId="2F8F4937" w14:textId="77777777">
        <w:tc>
          <w:tcPr>
            <w:tcW w:w="1203" w:type="dxa"/>
          </w:tcPr>
          <w:p w14:paraId="7CF40847" w14:textId="77E27C63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0140</w:t>
            </w:r>
          </w:p>
        </w:tc>
        <w:tc>
          <w:tcPr>
            <w:tcW w:w="7813" w:type="dxa"/>
          </w:tcPr>
          <w:p w14:paraId="38EE7871" w14:textId="77777777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Altri strumenti</w:t>
            </w:r>
          </w:p>
        </w:tc>
      </w:tr>
      <w:tr w:rsidR="009B2CA6" w:rsidRPr="00037E7B" w14:paraId="64544C3C" w14:textId="77777777">
        <w:tc>
          <w:tcPr>
            <w:tcW w:w="1203" w:type="dxa"/>
          </w:tcPr>
          <w:p w14:paraId="26F8855E" w14:textId="46CAE730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0150</w:t>
            </w:r>
          </w:p>
        </w:tc>
        <w:tc>
          <w:tcPr>
            <w:tcW w:w="7813" w:type="dxa"/>
          </w:tcPr>
          <w:p w14:paraId="27213E71" w14:textId="77777777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Altri strumenti - di cui: strumenti classificati nel portafoglio di negoziazione a causa della mancanza di prove per la classificazione al suo esterno</w:t>
            </w:r>
          </w:p>
          <w:p w14:paraId="41653FFB" w14:textId="77777777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Articolo 104, paragrafo 6, seconda frase, del regolamento (UE) n. 575/2013</w:t>
            </w:r>
          </w:p>
        </w:tc>
      </w:tr>
    </w:tbl>
    <w:p w14:paraId="10FD81A7" w14:textId="77777777" w:rsidR="009B2CA6" w:rsidRPr="00DD6EF2" w:rsidRDefault="009B2CA6" w:rsidP="00DD6EF2">
      <w:pPr>
        <w:pStyle w:val="body"/>
        <w:suppressAutoHyphens/>
        <w:spacing w:before="0" w:after="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3"/>
        <w:gridCol w:w="7813"/>
      </w:tblGrid>
      <w:tr w:rsidR="009B2CA6" w:rsidRPr="00037E7B" w14:paraId="098F6BB4" w14:textId="77777777">
        <w:tc>
          <w:tcPr>
            <w:tcW w:w="1203" w:type="dxa"/>
            <w:shd w:val="clear" w:color="auto" w:fill="BFBFBF" w:themeFill="background1" w:themeFillShade="BF"/>
          </w:tcPr>
          <w:p w14:paraId="68638DB3" w14:textId="77777777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Riga</w:t>
            </w:r>
          </w:p>
        </w:tc>
        <w:tc>
          <w:tcPr>
            <w:tcW w:w="7813" w:type="dxa"/>
            <w:shd w:val="clear" w:color="auto" w:fill="BFBFBF" w:themeFill="background1" w:themeFillShade="BF"/>
          </w:tcPr>
          <w:p w14:paraId="4E400868" w14:textId="77777777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Riferimenti giuridici e istruzioni</w:t>
            </w:r>
          </w:p>
        </w:tc>
      </w:tr>
      <w:tr w:rsidR="009C1D1D" w:rsidRPr="00037E7B" w14:paraId="7134C634" w14:textId="77777777">
        <w:trPr>
          <w:trHeight w:val="70"/>
        </w:trPr>
        <w:tc>
          <w:tcPr>
            <w:tcW w:w="1203" w:type="dxa"/>
          </w:tcPr>
          <w:p w14:paraId="0369C832" w14:textId="5442AEC0" w:rsidR="009C1D1D" w:rsidRPr="00037E7B" w:rsidRDefault="00A17954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0010-0020</w:t>
            </w:r>
          </w:p>
        </w:tc>
        <w:tc>
          <w:tcPr>
            <w:tcW w:w="7813" w:type="dxa"/>
            <w:vAlign w:val="bottom"/>
          </w:tcPr>
          <w:p w14:paraId="0C31E542" w14:textId="04041399" w:rsidR="009C1D1D" w:rsidRPr="00037E7B" w:rsidRDefault="00A17954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Tutti gli strumenti del portafoglio di negoziazione presi in considerazione nella soglia dell</w:t>
            </w:r>
            <w:r w:rsidR="00DD6EF2">
              <w:rPr>
                <w:rFonts w:ascii="Times New Roman" w:hAnsi="Times New Roman"/>
                <w:b/>
                <w:u w:val="single"/>
              </w:rPr>
              <w:t>'</w:t>
            </w:r>
            <w:r>
              <w:rPr>
                <w:rFonts w:ascii="Times New Roman" w:hAnsi="Times New Roman"/>
                <w:b/>
                <w:u w:val="single"/>
              </w:rPr>
              <w:t>articolo 325 bis del regolamento (UE) n. 575/2013</w:t>
            </w:r>
          </w:p>
        </w:tc>
      </w:tr>
      <w:tr w:rsidR="009B2CA6" w:rsidRPr="00037E7B" w14:paraId="225F200D" w14:textId="77777777" w:rsidTr="00723BA8">
        <w:trPr>
          <w:trHeight w:val="70"/>
        </w:trPr>
        <w:tc>
          <w:tcPr>
            <w:tcW w:w="1203" w:type="dxa"/>
          </w:tcPr>
          <w:p w14:paraId="5E239DC6" w14:textId="25A2560E" w:rsidR="009B2CA6" w:rsidRPr="00037E7B" w:rsidRDefault="00A17954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0030-0040</w:t>
            </w:r>
          </w:p>
        </w:tc>
        <w:tc>
          <w:tcPr>
            <w:tcW w:w="7813" w:type="dxa"/>
          </w:tcPr>
          <w:p w14:paraId="63B321D7" w14:textId="77777777" w:rsidR="00A17954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Strumenti il cui principale fattore di rischio è il rischio generico di tasso di interesse o il rischio di differenziali creditizi</w:t>
            </w:r>
          </w:p>
          <w:p w14:paraId="1768966A" w14:textId="77777777" w:rsidR="009B2CA6" w:rsidRPr="00DD6EF2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9B2CA6" w:rsidRPr="00037E7B" w14:paraId="2557F02B" w14:textId="77777777" w:rsidTr="00723BA8">
        <w:trPr>
          <w:trHeight w:val="70"/>
        </w:trPr>
        <w:tc>
          <w:tcPr>
            <w:tcW w:w="1203" w:type="dxa"/>
          </w:tcPr>
          <w:p w14:paraId="365D4766" w14:textId="5FCC0FF4" w:rsidR="009B2CA6" w:rsidRPr="00037E7B" w:rsidRDefault="00A17954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0050-0060</w:t>
            </w:r>
          </w:p>
        </w:tc>
        <w:tc>
          <w:tcPr>
            <w:tcW w:w="7813" w:type="dxa"/>
          </w:tcPr>
          <w:p w14:paraId="3388E222" w14:textId="77777777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Strumenti il cui principale fattore di rischio è il rischio azionario</w:t>
            </w:r>
          </w:p>
        </w:tc>
      </w:tr>
      <w:tr w:rsidR="009B2CA6" w:rsidRPr="00037E7B" w14:paraId="615194B9" w14:textId="77777777" w:rsidTr="00723BA8">
        <w:trPr>
          <w:trHeight w:val="70"/>
        </w:trPr>
        <w:tc>
          <w:tcPr>
            <w:tcW w:w="1203" w:type="dxa"/>
          </w:tcPr>
          <w:p w14:paraId="39A575D7" w14:textId="6612F010" w:rsidR="009B2CA6" w:rsidRPr="00037E7B" w:rsidRDefault="00A17954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0070-0080</w:t>
            </w:r>
          </w:p>
        </w:tc>
        <w:tc>
          <w:tcPr>
            <w:tcW w:w="7813" w:type="dxa"/>
          </w:tcPr>
          <w:p w14:paraId="1BA6993E" w14:textId="77777777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Strumenti il cui principale fattore di rischio è il rischio di cambio</w:t>
            </w:r>
          </w:p>
        </w:tc>
      </w:tr>
      <w:tr w:rsidR="009B2CA6" w:rsidRPr="00037E7B" w14:paraId="6C784F43" w14:textId="77777777" w:rsidTr="00723BA8">
        <w:trPr>
          <w:trHeight w:val="70"/>
        </w:trPr>
        <w:tc>
          <w:tcPr>
            <w:tcW w:w="1203" w:type="dxa"/>
          </w:tcPr>
          <w:p w14:paraId="11C355B3" w14:textId="7F907F02" w:rsidR="009B2CA6" w:rsidRPr="00037E7B" w:rsidRDefault="00A17954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0090-0100</w:t>
            </w:r>
          </w:p>
        </w:tc>
        <w:tc>
          <w:tcPr>
            <w:tcW w:w="7813" w:type="dxa"/>
          </w:tcPr>
          <w:p w14:paraId="0DBB7B5D" w14:textId="77777777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Strumenti il cui principale fattore di rischio è il rischio di posizione in merci</w:t>
            </w:r>
          </w:p>
        </w:tc>
      </w:tr>
      <w:tr w:rsidR="009B2CA6" w:rsidRPr="00037E7B" w14:paraId="621D668A" w14:textId="77777777">
        <w:trPr>
          <w:trHeight w:val="70"/>
        </w:trPr>
        <w:tc>
          <w:tcPr>
            <w:tcW w:w="1203" w:type="dxa"/>
          </w:tcPr>
          <w:p w14:paraId="5E85AB2F" w14:textId="7FA64DA7" w:rsidR="009B2CA6" w:rsidRPr="00037E7B" w:rsidRDefault="00A17954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0110-0120</w:t>
            </w:r>
          </w:p>
        </w:tc>
        <w:tc>
          <w:tcPr>
            <w:tcW w:w="7813" w:type="dxa"/>
            <w:vAlign w:val="bottom"/>
          </w:tcPr>
          <w:p w14:paraId="05743526" w14:textId="39B8C6D0" w:rsidR="00A17954" w:rsidRPr="00037E7B" w:rsidRDefault="00D35757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Altri strumenti del portafoglio di negoziazione, inclusi gli strumenti il cui principale fattore di rischio è il rischio residuo</w:t>
            </w:r>
          </w:p>
          <w:p w14:paraId="49050F01" w14:textId="1AD37619" w:rsidR="009B2CA6" w:rsidRPr="00723BA8" w:rsidRDefault="00D35757" w:rsidP="00DD6EF2">
            <w:pPr>
              <w:pStyle w:val="BodyText"/>
              <w:suppressAutoHyphens/>
              <w:spacing w:before="120" w:after="120"/>
              <w:rPr>
                <w:rFonts w:hint="eastAsia"/>
              </w:rPr>
            </w:pPr>
            <w:r>
              <w:t>Gli enti segnalano in queste righe gli strumenti assegnati al portafoglio di negoziazione il cui principale fattore di rischio non è uno dei fattori di rischio di cui alle righe da 0030 a 0100. Queste righe comprendono almeno gli strumenti il cui principale fattore di rischio è costituito da rischi residui.</w:t>
            </w:r>
          </w:p>
        </w:tc>
      </w:tr>
      <w:tr w:rsidR="009B2CA6" w:rsidRPr="00037E7B" w14:paraId="461D04B3" w14:textId="77777777">
        <w:trPr>
          <w:trHeight w:val="70"/>
        </w:trPr>
        <w:tc>
          <w:tcPr>
            <w:tcW w:w="1203" w:type="dxa"/>
          </w:tcPr>
          <w:p w14:paraId="1CF3996C" w14:textId="0F9E87BA" w:rsidR="009B2CA6" w:rsidRPr="00037E7B" w:rsidRDefault="00546B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0130-0140</w:t>
            </w:r>
          </w:p>
        </w:tc>
        <w:tc>
          <w:tcPr>
            <w:tcW w:w="7813" w:type="dxa"/>
            <w:vAlign w:val="bottom"/>
          </w:tcPr>
          <w:p w14:paraId="48517D2E" w14:textId="77777777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Voce per memoria: strumenti classificati come aventi finalità di negoziazione in base alla disciplina contabile</w:t>
            </w:r>
          </w:p>
          <w:p w14:paraId="3A1B5873" w14:textId="4FE2EB25" w:rsidR="009B2CA6" w:rsidRPr="00037E7B" w:rsidRDefault="009B2C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Articolo 104, paragrafo 2, primo comma, lettera d), del regolamento (UE) n.</w:t>
            </w:r>
            <w:r w:rsidR="00DD6EF2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575/2013</w:t>
            </w:r>
          </w:p>
        </w:tc>
      </w:tr>
    </w:tbl>
    <w:p w14:paraId="59860518" w14:textId="5FCC674D" w:rsidR="00AB3069" w:rsidRPr="00037E7B" w:rsidRDefault="00201582" w:rsidP="00DD6EF2">
      <w:pPr>
        <w:pStyle w:val="Instructionsberschrift2"/>
        <w:numPr>
          <w:ilvl w:val="0"/>
          <w:numId w:val="0"/>
        </w:numPr>
        <w:suppressAutoHyphens/>
        <w:ind w:left="357" w:hanging="357"/>
      </w:pPr>
      <w:bookmarkStart w:id="15" w:name="_Toc151714544"/>
      <w:r>
        <w:rPr>
          <w:rFonts w:ascii="Times New Roman" w:hAnsi="Times New Roman"/>
          <w:sz w:val="24"/>
        </w:rPr>
        <w:t>9.3 C 24.01 - Confine del portafoglio di negoziazione - riclassificazioni tra i portafogli (MOV)</w:t>
      </w:r>
      <w:bookmarkEnd w:id="15"/>
    </w:p>
    <w:p w14:paraId="36E171AE" w14:textId="77777777" w:rsidR="00F65FA6" w:rsidRPr="00037E7B" w:rsidRDefault="00F65FA6" w:rsidP="00DD6EF2">
      <w:pPr>
        <w:pStyle w:val="Instructionsberschrift2"/>
        <w:numPr>
          <w:ilvl w:val="0"/>
          <w:numId w:val="0"/>
        </w:numPr>
        <w:suppressAutoHyphens/>
        <w:ind w:left="357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9.3.1</w:t>
      </w:r>
      <w:r w:rsidRPr="00DD6EF2">
        <w:rPr>
          <w:u w:val="none"/>
        </w:rPr>
        <w:tab/>
      </w:r>
      <w:r>
        <w:rPr>
          <w:rFonts w:ascii="Times New Roman" w:hAnsi="Times New Roman"/>
          <w:sz w:val="24"/>
          <w:u w:val="none"/>
        </w:rPr>
        <w:t>Osservazioni di carattere generale</w:t>
      </w:r>
    </w:p>
    <w:p w14:paraId="01D302B5" w14:textId="43EB5C50" w:rsidR="00F65FA6" w:rsidRPr="00037E7B" w:rsidRDefault="00F65FA6" w:rsidP="00DD6EF2">
      <w:pPr>
        <w:pStyle w:val="InstructionsText2"/>
        <w:numPr>
          <w:ilvl w:val="0"/>
          <w:numId w:val="61"/>
        </w:numPr>
        <w:suppressAutoHyphens/>
        <w:spacing w:line="259" w:lineRule="auto"/>
      </w:pPr>
      <w:r>
        <w:t>Questo modello è utilizzato per fornire informazioni sulle riclassificazioni delle posizioni a norma dell</w:t>
      </w:r>
      <w:r w:rsidR="00DD6EF2">
        <w:t>'</w:t>
      </w:r>
      <w:r>
        <w:t xml:space="preserve">articolo 104 bis del regolamento (UE) n. 575/2013. </w:t>
      </w:r>
    </w:p>
    <w:p w14:paraId="171B977F" w14:textId="77777777" w:rsidR="00F65FA6" w:rsidRPr="00037E7B" w:rsidRDefault="00F65FA6" w:rsidP="00DD6EF2">
      <w:pPr>
        <w:pStyle w:val="InstructionsText2"/>
        <w:numPr>
          <w:ilvl w:val="0"/>
          <w:numId w:val="61"/>
        </w:numPr>
        <w:suppressAutoHyphens/>
        <w:spacing w:line="259" w:lineRule="auto"/>
      </w:pPr>
      <w:r>
        <w:t>Le riclassificazioni sono segnalate in questo modello solo nei due casi seguenti:</w:t>
      </w:r>
    </w:p>
    <w:p w14:paraId="188FB065" w14:textId="2B236F71" w:rsidR="00F65FA6" w:rsidRPr="00037E7B" w:rsidRDefault="00F65FA6" w:rsidP="00DD6EF2">
      <w:pPr>
        <w:pStyle w:val="InstructionsText2"/>
        <w:numPr>
          <w:ilvl w:val="1"/>
          <w:numId w:val="61"/>
        </w:numPr>
        <w:suppressAutoHyphens/>
        <w:spacing w:line="259" w:lineRule="auto"/>
      </w:pPr>
      <w:r>
        <w:t>se l</w:t>
      </w:r>
      <w:r w:rsidR="00DD6EF2">
        <w:t>'</w:t>
      </w:r>
      <w:r>
        <w:t>autorità competente ha concesso l</w:t>
      </w:r>
      <w:r w:rsidR="00DD6EF2">
        <w:t>'</w:t>
      </w:r>
      <w:r>
        <w:t>autorizzazione a riclassificare una posizione del portafoglio di negoziazione come posizione esterna al portafoglio di negoziazione o viceversa;</w:t>
      </w:r>
    </w:p>
    <w:p w14:paraId="5B6EC138" w14:textId="7110922C" w:rsidR="00F65FA6" w:rsidRPr="00037E7B" w:rsidRDefault="00F65FA6" w:rsidP="00DD6EF2">
      <w:pPr>
        <w:pStyle w:val="InstructionsText2"/>
        <w:numPr>
          <w:ilvl w:val="1"/>
          <w:numId w:val="61"/>
        </w:numPr>
        <w:suppressAutoHyphens/>
        <w:spacing w:line="259" w:lineRule="auto"/>
      </w:pPr>
      <w:r>
        <w:t>se la riclassificazione soddisfa le condizioni di cui all</w:t>
      </w:r>
      <w:r w:rsidR="00DD6EF2">
        <w:t>'</w:t>
      </w:r>
      <w:r>
        <w:t>articolo 104 bis, paragrafo 6, del regolamento (UE) n. 575/2013 e può essere effettuata senza l</w:t>
      </w:r>
      <w:r w:rsidR="00DD6EF2">
        <w:t>'</w:t>
      </w:r>
      <w:r>
        <w:t>autorizzazione esplicita dell</w:t>
      </w:r>
      <w:r w:rsidR="00DD6EF2">
        <w:t>'</w:t>
      </w:r>
      <w:r>
        <w:t>autorità competente.</w:t>
      </w:r>
    </w:p>
    <w:p w14:paraId="42F779D4" w14:textId="77777777" w:rsidR="00F65FA6" w:rsidRPr="00037E7B" w:rsidRDefault="00F65FA6" w:rsidP="00DD6EF2">
      <w:pPr>
        <w:pStyle w:val="InstructionsText2"/>
        <w:numPr>
          <w:ilvl w:val="0"/>
          <w:numId w:val="61"/>
        </w:numPr>
        <w:suppressAutoHyphens/>
        <w:spacing w:line="259" w:lineRule="auto"/>
      </w:pPr>
      <w:r>
        <w:lastRenderedPageBreak/>
        <w:t>Nel modello sono segnalati i seguenti strumenti riclassificati:</w:t>
      </w:r>
    </w:p>
    <w:p w14:paraId="2B0996DA" w14:textId="4492AB9E" w:rsidR="00F65FA6" w:rsidRPr="00037E7B" w:rsidRDefault="00F65FA6" w:rsidP="00DD6EF2">
      <w:pPr>
        <w:pStyle w:val="InstructionsText2"/>
        <w:numPr>
          <w:ilvl w:val="1"/>
          <w:numId w:val="61"/>
        </w:numPr>
        <w:suppressAutoHyphens/>
        <w:spacing w:line="259" w:lineRule="auto"/>
      </w:pPr>
      <w:r>
        <w:t>strumenti riclassificati nel corso del trimestre cui si riferisce la segnalazione. Tutti gli strumenti riclassificati nel corso del trimestre sono segnalati nel modello, indipendentemente dal fatto che la riclassificazione comporti o meno una riduzione dei requisiti di fondi propri. Uno</w:t>
      </w:r>
      <w:r w:rsidR="00DD6EF2">
        <w:t> </w:t>
      </w:r>
      <w:r>
        <w:t>strumento riclassificato durante il trimestre deve essere segnalato anche se lo strumento è stato eliminato contabilmente o è giunto a scadenza tra la data della riclassificazione e la data di riferimento della segnalazione;</w:t>
      </w:r>
    </w:p>
    <w:p w14:paraId="29ED050F" w14:textId="465022A2" w:rsidR="00F65FA6" w:rsidRPr="00037E7B" w:rsidRDefault="00F65FA6" w:rsidP="00DD6EF2">
      <w:pPr>
        <w:pStyle w:val="InstructionsText2"/>
        <w:numPr>
          <w:ilvl w:val="1"/>
          <w:numId w:val="61"/>
        </w:numPr>
        <w:suppressAutoHyphens/>
        <w:spacing w:line="259" w:lineRule="auto"/>
      </w:pPr>
      <w:r>
        <w:t>strumenti riclassificati in periodi di riferimento precedenti che, alla data di riferimento della segnalazione, continuano ad essere soggetti a un requisito di fondi propri conformemente all</w:t>
      </w:r>
      <w:r w:rsidR="00DD6EF2">
        <w:t>'</w:t>
      </w:r>
      <w:r>
        <w:t xml:space="preserve">articolo 104 bis, paragrafo 3, lettera b), del regolamento (UE) n. 575/2013; </w:t>
      </w:r>
    </w:p>
    <w:p w14:paraId="04E7DE74" w14:textId="1FF18239" w:rsidR="00F65FA6" w:rsidRPr="00037E7B" w:rsidRDefault="00F65FA6" w:rsidP="00DD6EF2">
      <w:pPr>
        <w:pStyle w:val="InstructionsText2"/>
        <w:numPr>
          <w:ilvl w:val="1"/>
          <w:numId w:val="61"/>
        </w:numPr>
        <w:suppressAutoHyphens/>
        <w:spacing w:line="259" w:lineRule="auto"/>
      </w:pPr>
      <w:r>
        <w:t>strumenti riclassificati in periodi di riferimento precedenti ai quali è stato applicato un requisito di fondi propri conformemente all</w:t>
      </w:r>
      <w:r w:rsidR="00DD6EF2">
        <w:t>'</w:t>
      </w:r>
      <w:r>
        <w:t>articolo 104 bis, paragrafo 3, lettera b), del regolamento (UE) n. 575/2013 alla data di riferimento precedente, se la decisione dell</w:t>
      </w:r>
      <w:r w:rsidR="00DD6EF2">
        <w:t>'</w:t>
      </w:r>
      <w:r>
        <w:t>autorità competente di consentire il riconoscimento della riduzione dei requisiti di fondi propri acquisisce effetto nel corso del trimestre cui si riferisce la segnalazione.</w:t>
      </w:r>
    </w:p>
    <w:p w14:paraId="4E4DBEFD" w14:textId="77777777" w:rsidR="00F65FA6" w:rsidRPr="00037E7B" w:rsidRDefault="00F65FA6" w:rsidP="00DD6EF2">
      <w:pPr>
        <w:pStyle w:val="InstructionsText2"/>
        <w:numPr>
          <w:ilvl w:val="0"/>
          <w:numId w:val="61"/>
        </w:numPr>
        <w:suppressAutoHyphens/>
        <w:spacing w:line="259" w:lineRule="auto"/>
      </w:pPr>
      <w:r>
        <w:t>Gli enti segnalano le informazioni sulla riclassificazione separatamente per ciascuno strumento riclassificato.</w:t>
      </w:r>
    </w:p>
    <w:p w14:paraId="17A4C841" w14:textId="789594DF" w:rsidR="00F65FA6" w:rsidRPr="00037E7B" w:rsidDel="00BC604C" w:rsidRDefault="00F65FA6" w:rsidP="00DD6EF2">
      <w:pPr>
        <w:pStyle w:val="InstructionsText2"/>
        <w:numPr>
          <w:ilvl w:val="0"/>
          <w:numId w:val="61"/>
        </w:numPr>
        <w:suppressAutoHyphens/>
        <w:spacing w:line="259" w:lineRule="auto"/>
      </w:pPr>
      <w:r>
        <w:t xml:space="preserve">Il campo </w:t>
      </w:r>
      <w:r w:rsidR="00DD6EF2">
        <w:t>"</w:t>
      </w:r>
      <w:r>
        <w:t>gruppo di compensazione</w:t>
      </w:r>
      <w:r w:rsidR="00DD6EF2">
        <w:t>"</w:t>
      </w:r>
      <w:r>
        <w:t xml:space="preserve"> è utilizzato per indicare il gruppo di compensazione che comprende l</w:t>
      </w:r>
      <w:r w:rsidR="00DD6EF2">
        <w:t>'</w:t>
      </w:r>
      <w:r>
        <w:t xml:space="preserve">entità che deteneva la posizione alla data di riferimento o alla data di scadenza o di eliminazione contabile, a seconda dei casi. </w:t>
      </w:r>
    </w:p>
    <w:p w14:paraId="27A31F03" w14:textId="77777777" w:rsidR="00F65FA6" w:rsidRPr="00037E7B" w:rsidRDefault="00F65FA6" w:rsidP="00DD6EF2">
      <w:pPr>
        <w:pStyle w:val="Instructionsberschrift2"/>
        <w:numPr>
          <w:ilvl w:val="0"/>
          <w:numId w:val="0"/>
        </w:numPr>
        <w:suppressAutoHyphens/>
        <w:spacing w:after="280"/>
        <w:ind w:left="357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9.3.2</w:t>
      </w:r>
      <w:r w:rsidRPr="00DD6EF2">
        <w:rPr>
          <w:u w:val="none"/>
        </w:rPr>
        <w:tab/>
      </w:r>
      <w:r>
        <w:rPr>
          <w:rFonts w:ascii="Times New Roman" w:hAnsi="Times New Roman"/>
          <w:sz w:val="24"/>
          <w:u w:val="none"/>
        </w:rPr>
        <w:t>Istruzioni relative a posizioni specifiche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3"/>
        <w:gridCol w:w="7813"/>
      </w:tblGrid>
      <w:tr w:rsidR="00F65FA6" w:rsidRPr="00037E7B" w14:paraId="4E787111" w14:textId="77777777" w:rsidTr="00E02007">
        <w:tc>
          <w:tcPr>
            <w:tcW w:w="1203" w:type="dxa"/>
            <w:shd w:val="clear" w:color="auto" w:fill="BFBFBF" w:themeFill="background1" w:themeFillShade="BF"/>
          </w:tcPr>
          <w:p w14:paraId="37E96ED0" w14:textId="77777777" w:rsidR="00F65FA6" w:rsidRPr="00037E7B" w:rsidRDefault="00F65F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Colonna</w:t>
            </w:r>
          </w:p>
        </w:tc>
        <w:tc>
          <w:tcPr>
            <w:tcW w:w="7813" w:type="dxa"/>
            <w:shd w:val="clear" w:color="auto" w:fill="BFBFBF" w:themeFill="background1" w:themeFillShade="BF"/>
          </w:tcPr>
          <w:p w14:paraId="114CE84C" w14:textId="77777777" w:rsidR="00F65FA6" w:rsidRPr="00037E7B" w:rsidRDefault="00F65FA6" w:rsidP="00DD6EF2">
            <w:pPr>
              <w:pStyle w:val="BodyText"/>
              <w:suppressAutoHyphens/>
              <w:spacing w:before="120" w:after="20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Riferimenti giuridici e istruzioni</w:t>
            </w:r>
          </w:p>
        </w:tc>
      </w:tr>
      <w:tr w:rsidR="00F65FA6" w:rsidRPr="00037E7B" w14:paraId="7804A6AA" w14:textId="77777777" w:rsidTr="00E02007">
        <w:trPr>
          <w:trHeight w:val="1408"/>
        </w:trPr>
        <w:tc>
          <w:tcPr>
            <w:tcW w:w="1203" w:type="dxa"/>
          </w:tcPr>
          <w:p w14:paraId="7D96819F" w14:textId="77777777" w:rsidR="00F65FA6" w:rsidRPr="00037E7B" w:rsidRDefault="00F65F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0010</w:t>
            </w:r>
          </w:p>
        </w:tc>
        <w:tc>
          <w:tcPr>
            <w:tcW w:w="7813" w:type="dxa"/>
            <w:vAlign w:val="bottom"/>
          </w:tcPr>
          <w:p w14:paraId="11F7B8E9" w14:textId="77777777" w:rsidR="00F65FA6" w:rsidRPr="00037E7B" w:rsidRDefault="00F65FA6" w:rsidP="00DD6EF2">
            <w:pPr>
              <w:pStyle w:val="BodyText"/>
              <w:suppressAutoHyphens/>
              <w:spacing w:before="120" w:after="16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ID di riclassificazione</w:t>
            </w:r>
          </w:p>
          <w:p w14:paraId="677D77C4" w14:textId="77777777" w:rsidR="00F65FA6" w:rsidRPr="00037E7B" w:rsidRDefault="00F65FA6" w:rsidP="00DD6EF2">
            <w:pPr>
              <w:pStyle w:val="BodyText"/>
              <w:suppressAutoHyphens/>
              <w:spacing w:before="12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Codice interno (alfanumerico) utilizzato dal soggetto segnalante per identificare lo strumento riclassificato o la riclassificazione, a seconda dei casi.</w:t>
            </w:r>
          </w:p>
          <w:p w14:paraId="53689216" w14:textId="6715FC50" w:rsidR="00F65FA6" w:rsidRPr="00037E7B" w:rsidRDefault="00F65FA6" w:rsidP="00DD6EF2">
            <w:pPr>
              <w:pStyle w:val="BodyText"/>
              <w:suppressAutoHyphens/>
              <w:spacing w:before="12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Ogni riclassificazione deve essere associata a un diverso ID di riclassificazione. L</w:t>
            </w:r>
            <w:r w:rsidR="00DD6EF2">
              <w:rPr>
                <w:rFonts w:ascii="Times New Roman" w:hAnsi="Times New Roman"/>
              </w:rPr>
              <w:t>'</w:t>
            </w:r>
            <w:r>
              <w:rPr>
                <w:rFonts w:ascii="Times New Roman" w:hAnsi="Times New Roman"/>
              </w:rPr>
              <w:t>ID della riclassificazione assegnato a una data riclassificazione è unico e utilizzato in modo coerente nel tempo e in tutte le segnalazioni.</w:t>
            </w:r>
          </w:p>
          <w:p w14:paraId="6DB947CE" w14:textId="77777777" w:rsidR="00F65FA6" w:rsidRPr="00037E7B" w:rsidRDefault="00F65FA6" w:rsidP="00DD6EF2">
            <w:pPr>
              <w:pStyle w:val="BodyText"/>
              <w:suppressAutoHyphens/>
              <w:spacing w:before="120" w:after="24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Si tratta di un identificatore di riga che deve essere unico per ciascuna riga del modello.</w:t>
            </w:r>
          </w:p>
        </w:tc>
      </w:tr>
      <w:tr w:rsidR="00F65FA6" w:rsidRPr="00037E7B" w14:paraId="59ECF46A" w14:textId="77777777" w:rsidTr="00E02007">
        <w:tc>
          <w:tcPr>
            <w:tcW w:w="1203" w:type="dxa"/>
          </w:tcPr>
          <w:p w14:paraId="657AB946" w14:textId="77777777" w:rsidR="00F65FA6" w:rsidRPr="00037E7B" w:rsidRDefault="00F65F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0020</w:t>
            </w:r>
          </w:p>
        </w:tc>
        <w:tc>
          <w:tcPr>
            <w:tcW w:w="7813" w:type="dxa"/>
            <w:vAlign w:val="bottom"/>
          </w:tcPr>
          <w:p w14:paraId="30229377" w14:textId="77777777" w:rsidR="00F65FA6" w:rsidRPr="00037E7B" w:rsidRDefault="00F65FA6" w:rsidP="00DD6EF2">
            <w:pPr>
              <w:pStyle w:val="BodyText"/>
              <w:suppressAutoHyphens/>
              <w:spacing w:before="160" w:after="20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Tipo di strumento</w:t>
            </w:r>
          </w:p>
          <w:p w14:paraId="397FF853" w14:textId="77777777" w:rsidR="00F65FA6" w:rsidRPr="00037E7B" w:rsidRDefault="00F65F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Breve descrizione dello strumento riclassificato, che consenta di comprendere la natura e le principali caratteristiche dello strumento riclassificato. </w:t>
            </w:r>
          </w:p>
          <w:p w14:paraId="7D66558D" w14:textId="5672799C" w:rsidR="00F65FA6" w:rsidRPr="00037E7B" w:rsidRDefault="00F65F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Se lo strumento riclassificato ha un numero internazionale di identificazione dei titoli (</w:t>
            </w:r>
            <w:r w:rsidR="00DD6EF2">
              <w:rPr>
                <w:rFonts w:ascii="Times New Roman" w:hAnsi="Times New Roman"/>
              </w:rPr>
              <w:t>"</w:t>
            </w:r>
            <w:r>
              <w:rPr>
                <w:rFonts w:ascii="Times New Roman" w:hAnsi="Times New Roman"/>
              </w:rPr>
              <w:t>ISIN</w:t>
            </w:r>
            <w:r w:rsidR="00DD6EF2">
              <w:rPr>
                <w:rFonts w:ascii="Times New Roman" w:hAnsi="Times New Roman"/>
              </w:rPr>
              <w:t>"</w:t>
            </w:r>
            <w:r>
              <w:rPr>
                <w:rFonts w:ascii="Times New Roman" w:hAnsi="Times New Roman"/>
              </w:rPr>
              <w:t>), l</w:t>
            </w:r>
            <w:r w:rsidR="00DD6EF2">
              <w:rPr>
                <w:rFonts w:ascii="Times New Roman" w:hAnsi="Times New Roman"/>
              </w:rPr>
              <w:t>'</w:t>
            </w:r>
            <w:r>
              <w:rPr>
                <w:rFonts w:ascii="Times New Roman" w:hAnsi="Times New Roman"/>
              </w:rPr>
              <w:t xml:space="preserve">ISIN è incluso nella descrizione, oltre alle caratteristiche principali dello strumento. </w:t>
            </w:r>
          </w:p>
        </w:tc>
      </w:tr>
      <w:tr w:rsidR="00F65FA6" w:rsidRPr="00037E7B" w14:paraId="4307D827" w14:textId="77777777" w:rsidTr="00E02007">
        <w:tc>
          <w:tcPr>
            <w:tcW w:w="1203" w:type="dxa"/>
          </w:tcPr>
          <w:p w14:paraId="72695973" w14:textId="77777777" w:rsidR="00F65FA6" w:rsidRPr="00037E7B" w:rsidRDefault="00F65F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0030</w:t>
            </w:r>
          </w:p>
        </w:tc>
        <w:tc>
          <w:tcPr>
            <w:tcW w:w="7813" w:type="dxa"/>
            <w:vAlign w:val="bottom"/>
          </w:tcPr>
          <w:p w14:paraId="4E9993E7" w14:textId="77777777" w:rsidR="00F65FA6" w:rsidRPr="00037E7B" w:rsidRDefault="00F65F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Portafoglio regolamentare dal quale lo strumento è stato riclassificato</w:t>
            </w:r>
          </w:p>
          <w:p w14:paraId="74CBD9F5" w14:textId="77777777" w:rsidR="00F65FA6" w:rsidRPr="00037E7B" w:rsidRDefault="00F65F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Deve essere indicata una delle due opzioni seguenti:</w:t>
            </w:r>
          </w:p>
          <w:p w14:paraId="4B75926D" w14:textId="77777777" w:rsidR="00F65FA6" w:rsidRPr="00037E7B" w:rsidRDefault="00F65FA6" w:rsidP="00DD6EF2">
            <w:pPr>
              <w:pStyle w:val="BodyText"/>
              <w:numPr>
                <w:ilvl w:val="0"/>
                <w:numId w:val="60"/>
              </w:numPr>
              <w:suppressAutoHyphens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Portafoglio di negoziazione</w:t>
            </w:r>
            <w:r>
              <w:t xml:space="preserve"> </w:t>
            </w:r>
            <w:r>
              <w:br/>
            </w:r>
            <w:r>
              <w:rPr>
                <w:rFonts w:ascii="Times New Roman" w:hAnsi="Times New Roman"/>
              </w:rPr>
              <w:t>Articolo 4, paragrafo 1, punto 86), del regolamento (UE) n. 575/2013</w:t>
            </w:r>
          </w:p>
          <w:p w14:paraId="787F3457" w14:textId="77777777" w:rsidR="00F65FA6" w:rsidRPr="00037E7B" w:rsidRDefault="00F65FA6" w:rsidP="00DD6EF2">
            <w:pPr>
              <w:pStyle w:val="BodyText"/>
              <w:numPr>
                <w:ilvl w:val="0"/>
                <w:numId w:val="60"/>
              </w:numPr>
              <w:suppressAutoHyphens/>
              <w:spacing w:before="120" w:after="120" w:line="240" w:lineRule="auto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Portafoglio bancario</w:t>
            </w:r>
            <w:r>
              <w:t xml:space="preserve"> </w:t>
            </w:r>
            <w:r>
              <w:br/>
            </w:r>
            <w:r>
              <w:rPr>
                <w:rFonts w:ascii="Times New Roman" w:hAnsi="Times New Roman"/>
              </w:rPr>
              <w:t>Comprende tutte le posizioni non incluse nel portafoglio di negoziazione.</w:t>
            </w:r>
          </w:p>
        </w:tc>
      </w:tr>
      <w:tr w:rsidR="00F65FA6" w:rsidRPr="00037E7B" w14:paraId="47BC0AA3" w14:textId="77777777" w:rsidTr="00E02007">
        <w:tc>
          <w:tcPr>
            <w:tcW w:w="1203" w:type="dxa"/>
          </w:tcPr>
          <w:p w14:paraId="1EFC3566" w14:textId="77777777" w:rsidR="00F65FA6" w:rsidRPr="00037E7B" w:rsidRDefault="00F65F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0040</w:t>
            </w:r>
          </w:p>
        </w:tc>
        <w:tc>
          <w:tcPr>
            <w:tcW w:w="7813" w:type="dxa"/>
            <w:vAlign w:val="bottom"/>
          </w:tcPr>
          <w:p w14:paraId="4C994CBE" w14:textId="77777777" w:rsidR="00F65FA6" w:rsidRPr="00037E7B" w:rsidRDefault="00F65F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Portafoglio regolamentare dal quale lo strumento è stato riclassificato</w:t>
            </w:r>
          </w:p>
          <w:p w14:paraId="3021E1D4" w14:textId="77777777" w:rsidR="00F65FA6" w:rsidRPr="00037E7B" w:rsidRDefault="00F65F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Deve essere indicata una delle due opzioni seguenti:</w:t>
            </w:r>
          </w:p>
          <w:p w14:paraId="1EE13C76" w14:textId="77777777" w:rsidR="00F65FA6" w:rsidRPr="00037E7B" w:rsidRDefault="00F65FA6" w:rsidP="00DD6EF2">
            <w:pPr>
              <w:pStyle w:val="BodyText"/>
              <w:numPr>
                <w:ilvl w:val="0"/>
                <w:numId w:val="60"/>
              </w:numPr>
              <w:suppressAutoHyphens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Portafoglio di negoziazione</w:t>
            </w:r>
            <w:r>
              <w:t xml:space="preserve"> </w:t>
            </w:r>
            <w:r>
              <w:br/>
            </w:r>
            <w:r>
              <w:rPr>
                <w:rFonts w:ascii="Times New Roman" w:hAnsi="Times New Roman"/>
              </w:rPr>
              <w:t>Articolo 4, paragrafo 1, punto 86), del regolamento (UE) n. 575/2013</w:t>
            </w:r>
          </w:p>
          <w:p w14:paraId="41D9486B" w14:textId="77777777" w:rsidR="00F65FA6" w:rsidRPr="00037E7B" w:rsidRDefault="00F65FA6" w:rsidP="00DD6EF2">
            <w:pPr>
              <w:pStyle w:val="BodyText"/>
              <w:numPr>
                <w:ilvl w:val="0"/>
                <w:numId w:val="60"/>
              </w:numPr>
              <w:suppressAutoHyphens/>
              <w:spacing w:before="120" w:after="120" w:line="240" w:lineRule="auto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Portafoglio bancario</w:t>
            </w:r>
            <w:r>
              <w:t xml:space="preserve"> </w:t>
            </w:r>
            <w:r>
              <w:br/>
            </w:r>
            <w:r>
              <w:rPr>
                <w:rFonts w:ascii="Times New Roman" w:hAnsi="Times New Roman"/>
              </w:rPr>
              <w:t>Comprende tutte le posizioni non incluse nel portafoglio di negoziazione.</w:t>
            </w:r>
          </w:p>
        </w:tc>
      </w:tr>
      <w:tr w:rsidR="00F65FA6" w:rsidRPr="00037E7B" w14:paraId="14476FEB" w14:textId="77777777" w:rsidTr="00E02007">
        <w:tc>
          <w:tcPr>
            <w:tcW w:w="1203" w:type="dxa"/>
          </w:tcPr>
          <w:p w14:paraId="13F0D9EC" w14:textId="77777777" w:rsidR="00F65FA6" w:rsidRPr="00037E7B" w:rsidRDefault="00F65F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0050</w:t>
            </w:r>
          </w:p>
        </w:tc>
        <w:tc>
          <w:tcPr>
            <w:tcW w:w="7813" w:type="dxa"/>
            <w:vAlign w:val="bottom"/>
          </w:tcPr>
          <w:p w14:paraId="19E4E9E2" w14:textId="77777777" w:rsidR="00F65FA6" w:rsidRPr="00037E7B" w:rsidRDefault="00F65F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Motivi della riclassificazione</w:t>
            </w:r>
          </w:p>
          <w:p w14:paraId="7DED50F3" w14:textId="77777777" w:rsidR="00F65FA6" w:rsidRPr="00037E7B" w:rsidRDefault="00F65F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Devono essere spiegate le circostanze eccezionali che hanno portato alla riclassificazione della posizione tra i portafogli regolamentari. La spiegazione fornita in questa cella deve essere sufficientemente dettagliata da spiegare per quale ragione la riclassificazione è considerata una circostanza eccezionale.</w:t>
            </w:r>
          </w:p>
        </w:tc>
      </w:tr>
      <w:tr w:rsidR="00F65FA6" w:rsidRPr="00037E7B" w14:paraId="490381CE" w14:textId="77777777" w:rsidTr="00E02007">
        <w:tc>
          <w:tcPr>
            <w:tcW w:w="1203" w:type="dxa"/>
          </w:tcPr>
          <w:p w14:paraId="139D44BE" w14:textId="77777777" w:rsidR="00F65FA6" w:rsidRPr="00037E7B" w:rsidRDefault="00F65F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0060</w:t>
            </w:r>
          </w:p>
        </w:tc>
        <w:tc>
          <w:tcPr>
            <w:tcW w:w="7813" w:type="dxa"/>
            <w:vAlign w:val="bottom"/>
          </w:tcPr>
          <w:p w14:paraId="1362F39C" w14:textId="77777777" w:rsidR="00F65FA6" w:rsidRPr="00037E7B" w:rsidRDefault="00F65F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Previa autorizzazione (status)</w:t>
            </w:r>
          </w:p>
          <w:p w14:paraId="56285F31" w14:textId="77777777" w:rsidR="00F65FA6" w:rsidRPr="00037E7B" w:rsidRDefault="00F65F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Articolo 104 bis, paragrafi 2 e 6, del regolamento (UE) n. 575/2013</w:t>
            </w:r>
          </w:p>
          <w:p w14:paraId="65D8CB7E" w14:textId="174809C9" w:rsidR="00F65FA6" w:rsidRPr="00037E7B" w:rsidRDefault="00F65F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Se non è richiesta l</w:t>
            </w:r>
            <w:r w:rsidR="00DD6EF2">
              <w:rPr>
                <w:rFonts w:ascii="Times New Roman" w:hAnsi="Times New Roman"/>
              </w:rPr>
              <w:t>'</w:t>
            </w:r>
            <w:r>
              <w:rPr>
                <w:rFonts w:ascii="Times New Roman" w:hAnsi="Times New Roman"/>
              </w:rPr>
              <w:t>autorizzazione preventiva dell</w:t>
            </w:r>
            <w:r w:rsidR="00DD6EF2">
              <w:rPr>
                <w:rFonts w:ascii="Times New Roman" w:hAnsi="Times New Roman"/>
              </w:rPr>
              <w:t>'</w:t>
            </w:r>
            <w:r>
              <w:rPr>
                <w:rFonts w:ascii="Times New Roman" w:hAnsi="Times New Roman"/>
              </w:rPr>
              <w:t>autorità competente conformemente all</w:t>
            </w:r>
            <w:r w:rsidR="00DD6EF2">
              <w:rPr>
                <w:rFonts w:ascii="Times New Roman" w:hAnsi="Times New Roman"/>
              </w:rPr>
              <w:t>'</w:t>
            </w:r>
            <w:r>
              <w:rPr>
                <w:rFonts w:ascii="Times New Roman" w:hAnsi="Times New Roman"/>
              </w:rPr>
              <w:t>articolo 104 bis, paragrafo 6, del regolamento (UE) n.</w:t>
            </w:r>
            <w:r w:rsidR="00DD6EF2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 xml:space="preserve">575/2013, gli enti indicano in questa colonna </w:t>
            </w:r>
            <w:r w:rsidR="00DD6EF2">
              <w:rPr>
                <w:rFonts w:ascii="Times New Roman" w:hAnsi="Times New Roman"/>
              </w:rPr>
              <w:t>"</w:t>
            </w:r>
            <w:r>
              <w:rPr>
                <w:rFonts w:ascii="Times New Roman" w:hAnsi="Times New Roman"/>
              </w:rPr>
              <w:t>Non è richiesta un</w:t>
            </w:r>
            <w:r w:rsidR="00DD6EF2">
              <w:rPr>
                <w:rFonts w:ascii="Times New Roman" w:hAnsi="Times New Roman"/>
              </w:rPr>
              <w:t>'</w:t>
            </w:r>
            <w:r>
              <w:rPr>
                <w:rFonts w:ascii="Times New Roman" w:hAnsi="Times New Roman"/>
              </w:rPr>
              <w:t>autorizzazione preventiva</w:t>
            </w:r>
            <w:r w:rsidR="00DD6EF2">
              <w:rPr>
                <w:rFonts w:ascii="Times New Roman" w:hAnsi="Times New Roman"/>
              </w:rPr>
              <w:t>"</w:t>
            </w:r>
            <w:r>
              <w:rPr>
                <w:rFonts w:ascii="Times New Roman" w:hAnsi="Times New Roman"/>
              </w:rPr>
              <w:t>. Se è richiesta ed è stata ottenuta un</w:t>
            </w:r>
            <w:r w:rsidR="00DD6EF2">
              <w:rPr>
                <w:rFonts w:ascii="Times New Roman" w:hAnsi="Times New Roman"/>
              </w:rPr>
              <w:t>'</w:t>
            </w:r>
            <w:r>
              <w:rPr>
                <w:rFonts w:ascii="Times New Roman" w:hAnsi="Times New Roman"/>
              </w:rPr>
              <w:t xml:space="preserve">autorizzazione preventiva, indicare </w:t>
            </w:r>
            <w:r w:rsidR="00DD6EF2">
              <w:rPr>
                <w:rFonts w:ascii="Times New Roman" w:hAnsi="Times New Roman"/>
              </w:rPr>
              <w:t>"</w:t>
            </w:r>
            <w:r>
              <w:rPr>
                <w:rFonts w:ascii="Times New Roman" w:hAnsi="Times New Roman"/>
              </w:rPr>
              <w:t>Autorizzazione preventiva ottenuta</w:t>
            </w:r>
            <w:r w:rsidR="00DD6EF2">
              <w:rPr>
                <w:rFonts w:ascii="Times New Roman" w:hAnsi="Times New Roman"/>
              </w:rPr>
              <w:t>"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65FA6" w:rsidRPr="00037E7B" w14:paraId="78F1574B" w14:textId="77777777" w:rsidTr="00E02007">
        <w:tc>
          <w:tcPr>
            <w:tcW w:w="1203" w:type="dxa"/>
          </w:tcPr>
          <w:p w14:paraId="26979E4B" w14:textId="77777777" w:rsidR="00F65FA6" w:rsidRPr="00037E7B" w:rsidRDefault="00F65F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0070</w:t>
            </w:r>
          </w:p>
        </w:tc>
        <w:tc>
          <w:tcPr>
            <w:tcW w:w="7813" w:type="dxa"/>
            <w:vAlign w:val="bottom"/>
          </w:tcPr>
          <w:p w14:paraId="21A070A6" w14:textId="77777777" w:rsidR="00F65FA6" w:rsidRPr="00037E7B" w:rsidRDefault="00F65F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Data di riclassificazione</w:t>
            </w:r>
          </w:p>
          <w:p w14:paraId="230E5C22" w14:textId="01A6B978" w:rsidR="00F65FA6" w:rsidRPr="00037E7B" w:rsidRDefault="00F65F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Articolo 104 bis, paragrafi 2 e 6, prima frase, del regolamento (UE) n.</w:t>
            </w:r>
            <w:r w:rsidR="00DD6EF2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575/2013</w:t>
            </w:r>
          </w:p>
        </w:tc>
      </w:tr>
      <w:tr w:rsidR="00F65FA6" w:rsidRPr="00037E7B" w14:paraId="0E22B962" w14:textId="77777777" w:rsidTr="00E02007">
        <w:tc>
          <w:tcPr>
            <w:tcW w:w="1203" w:type="dxa"/>
          </w:tcPr>
          <w:p w14:paraId="5DAEDB5E" w14:textId="77777777" w:rsidR="00F65FA6" w:rsidRPr="00037E7B" w:rsidRDefault="00F65F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0080</w:t>
            </w:r>
          </w:p>
        </w:tc>
        <w:tc>
          <w:tcPr>
            <w:tcW w:w="7813" w:type="dxa"/>
            <w:vAlign w:val="bottom"/>
          </w:tcPr>
          <w:p w14:paraId="1822A08F" w14:textId="77777777" w:rsidR="00F65FA6" w:rsidRPr="00037E7B" w:rsidRDefault="00F65F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(+) Aumento o (-) riduzione netti dei requisiti di fondi propri derivanti dalla riclassificazione</w:t>
            </w:r>
          </w:p>
          <w:p w14:paraId="037647A6" w14:textId="3A1219E2" w:rsidR="00F65FA6" w:rsidRPr="00037E7B" w:rsidRDefault="00F65F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Variazione netta dell</w:t>
            </w:r>
            <w:r w:rsidR="00DD6EF2">
              <w:rPr>
                <w:rFonts w:ascii="Times New Roman" w:hAnsi="Times New Roman"/>
              </w:rPr>
              <w:t>'</w:t>
            </w:r>
            <w:r>
              <w:rPr>
                <w:rFonts w:ascii="Times New Roman" w:hAnsi="Times New Roman"/>
              </w:rPr>
              <w:t>importo dei requisiti di fondi propri derivante dalla riclassificazione della posizione, calcolata conformemente all</w:t>
            </w:r>
            <w:r w:rsidR="00DD6EF2">
              <w:rPr>
                <w:rFonts w:ascii="Times New Roman" w:hAnsi="Times New Roman"/>
              </w:rPr>
              <w:t>'</w:t>
            </w:r>
            <w:r>
              <w:rPr>
                <w:rFonts w:ascii="Times New Roman" w:hAnsi="Times New Roman"/>
              </w:rPr>
              <w:t>articolo 104 bis, paragrafo 4, del regolamento (UE) n. 575/2013</w:t>
            </w:r>
          </w:p>
          <w:p w14:paraId="6BA75988" w14:textId="031E2C56" w:rsidR="00F65FA6" w:rsidRPr="00037E7B" w:rsidRDefault="00F65F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L</w:t>
            </w:r>
            <w:r w:rsidR="00DD6EF2">
              <w:rPr>
                <w:rFonts w:ascii="Times New Roman" w:hAnsi="Times New Roman"/>
              </w:rPr>
              <w:t>'</w:t>
            </w:r>
            <w:r>
              <w:rPr>
                <w:rFonts w:ascii="Times New Roman" w:hAnsi="Times New Roman"/>
              </w:rPr>
              <w:t>aumento dei requisiti di fondi propri derivante dalla riclassificazione è segnalato con un segno positivo (+), mentre una diminuzione dei requisiti di fondi propri è segnalata con un segno negativo (–).</w:t>
            </w:r>
          </w:p>
        </w:tc>
      </w:tr>
      <w:tr w:rsidR="00F65FA6" w:rsidRPr="00037E7B" w14:paraId="22693EF8" w14:textId="77777777" w:rsidTr="00E02007">
        <w:tc>
          <w:tcPr>
            <w:tcW w:w="1203" w:type="dxa"/>
          </w:tcPr>
          <w:p w14:paraId="652EAB8F" w14:textId="77777777" w:rsidR="00F65FA6" w:rsidRPr="00037E7B" w:rsidRDefault="00F65F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0090</w:t>
            </w:r>
          </w:p>
        </w:tc>
        <w:tc>
          <w:tcPr>
            <w:tcW w:w="7813" w:type="dxa"/>
            <w:vAlign w:val="bottom"/>
          </w:tcPr>
          <w:p w14:paraId="4A786750" w14:textId="77777777" w:rsidR="00F65FA6" w:rsidRPr="00037E7B" w:rsidRDefault="00F65F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Maggiorazione dei requisiti di fondi propri derivante dalla riclassificazione </w:t>
            </w:r>
          </w:p>
          <w:p w14:paraId="08204427" w14:textId="7BEE3BBB" w:rsidR="00F65FA6" w:rsidRPr="00037E7B" w:rsidRDefault="00F65F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Se la variazione netta dell</w:t>
            </w:r>
            <w:r w:rsidR="00DD6EF2">
              <w:rPr>
                <w:rFonts w:ascii="Times New Roman" w:hAnsi="Times New Roman"/>
              </w:rPr>
              <w:t>'</w:t>
            </w:r>
            <w:r>
              <w:rPr>
                <w:rFonts w:ascii="Times New Roman" w:hAnsi="Times New Roman"/>
              </w:rPr>
              <w:t>importo dei requisiti di fondi propri derivante dalla riclassificazione della posizione, calcolata conformemente all</w:t>
            </w:r>
            <w:r w:rsidR="00DD6EF2">
              <w:rPr>
                <w:rFonts w:ascii="Times New Roman" w:hAnsi="Times New Roman"/>
              </w:rPr>
              <w:t>'</w:t>
            </w:r>
            <w:r>
              <w:rPr>
                <w:rFonts w:ascii="Times New Roman" w:hAnsi="Times New Roman"/>
              </w:rPr>
              <w:t>articolo 104 bis, paragrafo 4, del regolamento (UE) n. 575/2013, rappresenta una riduzione dei requisiti di fondi propri dell</w:t>
            </w:r>
            <w:r w:rsidR="00DD6EF2">
              <w:rPr>
                <w:rFonts w:ascii="Times New Roman" w:hAnsi="Times New Roman"/>
              </w:rPr>
              <w:t>'</w:t>
            </w:r>
            <w:r>
              <w:rPr>
                <w:rFonts w:ascii="Times New Roman" w:hAnsi="Times New Roman"/>
              </w:rPr>
              <w:t>ente e l</w:t>
            </w:r>
            <w:r w:rsidR="00DD6EF2">
              <w:rPr>
                <w:rFonts w:ascii="Times New Roman" w:hAnsi="Times New Roman"/>
              </w:rPr>
              <w:t>'</w:t>
            </w:r>
            <w:r>
              <w:rPr>
                <w:rFonts w:ascii="Times New Roman" w:hAnsi="Times New Roman"/>
              </w:rPr>
              <w:t>autorità competente non ha permesso di riconoscere tale riduzione conformemente all</w:t>
            </w:r>
            <w:r w:rsidR="00DD6EF2">
              <w:rPr>
                <w:rFonts w:ascii="Times New Roman" w:hAnsi="Times New Roman"/>
              </w:rPr>
              <w:t>'</w:t>
            </w:r>
            <w:r>
              <w:rPr>
                <w:rFonts w:ascii="Times New Roman" w:hAnsi="Times New Roman"/>
              </w:rPr>
              <w:t>articolo 104 bis, paragrafo 3, lettera b), del regolamento (UE) n. 575/2013, l</w:t>
            </w:r>
            <w:r w:rsidR="00DD6EF2">
              <w:rPr>
                <w:rFonts w:ascii="Times New Roman" w:hAnsi="Times New Roman"/>
              </w:rPr>
              <w:t>'</w:t>
            </w:r>
            <w:r>
              <w:rPr>
                <w:rFonts w:ascii="Times New Roman" w:hAnsi="Times New Roman"/>
              </w:rPr>
              <w:t>importo della riduzione è segnalato con un segno positivo; l</w:t>
            </w:r>
            <w:r w:rsidR="00DD6EF2">
              <w:rPr>
                <w:rFonts w:ascii="Times New Roman" w:hAnsi="Times New Roman"/>
              </w:rPr>
              <w:t>'</w:t>
            </w:r>
            <w:r>
              <w:rPr>
                <w:rFonts w:ascii="Times New Roman" w:hAnsi="Times New Roman"/>
              </w:rPr>
              <w:t>importo rappresenta di conseguenza la maggiorazione dei requisiti di fondi propri per la riclassificazione in questione.</w:t>
            </w:r>
          </w:p>
          <w:p w14:paraId="58E348B5" w14:textId="01BBA59E" w:rsidR="00F65FA6" w:rsidRPr="00037E7B" w:rsidRDefault="00F65F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Se l</w:t>
            </w:r>
            <w:r w:rsidR="00DD6EF2">
              <w:rPr>
                <w:rFonts w:ascii="Times New Roman" w:hAnsi="Times New Roman"/>
              </w:rPr>
              <w:t>'</w:t>
            </w:r>
            <w:r>
              <w:rPr>
                <w:rFonts w:ascii="Times New Roman" w:hAnsi="Times New Roman"/>
              </w:rPr>
              <w:t>autorità competente ha consentito di riconoscere la riduzione dei requisiti di fondi propri conformemente all</w:t>
            </w:r>
            <w:r w:rsidR="00DD6EF2">
              <w:rPr>
                <w:rFonts w:ascii="Times New Roman" w:hAnsi="Times New Roman"/>
              </w:rPr>
              <w:t>'</w:t>
            </w:r>
            <w:r>
              <w:rPr>
                <w:rFonts w:ascii="Times New Roman" w:hAnsi="Times New Roman"/>
              </w:rPr>
              <w:t>articolo 104 bis, paragrafo 3, lettera b), del regolamento (UE) n. 575/2013, questa colonna è lasciata vuota.</w:t>
            </w:r>
          </w:p>
        </w:tc>
      </w:tr>
      <w:tr w:rsidR="00F65FA6" w:rsidRPr="00037E7B" w14:paraId="33A66CF2" w14:textId="77777777" w:rsidTr="00E02007">
        <w:tc>
          <w:tcPr>
            <w:tcW w:w="1203" w:type="dxa"/>
          </w:tcPr>
          <w:p w14:paraId="3AA16332" w14:textId="77777777" w:rsidR="00F65FA6" w:rsidRPr="00037E7B" w:rsidRDefault="00F65F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0100</w:t>
            </w:r>
          </w:p>
        </w:tc>
        <w:tc>
          <w:tcPr>
            <w:tcW w:w="7813" w:type="dxa"/>
            <w:vAlign w:val="bottom"/>
          </w:tcPr>
          <w:p w14:paraId="5C674A5B" w14:textId="77777777" w:rsidR="00F65FA6" w:rsidRPr="00037E7B" w:rsidRDefault="00F65F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Data di scadenza o della prevista eliminazione contabile dello strumento</w:t>
            </w:r>
          </w:p>
          <w:p w14:paraId="019C730F" w14:textId="603D73DB" w:rsidR="00F65FA6" w:rsidRPr="00037E7B" w:rsidRDefault="00F65F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Se non è prevista l</w:t>
            </w:r>
            <w:r w:rsidR="00DD6EF2">
              <w:rPr>
                <w:rFonts w:ascii="Times New Roman" w:hAnsi="Times New Roman"/>
              </w:rPr>
              <w:t>'</w:t>
            </w:r>
            <w:r>
              <w:rPr>
                <w:rFonts w:ascii="Times New Roman" w:hAnsi="Times New Roman"/>
              </w:rPr>
              <w:t xml:space="preserve">eliminazione contabile, è segnalata la scadenza dello strumento. </w:t>
            </w:r>
          </w:p>
          <w:p w14:paraId="69F6AC70" w14:textId="7E359979" w:rsidR="00F65FA6" w:rsidRPr="00037E7B" w:rsidRDefault="00F65F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Se si prevede che lo strumento sia eliminato contabilmente prima della sua scadenza, è segnalata la data dell</w:t>
            </w:r>
            <w:r w:rsidR="00DD6EF2">
              <w:rPr>
                <w:rFonts w:ascii="Times New Roman" w:hAnsi="Times New Roman"/>
              </w:rPr>
              <w:t>'</w:t>
            </w:r>
            <w:r>
              <w:rPr>
                <w:rFonts w:ascii="Times New Roman" w:hAnsi="Times New Roman"/>
              </w:rPr>
              <w:t>eliminazione contabile prevista.</w:t>
            </w:r>
          </w:p>
          <w:p w14:paraId="3742220D" w14:textId="4D4C5F5F" w:rsidR="00F65FA6" w:rsidRPr="00037E7B" w:rsidRDefault="00F65F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Se sono noti solo il mese e l</w:t>
            </w:r>
            <w:r w:rsidR="00DD6EF2">
              <w:rPr>
                <w:rFonts w:ascii="Times New Roman" w:hAnsi="Times New Roman"/>
              </w:rPr>
              <w:t>'</w:t>
            </w:r>
            <w:r>
              <w:rPr>
                <w:rFonts w:ascii="Times New Roman" w:hAnsi="Times New Roman"/>
              </w:rPr>
              <w:t>anno della scadenza o dell</w:t>
            </w:r>
            <w:r w:rsidR="00DD6EF2">
              <w:rPr>
                <w:rFonts w:ascii="Times New Roman" w:hAnsi="Times New Roman"/>
              </w:rPr>
              <w:t>'</w:t>
            </w:r>
            <w:r>
              <w:rPr>
                <w:rFonts w:ascii="Times New Roman" w:hAnsi="Times New Roman"/>
              </w:rPr>
              <w:t>eliminazione contabile dello strumento, la data della scadenza o dell</w:t>
            </w:r>
            <w:r w:rsidR="00DD6EF2">
              <w:rPr>
                <w:rFonts w:ascii="Times New Roman" w:hAnsi="Times New Roman"/>
              </w:rPr>
              <w:t>'</w:t>
            </w:r>
            <w:r>
              <w:rPr>
                <w:rFonts w:ascii="Times New Roman" w:hAnsi="Times New Roman"/>
              </w:rPr>
              <w:t>eliminazione contabile prevista da segnalare è l</w:t>
            </w:r>
            <w:r w:rsidR="00DD6EF2">
              <w:rPr>
                <w:rFonts w:ascii="Times New Roman" w:hAnsi="Times New Roman"/>
              </w:rPr>
              <w:t>'</w:t>
            </w:r>
            <w:r>
              <w:rPr>
                <w:rFonts w:ascii="Times New Roman" w:hAnsi="Times New Roman"/>
              </w:rPr>
              <w:t>ultimo giorno del mese. Se è noto solo l</w:t>
            </w:r>
            <w:r w:rsidR="00DD6EF2">
              <w:rPr>
                <w:rFonts w:ascii="Times New Roman" w:hAnsi="Times New Roman"/>
              </w:rPr>
              <w:t>'</w:t>
            </w:r>
            <w:r>
              <w:rPr>
                <w:rFonts w:ascii="Times New Roman" w:hAnsi="Times New Roman"/>
              </w:rPr>
              <w:t>anno della scadenza o dell</w:t>
            </w:r>
            <w:r w:rsidR="00DD6EF2">
              <w:rPr>
                <w:rFonts w:ascii="Times New Roman" w:hAnsi="Times New Roman"/>
              </w:rPr>
              <w:t>'</w:t>
            </w:r>
            <w:r>
              <w:rPr>
                <w:rFonts w:ascii="Times New Roman" w:hAnsi="Times New Roman"/>
              </w:rPr>
              <w:t>eliminazione contabile, la data della scadenza o dell</w:t>
            </w:r>
            <w:r w:rsidR="00DD6EF2">
              <w:rPr>
                <w:rFonts w:ascii="Times New Roman" w:hAnsi="Times New Roman"/>
              </w:rPr>
              <w:t>'</w:t>
            </w:r>
            <w:r>
              <w:rPr>
                <w:rFonts w:ascii="Times New Roman" w:hAnsi="Times New Roman"/>
              </w:rPr>
              <w:t>eliminazione contabile prevista da segnalare è il 31 dicembre di tale anno.</w:t>
            </w:r>
          </w:p>
          <w:p w14:paraId="7F211819" w14:textId="6BD6A1C8" w:rsidR="00F65FA6" w:rsidRPr="00037E7B" w:rsidRDefault="00F65F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Se la data della scadenza o dell</w:t>
            </w:r>
            <w:r w:rsidR="00DD6EF2">
              <w:rPr>
                <w:rFonts w:ascii="Times New Roman" w:hAnsi="Times New Roman"/>
              </w:rPr>
              <w:t>'</w:t>
            </w:r>
            <w:r>
              <w:rPr>
                <w:rFonts w:ascii="Times New Roman" w:hAnsi="Times New Roman"/>
              </w:rPr>
              <w:t>eliminazione contabile prevista dello strumento non può essere determinata o non è nota, in questa colonna è indicato 31</w:t>
            </w:r>
            <w:r w:rsidR="00DD6EF2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 xml:space="preserve">dicembre 9999. </w:t>
            </w:r>
          </w:p>
        </w:tc>
      </w:tr>
      <w:tr w:rsidR="00F65FA6" w:rsidRPr="00FE3C59" w14:paraId="0A30C5DF" w14:textId="77777777" w:rsidTr="00E02007">
        <w:tc>
          <w:tcPr>
            <w:tcW w:w="1203" w:type="dxa"/>
          </w:tcPr>
          <w:p w14:paraId="12AE4F1E" w14:textId="77777777" w:rsidR="00F65FA6" w:rsidRPr="00037E7B" w:rsidRDefault="00F65F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0110</w:t>
            </w:r>
          </w:p>
        </w:tc>
        <w:tc>
          <w:tcPr>
            <w:tcW w:w="7813" w:type="dxa"/>
            <w:vAlign w:val="bottom"/>
          </w:tcPr>
          <w:p w14:paraId="441DE526" w14:textId="094ABD84" w:rsidR="00F65FA6" w:rsidRPr="00037E7B" w:rsidRDefault="00F65F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Data a partire dalla quale l</w:t>
            </w:r>
            <w:r w:rsidR="00DD6EF2">
              <w:rPr>
                <w:rFonts w:ascii="Times New Roman" w:hAnsi="Times New Roman"/>
                <w:b/>
                <w:u w:val="single"/>
              </w:rPr>
              <w:t>'</w:t>
            </w:r>
            <w:r>
              <w:rPr>
                <w:rFonts w:ascii="Times New Roman" w:hAnsi="Times New Roman"/>
                <w:b/>
                <w:u w:val="single"/>
              </w:rPr>
              <w:t>autorità competente consente il riconoscimento della riduzione dei requisiti di fondi propri</w:t>
            </w:r>
          </w:p>
          <w:p w14:paraId="49ECC5EF" w14:textId="77777777" w:rsidR="00F65FA6" w:rsidRPr="00037E7B" w:rsidRDefault="00F65F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Articolo 104 bis, paragrafo 3, lettera b), del regolamento (UE) n. 575/2013</w:t>
            </w:r>
          </w:p>
          <w:p w14:paraId="1B724794" w14:textId="451B595B" w:rsidR="00F65FA6" w:rsidRPr="00FE3C59" w:rsidRDefault="00F65FA6" w:rsidP="00DD6EF2">
            <w:pPr>
              <w:pStyle w:val="BodyText"/>
              <w:suppressAutoHyphens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lastRenderedPageBreak/>
              <w:t>Se la riclassificazione ha comportato un aumento netto dei requisiti di fondi propri e se l</w:t>
            </w:r>
            <w:r w:rsidR="00DD6EF2">
              <w:rPr>
                <w:rFonts w:ascii="Times New Roman" w:hAnsi="Times New Roman"/>
              </w:rPr>
              <w:t>'</w:t>
            </w:r>
            <w:r>
              <w:rPr>
                <w:rFonts w:ascii="Times New Roman" w:hAnsi="Times New Roman"/>
              </w:rPr>
              <w:t>autorità competente non ha consentito il riconoscimento della riduzione dei requisiti di fondi propri, non è indicata alcuna data.</w:t>
            </w:r>
          </w:p>
        </w:tc>
      </w:tr>
    </w:tbl>
    <w:p w14:paraId="0C23ABF8" w14:textId="77777777" w:rsidR="00F65FA6" w:rsidRPr="00DD6EF2" w:rsidRDefault="00F65FA6" w:rsidP="00DD6EF2">
      <w:pPr>
        <w:pStyle w:val="body"/>
        <w:suppressAutoHyphens/>
        <w:rPr>
          <w:rFonts w:ascii="Times New Roman" w:hAnsi="Times New Roman" w:cs="Times New Roman"/>
        </w:rPr>
      </w:pPr>
    </w:p>
    <w:p w14:paraId="18DC5971" w14:textId="77777777" w:rsidR="00522E00" w:rsidRPr="00DD6EF2" w:rsidRDefault="00522E00" w:rsidP="00DD6EF2">
      <w:pPr>
        <w:pStyle w:val="body"/>
        <w:suppressAutoHyphens/>
        <w:rPr>
          <w:rStyle w:val="InstructionsTabelleText"/>
          <w:rFonts w:ascii="Times New Roman" w:hAnsi="Times New Roman"/>
          <w:sz w:val="24"/>
        </w:rPr>
      </w:pPr>
    </w:p>
    <w:sectPr w:rsidR="00522E00" w:rsidRPr="00DD6EF2" w:rsidSect="00B51F4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B86EA" w14:textId="77777777" w:rsidR="00F72086" w:rsidRDefault="00F72086" w:rsidP="00D946DB">
      <w:pPr>
        <w:spacing w:before="0" w:after="0"/>
      </w:pPr>
      <w:r>
        <w:separator/>
      </w:r>
    </w:p>
  </w:endnote>
  <w:endnote w:type="continuationSeparator" w:id="0">
    <w:p w14:paraId="7E78B2E2" w14:textId="77777777" w:rsidR="00F72086" w:rsidRDefault="00F72086" w:rsidP="00D946DB">
      <w:pPr>
        <w:spacing w:before="0" w:after="0"/>
      </w:pPr>
      <w:r>
        <w:continuationSeparator/>
      </w:r>
    </w:p>
  </w:endnote>
  <w:endnote w:type="continuationNotice" w:id="1">
    <w:p w14:paraId="23302D77" w14:textId="77777777" w:rsidR="00F72086" w:rsidRDefault="00F7208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183</w:t>
    </w:r>
    <w:r>
      <w:rPr>
        <w:rStyle w:val="PageNumber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65885" w14:textId="71A1082C" w:rsidR="00C3070C" w:rsidRPr="00ED1956" w:rsidRDefault="00C3070C">
    <w:pPr>
      <w:pStyle w:val="Footer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</w:rPr>
      <w:fldChar w:fldCharType="begin"/>
    </w:r>
    <w:r>
      <w:rPr>
        <w:rFonts w:ascii="Times New Roman" w:hAnsi="Times New Roman"/>
        <w:sz w:val="20"/>
      </w:rPr>
      <w:instrText xml:space="preserve"> PAGE   \* MERGEFORMAT </w:instrText>
    </w:r>
    <w:r>
      <w:rPr>
        <w:rFonts w:ascii="Times New Roman" w:hAnsi="Times New Roman"/>
        <w:sz w:val="20"/>
      </w:rPr>
      <w:fldChar w:fldCharType="separate"/>
    </w:r>
    <w:r>
      <w:rPr>
        <w:rFonts w:ascii="Times New Roman" w:hAnsi="Times New Roman"/>
        <w:sz w:val="20"/>
      </w:rPr>
      <w:t>42</w:t>
    </w:r>
    <w:r>
      <w:rPr>
        <w:rFonts w:ascii="Times New Roman" w:hAnsi="Times New Roman"/>
        <w:sz w:val="20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00540" w14:textId="77777777" w:rsidR="00F72086" w:rsidRDefault="00F72086" w:rsidP="00D946DB">
      <w:pPr>
        <w:spacing w:before="0" w:after="0"/>
      </w:pPr>
      <w:r>
        <w:separator/>
      </w:r>
    </w:p>
  </w:footnote>
  <w:footnote w:type="continuationSeparator" w:id="0">
    <w:p w14:paraId="6C737719" w14:textId="77777777" w:rsidR="00F72086" w:rsidRDefault="00F72086" w:rsidP="00D946DB">
      <w:pPr>
        <w:spacing w:before="0" w:after="0"/>
      </w:pPr>
      <w:r>
        <w:continuationSeparator/>
      </w:r>
    </w:p>
  </w:footnote>
  <w:footnote w:type="continuationNotice" w:id="1">
    <w:p w14:paraId="190DCB3C" w14:textId="77777777" w:rsidR="00F72086" w:rsidRDefault="00F7208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A98C1" w14:textId="7C971337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Per l'uso ordinario dell'AB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5B92A261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Per l</w:t>
                          </w:r>
                          <w:r w:rsidR="00DD6EF2"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'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uso ordinario dell</w:t>
                          </w:r>
                          <w:r w:rsidR="00DD6EF2"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'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ABE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Per l'uso ordinario dell'ABE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5B92A261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Per l</w:t>
                    </w:r>
                    <w:r w:rsidR="00DD6EF2">
                      <w:rPr>
                        <w:rFonts w:ascii="Calibri" w:hAnsi="Calibri"/>
                        <w:color w:val="000000"/>
                        <w:sz w:val="24"/>
                      </w:rPr>
                      <w:t>'</w:t>
                    </w: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uso ordinario dell</w:t>
                    </w:r>
                    <w:r w:rsidR="00DD6EF2">
                      <w:rPr>
                        <w:rFonts w:ascii="Calibri" w:hAnsi="Calibri"/>
                        <w:color w:val="000000"/>
                        <w:sz w:val="24"/>
                      </w:rPr>
                      <w:t>'</w:t>
                    </w: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ABE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DBBC0" w14:textId="5C594065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Per l'uso ordinario dell'AB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749D952C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Per l</w:t>
                          </w:r>
                          <w:r w:rsidR="00DD6EF2"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'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uso ordinario dell</w:t>
                          </w:r>
                          <w:r w:rsidR="00DD6EF2"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'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ABE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Per l'uso ordinario dell'ABE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749D952C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Per l</w:t>
                    </w:r>
                    <w:r w:rsidR="00DD6EF2">
                      <w:rPr>
                        <w:rFonts w:ascii="Calibri" w:hAnsi="Calibri"/>
                        <w:color w:val="000000"/>
                        <w:sz w:val="24"/>
                      </w:rPr>
                      <w:t>'</w:t>
                    </w: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uso ordinario dell</w:t>
                    </w:r>
                    <w:r w:rsidR="00DD6EF2">
                      <w:rPr>
                        <w:rFonts w:ascii="Calibri" w:hAnsi="Calibri"/>
                        <w:color w:val="000000"/>
                        <w:sz w:val="24"/>
                      </w:rPr>
                      <w:t>'</w:t>
                    </w: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ABE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/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Per l'uso ordinario dell'AB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36BD3EB6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Per l</w:t>
                          </w:r>
                          <w:r w:rsidR="00DD6EF2"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'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uso ordinario dell</w:t>
                          </w:r>
                          <w:r w:rsidR="00DD6EF2"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'</w:t>
                          </w: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ABE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Per l'uso ordinario dell'ABE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36BD3EB6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Per l</w:t>
                    </w:r>
                    <w:r w:rsidR="00DD6EF2">
                      <w:rPr>
                        <w:rFonts w:ascii="Calibri" w:hAnsi="Calibri"/>
                        <w:color w:val="000000"/>
                        <w:sz w:val="24"/>
                      </w:rPr>
                      <w:t>'</w:t>
                    </w: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uso ordinario dell</w:t>
                    </w:r>
                    <w:r w:rsidR="00DD6EF2">
                      <w:rPr>
                        <w:rFonts w:ascii="Calibri" w:hAnsi="Calibri"/>
                        <w:color w:val="000000"/>
                        <w:sz w:val="24"/>
                      </w:rPr>
                      <w:t>'</w:t>
                    </w: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ABE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20D4E75"/>
    <w:multiLevelType w:val="hybridMultilevel"/>
    <w:tmpl w:val="69263B24"/>
    <w:lvl w:ilvl="0" w:tplc="0809000F">
      <w:start w:val="1"/>
      <w:numFmt w:val="decimal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26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8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2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6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8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0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4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7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9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1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3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4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5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8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9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0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1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4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6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74A10E5B"/>
    <w:multiLevelType w:val="multilevel"/>
    <w:tmpl w:val="46C8D792"/>
    <w:lvl w:ilvl="0">
      <w:start w:val="208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207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9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1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3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5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9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13" w:hanging="180"/>
      </w:pPr>
      <w:rPr>
        <w:rFonts w:hint="default"/>
      </w:rPr>
    </w:lvl>
  </w:abstractNum>
  <w:abstractNum w:abstractNumId="69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1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50"/>
  </w:num>
  <w:num w:numId="3" w16cid:durableId="286200695">
    <w:abstractNumId w:val="66"/>
  </w:num>
  <w:num w:numId="4" w16cid:durableId="487287975">
    <w:abstractNumId w:val="42"/>
  </w:num>
  <w:num w:numId="5" w16cid:durableId="1754350949">
    <w:abstractNumId w:val="57"/>
  </w:num>
  <w:num w:numId="6" w16cid:durableId="1507597667">
    <w:abstractNumId w:val="31"/>
  </w:num>
  <w:num w:numId="7" w16cid:durableId="139271283">
    <w:abstractNumId w:val="65"/>
  </w:num>
  <w:num w:numId="8" w16cid:durableId="763764270">
    <w:abstractNumId w:val="16"/>
  </w:num>
  <w:num w:numId="9" w16cid:durableId="1561986968">
    <w:abstractNumId w:val="55"/>
  </w:num>
  <w:num w:numId="10" w16cid:durableId="1349260748">
    <w:abstractNumId w:val="28"/>
  </w:num>
  <w:num w:numId="11" w16cid:durableId="1097991330">
    <w:abstractNumId w:val="44"/>
  </w:num>
  <w:num w:numId="12" w16cid:durableId="858469680">
    <w:abstractNumId w:val="18"/>
  </w:num>
  <w:num w:numId="13" w16cid:durableId="1485394352">
    <w:abstractNumId w:val="56"/>
  </w:num>
  <w:num w:numId="14" w16cid:durableId="881021889">
    <w:abstractNumId w:val="49"/>
  </w:num>
  <w:num w:numId="15" w16cid:durableId="1923681300">
    <w:abstractNumId w:val="26"/>
  </w:num>
  <w:num w:numId="16" w16cid:durableId="211188018">
    <w:abstractNumId w:val="43"/>
  </w:num>
  <w:num w:numId="17" w16cid:durableId="373817584">
    <w:abstractNumId w:val="22"/>
  </w:num>
  <w:num w:numId="18" w16cid:durableId="1615165847">
    <w:abstractNumId w:val="58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7"/>
  </w:num>
  <w:num w:numId="22" w16cid:durableId="510485648">
    <w:abstractNumId w:val="37"/>
  </w:num>
  <w:num w:numId="23" w16cid:durableId="863594772">
    <w:abstractNumId w:val="48"/>
  </w:num>
  <w:num w:numId="24" w16cid:durableId="1184786628">
    <w:abstractNumId w:val="59"/>
  </w:num>
  <w:num w:numId="25" w16cid:durableId="156314703">
    <w:abstractNumId w:val="15"/>
  </w:num>
  <w:num w:numId="26" w16cid:durableId="1106079368">
    <w:abstractNumId w:val="35"/>
  </w:num>
  <w:num w:numId="27" w16cid:durableId="1353070508">
    <w:abstractNumId w:val="46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1"/>
  </w:num>
  <w:num w:numId="31" w16cid:durableId="1418819944">
    <w:abstractNumId w:val="69"/>
  </w:num>
  <w:num w:numId="32" w16cid:durableId="239949740">
    <w:abstractNumId w:val="17"/>
  </w:num>
  <w:num w:numId="33" w16cid:durableId="8442498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1"/>
  </w:num>
  <w:num w:numId="36" w16cid:durableId="1464036760">
    <w:abstractNumId w:val="4"/>
  </w:num>
  <w:num w:numId="37" w16cid:durableId="249973241">
    <w:abstractNumId w:val="63"/>
  </w:num>
  <w:num w:numId="38" w16cid:durableId="1115178956">
    <w:abstractNumId w:val="67"/>
  </w:num>
  <w:num w:numId="39" w16cid:durableId="1079792157">
    <w:abstractNumId w:val="36"/>
  </w:num>
  <w:num w:numId="40" w16cid:durableId="1333265662">
    <w:abstractNumId w:val="2"/>
  </w:num>
  <w:num w:numId="41" w16cid:durableId="737484550">
    <w:abstractNumId w:val="30"/>
  </w:num>
  <w:num w:numId="42" w16cid:durableId="309210531">
    <w:abstractNumId w:val="64"/>
  </w:num>
  <w:num w:numId="43" w16cid:durableId="166527561">
    <w:abstractNumId w:val="1"/>
  </w:num>
  <w:num w:numId="44" w16cid:durableId="1544101633">
    <w:abstractNumId w:val="60"/>
  </w:num>
  <w:num w:numId="45" w16cid:durableId="44380249">
    <w:abstractNumId w:val="45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1"/>
  </w:num>
  <w:num w:numId="49" w16cid:durableId="1718896137">
    <w:abstractNumId w:val="21"/>
  </w:num>
  <w:num w:numId="50" w16cid:durableId="1728258729">
    <w:abstractNumId w:val="70"/>
  </w:num>
  <w:num w:numId="51" w16cid:durableId="1856534817">
    <w:abstractNumId w:val="54"/>
  </w:num>
  <w:num w:numId="52" w16cid:durableId="771122248">
    <w:abstractNumId w:val="33"/>
  </w:num>
  <w:num w:numId="53" w16cid:durableId="738211683">
    <w:abstractNumId w:val="26"/>
  </w:num>
  <w:num w:numId="54" w16cid:durableId="1774208110">
    <w:abstractNumId w:val="26"/>
  </w:num>
  <w:num w:numId="55" w16cid:durableId="698626776">
    <w:abstractNumId w:val="26"/>
  </w:num>
  <w:num w:numId="56" w16cid:durableId="1155799151">
    <w:abstractNumId w:val="26"/>
  </w:num>
  <w:num w:numId="57" w16cid:durableId="16854895">
    <w:abstractNumId w:val="56"/>
  </w:num>
  <w:num w:numId="58" w16cid:durableId="441648627">
    <w:abstractNumId w:val="62"/>
  </w:num>
  <w:num w:numId="59" w16cid:durableId="1204750145">
    <w:abstractNumId w:val="38"/>
  </w:num>
  <w:num w:numId="60" w16cid:durableId="1881163654">
    <w:abstractNumId w:val="61"/>
  </w:num>
  <w:num w:numId="61" w16cid:durableId="564342068">
    <w:abstractNumId w:val="68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6"/>
  </w:num>
  <w:num w:numId="65" w16cid:durableId="912351439">
    <w:abstractNumId w:val="26"/>
  </w:num>
  <w:num w:numId="66" w16cid:durableId="1115518585">
    <w:abstractNumId w:val="23"/>
  </w:num>
  <w:num w:numId="67" w16cid:durableId="1254245876">
    <w:abstractNumId w:val="72"/>
  </w:num>
  <w:num w:numId="68" w16cid:durableId="1354916990">
    <w:abstractNumId w:val="32"/>
  </w:num>
  <w:num w:numId="69" w16cid:durableId="304165099">
    <w:abstractNumId w:val="29"/>
  </w:num>
  <w:num w:numId="70" w16cid:durableId="1683121088">
    <w:abstractNumId w:val="40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9"/>
  </w:num>
  <w:num w:numId="74" w16cid:durableId="469858578">
    <w:abstractNumId w:val="47"/>
  </w:num>
  <w:num w:numId="75" w16cid:durableId="2106150306">
    <w:abstractNumId w:val="34"/>
  </w:num>
  <w:num w:numId="76" w16cid:durableId="1625306053">
    <w:abstractNumId w:val="26"/>
  </w:num>
  <w:num w:numId="77" w16cid:durableId="1635911473">
    <w:abstractNumId w:val="26"/>
  </w:num>
  <w:num w:numId="78" w16cid:durableId="254442520">
    <w:abstractNumId w:val="56"/>
  </w:num>
  <w:num w:numId="79" w16cid:durableId="2019043190">
    <w:abstractNumId w:val="56"/>
  </w:num>
  <w:num w:numId="80" w16cid:durableId="562058377">
    <w:abstractNumId w:val="56"/>
  </w:num>
  <w:num w:numId="81" w16cid:durableId="1759137703">
    <w:abstractNumId w:val="56"/>
  </w:num>
  <w:num w:numId="82" w16cid:durableId="123818016">
    <w:abstractNumId w:val="56"/>
  </w:num>
  <w:num w:numId="83" w16cid:durableId="1590625833">
    <w:abstractNumId w:val="56"/>
  </w:num>
  <w:num w:numId="84" w16cid:durableId="671184775">
    <w:abstractNumId w:val="56"/>
  </w:num>
  <w:num w:numId="85" w16cid:durableId="897664751">
    <w:abstractNumId w:val="5"/>
  </w:num>
  <w:num w:numId="86" w16cid:durableId="1293025442">
    <w:abstractNumId w:val="56"/>
  </w:num>
  <w:num w:numId="87" w16cid:durableId="784428268">
    <w:abstractNumId w:val="56"/>
  </w:num>
  <w:num w:numId="88" w16cid:durableId="1356544267">
    <w:abstractNumId w:val="56"/>
  </w:num>
  <w:num w:numId="89" w16cid:durableId="1756898050">
    <w:abstractNumId w:val="56"/>
  </w:num>
  <w:num w:numId="90" w16cid:durableId="1953591268">
    <w:abstractNumId w:val="56"/>
  </w:num>
  <w:num w:numId="91" w16cid:durableId="1411076586">
    <w:abstractNumId w:val="56"/>
  </w:num>
  <w:num w:numId="92" w16cid:durableId="713577442">
    <w:abstractNumId w:val="56"/>
  </w:num>
  <w:num w:numId="93" w16cid:durableId="1665546488">
    <w:abstractNumId w:val="56"/>
  </w:num>
  <w:num w:numId="94" w16cid:durableId="967052354">
    <w:abstractNumId w:val="56"/>
  </w:num>
  <w:num w:numId="95" w16cid:durableId="309484170">
    <w:abstractNumId w:val="56"/>
  </w:num>
  <w:num w:numId="96" w16cid:durableId="1535777035">
    <w:abstractNumId w:val="26"/>
  </w:num>
  <w:num w:numId="97" w16cid:durableId="973751919">
    <w:abstractNumId w:val="26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6"/>
  </w:num>
  <w:num w:numId="101" w16cid:durableId="808861108">
    <w:abstractNumId w:val="26"/>
  </w:num>
  <w:num w:numId="102" w16cid:durableId="202838676">
    <w:abstractNumId w:val="26"/>
  </w:num>
  <w:num w:numId="103" w16cid:durableId="760026508">
    <w:abstractNumId w:val="26"/>
  </w:num>
  <w:num w:numId="104" w16cid:durableId="1074426706">
    <w:abstractNumId w:val="56"/>
  </w:num>
  <w:num w:numId="105" w16cid:durableId="524179360">
    <w:abstractNumId w:val="26"/>
  </w:num>
  <w:num w:numId="106" w16cid:durableId="98719631">
    <w:abstractNumId w:val="52"/>
  </w:num>
  <w:num w:numId="107" w16cid:durableId="1289240839">
    <w:abstractNumId w:val="26"/>
  </w:num>
  <w:num w:numId="108" w16cid:durableId="1410078559">
    <w:abstractNumId w:val="26"/>
  </w:num>
  <w:num w:numId="109" w16cid:durableId="1179739189">
    <w:abstractNumId w:val="26"/>
  </w:num>
  <w:num w:numId="110" w16cid:durableId="346566243">
    <w:abstractNumId w:val="26"/>
  </w:num>
  <w:num w:numId="111" w16cid:durableId="306859254">
    <w:abstractNumId w:val="26"/>
  </w:num>
  <w:num w:numId="112" w16cid:durableId="732776132">
    <w:abstractNumId w:val="56"/>
  </w:num>
  <w:num w:numId="113" w16cid:durableId="872963773">
    <w:abstractNumId w:val="56"/>
  </w:num>
  <w:num w:numId="114" w16cid:durableId="419832823">
    <w:abstractNumId w:val="26"/>
  </w:num>
  <w:num w:numId="115" w16cid:durableId="1976831320">
    <w:abstractNumId w:val="26"/>
  </w:num>
  <w:num w:numId="116" w16cid:durableId="926570473">
    <w:abstractNumId w:val="56"/>
  </w:num>
  <w:num w:numId="117" w16cid:durableId="365564648">
    <w:abstractNumId w:val="26"/>
  </w:num>
  <w:num w:numId="118" w16cid:durableId="98573524">
    <w:abstractNumId w:val="26"/>
  </w:num>
  <w:num w:numId="119" w16cid:durableId="1933127277">
    <w:abstractNumId w:val="26"/>
  </w:num>
  <w:num w:numId="120" w16cid:durableId="1898935926">
    <w:abstractNumId w:val="26"/>
  </w:num>
  <w:num w:numId="121" w16cid:durableId="102649250">
    <w:abstractNumId w:val="26"/>
  </w:num>
  <w:num w:numId="122" w16cid:durableId="1231430260">
    <w:abstractNumId w:val="56"/>
  </w:num>
  <w:num w:numId="123" w16cid:durableId="636766826">
    <w:abstractNumId w:val="26"/>
  </w:num>
  <w:num w:numId="124" w16cid:durableId="148641963">
    <w:abstractNumId w:val="26"/>
  </w:num>
  <w:num w:numId="125" w16cid:durableId="686636675">
    <w:abstractNumId w:val="26"/>
  </w:num>
  <w:num w:numId="126" w16cid:durableId="44912019">
    <w:abstractNumId w:val="26"/>
  </w:num>
  <w:num w:numId="127" w16cid:durableId="132719380">
    <w:abstractNumId w:val="26"/>
  </w:num>
  <w:num w:numId="128" w16cid:durableId="851991795">
    <w:abstractNumId w:val="26"/>
  </w:num>
  <w:num w:numId="129" w16cid:durableId="898714134">
    <w:abstractNumId w:val="26"/>
  </w:num>
  <w:num w:numId="130" w16cid:durableId="650518952">
    <w:abstractNumId w:val="26"/>
  </w:num>
  <w:num w:numId="131" w16cid:durableId="586690030">
    <w:abstractNumId w:val="2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activeWritingStyle w:appName="MSWord" w:lang="fr-BE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proofState w:spelling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32F3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7093"/>
    <w:rsid w:val="000377CC"/>
    <w:rsid w:val="00037E7B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16B9"/>
    <w:rsid w:val="00052A80"/>
    <w:rsid w:val="00052CAE"/>
    <w:rsid w:val="00052EE6"/>
    <w:rsid w:val="000530BC"/>
    <w:rsid w:val="0005400A"/>
    <w:rsid w:val="000548A2"/>
    <w:rsid w:val="0005609F"/>
    <w:rsid w:val="00056154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833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2480"/>
    <w:rsid w:val="001235ED"/>
    <w:rsid w:val="00123D62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39F6"/>
    <w:rsid w:val="001B43BD"/>
    <w:rsid w:val="001B44EE"/>
    <w:rsid w:val="001B4EA5"/>
    <w:rsid w:val="001B5499"/>
    <w:rsid w:val="001B5725"/>
    <w:rsid w:val="001B5856"/>
    <w:rsid w:val="001B5E7C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D60"/>
    <w:rsid w:val="001F0FCF"/>
    <w:rsid w:val="001F1653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7A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0C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7B0"/>
    <w:rsid w:val="002E28DA"/>
    <w:rsid w:val="002E306A"/>
    <w:rsid w:val="002E3720"/>
    <w:rsid w:val="002E3CE5"/>
    <w:rsid w:val="002E3D2F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5C1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7060"/>
    <w:rsid w:val="003B7693"/>
    <w:rsid w:val="003B7FD5"/>
    <w:rsid w:val="003C050A"/>
    <w:rsid w:val="003C0D58"/>
    <w:rsid w:val="003C0FB5"/>
    <w:rsid w:val="003C1374"/>
    <w:rsid w:val="003C189D"/>
    <w:rsid w:val="003C195D"/>
    <w:rsid w:val="003C1BB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2625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17F0B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4DC"/>
    <w:rsid w:val="0047563E"/>
    <w:rsid w:val="00475B6A"/>
    <w:rsid w:val="00475F76"/>
    <w:rsid w:val="00475F8F"/>
    <w:rsid w:val="0047602E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30E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66F4"/>
    <w:rsid w:val="00566905"/>
    <w:rsid w:val="00566A45"/>
    <w:rsid w:val="00566DB5"/>
    <w:rsid w:val="00566E59"/>
    <w:rsid w:val="005704F9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55"/>
    <w:rsid w:val="005C29CD"/>
    <w:rsid w:val="005C2A1D"/>
    <w:rsid w:val="005C2F53"/>
    <w:rsid w:val="005C31F9"/>
    <w:rsid w:val="005C3734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09C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775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845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50C8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A50"/>
    <w:rsid w:val="00723BA8"/>
    <w:rsid w:val="00723F2B"/>
    <w:rsid w:val="00724108"/>
    <w:rsid w:val="007241D3"/>
    <w:rsid w:val="00724589"/>
    <w:rsid w:val="007247ED"/>
    <w:rsid w:val="007248BD"/>
    <w:rsid w:val="007260DA"/>
    <w:rsid w:val="00726591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5643"/>
    <w:rsid w:val="007B6DFF"/>
    <w:rsid w:val="007B6ED2"/>
    <w:rsid w:val="007B7B53"/>
    <w:rsid w:val="007C099C"/>
    <w:rsid w:val="007C0A10"/>
    <w:rsid w:val="007C2334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6F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DE7"/>
    <w:rsid w:val="0082689E"/>
    <w:rsid w:val="00826E25"/>
    <w:rsid w:val="0082704F"/>
    <w:rsid w:val="00827581"/>
    <w:rsid w:val="00827BBD"/>
    <w:rsid w:val="00827C9A"/>
    <w:rsid w:val="008300BE"/>
    <w:rsid w:val="008304E8"/>
    <w:rsid w:val="00830C5F"/>
    <w:rsid w:val="00830C91"/>
    <w:rsid w:val="00830F86"/>
    <w:rsid w:val="00830FBE"/>
    <w:rsid w:val="00831443"/>
    <w:rsid w:val="00831751"/>
    <w:rsid w:val="008323C7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4A24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378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528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2B5B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54D"/>
    <w:rsid w:val="00960612"/>
    <w:rsid w:val="00960B47"/>
    <w:rsid w:val="00960B92"/>
    <w:rsid w:val="00961C3F"/>
    <w:rsid w:val="00962601"/>
    <w:rsid w:val="00962BBD"/>
    <w:rsid w:val="00962D2C"/>
    <w:rsid w:val="0096378F"/>
    <w:rsid w:val="00964546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266"/>
    <w:rsid w:val="009C2C58"/>
    <w:rsid w:val="009C3801"/>
    <w:rsid w:val="009C3D16"/>
    <w:rsid w:val="009C3D69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68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5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42A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446"/>
    <w:rsid w:val="00AC6519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1C8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6580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68A"/>
    <w:rsid w:val="00B35F80"/>
    <w:rsid w:val="00B3602B"/>
    <w:rsid w:val="00B36BA6"/>
    <w:rsid w:val="00B36EAA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1F25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6EC3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89F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4E0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B3B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53F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129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039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55"/>
    <w:rsid w:val="00C87CEE"/>
    <w:rsid w:val="00C87E77"/>
    <w:rsid w:val="00C9009E"/>
    <w:rsid w:val="00C917B0"/>
    <w:rsid w:val="00C91885"/>
    <w:rsid w:val="00C91B75"/>
    <w:rsid w:val="00C91DC9"/>
    <w:rsid w:val="00C928C6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8AA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4182"/>
    <w:rsid w:val="00CE47AF"/>
    <w:rsid w:val="00CE4BEB"/>
    <w:rsid w:val="00CE4C49"/>
    <w:rsid w:val="00CE5006"/>
    <w:rsid w:val="00CE51FF"/>
    <w:rsid w:val="00CE5491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83C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2ABE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447"/>
    <w:rsid w:val="00D333AC"/>
    <w:rsid w:val="00D33AA1"/>
    <w:rsid w:val="00D3431A"/>
    <w:rsid w:val="00D34F75"/>
    <w:rsid w:val="00D35656"/>
    <w:rsid w:val="00D35757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3CED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9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EF2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DD5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6B06"/>
    <w:rsid w:val="00E473B0"/>
    <w:rsid w:val="00E47484"/>
    <w:rsid w:val="00E474D5"/>
    <w:rsid w:val="00E47B5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4B9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40A7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128"/>
    <w:rsid w:val="00EC0AAB"/>
    <w:rsid w:val="00EC0B74"/>
    <w:rsid w:val="00EC0C65"/>
    <w:rsid w:val="00EC153B"/>
    <w:rsid w:val="00EC19AE"/>
    <w:rsid w:val="00EC1EA0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3DB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C49"/>
    <w:rsid w:val="00EF03E6"/>
    <w:rsid w:val="00EF0C0C"/>
    <w:rsid w:val="00EF0DA4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F30"/>
    <w:rsid w:val="00F12EA3"/>
    <w:rsid w:val="00F13B3B"/>
    <w:rsid w:val="00F13E69"/>
    <w:rsid w:val="00F1455C"/>
    <w:rsid w:val="00F14A2E"/>
    <w:rsid w:val="00F14A91"/>
    <w:rsid w:val="00F14B07"/>
    <w:rsid w:val="00F1528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5FA6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2086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5C6"/>
    <w:rsid w:val="00FF1617"/>
    <w:rsid w:val="00FF208F"/>
    <w:rsid w:val="00FF2658"/>
    <w:rsid w:val="00FF2818"/>
    <w:rsid w:val="00FF2BC3"/>
    <w:rsid w:val="00FF2D0E"/>
    <w:rsid w:val="00FF36A5"/>
    <w:rsid w:val="00FF38DA"/>
    <w:rsid w:val="00FF3B3B"/>
    <w:rsid w:val="00FF49BE"/>
    <w:rsid w:val="00FF6630"/>
    <w:rsid w:val="00FF6BEE"/>
    <w:rsid w:val="00FF6E0E"/>
    <w:rsid w:val="00FF75CC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CB8A86"/>
    <w:rsid w:val="5FF14103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CBD667A"/>
  <w15:docId w15:val="{A9785487-7472-490C-889B-8751B3E4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it-IT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it-IT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it-IT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it-IT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964546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it-IT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it-IT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BD3B3B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it-IT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BD3B3B"/>
    <w:rPr>
      <w:rFonts w:ascii="Times New Roman" w:eastAsia="Times New Roman" w:hAnsi="Times New Roman"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it-IT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it-IT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it-IT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it-IT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it-IT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it-IT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it-IT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FF15F2-B878-46AD-9CA0-07606606F245}"/>
</file>

<file path=customXml/itemProps2.xml><?xml version="1.0" encoding="utf-8"?>
<ds:datastoreItem xmlns:ds="http://schemas.openxmlformats.org/officeDocument/2006/customXml" ds:itemID="{FF3A0232-5BFD-4F5E-B285-512602E16F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6B51A07-D7AD-450F-93B2-15105AE77BF0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2757</Words>
  <Characters>16380</Characters>
  <Application>Microsoft Office Word</Application>
  <DocSecurity>0</DocSecurity>
  <Lines>399</Lines>
  <Paragraphs>236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PAUN Irina (DGT)</cp:lastModifiedBy>
  <cp:revision>6</cp:revision>
  <dcterms:created xsi:type="dcterms:W3CDTF">2024-06-19T18:09:00Z</dcterms:created>
  <dcterms:modified xsi:type="dcterms:W3CDTF">2025-01-27T13:53:00Z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2025-01-27T09:58:43Z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fa6275af-7a53-4d4d-ade6-e03861ebf728</vt:lpwstr>
  </property>
  <property fmtid="{D5CDD505-2E9C-101B-9397-08002B2CF9AE}" pid="9" name="MSIP_Label_6bd9ddd1-4d20-43f6-abfa-fc3c07406f94_ContentBits">
    <vt:lpwstr>0</vt:lpwstr>
  </property>
</Properties>
</file>