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66831D99" w:rsidR="009E7D0C" w:rsidRPr="004B0EC7"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ES</w:t>
      </w:r>
    </w:p>
    <w:p w14:paraId="2704A83C" w14:textId="77777777" w:rsidR="009E7D0C" w:rsidRPr="004B0EC7" w:rsidRDefault="009E7D0C" w:rsidP="00A33695">
      <w:pPr>
        <w:jc w:val="center"/>
        <w:rPr>
          <w:rFonts w:ascii="Times New Roman" w:hAnsi="Times New Roman"/>
          <w:sz w:val="24"/>
        </w:rPr>
      </w:pPr>
    </w:p>
    <w:p w14:paraId="24333E7A" w14:textId="5D6FD9D5" w:rsidR="008D696E" w:rsidRPr="004B0EC7" w:rsidRDefault="008D696E" w:rsidP="00A33695">
      <w:pPr>
        <w:jc w:val="center"/>
        <w:rPr>
          <w:rFonts w:ascii="Times New Roman" w:hAnsi="Times New Roman"/>
          <w:sz w:val="24"/>
        </w:rPr>
      </w:pPr>
      <w:r>
        <w:rPr>
          <w:rFonts w:ascii="Times New Roman" w:hAnsi="Times New Roman"/>
          <w:sz w:val="24"/>
        </w:rPr>
        <w:t>ANEXO II</w:t>
      </w:r>
    </w:p>
    <w:p w14:paraId="37362007" w14:textId="6FB5EC15" w:rsidR="002648B0" w:rsidRPr="004B0EC7" w:rsidRDefault="008D696E" w:rsidP="00A33695">
      <w:pPr>
        <w:jc w:val="center"/>
        <w:rPr>
          <w:rFonts w:ascii="Times New Roman" w:hAnsi="Times New Roman"/>
          <w:sz w:val="24"/>
        </w:rPr>
      </w:pPr>
      <w:r>
        <w:rPr>
          <w:rFonts w:ascii="Times New Roman" w:hAnsi="Times New Roman"/>
          <w:sz w:val="24"/>
        </w:rPr>
        <w:t>«ANEXO II</w:t>
      </w:r>
    </w:p>
    <w:p w14:paraId="327777EC" w14:textId="77777777" w:rsidR="002648B0" w:rsidRPr="004B0EC7" w:rsidRDefault="00D11E4C" w:rsidP="00C87CEE">
      <w:pPr>
        <w:jc w:val="center"/>
        <w:rPr>
          <w:rFonts w:ascii="Times New Roman" w:hAnsi="Times New Roman"/>
          <w:b/>
          <w:sz w:val="24"/>
        </w:rPr>
      </w:pPr>
      <w:r>
        <w:rPr>
          <w:rFonts w:ascii="Times New Roman" w:hAnsi="Times New Roman"/>
          <w:b/>
          <w:sz w:val="24"/>
        </w:rPr>
        <w:t>INSTRUCCIONES PARA LA COMUNICACIÓN DE INFORMACIÓN SOBRE LOS FONDOS PROPIOS Y LOS REQUISITOS DE FONDOS PROPIOS</w:t>
      </w:r>
    </w:p>
    <w:p w14:paraId="2C40683C" w14:textId="77777777" w:rsidR="00436204" w:rsidRPr="004B0EC7" w:rsidRDefault="00436204" w:rsidP="00C87CEE">
      <w:pPr>
        <w:jc w:val="center"/>
        <w:rPr>
          <w:rFonts w:ascii="Times New Roman" w:hAnsi="Times New Roman"/>
          <w:b/>
          <w:sz w:val="24"/>
          <w:lang w:eastAsia="de-DE"/>
        </w:rPr>
      </w:pPr>
    </w:p>
    <w:p w14:paraId="587AAF25" w14:textId="155D24EC" w:rsidR="00971D22" w:rsidRPr="004B0EC7" w:rsidRDefault="00971D22" w:rsidP="00971D22">
      <w:pPr>
        <w:rPr>
          <w:rFonts w:ascii="Times New Roman" w:hAnsi="Times New Roman"/>
          <w:sz w:val="24"/>
        </w:rPr>
      </w:pPr>
      <w:r>
        <w:rPr>
          <w:rFonts w:ascii="Times New Roman" w:hAnsi="Times New Roman"/>
          <w:sz w:val="24"/>
        </w:rPr>
        <w:t>(…)</w:t>
      </w:r>
    </w:p>
    <w:p w14:paraId="74494658" w14:textId="77777777" w:rsidR="002648B0" w:rsidRPr="004B0EC7" w:rsidRDefault="002648B0" w:rsidP="00D64B66">
      <w:pPr>
        <w:pStyle w:val="Heading2"/>
        <w:rPr>
          <w:rFonts w:ascii="Times New Roman" w:hAnsi="Times New Roman"/>
        </w:rPr>
      </w:pPr>
      <w:bookmarkStart w:id="2" w:name="_Toc264033192"/>
      <w:bookmarkStart w:id="3" w:name="_Toc360188322"/>
      <w:bookmarkStart w:id="4" w:name="_Toc473560870"/>
      <w:bookmarkStart w:id="5" w:name="_Toc151714358"/>
      <w:bookmarkEnd w:id="2"/>
      <w:r>
        <w:rPr>
          <w:rFonts w:ascii="Times New Roman" w:hAnsi="Times New Roman"/>
        </w:rPr>
        <w:t>PARTE II: INSTRUCCIONES RELATIVAS A LAS PLANTILLAS</w:t>
      </w:r>
      <w:bookmarkEnd w:id="3"/>
      <w:bookmarkEnd w:id="4"/>
      <w:bookmarkEnd w:id="5"/>
    </w:p>
    <w:p w14:paraId="42779579" w14:textId="77777777" w:rsidR="00971D22" w:rsidRPr="004B0EC7" w:rsidRDefault="00971D22" w:rsidP="00971D22">
      <w:pPr>
        <w:rPr>
          <w:rFonts w:ascii="Times New Roman" w:hAnsi="Times New Roman"/>
          <w:sz w:val="24"/>
        </w:rPr>
      </w:pPr>
      <w:bookmarkStart w:id="6" w:name="_Toc360188323"/>
      <w:bookmarkStart w:id="7" w:name="_Toc473560871"/>
      <w:bookmarkStart w:id="8" w:name="_Toc151714359"/>
      <w:r>
        <w:rPr>
          <w:rFonts w:ascii="Times New Roman" w:hAnsi="Times New Roman"/>
          <w:sz w:val="24"/>
        </w:rPr>
        <w:t>(…)</w:t>
      </w:r>
    </w:p>
    <w:p w14:paraId="73EBDC1C"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9" w:name="_Toc295829995"/>
      <w:bookmarkStart w:id="10" w:name="_Toc262566425"/>
      <w:bookmarkStart w:id="11" w:name="_Toc308426671"/>
      <w:bookmarkStart w:id="12" w:name="_Toc310415056"/>
      <w:bookmarkStart w:id="13" w:name="_Toc360188391"/>
      <w:bookmarkStart w:id="14" w:name="_Toc473561031"/>
      <w:bookmarkStart w:id="15" w:name="_Toc151714485"/>
      <w:bookmarkEnd w:id="6"/>
      <w:bookmarkEnd w:id="7"/>
      <w:bookmarkEnd w:id="8"/>
      <w:bookmarkEnd w:id="0"/>
      <w:bookmarkEnd w:id="1"/>
      <w:r>
        <w:rPr>
          <w:rFonts w:ascii="Times New Roman" w:hAnsi="Times New Roman"/>
          <w:sz w:val="24"/>
          <w:u w:val="none"/>
        </w:rPr>
        <w:t>5.</w:t>
      </w:r>
      <w:r>
        <w:rPr>
          <w:rFonts w:ascii="Times New Roman" w:hAnsi="Times New Roman"/>
          <w:sz w:val="24"/>
          <w:u w:val="none"/>
        </w:rPr>
        <w:tab/>
      </w:r>
      <w:r>
        <w:rPr>
          <w:rFonts w:ascii="Times New Roman" w:hAnsi="Times New Roman"/>
          <w:sz w:val="24"/>
        </w:rPr>
        <w:t>Plantillas relativas al riesgo de mercado</w:t>
      </w:r>
      <w:bookmarkEnd w:id="9"/>
      <w:bookmarkEnd w:id="10"/>
      <w:bookmarkEnd w:id="11"/>
      <w:bookmarkEnd w:id="12"/>
      <w:bookmarkEnd w:id="13"/>
      <w:bookmarkEnd w:id="14"/>
      <w:bookmarkEnd w:id="15"/>
    </w:p>
    <w:bookmarkStart w:id="16" w:name="_Toc308426672"/>
    <w:p w14:paraId="3A680559" w14:textId="06E26721" w:rsidR="000B0B09" w:rsidRPr="004B0EC7" w:rsidRDefault="00771068" w:rsidP="00660845">
      <w:pPr>
        <w:pStyle w:val="InstructionsText2"/>
        <w:numPr>
          <w:ilvl w:val="0"/>
          <w:numId w:val="0"/>
        </w:numPr>
        <w:ind w:left="993"/>
      </w:pPr>
      <w:r w:rsidRPr="004B0EC7">
        <w:fldChar w:fldCharType="begin"/>
      </w:r>
      <w:r w:rsidRPr="004B0EC7">
        <w:instrText xml:space="preserve"> seq paragraphs </w:instrText>
      </w:r>
      <w:r w:rsidRPr="004B0EC7">
        <w:fldChar w:fldCharType="separate"/>
      </w:r>
      <w:r w:rsidRPr="004B0EC7">
        <w:t>158</w:t>
      </w:r>
      <w:r w:rsidRPr="004B0EC7">
        <w:fldChar w:fldCharType="end"/>
      </w:r>
      <w:r>
        <w:t>.</w:t>
      </w:r>
      <w:r>
        <w:tab/>
        <w:t xml:space="preserve"> Estas instrucciones corresponden a las plantillas para la comunicación del cálculo de los requisitos de fondos propios con arreglo al método estándar para el riesgo de tipo de cambio (MKR SSA FX), el riesgo de materias primas (MKR SSA COM), el riesgo de tipo de interés (MKR SSA TDI, MKR SSA SEC, MKR SSA CTP) y el riesgo de renta variable (MKR SSA EQU). Se incluyen también en esta sección instrucciones para la plantilla en la que se comunica el cálculo de los requisitos de fondos propios con arreglo al método de modelos internos (MKR IM). </w:t>
      </w:r>
    </w:p>
    <w:p w14:paraId="43A205D1" w14:textId="37E67CF7"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159</w:t>
      </w:r>
      <w:r w:rsidRPr="004B0EC7">
        <w:fldChar w:fldCharType="end"/>
      </w:r>
      <w:r>
        <w:t>.</w:t>
      </w:r>
      <w:r>
        <w:tab/>
        <w:t xml:space="preserve"> El riesgo de posición inherente a un instrumento de deuda negociable o a un instrumento de patrimonio (o instrumentos derivados de estos) se dividirá en dos componentes para calcular el requisito de capital al respecto. El primero de dichos componentes será el riesgo específico, que es el riesgo de que se produzca una variación del precio del instrumento de que se trate por causas relacionadas bien con su emisor, bien con el emisor de su instrumento subyacente, si se trata de un instrumento derivado. El segundo componente englobará el riesgo general, que es el que se deriva de toda modificación del precio del instrumento debida (en el caso de instrumentos de deuda negociables o de derivados de estos) a una variación del nivel de los tipos de interés o (cuando se trata de instrumentos de patrimonio o de instrumentos derivados de estos) a un movimiento general registrado en el mercado de valores y no imputable a determinadas características específicas de los valores de que se trate. </w:t>
      </w:r>
      <w:bookmarkEnd w:id="16"/>
      <w:r>
        <w:t xml:space="preserve">El tratamiento general de los instrumentos concretos y los procedimientos de compensación están recogidos en los artículos 326 a 333 del Reglamento (UE) n.º 575/2013. </w:t>
      </w:r>
    </w:p>
    <w:p w14:paraId="39C5FEA4" w14:textId="0C709FA3"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7" w:name="_Toc239157393"/>
      <w:bookmarkStart w:id="18" w:name="_Toc262566426"/>
      <w:bookmarkStart w:id="19" w:name="_Toc295829996"/>
      <w:bookmarkStart w:id="20" w:name="_Toc308426673"/>
      <w:bookmarkStart w:id="21" w:name="_Toc310415057"/>
      <w:bookmarkStart w:id="22" w:name="_Toc360188392"/>
      <w:bookmarkStart w:id="23" w:name="_Toc473561032"/>
      <w:bookmarkStart w:id="24" w:name="_Toc151714486"/>
      <w:r>
        <w:rPr>
          <w:rFonts w:ascii="Times New Roman" w:hAnsi="Times New Roman"/>
          <w:sz w:val="24"/>
          <w:u w:val="none"/>
        </w:rPr>
        <w:t>5.1.</w:t>
      </w:r>
      <w:r>
        <w:rPr>
          <w:rFonts w:ascii="Times New Roman" w:hAnsi="Times New Roman"/>
          <w:sz w:val="24"/>
          <w:u w:val="none"/>
        </w:rPr>
        <w:tab/>
      </w:r>
      <w:r>
        <w:rPr>
          <w:rFonts w:ascii="Times New Roman" w:hAnsi="Times New Roman"/>
          <w:sz w:val="24"/>
        </w:rPr>
        <w:t>C 18.01 - Riesgo de mercado: método estándar simplificado para los riesgos de posición en instrumentos de deuda negociables</w:t>
      </w:r>
      <w:bookmarkEnd w:id="17"/>
      <w:bookmarkEnd w:id="18"/>
      <w:bookmarkEnd w:id="19"/>
      <w:bookmarkEnd w:id="20"/>
      <w:bookmarkEnd w:id="21"/>
      <w:bookmarkEnd w:id="22"/>
      <w:r>
        <w:rPr>
          <w:rFonts w:ascii="Times New Roman" w:hAnsi="Times New Roman"/>
          <w:sz w:val="24"/>
        </w:rPr>
        <w:t xml:space="preserve"> (MKR SSA TDI)</w:t>
      </w:r>
      <w:bookmarkEnd w:id="23"/>
      <w:bookmarkEnd w:id="24"/>
    </w:p>
    <w:p w14:paraId="7BC699A3"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25" w:name="_Toc262566427"/>
      <w:bookmarkStart w:id="26" w:name="_Toc295829997"/>
      <w:bookmarkStart w:id="27" w:name="_Toc308426674"/>
      <w:bookmarkStart w:id="28" w:name="_Toc310415058"/>
      <w:bookmarkStart w:id="29" w:name="_Toc360188393"/>
      <w:bookmarkStart w:id="30" w:name="_Toc473561033"/>
      <w:bookmarkStart w:id="31" w:name="_Toc151714487"/>
      <w:r>
        <w:rPr>
          <w:rFonts w:ascii="Times New Roman" w:hAnsi="Times New Roman"/>
          <w:sz w:val="24"/>
          <w:u w:val="none"/>
        </w:rPr>
        <w:t>5.1.1.</w:t>
      </w:r>
      <w:r>
        <w:rPr>
          <w:rFonts w:ascii="Times New Roman" w:hAnsi="Times New Roman"/>
          <w:sz w:val="24"/>
          <w:u w:val="none"/>
        </w:rPr>
        <w:tab/>
      </w:r>
      <w:r>
        <w:rPr>
          <w:rFonts w:ascii="Times New Roman" w:hAnsi="Times New Roman"/>
          <w:sz w:val="24"/>
        </w:rPr>
        <w:t>Observaciones generales</w:t>
      </w:r>
      <w:bookmarkEnd w:id="25"/>
      <w:bookmarkEnd w:id="26"/>
      <w:bookmarkEnd w:id="27"/>
      <w:bookmarkEnd w:id="28"/>
      <w:bookmarkEnd w:id="29"/>
      <w:bookmarkEnd w:id="30"/>
      <w:bookmarkEnd w:id="31"/>
    </w:p>
    <w:p w14:paraId="0D010E09" w14:textId="091C822F"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160</w:t>
      </w:r>
      <w:r w:rsidRPr="004B0EC7">
        <w:fldChar w:fldCharType="end"/>
      </w:r>
      <w:r>
        <w:t>.</w:t>
      </w:r>
      <w:r>
        <w:tab/>
        <w:t xml:space="preserve"> Esta plantilla recoge las posiciones y los correspondientes requisitos de fondos propios para los riesgos de posición en instrumentos de deuda negociables con arreglo al método estándar [artículo 325, apartado 2, letra a), del Reglamento (UE) n.º 575/2013]. Los distintos riesgos y métodos disponibles con arreglo al Reglamento (UE) n.º 575/2013 se analizan por filas. El riesgo específico asociado a las exposi</w:t>
      </w:r>
      <w:r>
        <w:lastRenderedPageBreak/>
        <w:t>ciones incluidas en MKR SSA SEC y MKR SSA CTP únicamente deberá comunicarse en la plantilla Total MKR SSA TDI. Los requisitos de fondos propios comunicados en estas plantillas se transferirán a las celdas {0325;0060} (titulizaciones) y {0330;0060} (cartera de negociación de correlación), respectivamente.</w:t>
      </w:r>
    </w:p>
    <w:p w14:paraId="7C8420A5" w14:textId="7A817DE2"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161</w:t>
      </w:r>
      <w:r w:rsidRPr="004B0EC7">
        <w:fldChar w:fldCharType="end"/>
      </w:r>
      <w:r>
        <w:t>.</w:t>
      </w:r>
      <w:r>
        <w:tab/>
        <w:t xml:space="preserve"> La plantilla deberá cumplimentarse por separado para el “Total”, más una lista predefinida de las siguientes divisas: </w:t>
      </w:r>
      <w:bookmarkStart w:id="32" w:name="OLE_LINK1"/>
      <w:r>
        <w:t>EUR, ALL, BGN, CZK, DKK, EGP, GBP, HUF, ISK, JPY, MKD, NOK, PLN, RON, RUB, RSD, SEK, CHF, TRY, UAH, USD</w:t>
      </w:r>
      <w:bookmarkEnd w:id="32"/>
      <w:r>
        <w:t xml:space="preserve"> cumplimentándose una plantilla residual para todas las demás divisas. </w:t>
      </w:r>
    </w:p>
    <w:p w14:paraId="73E54EAD" w14:textId="76F64ACC"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33" w:name="_Toc262566428"/>
      <w:bookmarkStart w:id="34" w:name="_Toc295829998"/>
      <w:bookmarkStart w:id="35" w:name="_Toc308426675"/>
      <w:bookmarkStart w:id="36" w:name="_Toc310415059"/>
      <w:bookmarkStart w:id="37" w:name="_Toc360188394"/>
      <w:bookmarkStart w:id="38" w:name="_Toc473561034"/>
      <w:bookmarkStart w:id="39" w:name="_Toc151714488"/>
      <w:r>
        <w:rPr>
          <w:rFonts w:ascii="Times New Roman" w:hAnsi="Times New Roman"/>
          <w:sz w:val="24"/>
          <w:u w:val="none"/>
        </w:rPr>
        <w:t>5.1.2.</w:t>
      </w:r>
      <w:r>
        <w:rPr>
          <w:rFonts w:ascii="Times New Roman" w:hAnsi="Times New Roman"/>
          <w:sz w:val="24"/>
          <w:u w:val="none"/>
        </w:rPr>
        <w:tab/>
      </w:r>
      <w:r>
        <w:rPr>
          <w:rFonts w:ascii="Times New Roman" w:hAnsi="Times New Roman"/>
          <w:sz w:val="24"/>
        </w:rPr>
        <w:t>Instrucciones relativas a posiciones concretas</w:t>
      </w:r>
      <w:bookmarkEnd w:id="33"/>
      <w:bookmarkEnd w:id="34"/>
      <w:bookmarkEnd w:id="35"/>
      <w:bookmarkEnd w:id="36"/>
      <w:bookmarkEnd w:id="37"/>
      <w:bookmarkEnd w:id="38"/>
      <w:bookmarkEnd w:id="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3B011B78" w14:textId="77777777" w:rsidTr="00672D2A">
        <w:trPr>
          <w:trHeight w:val="569"/>
        </w:trPr>
        <w:tc>
          <w:tcPr>
            <w:tcW w:w="8862" w:type="dxa"/>
            <w:gridSpan w:val="2"/>
            <w:shd w:val="clear" w:color="auto" w:fill="CCCCCC"/>
          </w:tcPr>
          <w:p w14:paraId="3F08430D"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Columnas</w:t>
            </w:r>
          </w:p>
        </w:tc>
      </w:tr>
      <w:tr w:rsidR="000B0B09" w:rsidRPr="004B0EC7" w14:paraId="2FB66B69" w14:textId="77777777" w:rsidTr="00672D2A">
        <w:tc>
          <w:tcPr>
            <w:tcW w:w="988" w:type="dxa"/>
          </w:tcPr>
          <w:p w14:paraId="3487AAF4"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3B61CB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TODAS LAS POSICIONES (LARGAS Y CORTAS)</w:t>
            </w:r>
          </w:p>
          <w:p w14:paraId="0C799784" w14:textId="63DC6E88" w:rsidR="000B0B09" w:rsidRPr="004B0EC7" w:rsidRDefault="000B0B09" w:rsidP="00D24331">
            <w:pPr>
              <w:rPr>
                <w:rFonts w:ascii="Times New Roman" w:hAnsi="Times New Roman"/>
                <w:sz w:val="24"/>
              </w:rPr>
            </w:pPr>
            <w:r>
              <w:rPr>
                <w:rFonts w:ascii="Times New Roman" w:hAnsi="Times New Roman"/>
                <w:sz w:val="24"/>
              </w:rPr>
              <w:t>Artículo 102 y artículo 105, apartado 1, del Reglamento (UE) n.º 575/2013. Son posiciones brutas no compensadas por instrumentos, pero deducidas las posiciones de aseguramiento ya suscritas o reaseguradas por terceros de conformidad con el artículo 345, apartado 1, párrafo primero, segunda frase, del Reglamento (UE) n.º 575/2013. En cuanto a la distinción entre las posiciones largas y cortas, también aplicable a estas posiciones brutas, véase el artículo 328, apartado 2, del Reglamento (UE) n.º 575/2013.</w:t>
            </w:r>
          </w:p>
        </w:tc>
      </w:tr>
      <w:tr w:rsidR="000B0B09" w:rsidRPr="004B0EC7" w14:paraId="05A2AFD3" w14:textId="77777777" w:rsidTr="00672D2A">
        <w:tc>
          <w:tcPr>
            <w:tcW w:w="988" w:type="dxa"/>
          </w:tcPr>
          <w:p w14:paraId="0443676D"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28E370A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POSICIONES NETAS (LARGAS Y CORTAS)</w:t>
            </w:r>
          </w:p>
          <w:p w14:paraId="38649486" w14:textId="21B59DB4" w:rsidR="000B0B09" w:rsidRPr="004B0EC7" w:rsidRDefault="000B0B09" w:rsidP="005B04C9">
            <w:pPr>
              <w:rPr>
                <w:rFonts w:ascii="Times New Roman" w:hAnsi="Times New Roman"/>
                <w:sz w:val="24"/>
              </w:rPr>
            </w:pPr>
            <w:r>
              <w:rPr>
                <w:rFonts w:ascii="Times New Roman" w:hAnsi="Times New Roman"/>
                <w:sz w:val="24"/>
              </w:rPr>
              <w:t>Artículos 327 a 329 y 334 del Reglamento (UE) n.º 575/2013. En cuanto a la distinción entre las posiciones largas y cortas, véase el artículo 328, apartado 2, del Reglamento (UE) n.º 575/2013.</w:t>
            </w:r>
          </w:p>
        </w:tc>
      </w:tr>
      <w:tr w:rsidR="000B0B09" w:rsidRPr="004B0EC7" w14:paraId="4C7D46FF" w14:textId="77777777" w:rsidTr="00672D2A">
        <w:tc>
          <w:tcPr>
            <w:tcW w:w="988" w:type="dxa"/>
          </w:tcPr>
          <w:p w14:paraId="4D3FEEA5"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B3043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POSICIONES SUJETAS A EXIGENCIA DE CAPITAL</w:t>
            </w:r>
          </w:p>
          <w:p w14:paraId="76B658E5" w14:textId="104F8165" w:rsidR="000B0B09" w:rsidRPr="004B0EC7" w:rsidRDefault="000B0B09" w:rsidP="007079CE">
            <w:pPr>
              <w:rPr>
                <w:rFonts w:ascii="Times New Roman" w:hAnsi="Times New Roman"/>
                <w:b/>
                <w:bCs/>
                <w:sz w:val="24"/>
                <w:u w:val="single"/>
              </w:rPr>
            </w:pPr>
            <w:r>
              <w:rPr>
                <w:rFonts w:ascii="Times New Roman" w:hAnsi="Times New Roman"/>
                <w:sz w:val="24"/>
              </w:rPr>
              <w:t>Posiciones netas sobre las que, con arreglo a los distintos métodos considerados en la parte tercera, título IV, capítulo 2, del Reglamento (UE) n.º 575/2013, recae una exigencia de capital.</w:t>
            </w:r>
          </w:p>
        </w:tc>
      </w:tr>
      <w:tr w:rsidR="000B0B09" w:rsidRPr="004B0EC7" w14:paraId="017C014C" w14:textId="77777777" w:rsidTr="00672D2A">
        <w:tc>
          <w:tcPr>
            <w:tcW w:w="988" w:type="dxa"/>
          </w:tcPr>
          <w:p w14:paraId="7D197D93"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55F3618B" w14:textId="3706C532"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FONDOS PROPIOS ANTES DE APLICAR LOS FACTORES DE ESCALA</w:t>
            </w:r>
          </w:p>
          <w:p w14:paraId="74F1F61F" w14:textId="1A8933CC" w:rsidR="000B0B09" w:rsidRPr="004B0EC7" w:rsidRDefault="000B0B09" w:rsidP="005B04C9">
            <w:pPr>
              <w:rPr>
                <w:rFonts w:ascii="Times New Roman" w:hAnsi="Times New Roman"/>
                <w:b/>
                <w:bCs/>
                <w:sz w:val="24"/>
                <w:u w:val="single"/>
              </w:rPr>
            </w:pPr>
            <w:r>
              <w:rPr>
                <w:rFonts w:ascii="Times New Roman" w:hAnsi="Times New Roman"/>
                <w:sz w:val="24"/>
              </w:rPr>
              <w:t>Los requisitos de fondos propios para cualquier posición pertinente de conformidad con la parte tercera, título IV, capítulo 2, del Reglamento (UE) n.º 575/2013, antes de aplicar los factores de escala establecidos en el artículo 325, apartado 2, letra a), inciso i), y letra d), de dicho Reglamento.</w:t>
            </w:r>
          </w:p>
        </w:tc>
      </w:tr>
      <w:tr w:rsidR="000B0B09" w:rsidRPr="004B0EC7" w14:paraId="56717AD1" w14:textId="77777777" w:rsidTr="00672D2A">
        <w:tc>
          <w:tcPr>
            <w:tcW w:w="988" w:type="dxa"/>
          </w:tcPr>
          <w:p w14:paraId="0D4A61CE" w14:textId="760D6E46"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7996E138"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 DE LA EXPOSICIÓN AL RIESGO</w:t>
            </w:r>
          </w:p>
          <w:p w14:paraId="2B71E9D1" w14:textId="77777777" w:rsidR="000C566F" w:rsidRPr="004B0EC7" w:rsidRDefault="000B0B09" w:rsidP="00D24331">
            <w:pPr>
              <w:rPr>
                <w:rFonts w:ascii="Times New Roman" w:hAnsi="Times New Roman"/>
                <w:sz w:val="24"/>
              </w:rPr>
            </w:pPr>
            <w:r>
              <w:rPr>
                <w:rFonts w:ascii="Times New Roman" w:hAnsi="Times New Roman"/>
                <w:sz w:val="24"/>
              </w:rPr>
              <w:t>Artículo 92, apartado 4, letra b), inciso i), del Reglamento (UE) n.º 575/2013.</w:t>
            </w:r>
          </w:p>
          <w:p w14:paraId="2C4B0E54" w14:textId="046410BB" w:rsidR="000B0B09" w:rsidRPr="004B0EC7" w:rsidRDefault="000B0B09" w:rsidP="00D24331">
            <w:pPr>
              <w:rPr>
                <w:rFonts w:ascii="Times New Roman" w:hAnsi="Times New Roman"/>
                <w:b/>
                <w:bCs/>
                <w:sz w:val="24"/>
                <w:u w:val="single"/>
              </w:rPr>
            </w:pPr>
            <w:r>
              <w:rPr>
                <w:rFonts w:ascii="Times New Roman" w:hAnsi="Times New Roman"/>
                <w:sz w:val="24"/>
              </w:rPr>
              <w:t xml:space="preserve">El resultado de multiplicar los requisitos de fondos propios por 12,5 de conformidad con el artículo 92, apartado 6, letra b), del Reglamento (UE) n.º 575/2013 y por el factor de escala aplicable de conformidad con el artículo 325, apartado 2, letra a), inciso i), y letra d), de dicho Reglamento. </w:t>
            </w:r>
          </w:p>
        </w:tc>
      </w:tr>
    </w:tbl>
    <w:p w14:paraId="5A8176A5"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4B0EC7" w14:paraId="64300D2A" w14:textId="77777777" w:rsidTr="00672D2A">
        <w:trPr>
          <w:trHeight w:val="533"/>
        </w:trPr>
        <w:tc>
          <w:tcPr>
            <w:tcW w:w="8862" w:type="dxa"/>
            <w:gridSpan w:val="2"/>
            <w:shd w:val="clear" w:color="auto" w:fill="CCCCCC"/>
          </w:tcPr>
          <w:p w14:paraId="3C74B427"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lastRenderedPageBreak/>
              <w:t>Filas</w:t>
            </w:r>
          </w:p>
        </w:tc>
      </w:tr>
      <w:tr w:rsidR="000B0B09" w:rsidRPr="004B0EC7" w14:paraId="278DCECA" w14:textId="77777777" w:rsidTr="00672D2A">
        <w:trPr>
          <w:trHeight w:val="1168"/>
        </w:trPr>
        <w:tc>
          <w:tcPr>
            <w:tcW w:w="987" w:type="dxa"/>
          </w:tcPr>
          <w:p w14:paraId="2275EBA9" w14:textId="77777777" w:rsidR="000B0B09" w:rsidRPr="004B0EC7" w:rsidRDefault="00EE2CD5" w:rsidP="00EE2CD5">
            <w:pPr>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14:paraId="20DE7F5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INSTRUMENTOS DE DEUDA NEGOCIABLES EN LA CARTERA DE NEGOCIACIÓN</w:t>
            </w:r>
          </w:p>
          <w:p w14:paraId="12C841B7" w14:textId="0DE276AE" w:rsidR="000B0B09" w:rsidRPr="004B0EC7" w:rsidRDefault="000B0B09" w:rsidP="00D24331">
            <w:pPr>
              <w:rPr>
                <w:rFonts w:ascii="Times New Roman" w:hAnsi="Times New Roman"/>
                <w:sz w:val="24"/>
              </w:rPr>
            </w:pPr>
            <w:r>
              <w:rPr>
                <w:rFonts w:ascii="Times New Roman" w:hAnsi="Times New Roman"/>
                <w:sz w:val="24"/>
              </w:rPr>
              <w:t>Las posiciones en instrumentos de deuda negociables en la cartera de negociación y sus correspondientes requisitos de fondos propios por riesgo de posición, con arreglo al artículo 92, apartado 4, letra b), inciso i), del Reglamento (UE) n.º 575/2013 y a la parte tercera, título IV, capítulo 2, de dicho Reglamento, se comunicarán dependiendo de la categoría de riesgo, el vencimiento y el método empleado.</w:t>
            </w:r>
          </w:p>
        </w:tc>
      </w:tr>
      <w:tr w:rsidR="000B0B09" w:rsidRPr="004B0EC7" w14:paraId="2272E4A5" w14:textId="77777777" w:rsidTr="00672D2A">
        <w:tc>
          <w:tcPr>
            <w:tcW w:w="987" w:type="dxa"/>
          </w:tcPr>
          <w:p w14:paraId="0642F5E6"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51E03C37"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RIESGO GENERAL </w:t>
            </w:r>
          </w:p>
        </w:tc>
      </w:tr>
      <w:tr w:rsidR="000B0B09" w:rsidRPr="004B0EC7" w14:paraId="55F30C33" w14:textId="77777777" w:rsidTr="00672D2A">
        <w:tc>
          <w:tcPr>
            <w:tcW w:w="987" w:type="dxa"/>
          </w:tcPr>
          <w:p w14:paraId="2CBA5F8A"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04F0038F"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Derivados</w:t>
            </w:r>
          </w:p>
          <w:p w14:paraId="06C530F0" w14:textId="7A78F919" w:rsidR="000B0B09" w:rsidRPr="004B0EC7" w:rsidRDefault="000B0B09" w:rsidP="00BD2FE7">
            <w:pPr>
              <w:rPr>
                <w:rFonts w:ascii="Times New Roman" w:hAnsi="Times New Roman"/>
                <w:b/>
                <w:bCs/>
                <w:sz w:val="24"/>
                <w:u w:val="single"/>
              </w:rPr>
            </w:pPr>
            <w:r>
              <w:rPr>
                <w:rFonts w:ascii="Times New Roman" w:hAnsi="Times New Roman"/>
                <w:sz w:val="24"/>
              </w:rPr>
              <w:t>Derivados incluidos en el cálculo del riesgo de tipo de interés de las posiciones de la cartera de negociación, teniendo en cuenta los artículos 328 a 331 del Reglamento (UE) n.º 575/2013, si procede.</w:t>
            </w:r>
          </w:p>
        </w:tc>
      </w:tr>
      <w:tr w:rsidR="000B0B09" w:rsidRPr="004B0EC7" w14:paraId="36851B46" w14:textId="77777777" w:rsidTr="00672D2A">
        <w:tc>
          <w:tcPr>
            <w:tcW w:w="987" w:type="dxa"/>
          </w:tcPr>
          <w:p w14:paraId="6827F663"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14:paraId="6024297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Otros activos y pasivos</w:t>
            </w:r>
          </w:p>
          <w:p w14:paraId="665719C9" w14:textId="77777777" w:rsidR="000B0B09" w:rsidRPr="004B0EC7" w:rsidRDefault="000B0B09" w:rsidP="00BD2FE7">
            <w:pPr>
              <w:rPr>
                <w:rFonts w:ascii="Times New Roman" w:hAnsi="Times New Roman"/>
                <w:b/>
                <w:bCs/>
                <w:sz w:val="24"/>
                <w:u w:val="single"/>
              </w:rPr>
            </w:pPr>
            <w:r>
              <w:rPr>
                <w:rFonts w:ascii="Times New Roman" w:hAnsi="Times New Roman"/>
                <w:sz w:val="24"/>
              </w:rPr>
              <w:t xml:space="preserve">Instrumentos distintos de los derivados incluidos en el cálculo del riesgo de tipo de interés de las posiciones de la cartera de negociación. </w:t>
            </w:r>
          </w:p>
        </w:tc>
      </w:tr>
      <w:tr w:rsidR="000B0B09" w:rsidRPr="004B0EC7" w14:paraId="177EBA5C" w14:textId="77777777" w:rsidTr="00672D2A">
        <w:tc>
          <w:tcPr>
            <w:tcW w:w="987" w:type="dxa"/>
          </w:tcPr>
          <w:p w14:paraId="2B740B72" w14:textId="77777777" w:rsidR="000B0B09" w:rsidRPr="004B0EC7"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14:paraId="1DE7E50A"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MÉTODO BASADO EN EL VENCIMIENTO</w:t>
            </w:r>
          </w:p>
          <w:p w14:paraId="644A7531" w14:textId="609558C7" w:rsidR="000B0B09" w:rsidRPr="004B0EC7" w:rsidRDefault="000B0B09" w:rsidP="00D24331">
            <w:pPr>
              <w:rPr>
                <w:rFonts w:ascii="Times New Roman" w:hAnsi="Times New Roman"/>
                <w:b/>
                <w:bCs/>
                <w:sz w:val="24"/>
                <w:u w:val="single"/>
              </w:rPr>
            </w:pPr>
            <w:r>
              <w:rPr>
                <w:rFonts w:ascii="Times New Roman" w:hAnsi="Times New Roman"/>
                <w:sz w:val="24"/>
              </w:rPr>
              <w:t>Posiciones en instrumentos de deuda negociables a las que se aplique el método basado en el vencimiento, con arreglo al artículo 339, apartados 1 a 8, del Reglamento (UE) n.º 575/2013, y los correspondientes requisitos de fondos propios calculados de conformidad con el artículo 339, apartado 9, de dicho Reglamento. La posición se dividirá por zonas 1, 2 y 3, y estas, a su vez, en función del vencimiento de los instrumentos.</w:t>
            </w:r>
          </w:p>
        </w:tc>
      </w:tr>
      <w:tr w:rsidR="000B0B09" w:rsidRPr="004B0EC7" w14:paraId="79DAC997" w14:textId="77777777" w:rsidTr="00672D2A">
        <w:tc>
          <w:tcPr>
            <w:tcW w:w="987" w:type="dxa"/>
          </w:tcPr>
          <w:p w14:paraId="73C021ED"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0210-0240</w:t>
            </w:r>
          </w:p>
        </w:tc>
        <w:tc>
          <w:tcPr>
            <w:tcW w:w="7875" w:type="dxa"/>
          </w:tcPr>
          <w:p w14:paraId="2CE27E61"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RIESGO GENERAL. MÉTODO BASADO EN LA DURACIÓN</w:t>
            </w:r>
          </w:p>
          <w:p w14:paraId="08171DB1" w14:textId="1FFC6791" w:rsidR="000B0B09" w:rsidRPr="004B0EC7" w:rsidRDefault="000B0B09" w:rsidP="00D24331">
            <w:pPr>
              <w:rPr>
                <w:rFonts w:ascii="Times New Roman" w:hAnsi="Times New Roman"/>
                <w:b/>
                <w:bCs/>
                <w:sz w:val="24"/>
                <w:u w:val="single"/>
              </w:rPr>
            </w:pPr>
            <w:r>
              <w:rPr>
                <w:rFonts w:ascii="Times New Roman" w:hAnsi="Times New Roman"/>
                <w:sz w:val="24"/>
              </w:rPr>
              <w:t>Posiciones en instrumentos de deuda negociables a las que se aplique el método basado en la duración, con arreglo al artículo 340, apartados 1 a 6, del Reglamento (UE) n.º 575/2013, y los correspondientes requisitos de fondos propios calculados de conformidad con el artículo 340, apartado 7, de dicho Reglamento. La posición se dividirá por zonas 1, 2 y 3.</w:t>
            </w:r>
          </w:p>
        </w:tc>
      </w:tr>
      <w:tr w:rsidR="000B0B09" w:rsidRPr="004B0EC7" w14:paraId="7DD483EC" w14:textId="77777777" w:rsidTr="00672D2A">
        <w:tc>
          <w:tcPr>
            <w:tcW w:w="987" w:type="dxa"/>
          </w:tcPr>
          <w:p w14:paraId="5974B232"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6CE50A3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RIESGO ESPECÍFICO</w:t>
            </w:r>
          </w:p>
          <w:p w14:paraId="29C6E3D0" w14:textId="77777777" w:rsidR="000B0B09" w:rsidRPr="004B0EC7" w:rsidRDefault="000B0B09" w:rsidP="00BD2FE7">
            <w:pPr>
              <w:rPr>
                <w:rFonts w:ascii="Times New Roman" w:hAnsi="Times New Roman"/>
                <w:sz w:val="24"/>
              </w:rPr>
            </w:pPr>
            <w:r>
              <w:rPr>
                <w:rFonts w:ascii="Times New Roman" w:hAnsi="Times New Roman"/>
                <w:sz w:val="24"/>
              </w:rPr>
              <w:t xml:space="preserve">Suma de los importes comunicados en las filas 0251, 0325 y 0330. </w:t>
            </w:r>
          </w:p>
          <w:p w14:paraId="4E1E5CA2" w14:textId="0BF89FF6" w:rsidR="000B0B09" w:rsidRPr="004B0EC7" w:rsidRDefault="000B0B09" w:rsidP="00D24331">
            <w:pPr>
              <w:rPr>
                <w:rFonts w:ascii="Times New Roman" w:hAnsi="Times New Roman"/>
                <w:b/>
                <w:bCs/>
                <w:sz w:val="24"/>
                <w:u w:val="single"/>
              </w:rPr>
            </w:pPr>
            <w:r>
              <w:rPr>
                <w:rFonts w:ascii="Times New Roman" w:hAnsi="Times New Roman"/>
                <w:sz w:val="24"/>
              </w:rPr>
              <w:t>Posiciones en instrumentos de deuda negociables sujetas a requisitos de capital por riesgo específico, y sus correspondientes requisitos de capital conforme al artículo 92, apartado 4, letra b), al artículo 335, al artículo 336, apartados 1, 2 y 3, y a los artículos 337 y 338 del Reglamento (UE) n.º 575/2013. Téngase también en cuenta la última frase del artículo 327, apartado 1, del Reglamento (UE) n.º 575/2013.</w:t>
            </w:r>
          </w:p>
        </w:tc>
      </w:tr>
      <w:tr w:rsidR="000B0B09" w:rsidRPr="004B0EC7" w14:paraId="6F8691E7" w14:textId="77777777" w:rsidTr="00672D2A">
        <w:tc>
          <w:tcPr>
            <w:tcW w:w="987" w:type="dxa"/>
          </w:tcPr>
          <w:p w14:paraId="5CD5E31A"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14:paraId="14764BB8"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 de fondos propios para instrumentos de deuda no consistentes en titulizaciones</w:t>
            </w:r>
          </w:p>
          <w:p w14:paraId="19437B35" w14:textId="77777777" w:rsidR="000B0B09" w:rsidRPr="004B0EC7" w:rsidRDefault="000B0B09" w:rsidP="007B2F85">
            <w:pPr>
              <w:rPr>
                <w:rFonts w:ascii="Times New Roman" w:hAnsi="Times New Roman"/>
                <w:sz w:val="24"/>
              </w:rPr>
            </w:pPr>
            <w:r>
              <w:rPr>
                <w:rFonts w:ascii="Times New Roman" w:hAnsi="Times New Roman"/>
                <w:sz w:val="24"/>
              </w:rPr>
              <w:t>Suma de los importes comunicados en las filas 260 a 321.</w:t>
            </w:r>
          </w:p>
          <w:p w14:paraId="4CDA5DEB" w14:textId="3E49784D" w:rsidR="000B0B09" w:rsidRPr="004B0EC7" w:rsidRDefault="000B0B09" w:rsidP="00BD2FE7">
            <w:pPr>
              <w:rPr>
                <w:rFonts w:ascii="Times New Roman" w:hAnsi="Times New Roman"/>
                <w:sz w:val="24"/>
              </w:rPr>
            </w:pPr>
            <w:r>
              <w:rPr>
                <w:rFonts w:ascii="Times New Roman" w:hAnsi="Times New Roman"/>
                <w:sz w:val="24"/>
              </w:rPr>
              <w:lastRenderedPageBreak/>
              <w:t xml:space="preserve">El requisito de fondos propios de los derivados de crédito de n-ésimo impago no calificados externamente deberá computarse sumando las ponderaciones de riesgo de los entes de referencia [artículo 332, apartado 1, letra e), y párrafo segundo, del Reglamento (UE) n.º 575/2013: “enfoque de transparencia”]. Los derivados de crédito de n-ésimo impago calificados externamente [artículo 332, apartado 1, párrafo tercero, del Reglamento (UE) n.º 575/2013] se comunicarán por separado en la línea 321. </w:t>
            </w:r>
          </w:p>
          <w:p w14:paraId="7051ED04" w14:textId="663FE04C" w:rsidR="000B0B09" w:rsidRPr="004B0EC7" w:rsidRDefault="000B0B09" w:rsidP="00BD2FE7">
            <w:pPr>
              <w:rPr>
                <w:rFonts w:ascii="Times New Roman" w:hAnsi="Times New Roman"/>
                <w:sz w:val="24"/>
              </w:rPr>
            </w:pPr>
            <w:r>
              <w:rPr>
                <w:rFonts w:ascii="Times New Roman" w:hAnsi="Times New Roman"/>
                <w:sz w:val="24"/>
              </w:rPr>
              <w:t>Comunicación de las posiciones sujetas al artículo 336, apartado 3, del Reglamento (UE) n.º 575/2013: existe un tratamiento especial para los bonos que puedan recibir una ponderación de riesgo del 10 % en la cartera bancaria con arreglo al artículo 129, apartado 3, del Reglamento (UE) n.º 575/2013 (bonos garantizados). Los requisitos específicos de fondos propios equivaldrán a la mitad del porcentaje de la segunda categoría contemplada en el cuadro 1 del artículo 336 del Reglamento (UE) n.º 575/2013. Esas posiciones deben asignarse a las filas 0280 a 0300, de acuerdo con el plazo residual hasta el vencimiento final.</w:t>
            </w:r>
          </w:p>
          <w:p w14:paraId="11FE9AD5" w14:textId="13EA9F09" w:rsidR="000B0B09" w:rsidRPr="004B0EC7" w:rsidRDefault="00F41508" w:rsidP="0002267E">
            <w:pPr>
              <w:rPr>
                <w:rFonts w:ascii="Times New Roman" w:hAnsi="Times New Roman"/>
                <w:b/>
                <w:bCs/>
                <w:sz w:val="24"/>
                <w:u w:val="single"/>
              </w:rPr>
            </w:pPr>
            <w:r>
              <w:rPr>
                <w:rFonts w:ascii="Times New Roman" w:hAnsi="Times New Roman"/>
                <w:sz w:val="24"/>
              </w:rPr>
              <w:t xml:space="preserve">Si el riesgo general de las posiciones en tipos de interés está cubierto mediante un derivado de crédito, se aplicarán los artículos 346 y 347 del Reglamento (UE) n.º 575/2013. </w:t>
            </w:r>
          </w:p>
        </w:tc>
      </w:tr>
      <w:tr w:rsidR="000B0B09" w:rsidRPr="004B0EC7" w14:paraId="3F2475A8" w14:textId="77777777" w:rsidTr="00672D2A">
        <w:tc>
          <w:tcPr>
            <w:tcW w:w="987" w:type="dxa"/>
          </w:tcPr>
          <w:p w14:paraId="1898316C" w14:textId="77777777" w:rsidR="000B0B09" w:rsidRPr="004B0EC7"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0325</w:t>
            </w:r>
          </w:p>
        </w:tc>
        <w:tc>
          <w:tcPr>
            <w:tcW w:w="7875" w:type="dxa"/>
          </w:tcPr>
          <w:p w14:paraId="21ACC24B"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 de fondos propios para instrumentos de titulización</w:t>
            </w:r>
          </w:p>
          <w:p w14:paraId="7BA68AB7" w14:textId="7771B388" w:rsidR="00722A10" w:rsidRPr="004B0EC7" w:rsidDel="00F27BD6" w:rsidRDefault="000B0B09" w:rsidP="0002267E">
            <w:pPr>
              <w:rPr>
                <w:rFonts w:ascii="Times New Roman" w:hAnsi="Times New Roman"/>
                <w:b/>
                <w:bCs/>
                <w:sz w:val="24"/>
                <w:u w:val="single"/>
              </w:rPr>
            </w:pPr>
            <w:r>
              <w:rPr>
                <w:rFonts w:ascii="Times New Roman" w:hAnsi="Times New Roman"/>
                <w:sz w:val="24"/>
              </w:rPr>
              <w:t>Requisitos de fondos propios totales comunicados en la columna 0601 de la plantilla MKR SSA SEC. Solo se comunicarán en el Total de MKR SSA TDI.</w:t>
            </w:r>
          </w:p>
        </w:tc>
      </w:tr>
      <w:tr w:rsidR="000B0B09" w:rsidRPr="004B0EC7" w14:paraId="55688787" w14:textId="77777777" w:rsidTr="00672D2A">
        <w:tc>
          <w:tcPr>
            <w:tcW w:w="987" w:type="dxa"/>
          </w:tcPr>
          <w:p w14:paraId="74C28C83" w14:textId="77777777" w:rsidR="000B0B09" w:rsidRPr="004B0EC7"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14:paraId="66957FAA"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 de fondos propios para la cartera de negociación de correlación</w:t>
            </w:r>
          </w:p>
          <w:p w14:paraId="104F8330" w14:textId="55BA6B97" w:rsidR="00722A10" w:rsidRPr="004B0EC7" w:rsidDel="00F27BD6" w:rsidRDefault="000B0B09" w:rsidP="0002267E">
            <w:pPr>
              <w:rPr>
                <w:rFonts w:ascii="Times New Roman" w:hAnsi="Times New Roman"/>
                <w:b/>
                <w:bCs/>
                <w:sz w:val="24"/>
                <w:u w:val="single"/>
              </w:rPr>
            </w:pPr>
            <w:r>
              <w:rPr>
                <w:rFonts w:ascii="Times New Roman" w:hAnsi="Times New Roman"/>
                <w:sz w:val="24"/>
              </w:rPr>
              <w:t>Requisitos de fondos propios totales comunicados en la columna 0450 de la plantilla MKR SSA CTP. Solo se comunicarán en el Total de MKR SSA TDI.</w:t>
            </w:r>
          </w:p>
        </w:tc>
      </w:tr>
      <w:tr w:rsidR="000B0B09" w:rsidRPr="004B0EC7" w14:paraId="230D0723" w14:textId="77777777" w:rsidTr="00672D2A">
        <w:tc>
          <w:tcPr>
            <w:tcW w:w="987" w:type="dxa"/>
          </w:tcPr>
          <w:p w14:paraId="26241DA3" w14:textId="77777777" w:rsidR="000B0B09" w:rsidRPr="004B0EC7"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14:paraId="5291B6A7" w14:textId="77777777" w:rsidR="000B0B09" w:rsidRPr="004B0EC7"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REQUISITOS ADICIONALES PARA OPCIONES (RIESGOS DISTINTOS DE DELTA) </w:t>
            </w:r>
          </w:p>
          <w:p w14:paraId="3B19069A" w14:textId="2AE3D272" w:rsidR="000B0B09" w:rsidRPr="004B0EC7" w:rsidRDefault="000B0B09" w:rsidP="00BD2FE7">
            <w:pPr>
              <w:rPr>
                <w:rFonts w:ascii="Times New Roman" w:hAnsi="Times New Roman"/>
                <w:sz w:val="24"/>
              </w:rPr>
            </w:pPr>
            <w:r>
              <w:rPr>
                <w:rFonts w:ascii="Times New Roman" w:hAnsi="Times New Roman"/>
                <w:sz w:val="24"/>
              </w:rPr>
              <w:t>Artículo 329, apartado 3, del Reglamento (UE) n.º 575/2013.</w:t>
            </w:r>
          </w:p>
          <w:p w14:paraId="4A1F04EE" w14:textId="77777777" w:rsidR="000B0B09" w:rsidRPr="004B0EC7" w:rsidRDefault="000B0B09" w:rsidP="0002267E">
            <w:pPr>
              <w:rPr>
                <w:rFonts w:ascii="Times New Roman" w:hAnsi="Times New Roman"/>
                <w:bCs/>
                <w:sz w:val="24"/>
              </w:rPr>
            </w:pPr>
            <w:r>
              <w:rPr>
                <w:rFonts w:ascii="Times New Roman" w:hAnsi="Times New Roman"/>
                <w:sz w:val="24"/>
              </w:rPr>
              <w:t>Los requisitos adicionales para las opciones en relación con riesgos distintos de delta se comunicarán desglosados en función del método empleado para su cálculo.</w:t>
            </w:r>
          </w:p>
        </w:tc>
      </w:tr>
    </w:tbl>
    <w:p w14:paraId="45D79A0A" w14:textId="77777777" w:rsidR="000B0B09" w:rsidRPr="004B0EC7" w:rsidRDefault="000B0B09" w:rsidP="000B0B09">
      <w:pPr>
        <w:autoSpaceDE w:val="0"/>
        <w:autoSpaceDN w:val="0"/>
        <w:adjustRightInd w:val="0"/>
        <w:spacing w:before="0" w:after="0"/>
        <w:rPr>
          <w:rFonts w:ascii="Times New Roman" w:hAnsi="Times New Roman"/>
          <w:bCs/>
          <w:sz w:val="24"/>
          <w:lang w:eastAsia="nl-BE"/>
        </w:rPr>
      </w:pPr>
    </w:p>
    <w:p w14:paraId="7B3D40AE" w14:textId="5C1D6A2C"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40" w:name="_Toc294172370"/>
      <w:bookmarkStart w:id="41" w:name="_Toc295829999"/>
      <w:bookmarkStart w:id="42" w:name="_Toc308426676"/>
      <w:bookmarkStart w:id="43" w:name="_Toc310415060"/>
      <w:bookmarkStart w:id="44" w:name="_Toc360188395"/>
      <w:bookmarkStart w:id="45" w:name="_Toc473561035"/>
      <w:bookmarkStart w:id="46" w:name="_Toc151714489"/>
      <w:r>
        <w:rPr>
          <w:rFonts w:ascii="Times New Roman" w:hAnsi="Times New Roman"/>
          <w:sz w:val="24"/>
          <w:u w:val="none"/>
        </w:rPr>
        <w:t>5.2.</w:t>
      </w:r>
      <w:r>
        <w:rPr>
          <w:rFonts w:ascii="Times New Roman" w:hAnsi="Times New Roman"/>
          <w:sz w:val="24"/>
          <w:u w:val="none"/>
        </w:rPr>
        <w:tab/>
      </w:r>
      <w:r>
        <w:rPr>
          <w:rFonts w:ascii="Times New Roman" w:hAnsi="Times New Roman"/>
          <w:sz w:val="24"/>
        </w:rPr>
        <w:t>C 19.01 - Riesgo de mercado: Método estándar simplificado para el riesgo específico en titulizaciones (MKR SSA SEC)</w:t>
      </w:r>
      <w:bookmarkEnd w:id="40"/>
      <w:bookmarkEnd w:id="41"/>
      <w:bookmarkEnd w:id="42"/>
      <w:bookmarkEnd w:id="43"/>
      <w:bookmarkEnd w:id="44"/>
      <w:bookmarkEnd w:id="45"/>
      <w:bookmarkEnd w:id="46"/>
    </w:p>
    <w:p w14:paraId="77E74540"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47" w:name="_Toc294172371"/>
      <w:bookmarkStart w:id="48" w:name="_Toc295830000"/>
      <w:bookmarkStart w:id="49" w:name="_Toc308426677"/>
      <w:bookmarkStart w:id="50" w:name="_Toc310415061"/>
      <w:bookmarkStart w:id="51" w:name="_Toc360188396"/>
      <w:bookmarkStart w:id="52" w:name="_Toc473561036"/>
      <w:bookmarkStart w:id="53" w:name="_Toc151714490"/>
      <w:r>
        <w:rPr>
          <w:rFonts w:ascii="Times New Roman" w:hAnsi="Times New Roman"/>
          <w:sz w:val="24"/>
          <w:u w:val="none"/>
        </w:rPr>
        <w:t>5.2.1.</w:t>
      </w:r>
      <w:r>
        <w:rPr>
          <w:rFonts w:ascii="Times New Roman" w:hAnsi="Times New Roman"/>
          <w:sz w:val="24"/>
          <w:u w:val="none"/>
        </w:rPr>
        <w:tab/>
      </w:r>
      <w:r>
        <w:rPr>
          <w:rFonts w:ascii="Times New Roman" w:hAnsi="Times New Roman"/>
          <w:sz w:val="24"/>
        </w:rPr>
        <w:t>Observaciones generales</w:t>
      </w:r>
      <w:bookmarkEnd w:id="47"/>
      <w:bookmarkEnd w:id="48"/>
      <w:bookmarkEnd w:id="49"/>
      <w:bookmarkEnd w:id="50"/>
      <w:bookmarkEnd w:id="51"/>
      <w:bookmarkEnd w:id="52"/>
      <w:bookmarkEnd w:id="53"/>
    </w:p>
    <w:bookmarkStart w:id="54" w:name="_Toc294172372"/>
    <w:bookmarkStart w:id="55" w:name="_Toc295830001"/>
    <w:bookmarkStart w:id="56" w:name="_Toc308426678"/>
    <w:bookmarkStart w:id="57" w:name="_Toc310415062"/>
    <w:bookmarkStart w:id="58" w:name="_Toc360188397"/>
    <w:bookmarkStart w:id="59" w:name="_Toc473561037"/>
    <w:p w14:paraId="7E5893C5" w14:textId="3668646B" w:rsidR="00FC6275" w:rsidRPr="004B0EC7" w:rsidRDefault="00771068" w:rsidP="00660845">
      <w:pPr>
        <w:pStyle w:val="InstructionsText2"/>
        <w:numPr>
          <w:ilvl w:val="0"/>
          <w:numId w:val="0"/>
        </w:numPr>
        <w:ind w:left="993"/>
      </w:pPr>
      <w:r w:rsidRPr="004B0EC7">
        <w:fldChar w:fldCharType="begin"/>
      </w:r>
      <w:r w:rsidRPr="004B0EC7">
        <w:instrText xml:space="preserve"> seq paragraphs </w:instrText>
      </w:r>
      <w:r w:rsidRPr="004B0EC7">
        <w:fldChar w:fldCharType="separate"/>
      </w:r>
      <w:r w:rsidRPr="004B0EC7">
        <w:t>162</w:t>
      </w:r>
      <w:r w:rsidRPr="004B0EC7">
        <w:fldChar w:fldCharType="end"/>
      </w:r>
      <w:r>
        <w:t>.</w:t>
      </w:r>
      <w:r>
        <w:tab/>
        <w:t xml:space="preserve"> Esta plantilla recoge información sobre las posiciones (todas/netas y largas/cortas) y los correspondientes requisitos de fondos propios para el componente de riesgo específico del riesgo de posición en titulizaciones y retitulizaciones en la cartera de negociación (no admisibles para la cartera de negociación de correlación) con arreglo al método estándar. </w:t>
      </w:r>
    </w:p>
    <w:p w14:paraId="2729DF95" w14:textId="73D4DCFE" w:rsidR="00FC6275"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163</w:t>
      </w:r>
      <w:r w:rsidRPr="004B0EC7">
        <w:fldChar w:fldCharType="end"/>
      </w:r>
      <w:r>
        <w:t>.</w:t>
      </w:r>
      <w:r>
        <w:tab/>
        <w:t xml:space="preserve"> La plantilla MKR SSA SEC presenta el requisito de fondos propios solo para el riesgo específico de las posiciones de titulización con arreglo al artículo 335 en rela</w:t>
      </w:r>
      <w:r>
        <w:lastRenderedPageBreak/>
        <w:t>ción con el artículo 337 del Reglamento (UE) n.º 575/2013. Si las posiciones de titulización de la cartera de negociación están cubiertas mediante derivados de crédito, se aplicarán los artículos 346 y 347 del Reglamento (UE) n.º 575/2013. Solo hay una plantilla para todas las posiciones de la cartera de negociación, con independencia del método que la entidad emplee para determinar la ponderación de riesgo de cada posición con arreglo a la parte tercera, título II, capítulo 5, del Reglamento (UE) n.º 575/2013. Los requisitos de fondos propios para el riesgo general de estas posiciones se comunicarán en las plantillas MKR SSA TDI o MKR IM.</w:t>
      </w:r>
    </w:p>
    <w:p w14:paraId="0C732A14" w14:textId="7B6E3BDD" w:rsidR="00FC6275"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164</w:t>
      </w:r>
      <w:r w:rsidRPr="004B0EC7">
        <w:fldChar w:fldCharType="end"/>
      </w:r>
      <w:r>
        <w:t>. Las posiciones que reciban una ponderación de riesgo del 1 250 % pueden también deducirse del capital de nivel 1 ordinario [véanse el artículo 244, apartado 1, letra b), el artículo 245, apartado 1, letra b), y el artículo 253 del Reglamento (UE) n.º 575/2013]. En tal caso, esas posiciones deberán consignarse en la fila 0460 de la plantilla CA1.</w:t>
      </w:r>
    </w:p>
    <w:p w14:paraId="3921F7AA" w14:textId="56C18CF3"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60" w:name="_Toc151714491"/>
      <w:r>
        <w:rPr>
          <w:rFonts w:ascii="Times New Roman" w:hAnsi="Times New Roman"/>
          <w:sz w:val="24"/>
          <w:u w:val="none"/>
        </w:rPr>
        <w:t>5.2.2.</w:t>
      </w:r>
      <w:r>
        <w:rPr>
          <w:rFonts w:ascii="Times New Roman" w:hAnsi="Times New Roman"/>
          <w:sz w:val="24"/>
          <w:u w:val="none"/>
        </w:rPr>
        <w:tab/>
      </w:r>
      <w:r>
        <w:rPr>
          <w:rFonts w:ascii="Times New Roman" w:hAnsi="Times New Roman"/>
          <w:sz w:val="24"/>
        </w:rPr>
        <w:t>Instrucciones relativas a posiciones concretas</w:t>
      </w:r>
      <w:bookmarkEnd w:id="54"/>
      <w:bookmarkEnd w:id="55"/>
      <w:bookmarkEnd w:id="56"/>
      <w:bookmarkEnd w:id="57"/>
      <w:bookmarkEnd w:id="58"/>
      <w:bookmarkEnd w:id="59"/>
      <w:bookmarkEnd w:id="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4B0EC7" w14:paraId="5FAA1DCA" w14:textId="77777777" w:rsidTr="00E10B85">
        <w:trPr>
          <w:trHeight w:val="631"/>
        </w:trPr>
        <w:tc>
          <w:tcPr>
            <w:tcW w:w="9018" w:type="dxa"/>
            <w:gridSpan w:val="2"/>
            <w:shd w:val="clear" w:color="auto" w:fill="CCCCCC"/>
          </w:tcPr>
          <w:p w14:paraId="672709A6" w14:textId="77777777" w:rsidR="00C55547" w:rsidRPr="004B0EC7"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Columnas</w:t>
            </w:r>
          </w:p>
        </w:tc>
      </w:tr>
      <w:tr w:rsidR="00C55547" w:rsidRPr="004B0EC7" w14:paraId="25DD94D3" w14:textId="77777777" w:rsidTr="000911FE">
        <w:tc>
          <w:tcPr>
            <w:tcW w:w="1413" w:type="dxa"/>
          </w:tcPr>
          <w:p w14:paraId="1C45AB39"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14:paraId="37C65F35"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TODAS LAS POSICIONES (LARGAS Y CORTAS)</w:t>
            </w:r>
          </w:p>
          <w:p w14:paraId="503F4241" w14:textId="5A1E85D7" w:rsidR="00C55547" w:rsidRPr="004B0EC7" w:rsidRDefault="00C55547" w:rsidP="007062FD">
            <w:pPr>
              <w:rPr>
                <w:rFonts w:ascii="Times New Roman" w:hAnsi="Times New Roman"/>
                <w:sz w:val="24"/>
              </w:rPr>
            </w:pPr>
            <w:r>
              <w:rPr>
                <w:rFonts w:ascii="Times New Roman" w:hAnsi="Times New Roman"/>
                <w:sz w:val="24"/>
              </w:rPr>
              <w:t>Artículo 102 y artículo 105, apartado 1, del Reglamento (UE) n.º 575/2013, leídos en relación con el artículo 337 de dicho Reglamento (posiciones de titulización).</w:t>
            </w:r>
            <w:r>
              <w:rPr>
                <w:rStyle w:val="InstructionsTabelleText"/>
                <w:rFonts w:ascii="Times New Roman" w:hAnsi="Times New Roman"/>
                <w:sz w:val="24"/>
              </w:rPr>
              <w:t xml:space="preserve"> </w:t>
            </w:r>
            <w:r>
              <w:rPr>
                <w:rFonts w:ascii="Times New Roman" w:hAnsi="Times New Roman"/>
                <w:sz w:val="24"/>
              </w:rPr>
              <w:t>En cuanto a la distinción entre las posiciones largas y cortas, también aplicable a estas posiciones brutas, véase el artículo 328, apartado 2, del Reglamento (UE) n.º 575/2013.</w:t>
            </w:r>
            <w:r>
              <w:rPr>
                <w:rStyle w:val="InstructionsTabelleText"/>
                <w:rFonts w:ascii="Times New Roman" w:hAnsi="Times New Roman"/>
                <w:sz w:val="24"/>
              </w:rPr>
              <w:t xml:space="preserve"> </w:t>
            </w:r>
          </w:p>
        </w:tc>
      </w:tr>
      <w:tr w:rsidR="00C55547" w:rsidRPr="004B0EC7" w14:paraId="22839602" w14:textId="77777777" w:rsidTr="000911FE">
        <w:tc>
          <w:tcPr>
            <w:tcW w:w="1413" w:type="dxa"/>
          </w:tcPr>
          <w:p w14:paraId="40A33AFE"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14:paraId="511B0208"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POSICIONES DEDUCIDAS DE LOS FONDOS PROPIOS (LARGAS Y CORTAS)</w:t>
            </w:r>
          </w:p>
          <w:p w14:paraId="1429CBFE" w14:textId="010B8175" w:rsidR="00C55547" w:rsidRPr="004B0EC7" w:rsidRDefault="00705025" w:rsidP="00D24331">
            <w:pPr>
              <w:rPr>
                <w:rStyle w:val="InstructionsTabelleText"/>
                <w:rFonts w:ascii="Times New Roman" w:hAnsi="Times New Roman"/>
                <w:sz w:val="24"/>
              </w:rPr>
            </w:pPr>
            <w:r>
              <w:rPr>
                <w:rStyle w:val="InstructionsTabelleText"/>
                <w:rFonts w:ascii="Times New Roman" w:hAnsi="Times New Roman"/>
                <w:sz w:val="24"/>
              </w:rPr>
              <w:t xml:space="preserve"> Artículo 244, apartado 1, letra b), artículo 245, apartado 1, letra b), y artículo 253 del Reglamento (UE) n.º 575/2013.</w:t>
            </w:r>
          </w:p>
        </w:tc>
      </w:tr>
      <w:tr w:rsidR="00C55547" w:rsidRPr="004B0EC7" w14:paraId="16C58348" w14:textId="77777777" w:rsidTr="000911FE">
        <w:tc>
          <w:tcPr>
            <w:tcW w:w="1413" w:type="dxa"/>
          </w:tcPr>
          <w:p w14:paraId="2D1E9030"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14:paraId="088E4387"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POSICIONES NETAS (LARGAS Y CORTAS)</w:t>
            </w:r>
          </w:p>
          <w:p w14:paraId="54C14D76" w14:textId="7E4CA859" w:rsidR="00C55547" w:rsidRPr="004B0EC7" w:rsidRDefault="00C55547" w:rsidP="003073B2">
            <w:pPr>
              <w:rPr>
                <w:rStyle w:val="InstructionsTabelleText"/>
                <w:rFonts w:ascii="Times New Roman" w:hAnsi="Times New Roman"/>
                <w:sz w:val="24"/>
              </w:rPr>
            </w:pPr>
            <w:r>
              <w:rPr>
                <w:rFonts w:ascii="Times New Roman" w:hAnsi="Times New Roman"/>
                <w:sz w:val="24"/>
              </w:rPr>
              <w:t>Artículos 327, 328, 329 y 334 del Reglamento (UE) n.º 575/2013.</w:t>
            </w:r>
            <w:r>
              <w:rPr>
                <w:rStyle w:val="InstructionsTabelleText"/>
                <w:rFonts w:ascii="Times New Roman" w:hAnsi="Times New Roman"/>
                <w:sz w:val="24"/>
              </w:rPr>
              <w:t xml:space="preserve"> </w:t>
            </w:r>
            <w:r>
              <w:rPr>
                <w:rFonts w:ascii="Times New Roman" w:hAnsi="Times New Roman"/>
                <w:sz w:val="24"/>
              </w:rPr>
              <w:t>En cuanto a la distinción entre las posiciones largas y cortas, véase el artículo 328, apartado 2, del Reglamento (UE) n.º 575/2013.</w:t>
            </w:r>
          </w:p>
        </w:tc>
      </w:tr>
      <w:tr w:rsidR="00C55547" w:rsidRPr="004B0EC7" w14:paraId="0BDF729C" w14:textId="77777777" w:rsidTr="000911FE">
        <w:tc>
          <w:tcPr>
            <w:tcW w:w="1413" w:type="dxa"/>
          </w:tcPr>
          <w:p w14:paraId="324A2BB6" w14:textId="77777777" w:rsidR="00C55547" w:rsidRPr="004B0EC7" w:rsidRDefault="00EE2CD5" w:rsidP="00543964">
            <w:pPr>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14:paraId="627BB4B0"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DESGLOSE DE LAS POSICIONES NETAS POR PONDERACIONES DE RIESGO</w:t>
            </w:r>
          </w:p>
          <w:p w14:paraId="3ECFC065" w14:textId="41D71775" w:rsidR="00C3548F" w:rsidRPr="004B0EC7" w:rsidRDefault="00C55547" w:rsidP="003073B2">
            <w:pPr>
              <w:rPr>
                <w:rStyle w:val="InstructionsTabelleText"/>
                <w:rFonts w:ascii="Times New Roman" w:hAnsi="Times New Roman"/>
                <w:sz w:val="24"/>
              </w:rPr>
            </w:pPr>
            <w:r>
              <w:rPr>
                <w:rStyle w:val="InstructionsTabelleText"/>
                <w:rFonts w:ascii="Times New Roman" w:hAnsi="Times New Roman"/>
                <w:sz w:val="24"/>
              </w:rPr>
              <w:t xml:space="preserve">Artículos 259 a 262, artículo 263, cuadros 1 y 2, artículo 264, cuadros 3 y 4, y artículo 266 del Reglamento (UE) n.º 575/2013. </w:t>
            </w:r>
          </w:p>
          <w:p w14:paraId="4314B137" w14:textId="77777777" w:rsidR="00C55547" w:rsidRPr="004B0EC7" w:rsidRDefault="00C55547" w:rsidP="003073B2">
            <w:pPr>
              <w:rPr>
                <w:rStyle w:val="InstructionsTabelleText"/>
                <w:rFonts w:ascii="Times New Roman" w:hAnsi="Times New Roman"/>
                <w:sz w:val="24"/>
              </w:rPr>
            </w:pPr>
            <w:r>
              <w:rPr>
                <w:rStyle w:val="InstructionsTabelleText"/>
                <w:rFonts w:ascii="Times New Roman" w:hAnsi="Times New Roman"/>
                <w:sz w:val="24"/>
              </w:rPr>
              <w:t>El desglose deberá realizarse de forma separada para las posiciones largas y cortas.</w:t>
            </w:r>
          </w:p>
        </w:tc>
      </w:tr>
      <w:tr w:rsidR="00C55547" w:rsidRPr="004B0EC7" w14:paraId="2A20E80A" w14:textId="77777777" w:rsidTr="000911FE">
        <w:tc>
          <w:tcPr>
            <w:tcW w:w="1413" w:type="dxa"/>
          </w:tcPr>
          <w:p w14:paraId="163C862B"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14:paraId="2AF3DBA4"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DESGLOSE DE LAS POSICIONES NETAS POR MÉTODOS</w:t>
            </w:r>
          </w:p>
          <w:p w14:paraId="683DE902" w14:textId="55DF04AD" w:rsidR="00C55547" w:rsidRPr="004B0EC7" w:rsidRDefault="00C55547" w:rsidP="003073B2">
            <w:pPr>
              <w:rPr>
                <w:rFonts w:ascii="Times New Roman" w:hAnsi="Times New Roman"/>
                <w:b/>
                <w:bCs/>
                <w:sz w:val="24"/>
                <w:u w:val="single"/>
              </w:rPr>
            </w:pPr>
            <w:r>
              <w:rPr>
                <w:rFonts w:ascii="Times New Roman" w:hAnsi="Times New Roman"/>
                <w:sz w:val="24"/>
              </w:rPr>
              <w:t>Artículo 254 del Reglamento (UE) n.º 575/2013.</w:t>
            </w:r>
            <w:r>
              <w:rPr>
                <w:rStyle w:val="InstructionsTabelleText"/>
                <w:rFonts w:ascii="Times New Roman" w:hAnsi="Times New Roman"/>
                <w:sz w:val="24"/>
              </w:rPr>
              <w:t xml:space="preserve"> </w:t>
            </w:r>
          </w:p>
        </w:tc>
      </w:tr>
      <w:tr w:rsidR="00C55547" w:rsidRPr="004B0EC7" w14:paraId="6061874B" w14:textId="77777777" w:rsidTr="000911FE">
        <w:tc>
          <w:tcPr>
            <w:tcW w:w="1413" w:type="dxa"/>
          </w:tcPr>
          <w:p w14:paraId="4B729A34"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06929D2D"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41A48A7C" w14:textId="67C34C11" w:rsidR="00C55547" w:rsidRPr="004B0EC7" w:rsidRDefault="00C55547" w:rsidP="003073B2">
            <w:pPr>
              <w:rPr>
                <w:rFonts w:ascii="Times New Roman" w:hAnsi="Times New Roman"/>
                <w:b/>
                <w:bCs/>
                <w:sz w:val="24"/>
                <w:u w:val="single"/>
              </w:rPr>
            </w:pPr>
            <w:r>
              <w:rPr>
                <w:rFonts w:ascii="Times New Roman" w:hAnsi="Times New Roman"/>
                <w:sz w:val="24"/>
              </w:rPr>
              <w:t>Artículos 259 y 260 del Reglamento (UE) n.º 575/2013.</w:t>
            </w:r>
          </w:p>
        </w:tc>
      </w:tr>
      <w:tr w:rsidR="00C55547" w:rsidRPr="004B0EC7" w14:paraId="16BB3DCB" w14:textId="77777777" w:rsidTr="000911FE">
        <w:tc>
          <w:tcPr>
            <w:tcW w:w="1413" w:type="dxa"/>
          </w:tcPr>
          <w:p w14:paraId="189036B1"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lastRenderedPageBreak/>
              <w:t>0403</w:t>
            </w:r>
          </w:p>
        </w:tc>
        <w:tc>
          <w:tcPr>
            <w:tcW w:w="7605" w:type="dxa"/>
          </w:tcPr>
          <w:p w14:paraId="6F8EF419"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5A374E14" w14:textId="4A4A259B" w:rsidR="00C55547" w:rsidRPr="004B0EC7" w:rsidRDefault="00C55547" w:rsidP="003073B2">
            <w:pPr>
              <w:autoSpaceDE w:val="0"/>
              <w:autoSpaceDN w:val="0"/>
              <w:adjustRightInd w:val="0"/>
              <w:jc w:val="left"/>
              <w:rPr>
                <w:rFonts w:ascii="Times New Roman" w:hAnsi="Times New Roman"/>
                <w:b/>
                <w:bCs/>
                <w:sz w:val="24"/>
                <w:u w:val="single"/>
              </w:rPr>
            </w:pPr>
            <w:r>
              <w:rPr>
                <w:rFonts w:ascii="Times New Roman" w:hAnsi="Times New Roman"/>
                <w:sz w:val="24"/>
              </w:rPr>
              <w:t>Artículos 261 y 262 del Reglamento (UE) n.º 575/2013.</w:t>
            </w:r>
          </w:p>
        </w:tc>
      </w:tr>
      <w:tr w:rsidR="00C55547" w:rsidRPr="004B0EC7" w14:paraId="0B1E8511" w14:textId="77777777" w:rsidTr="000911FE">
        <w:tc>
          <w:tcPr>
            <w:tcW w:w="1413" w:type="dxa"/>
          </w:tcPr>
          <w:p w14:paraId="283E5722"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AA18AA4"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2250A6DF" w14:textId="199187B3" w:rsidR="00C55547" w:rsidRPr="004B0EC7" w:rsidRDefault="00C55547" w:rsidP="003073B2">
            <w:pPr>
              <w:rPr>
                <w:rFonts w:ascii="Times New Roman" w:hAnsi="Times New Roman"/>
                <w:b/>
                <w:bCs/>
                <w:sz w:val="24"/>
                <w:u w:val="single"/>
              </w:rPr>
            </w:pPr>
            <w:r>
              <w:rPr>
                <w:rFonts w:ascii="Times New Roman" w:hAnsi="Times New Roman"/>
                <w:sz w:val="24"/>
              </w:rPr>
              <w:t>Artículos 263 y 264 del Reglamento (UE) n.º 575/2013.</w:t>
            </w:r>
          </w:p>
        </w:tc>
      </w:tr>
      <w:tr w:rsidR="00C55547" w:rsidRPr="004B0EC7" w14:paraId="76051CC7" w14:textId="77777777" w:rsidTr="000911FE">
        <w:tc>
          <w:tcPr>
            <w:tcW w:w="1413" w:type="dxa"/>
          </w:tcPr>
          <w:p w14:paraId="2CE39EAA"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334AB028"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MÉTODO DE EVALUACIÓN INTERNA</w:t>
            </w:r>
          </w:p>
          <w:p w14:paraId="5354C48C" w14:textId="67E47F49" w:rsidR="00C55547" w:rsidRPr="004B0EC7" w:rsidRDefault="00C55547" w:rsidP="007062FD">
            <w:pPr>
              <w:rPr>
                <w:rFonts w:ascii="Times New Roman" w:hAnsi="Times New Roman"/>
                <w:bCs/>
                <w:sz w:val="24"/>
                <w:u w:val="single"/>
              </w:rPr>
            </w:pPr>
            <w:r>
              <w:rPr>
                <w:rFonts w:ascii="Times New Roman" w:hAnsi="Times New Roman"/>
                <w:sz w:val="24"/>
              </w:rPr>
              <w:t>Artículos 254 y 265 y artículo 266, apartado 5, del Reglamento (UE) n.º 575/2013.</w:t>
            </w:r>
          </w:p>
        </w:tc>
      </w:tr>
      <w:tr w:rsidR="0033476C" w:rsidRPr="004B0EC7" w14:paraId="00803C23" w14:textId="77777777" w:rsidTr="000911FE">
        <w:tc>
          <w:tcPr>
            <w:tcW w:w="1413" w:type="dxa"/>
          </w:tcPr>
          <w:p w14:paraId="6969B7D6" w14:textId="7D0DF91C" w:rsidR="0033476C" w:rsidRPr="004B0EC7" w:rsidRDefault="0033476C" w:rsidP="00921700">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605" w:type="dxa"/>
          </w:tcPr>
          <w:p w14:paraId="1E2E9907" w14:textId="3152DD84" w:rsidR="0033476C" w:rsidRPr="004B0EC7" w:rsidRDefault="0033476C" w:rsidP="0033476C">
            <w:pPr>
              <w:spacing w:before="0" w:after="0"/>
              <w:jc w:val="left"/>
              <w:rPr>
                <w:rFonts w:ascii="Times New Roman" w:hAnsi="Times New Roman"/>
                <w:b/>
                <w:sz w:val="24"/>
                <w:u w:val="single"/>
              </w:rPr>
            </w:pPr>
            <w:r>
              <w:rPr>
                <w:rFonts w:ascii="Times New Roman" w:hAnsi="Times New Roman"/>
                <w:b/>
                <w:sz w:val="24"/>
                <w:u w:val="single"/>
              </w:rPr>
              <w:t>TRATAMIENTO ESPECÍFICO DE LOS TRAMOS PREFERENTES DE TITULIZACIONES DE EXPOSICIONES DUDOSAS ADMISIBLES</w:t>
            </w:r>
          </w:p>
          <w:p w14:paraId="17BE744C" w14:textId="0A44FB4D" w:rsidR="0033476C" w:rsidRPr="004B0EC7" w:rsidRDefault="0033476C" w:rsidP="001235ED">
            <w:pPr>
              <w:rPr>
                <w:rFonts w:ascii="Times New Roman" w:hAnsi="Times New Roman"/>
                <w:b/>
                <w:bCs/>
                <w:sz w:val="24"/>
                <w:u w:val="single"/>
              </w:rPr>
            </w:pPr>
            <w:r>
              <w:rPr>
                <w:rFonts w:ascii="Times New Roman" w:hAnsi="Times New Roman"/>
                <w:sz w:val="24"/>
              </w:rPr>
              <w:t>Artículo 269 </w:t>
            </w:r>
            <w:r>
              <w:rPr>
                <w:rFonts w:ascii="Times New Roman" w:hAnsi="Times New Roman"/>
                <w:i/>
                <w:sz w:val="24"/>
              </w:rPr>
              <w:t>bis</w:t>
            </w:r>
            <w:r>
              <w:rPr>
                <w:rFonts w:ascii="Times New Roman" w:hAnsi="Times New Roman"/>
                <w:sz w:val="24"/>
              </w:rPr>
              <w:t>, apartado 3, del Reglamento (UE) n.º 575/2013.</w:t>
            </w:r>
          </w:p>
        </w:tc>
      </w:tr>
      <w:tr w:rsidR="00C55547" w:rsidRPr="004B0EC7" w14:paraId="05BEB883" w14:textId="77777777" w:rsidTr="000911FE">
        <w:tc>
          <w:tcPr>
            <w:tcW w:w="1413" w:type="dxa"/>
          </w:tcPr>
          <w:p w14:paraId="3D2DEA0A" w14:textId="77777777" w:rsidR="00C55547" w:rsidRPr="004B0EC7"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14:paraId="25786344" w14:textId="4EFB7A5E"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OTROS (PONDERACIÓN DE RIESGO = 1 250 %)</w:t>
            </w:r>
          </w:p>
          <w:p w14:paraId="1684F52F" w14:textId="43F3FE5E" w:rsidR="00C55547" w:rsidRPr="004B0EC7" w:rsidRDefault="00C55547" w:rsidP="003073B2">
            <w:pPr>
              <w:rPr>
                <w:rFonts w:ascii="Times New Roman" w:hAnsi="Times New Roman"/>
                <w:b/>
                <w:bCs/>
                <w:sz w:val="24"/>
                <w:u w:val="single"/>
              </w:rPr>
            </w:pPr>
            <w:r>
              <w:rPr>
                <w:rStyle w:val="InstructionsTabelleText"/>
                <w:rFonts w:ascii="Times New Roman" w:hAnsi="Times New Roman"/>
                <w:sz w:val="24"/>
              </w:rPr>
              <w:t>Artículo 254, apartado 7,</w:t>
            </w:r>
            <w:r>
              <w:rPr>
                <w:rFonts w:ascii="Times New Roman" w:hAnsi="Times New Roman"/>
                <w:sz w:val="24"/>
              </w:rPr>
              <w:t xml:space="preserve"> del Reglamento (UE) n.º 575/2013.</w:t>
            </w:r>
          </w:p>
        </w:tc>
      </w:tr>
      <w:tr w:rsidR="00C55547" w:rsidRPr="004B0EC7" w14:paraId="11316298" w14:textId="77777777" w:rsidTr="000911FE">
        <w:tc>
          <w:tcPr>
            <w:tcW w:w="1413" w:type="dxa"/>
          </w:tcPr>
          <w:p w14:paraId="00B9220E"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14:paraId="595C29DB"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EFECTO GLOBAL (AJUSTE) DEBIDO AL INCUMPLIMIENTO DEL CAPÍTULO 2 DEL REGLAMENTO (UE) 2017/2402</w:t>
            </w:r>
          </w:p>
          <w:p w14:paraId="3FBEAE4C" w14:textId="027236BE" w:rsidR="00C55547" w:rsidRPr="004B0EC7" w:rsidRDefault="00C55547" w:rsidP="003073B2">
            <w:pPr>
              <w:rPr>
                <w:rFonts w:ascii="Times New Roman" w:hAnsi="Times New Roman"/>
                <w:b/>
                <w:bCs/>
                <w:sz w:val="24"/>
                <w:u w:val="single"/>
              </w:rPr>
            </w:pPr>
            <w:r>
              <w:rPr>
                <w:rStyle w:val="InstructionsTabelleText"/>
                <w:rFonts w:ascii="Times New Roman" w:hAnsi="Times New Roman"/>
                <w:sz w:val="24"/>
              </w:rPr>
              <w:t>Artículo 270 </w:t>
            </w:r>
            <w:r>
              <w:rPr>
                <w:rStyle w:val="InstructionsTabelleText"/>
                <w:rFonts w:ascii="Times New Roman" w:hAnsi="Times New Roman"/>
                <w:i/>
                <w:sz w:val="24"/>
              </w:rPr>
              <w:t>bis</w:t>
            </w:r>
            <w:r>
              <w:rPr>
                <w:rFonts w:ascii="Times New Roman" w:hAnsi="Times New Roman"/>
                <w:sz w:val="24"/>
              </w:rPr>
              <w:t xml:space="preserve"> del Reglamento (UE) n.º 575/2013.</w:t>
            </w:r>
          </w:p>
        </w:tc>
      </w:tr>
      <w:tr w:rsidR="00C55547" w:rsidRPr="004B0EC7" w14:paraId="2BA98A90" w14:textId="77777777" w:rsidTr="000911FE">
        <w:tc>
          <w:tcPr>
            <w:tcW w:w="1413" w:type="dxa"/>
          </w:tcPr>
          <w:p w14:paraId="2EA0118D" w14:textId="77777777" w:rsidR="00C55547" w:rsidRPr="004B0EC7"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14:paraId="4DCE07C4"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ANTES DE APLICAR EL LÍMITE MÁXIMO </w:t>
            </w:r>
          </w:p>
          <w:p w14:paraId="740CD739" w14:textId="19182A93" w:rsidR="00C55547" w:rsidRPr="004B0EC7" w:rsidRDefault="00C55547" w:rsidP="007062FD">
            <w:pPr>
              <w:rPr>
                <w:rFonts w:ascii="Times New Roman" w:hAnsi="Times New Roman"/>
                <w:bCs/>
                <w:sz w:val="24"/>
              </w:rPr>
            </w:pPr>
            <w:r>
              <w:rPr>
                <w:rFonts w:ascii="Times New Roman" w:hAnsi="Times New Roman"/>
                <w:sz w:val="24"/>
              </w:rPr>
              <w:t>Artículo 337 del Reglamento (UE) n.º 575/2013, sin tener en cuenta la discrecionalidad establecida en el artículo 335 de dicho Reglamento, que permite a una entidad limitar el producto de la ponderación y la posición neta a la pérdida máxima posible derivada del riesgo de impago.</w:t>
            </w:r>
          </w:p>
        </w:tc>
      </w:tr>
      <w:tr w:rsidR="00C55547" w:rsidRPr="004B0EC7" w14:paraId="247B0FB8" w14:textId="77777777" w:rsidTr="000911FE">
        <w:tc>
          <w:tcPr>
            <w:tcW w:w="1413" w:type="dxa"/>
          </w:tcPr>
          <w:p w14:paraId="22357CAC" w14:textId="77777777" w:rsidR="00C55547" w:rsidRPr="004B0EC7" w:rsidRDefault="00EE2CD5" w:rsidP="00EE079A">
            <w:pPr>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78FC9B76" w14:textId="4118CCB3"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DESPUÉS DE APLICAR EL LÍMITE MÁXIMO / REQUISITOS DE FONDOS PROPIOS TOTALES ANTES DE APLICAR LOS FACTORES DE ESCALA</w:t>
            </w:r>
          </w:p>
          <w:p w14:paraId="0DE4FAED" w14:textId="022355BB" w:rsidR="00C55547" w:rsidRPr="004B0EC7" w:rsidRDefault="00C55547" w:rsidP="007062FD">
            <w:pPr>
              <w:rPr>
                <w:rFonts w:ascii="Times New Roman" w:hAnsi="Times New Roman"/>
                <w:bCs/>
                <w:sz w:val="24"/>
              </w:rPr>
            </w:pPr>
            <w:r>
              <w:rPr>
                <w:rFonts w:ascii="Times New Roman" w:hAnsi="Times New Roman"/>
                <w:sz w:val="24"/>
              </w:rPr>
              <w:t>Artículo 337 del Reglamento (UE) n.º 575/2013, teniendo en cuenta la discrecionalidad establecida en el artículo 335 de dicho Reglamento.</w:t>
            </w:r>
          </w:p>
        </w:tc>
      </w:tr>
    </w:tbl>
    <w:p w14:paraId="2016D379"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4B0EC7" w14:paraId="02A9F41A" w14:textId="77777777" w:rsidTr="00E10B85">
        <w:trPr>
          <w:trHeight w:val="537"/>
        </w:trPr>
        <w:tc>
          <w:tcPr>
            <w:tcW w:w="8950" w:type="dxa"/>
            <w:gridSpan w:val="2"/>
            <w:shd w:val="clear" w:color="auto" w:fill="BFBFBF"/>
          </w:tcPr>
          <w:p w14:paraId="26BB8354" w14:textId="77777777" w:rsidR="00C55547" w:rsidRPr="004B0EC7"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Filas</w:t>
            </w:r>
          </w:p>
        </w:tc>
      </w:tr>
      <w:tr w:rsidR="00C55547" w:rsidRPr="004B0EC7" w14:paraId="32F42F75" w14:textId="77777777" w:rsidTr="000911FE">
        <w:tc>
          <w:tcPr>
            <w:tcW w:w="1413" w:type="dxa"/>
          </w:tcPr>
          <w:p w14:paraId="4D0640F7"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14:paraId="03F7346E" w14:textId="77777777" w:rsidR="00C55547" w:rsidRPr="004B0EC7" w:rsidRDefault="00C55547" w:rsidP="00E10B85">
            <w:pPr>
              <w:rPr>
                <w:rFonts w:ascii="Times New Roman" w:hAnsi="Times New Roman"/>
                <w:sz w:val="24"/>
              </w:rPr>
            </w:pPr>
            <w:r>
              <w:rPr>
                <w:rStyle w:val="InstructionsTabelleberschrift"/>
                <w:rFonts w:ascii="Times New Roman" w:hAnsi="Times New Roman"/>
                <w:sz w:val="24"/>
              </w:rPr>
              <w:t>TOTAL DE EXPOSICIONES</w:t>
            </w:r>
          </w:p>
          <w:p w14:paraId="3DA30B45" w14:textId="77777777" w:rsidR="00C55547" w:rsidRPr="004B0EC7"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Importe total de las titulizaciones y retitulizaciones vivas (en la cartera de negociación) comunicadas por la entidad en su función de originadora, inversora o patrocinadora.</w:t>
            </w:r>
          </w:p>
        </w:tc>
      </w:tr>
      <w:tr w:rsidR="00C55547" w:rsidRPr="004B0EC7" w14:paraId="21E51D59" w14:textId="77777777" w:rsidTr="000911FE">
        <w:tc>
          <w:tcPr>
            <w:tcW w:w="1413" w:type="dxa"/>
          </w:tcPr>
          <w:p w14:paraId="5CCD69BA" w14:textId="77777777" w:rsidR="00C55547" w:rsidRPr="004B0EC7"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0040, 0070 y 0100</w:t>
            </w:r>
          </w:p>
        </w:tc>
        <w:tc>
          <w:tcPr>
            <w:tcW w:w="7537" w:type="dxa"/>
          </w:tcPr>
          <w:p w14:paraId="4F5DF6AF"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POSICIONES DE TITULIZACIÓN</w:t>
            </w:r>
          </w:p>
          <w:p w14:paraId="62CD89EA" w14:textId="30BF22B1" w:rsidR="00C55547" w:rsidRPr="004B0EC7" w:rsidRDefault="00532026" w:rsidP="00E10B85">
            <w:pPr>
              <w:autoSpaceDE w:val="0"/>
              <w:autoSpaceDN w:val="0"/>
              <w:adjustRightInd w:val="0"/>
              <w:spacing w:before="0" w:after="0"/>
              <w:rPr>
                <w:rFonts w:ascii="Times New Roman" w:hAnsi="Times New Roman"/>
                <w:bCs/>
                <w:sz w:val="24"/>
              </w:rPr>
            </w:pPr>
            <w:r>
              <w:rPr>
                <w:rFonts w:ascii="Times New Roman" w:hAnsi="Times New Roman"/>
                <w:sz w:val="24"/>
              </w:rPr>
              <w:t xml:space="preserve"> Artículo 4, apartado 1, punto 62, del Reglamento (UE) n.º 575/2013.</w:t>
            </w:r>
          </w:p>
          <w:p w14:paraId="0230B6E5"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4D9AAB18" w14:textId="77777777" w:rsidTr="000911FE">
        <w:tc>
          <w:tcPr>
            <w:tcW w:w="1413" w:type="dxa"/>
          </w:tcPr>
          <w:p w14:paraId="6DA3B4FA" w14:textId="77777777" w:rsidR="00C55547" w:rsidRPr="004B0EC7"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0020, 0050, 0080 y 0110</w:t>
            </w:r>
          </w:p>
        </w:tc>
        <w:tc>
          <w:tcPr>
            <w:tcW w:w="7537" w:type="dxa"/>
          </w:tcPr>
          <w:p w14:paraId="3C62BCE7"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POSICIONES DE RETITULIZACIÓN</w:t>
            </w:r>
          </w:p>
          <w:p w14:paraId="32F5BAEB" w14:textId="2FA2B3C6" w:rsidR="00C55547" w:rsidRPr="004B0EC7"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Artículo 4, apartado 1, punto 64, del Reglamento (UE) n.º 575/2013.</w:t>
            </w:r>
          </w:p>
          <w:p w14:paraId="18108A69"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651A33F7" w14:textId="77777777" w:rsidTr="000911FE">
        <w:tc>
          <w:tcPr>
            <w:tcW w:w="1413" w:type="dxa"/>
          </w:tcPr>
          <w:p w14:paraId="41A2A677"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0041, 0071 y 0101</w:t>
            </w:r>
          </w:p>
        </w:tc>
        <w:tc>
          <w:tcPr>
            <w:tcW w:w="7537" w:type="dxa"/>
          </w:tcPr>
          <w:p w14:paraId="17D8E88B"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DE LAS CUALES: ADMISIBLES PARA EL TRATAMIENTO DE CAPITAL DIFERENCIADO</w:t>
            </w:r>
          </w:p>
          <w:p w14:paraId="775DD0A5" w14:textId="73ABBACB" w:rsidR="00C55547" w:rsidRPr="004B0EC7" w:rsidRDefault="00C55547" w:rsidP="007062FD">
            <w:pPr>
              <w:rPr>
                <w:rStyle w:val="InstructionsTabelleberschrift"/>
                <w:rFonts w:ascii="Times New Roman" w:hAnsi="Times New Roman"/>
                <w:sz w:val="24"/>
              </w:rPr>
            </w:pPr>
            <w:r>
              <w:rPr>
                <w:rFonts w:ascii="Times New Roman" w:hAnsi="Times New Roman"/>
                <w:sz w:val="24"/>
              </w:rPr>
              <w:t>Importe total de las posiciones de titulización que satisfacen los criterios del artículo 243 o del artículo 270 del Reglamento (UE) n.º 575/2013 y a las que, por tanto, puede aplicarse el tratamiento de capital diferenciado.</w:t>
            </w:r>
          </w:p>
        </w:tc>
      </w:tr>
      <w:tr w:rsidR="00C55547" w:rsidRPr="004B0EC7" w14:paraId="5FAF4052" w14:textId="77777777" w:rsidTr="000911FE">
        <w:tc>
          <w:tcPr>
            <w:tcW w:w="1413" w:type="dxa"/>
          </w:tcPr>
          <w:p w14:paraId="39486578"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14:paraId="29698529"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ORIGINADORA</w:t>
            </w:r>
          </w:p>
          <w:p w14:paraId="50264432" w14:textId="0FD773BF" w:rsidR="00C55547" w:rsidRPr="004B0EC7" w:rsidRDefault="00D24331" w:rsidP="00E10B85">
            <w:pPr>
              <w:autoSpaceDE w:val="0"/>
              <w:autoSpaceDN w:val="0"/>
              <w:adjustRightInd w:val="0"/>
              <w:spacing w:before="0" w:after="0"/>
              <w:rPr>
                <w:rFonts w:ascii="Times New Roman" w:hAnsi="Times New Roman"/>
                <w:bCs/>
                <w:sz w:val="24"/>
              </w:rPr>
            </w:pPr>
            <w:r>
              <w:rPr>
                <w:rFonts w:ascii="Times New Roman" w:hAnsi="Times New Roman"/>
                <w:sz w:val="24"/>
              </w:rPr>
              <w:t>Artículo 4, apartado 1, punto 13, del Reglamento (UE) n.º 575/2013.</w:t>
            </w:r>
          </w:p>
          <w:p w14:paraId="671304E2"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1241B5AC" w14:textId="77777777" w:rsidTr="000911FE">
        <w:tc>
          <w:tcPr>
            <w:tcW w:w="1413" w:type="dxa"/>
          </w:tcPr>
          <w:p w14:paraId="61436B0B"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14:paraId="726E7C5B"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INVERSORA</w:t>
            </w:r>
          </w:p>
          <w:p w14:paraId="13A59676" w14:textId="77777777" w:rsidR="00C55547" w:rsidRPr="004B0EC7"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Entidad de crédito que mantiene una posición de titulización en una operación de titulización en la que no actúa como originadora, patrocinadora ni prestamista original.</w:t>
            </w:r>
          </w:p>
          <w:p w14:paraId="5289F9D1" w14:textId="77777777" w:rsidR="00C55547" w:rsidRPr="004B0EC7" w:rsidRDefault="00C55547" w:rsidP="00E10B85">
            <w:pPr>
              <w:autoSpaceDE w:val="0"/>
              <w:autoSpaceDN w:val="0"/>
              <w:adjustRightInd w:val="0"/>
              <w:spacing w:before="0" w:after="0"/>
              <w:rPr>
                <w:rFonts w:ascii="Times New Roman" w:hAnsi="Times New Roman"/>
                <w:bCs/>
                <w:sz w:val="24"/>
                <w:lang w:eastAsia="nl-BE"/>
              </w:rPr>
            </w:pPr>
          </w:p>
        </w:tc>
      </w:tr>
      <w:tr w:rsidR="00C55547" w:rsidRPr="004B0EC7" w14:paraId="66D8A55A" w14:textId="77777777" w:rsidTr="000911FE">
        <w:tc>
          <w:tcPr>
            <w:tcW w:w="1413" w:type="dxa"/>
          </w:tcPr>
          <w:p w14:paraId="7DE34CCA"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14:paraId="1405E243"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PATROCINADORA</w:t>
            </w:r>
          </w:p>
          <w:p w14:paraId="40C5E800" w14:textId="57801E6F" w:rsidR="000242CC" w:rsidRPr="004B0EC7" w:rsidRDefault="00D24331" w:rsidP="00E10B85">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Artículo 4, apartado 1, punto 14, del Reglamento (UE) n.º 575/2013.</w:t>
            </w:r>
            <w:r>
              <w:rPr>
                <w:rStyle w:val="InstructionsTabelleText"/>
                <w:rFonts w:ascii="Times New Roman" w:hAnsi="Times New Roman"/>
                <w:sz w:val="24"/>
              </w:rPr>
              <w:t xml:space="preserve"> </w:t>
            </w:r>
          </w:p>
          <w:p w14:paraId="036222AB" w14:textId="77777777" w:rsidR="00C55547" w:rsidRPr="004B0EC7"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Si la entidad patrocinadora tituliza también sus propios activos, deberá indicar en las filas correspondientes a la entidad originadora los datos relativos a sus propios activos titulizados.</w:t>
            </w:r>
          </w:p>
        </w:tc>
      </w:tr>
    </w:tbl>
    <w:p w14:paraId="204C667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7658B148" w14:textId="6369E885"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61" w:name="_Toc294172373"/>
      <w:bookmarkStart w:id="62" w:name="_Toc295830002"/>
      <w:bookmarkStart w:id="63" w:name="_Toc308426679"/>
      <w:bookmarkStart w:id="64" w:name="_Toc310415063"/>
      <w:bookmarkStart w:id="65" w:name="_Toc360188398"/>
      <w:bookmarkStart w:id="66" w:name="_Toc473561038"/>
      <w:bookmarkStart w:id="67" w:name="_Toc151714492"/>
      <w:r>
        <w:rPr>
          <w:rFonts w:ascii="Times New Roman" w:hAnsi="Times New Roman"/>
          <w:sz w:val="24"/>
          <w:u w:val="none"/>
        </w:rPr>
        <w:t>5.3.</w:t>
      </w:r>
      <w:r>
        <w:rPr>
          <w:rFonts w:ascii="Times New Roman" w:hAnsi="Times New Roman"/>
          <w:sz w:val="24"/>
          <w:u w:val="none"/>
        </w:rPr>
        <w:tab/>
      </w:r>
      <w:r>
        <w:rPr>
          <w:rFonts w:ascii="Times New Roman" w:hAnsi="Times New Roman"/>
          <w:sz w:val="24"/>
        </w:rPr>
        <w:t>C 20.01 - Riesgo de mercado: método estándar simplificado para el riesgo específico de las posiciones asignadas a la cartera de negociación de correlación (MKR SSA CTP</w:t>
      </w:r>
      <w:bookmarkEnd w:id="61"/>
      <w:bookmarkEnd w:id="62"/>
      <w:bookmarkEnd w:id="63"/>
      <w:bookmarkEnd w:id="64"/>
      <w:r>
        <w:rPr>
          <w:rFonts w:ascii="Times New Roman" w:hAnsi="Times New Roman"/>
          <w:sz w:val="24"/>
        </w:rPr>
        <w:t>)</w:t>
      </w:r>
      <w:bookmarkEnd w:id="65"/>
      <w:bookmarkEnd w:id="66"/>
      <w:bookmarkEnd w:id="67"/>
    </w:p>
    <w:p w14:paraId="43960D05"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68" w:name="_Toc294172374"/>
      <w:bookmarkStart w:id="69" w:name="_Toc295830003"/>
      <w:bookmarkStart w:id="70" w:name="_Toc308426680"/>
      <w:bookmarkStart w:id="71" w:name="_Toc310415064"/>
      <w:bookmarkStart w:id="72" w:name="_Toc360188399"/>
      <w:bookmarkStart w:id="73" w:name="_Toc473561039"/>
      <w:bookmarkStart w:id="74" w:name="_Toc151714493"/>
      <w:r>
        <w:rPr>
          <w:rFonts w:ascii="Times New Roman" w:hAnsi="Times New Roman"/>
          <w:sz w:val="24"/>
          <w:u w:val="none"/>
        </w:rPr>
        <w:t>5.3.1.</w:t>
      </w:r>
      <w:r>
        <w:rPr>
          <w:rFonts w:ascii="Times New Roman" w:hAnsi="Times New Roman"/>
          <w:sz w:val="24"/>
          <w:u w:val="none"/>
        </w:rPr>
        <w:tab/>
      </w:r>
      <w:r>
        <w:rPr>
          <w:rFonts w:ascii="Times New Roman" w:hAnsi="Times New Roman"/>
          <w:sz w:val="24"/>
        </w:rPr>
        <w:t>Observaciones generales</w:t>
      </w:r>
      <w:bookmarkEnd w:id="68"/>
      <w:bookmarkEnd w:id="69"/>
      <w:bookmarkEnd w:id="70"/>
      <w:bookmarkEnd w:id="71"/>
      <w:bookmarkEnd w:id="72"/>
      <w:bookmarkEnd w:id="73"/>
      <w:bookmarkEnd w:id="74"/>
    </w:p>
    <w:bookmarkStart w:id="75" w:name="_Toc294172375"/>
    <w:bookmarkStart w:id="76" w:name="_Toc295830004"/>
    <w:bookmarkStart w:id="77" w:name="_Toc308426681"/>
    <w:bookmarkStart w:id="78" w:name="_Toc310415065"/>
    <w:bookmarkStart w:id="79" w:name="_Toc360188400"/>
    <w:bookmarkStart w:id="80" w:name="_Toc473561040"/>
    <w:p w14:paraId="6E7E4803" w14:textId="15C9DD0A" w:rsidR="00C55547" w:rsidRPr="004B0EC7" w:rsidRDefault="00771068" w:rsidP="00660845">
      <w:pPr>
        <w:pStyle w:val="InstructionsText2"/>
        <w:numPr>
          <w:ilvl w:val="0"/>
          <w:numId w:val="0"/>
        </w:numPr>
        <w:ind w:left="993"/>
      </w:pPr>
      <w:r w:rsidRPr="004B0EC7">
        <w:fldChar w:fldCharType="begin"/>
      </w:r>
      <w:r w:rsidRPr="004B0EC7">
        <w:instrText xml:space="preserve"> seq paragraphs </w:instrText>
      </w:r>
      <w:r w:rsidRPr="004B0EC7">
        <w:fldChar w:fldCharType="separate"/>
      </w:r>
      <w:r w:rsidRPr="004B0EC7">
        <w:t>165</w:t>
      </w:r>
      <w:r w:rsidRPr="004B0EC7">
        <w:fldChar w:fldCharType="end"/>
      </w:r>
      <w:r>
        <w:t>. Esta plantilla recoge información sobre las posiciones de la cartera de negociación de correlación (CTP) —que comprende titulizaciones, derivados de crédito de n-ésimo impago y otras posiciones de la cartera de negociación de correlación incluidas con arreglo al artículo 338, apartado 3, del Reglamento (UE) n.º 575/2013— y los correspondientes requisitos de fondos propios con arreglo al método estándar.</w:t>
      </w:r>
    </w:p>
    <w:p w14:paraId="7D9D9B10" w14:textId="72D4CBCA" w:rsidR="00C55547"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166</w:t>
      </w:r>
      <w:r w:rsidRPr="004B0EC7">
        <w:fldChar w:fldCharType="end"/>
      </w:r>
      <w:r>
        <w:t>.</w:t>
      </w:r>
      <w:r>
        <w:tab/>
        <w:t xml:space="preserve"> La plantilla MKR SSA CTP presenta el requisito de fondos propios solo para el riesgo específico de las posiciones asignadas a la cartera de negociación de correlación con arreglo al artículo 335, en relación con el artículo 338, apartados 2 y 3, del Reglamento (UE) n.º 575/2013. Si las posiciones de la cartera de negociación de correlación dentro de la cartera de negociación están cubiertas mediante derivados de crédito, se aplicarán los artículos 346 y 347 del Reglamento (UE) n.º 575/2013. Solo hay una plantilla para todas las posiciones de la cartera de negociación de correlación dentro de la cartera de negociación, con independencia del método que la entidad emplee para determinar la ponderación de riesgo de cada posición con arreglo a la parte tercera, título II, capítulo 5, del Reglamento (UE) n.º 575/2013. Los requisitos de fondos propios para el riesgo general de estas posiciones se comunicarán en las plantillas MKR SSA TDI o MKR IM.</w:t>
      </w:r>
    </w:p>
    <w:p w14:paraId="2252BE4F" w14:textId="6A0EE270" w:rsidR="00C55547"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167</w:t>
      </w:r>
      <w:r w:rsidRPr="004B0EC7">
        <w:fldChar w:fldCharType="end"/>
      </w:r>
      <w:r>
        <w:t>.</w:t>
      </w:r>
      <w:r>
        <w:tab/>
        <w:t xml:space="preserve"> La plantilla separa las posiciones de titulización, los derivados de crédito de n-ésimo impago y otras posiciones de la cartera de negociación de correlación. Las </w:t>
      </w:r>
      <w:r>
        <w:lastRenderedPageBreak/>
        <w:t xml:space="preserve">posiciones de titulización deberán comunicarse siempre en las filas 0030, 0060 o 0090 (dependiendo del papel de la entidad en la titulización). Los derivados de crédito de n-ésimo impago se comunicarán siempre en la fila 0110. Las “otras posiciones de la cartera de negociación de correlación” no son posiciones de titulización ni derivados de crédito de n-ésimo impago [véase el artículo 338, apartado 3, del Reglamento (UE) n.º 575/2013], pero están explícitamente “vinculadas” a una de esas dos posiciones (debido a la finalidad de cobertura). </w:t>
      </w:r>
    </w:p>
    <w:p w14:paraId="5B5B9C2A" w14:textId="21A69FAD" w:rsidR="00C55547"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168</w:t>
      </w:r>
      <w:r w:rsidRPr="004B0EC7">
        <w:fldChar w:fldCharType="end"/>
      </w:r>
      <w:r>
        <w:t>.</w:t>
      </w:r>
      <w:r>
        <w:tab/>
        <w:t xml:space="preserve"> Las posiciones que reciban una ponderación de riesgo del 1 250 % pueden también deducirse del capital de nivel 1 ordinario [véanse el artículo 244, apartado 1, letra b), el artículo 245, apartado 1, letra b), y el artículo 253 del Reglamento (UE) n.º 575/2013]. En tal caso, esas posiciones deberán consignarse en la fila 0460 de la plantilla CA1.</w:t>
      </w:r>
    </w:p>
    <w:p w14:paraId="6482CB53" w14:textId="3E0BDD09"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81" w:name="_Toc151714494"/>
      <w:r>
        <w:rPr>
          <w:rFonts w:ascii="Times New Roman" w:hAnsi="Times New Roman"/>
          <w:sz w:val="24"/>
          <w:u w:val="none"/>
        </w:rPr>
        <w:t>5.3.2.</w:t>
      </w:r>
      <w:r>
        <w:rPr>
          <w:rFonts w:ascii="Times New Roman" w:hAnsi="Times New Roman"/>
          <w:sz w:val="24"/>
          <w:u w:val="none"/>
        </w:rPr>
        <w:tab/>
      </w:r>
      <w:r>
        <w:rPr>
          <w:rFonts w:ascii="Times New Roman" w:hAnsi="Times New Roman"/>
          <w:sz w:val="24"/>
        </w:rPr>
        <w:t>Instrucciones relativas a posiciones concretas</w:t>
      </w:r>
      <w:bookmarkEnd w:id="75"/>
      <w:bookmarkEnd w:id="76"/>
      <w:bookmarkEnd w:id="77"/>
      <w:bookmarkEnd w:id="78"/>
      <w:bookmarkEnd w:id="79"/>
      <w:bookmarkEnd w:id="80"/>
      <w:bookmarkEnd w:id="81"/>
    </w:p>
    <w:p w14:paraId="08BF27B7" w14:textId="77777777" w:rsidR="000B0B09" w:rsidRPr="004B0EC7"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4B0EC7" w14:paraId="05BDB97B" w14:textId="77777777" w:rsidTr="00E10B85">
        <w:trPr>
          <w:trHeight w:val="602"/>
        </w:trPr>
        <w:tc>
          <w:tcPr>
            <w:tcW w:w="8890" w:type="dxa"/>
            <w:gridSpan w:val="2"/>
            <w:shd w:val="clear" w:color="auto" w:fill="CCCCCC"/>
          </w:tcPr>
          <w:p w14:paraId="286354EC" w14:textId="77777777" w:rsidR="00C55547" w:rsidRPr="004B0EC7"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Columnas</w:t>
            </w:r>
          </w:p>
        </w:tc>
      </w:tr>
      <w:tr w:rsidR="00C55547" w:rsidRPr="004B0EC7" w14:paraId="697D3EB6" w14:textId="77777777" w:rsidTr="00E10B85">
        <w:tc>
          <w:tcPr>
            <w:tcW w:w="1016" w:type="dxa"/>
          </w:tcPr>
          <w:p w14:paraId="5A814BB2"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2D41C55B"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TODAS LAS POSICIONES (LARGAS Y CORTAS)</w:t>
            </w:r>
          </w:p>
          <w:p w14:paraId="4F3CF7CB" w14:textId="017BAB06" w:rsidR="005C14B0" w:rsidRPr="004B0EC7" w:rsidRDefault="00C55547" w:rsidP="00E10B85">
            <w:pPr>
              <w:rPr>
                <w:rFonts w:ascii="Times New Roman" w:hAnsi="Times New Roman"/>
                <w:sz w:val="24"/>
              </w:rPr>
            </w:pPr>
            <w:r>
              <w:rPr>
                <w:rFonts w:ascii="Times New Roman" w:hAnsi="Times New Roman"/>
                <w:sz w:val="24"/>
              </w:rPr>
              <w:t>Artículo 102 y artículo 105, apartado 1, del Reglamento (UE) n.º 575/2013, en conjunción con su artículo 338, apartados 2 y 3 (posiciones asignadas a la cartera de negociación de correlación).</w:t>
            </w:r>
          </w:p>
          <w:p w14:paraId="70FB0860" w14:textId="005CBA75" w:rsidR="00C55547" w:rsidRPr="004B0EC7" w:rsidRDefault="00C55547" w:rsidP="0002267E">
            <w:pPr>
              <w:rPr>
                <w:rFonts w:ascii="Times New Roman" w:hAnsi="Times New Roman"/>
                <w:sz w:val="24"/>
              </w:rPr>
            </w:pPr>
            <w:r>
              <w:rPr>
                <w:rFonts w:ascii="Times New Roman" w:hAnsi="Times New Roman"/>
                <w:sz w:val="24"/>
              </w:rPr>
              <w:t>En cuanto a la distinción entre las posiciones largas y cortas, también aplicable a estas posiciones brutas, véase el artículo 328, apartado 2, del Reglamento (UE) n.º 575/2013.</w:t>
            </w:r>
          </w:p>
        </w:tc>
      </w:tr>
      <w:tr w:rsidR="00C55547" w:rsidRPr="004B0EC7" w14:paraId="3641769F" w14:textId="77777777" w:rsidTr="00E10B85">
        <w:tc>
          <w:tcPr>
            <w:tcW w:w="1016" w:type="dxa"/>
          </w:tcPr>
          <w:p w14:paraId="04DBC56E"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14:paraId="7E31C35B"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POSICIONES DEDUCIDAS DE LOS FONDOS PROPIOS (LARGAS Y CORTAS)</w:t>
            </w:r>
          </w:p>
          <w:p w14:paraId="56207551" w14:textId="0069D39B" w:rsidR="00C55547" w:rsidRPr="004B0EC7" w:rsidRDefault="00C55547" w:rsidP="00E64BFE">
            <w:pPr>
              <w:rPr>
                <w:rFonts w:ascii="Times New Roman" w:hAnsi="Times New Roman"/>
                <w:sz w:val="24"/>
              </w:rPr>
            </w:pPr>
            <w:r>
              <w:rPr>
                <w:rFonts w:ascii="Times New Roman" w:hAnsi="Times New Roman"/>
                <w:sz w:val="24"/>
              </w:rPr>
              <w:t xml:space="preserve">Artículo 253 del Reglamento (UE) n.º 575/2013. </w:t>
            </w:r>
          </w:p>
        </w:tc>
      </w:tr>
      <w:tr w:rsidR="00C55547" w:rsidRPr="004B0EC7" w14:paraId="6E312180" w14:textId="77777777" w:rsidTr="00E10B85">
        <w:tc>
          <w:tcPr>
            <w:tcW w:w="1016" w:type="dxa"/>
          </w:tcPr>
          <w:p w14:paraId="08709592"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14:paraId="6226B36A"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POSICIONES NETAS (LARGAS Y CORTAS)</w:t>
            </w:r>
          </w:p>
          <w:p w14:paraId="01BDDE40" w14:textId="76E789A7" w:rsidR="005C14B0" w:rsidRPr="004B0EC7" w:rsidRDefault="00C55547" w:rsidP="00E10B85">
            <w:pPr>
              <w:rPr>
                <w:rFonts w:ascii="Times New Roman" w:hAnsi="Times New Roman"/>
                <w:sz w:val="24"/>
              </w:rPr>
            </w:pPr>
            <w:r>
              <w:rPr>
                <w:rFonts w:ascii="Times New Roman" w:hAnsi="Times New Roman"/>
                <w:sz w:val="24"/>
              </w:rPr>
              <w:t xml:space="preserve">Artículos 327, 328, 329 y 334 del Reglamento (UE) n.º 575/2013. </w:t>
            </w:r>
          </w:p>
          <w:p w14:paraId="6C03F093" w14:textId="2B98C3C7" w:rsidR="00C55547" w:rsidRPr="004B0EC7" w:rsidRDefault="00C55547" w:rsidP="00E64BFE">
            <w:pPr>
              <w:rPr>
                <w:rFonts w:ascii="Times New Roman" w:hAnsi="Times New Roman"/>
                <w:sz w:val="24"/>
              </w:rPr>
            </w:pPr>
            <w:r>
              <w:rPr>
                <w:rFonts w:ascii="Times New Roman" w:hAnsi="Times New Roman"/>
                <w:sz w:val="24"/>
              </w:rPr>
              <w:t>En cuanto a la distinción entre las posiciones largas y cortas, véase el artículo 328, apartado 2, del Reglamento (UE) n.º 575/2013.</w:t>
            </w:r>
          </w:p>
        </w:tc>
      </w:tr>
      <w:tr w:rsidR="00C55547" w:rsidRPr="004B0EC7" w14:paraId="6F83AB99" w14:textId="77777777" w:rsidTr="00E10B85">
        <w:tc>
          <w:tcPr>
            <w:tcW w:w="1016" w:type="dxa"/>
          </w:tcPr>
          <w:p w14:paraId="6DDF2435" w14:textId="77777777" w:rsidR="00C55547" w:rsidRPr="004B0EC7" w:rsidRDefault="002F79EA" w:rsidP="00543964">
            <w:pPr>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14:paraId="247CF712"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DESGLOSE DE LAS POSICIONES NETAS POR PONDERACIONES DE RIESGO</w:t>
            </w:r>
          </w:p>
          <w:p w14:paraId="691F4414" w14:textId="030DE019" w:rsidR="00C55547" w:rsidRPr="004B0EC7" w:rsidRDefault="00133396" w:rsidP="001F2389">
            <w:pPr>
              <w:rPr>
                <w:rFonts w:ascii="Times New Roman" w:hAnsi="Times New Roman"/>
                <w:sz w:val="24"/>
              </w:rPr>
            </w:pPr>
            <w:r>
              <w:rPr>
                <w:rStyle w:val="InstructionsTabelleText"/>
                <w:rFonts w:ascii="Times New Roman" w:hAnsi="Times New Roman"/>
                <w:sz w:val="24"/>
              </w:rPr>
              <w:t>Artículos 259 a 262, artículo 263, cuadros 1 y 2, artículo 264, cuadros 3 y 4, y artículo 266 del Reglamento (UE) n.º 575/2013.</w:t>
            </w:r>
          </w:p>
        </w:tc>
      </w:tr>
      <w:tr w:rsidR="00C55547" w:rsidRPr="004B0EC7" w14:paraId="495D2FD0" w14:textId="77777777" w:rsidTr="00E10B85">
        <w:tc>
          <w:tcPr>
            <w:tcW w:w="1016" w:type="dxa"/>
          </w:tcPr>
          <w:p w14:paraId="295B01D9" w14:textId="77777777" w:rsidR="00C55547" w:rsidRPr="004B0EC7" w:rsidRDefault="002F79EA" w:rsidP="00921700">
            <w:pPr>
              <w:rPr>
                <w:rFonts w:ascii="Times New Roman" w:hAnsi="Times New Roman"/>
                <w:sz w:val="24"/>
              </w:rPr>
            </w:pPr>
            <w:r>
              <w:rPr>
                <w:rFonts w:ascii="Times New Roman" w:hAnsi="Times New Roman"/>
                <w:sz w:val="24"/>
              </w:rPr>
              <w:t>0402-0406</w:t>
            </w:r>
          </w:p>
        </w:tc>
        <w:tc>
          <w:tcPr>
            <w:tcW w:w="7874" w:type="dxa"/>
          </w:tcPr>
          <w:p w14:paraId="23629FA6" w14:textId="77777777" w:rsidR="00C55547" w:rsidRPr="004B0EC7"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DESGLOSE DE LAS POSICIONES NETAS POR MÉTODOS</w:t>
            </w:r>
          </w:p>
          <w:p w14:paraId="19937787" w14:textId="465ADE79" w:rsidR="00C55547" w:rsidRPr="004B0EC7" w:rsidRDefault="00C55547" w:rsidP="0002267E">
            <w:pPr>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Artículo 254</w:t>
            </w:r>
            <w:r>
              <w:rPr>
                <w:rFonts w:ascii="Times New Roman" w:hAnsi="Times New Roman"/>
                <w:sz w:val="24"/>
              </w:rPr>
              <w:t xml:space="preserve"> del Reglamento (UE) n.º 575/2013.</w:t>
            </w:r>
            <w:r>
              <w:rPr>
                <w:rStyle w:val="InstructionsTabelleText"/>
                <w:rFonts w:ascii="Times New Roman" w:hAnsi="Times New Roman"/>
                <w:sz w:val="24"/>
              </w:rPr>
              <w:t xml:space="preserve"> </w:t>
            </w:r>
          </w:p>
        </w:tc>
      </w:tr>
      <w:tr w:rsidR="00C55547" w:rsidRPr="004B0EC7" w14:paraId="18FE6247" w14:textId="77777777" w:rsidTr="00E10B85">
        <w:tc>
          <w:tcPr>
            <w:tcW w:w="1016" w:type="dxa"/>
          </w:tcPr>
          <w:p w14:paraId="17001A21" w14:textId="77777777" w:rsidR="00C55547" w:rsidRPr="004B0EC7" w:rsidRDefault="002F79EA" w:rsidP="00921700">
            <w:pPr>
              <w:rPr>
                <w:rFonts w:ascii="Times New Roman" w:hAnsi="Times New Roman"/>
                <w:sz w:val="24"/>
              </w:rPr>
            </w:pPr>
            <w:r>
              <w:rPr>
                <w:rFonts w:ascii="Times New Roman" w:hAnsi="Times New Roman"/>
                <w:sz w:val="24"/>
              </w:rPr>
              <w:t>0402</w:t>
            </w:r>
          </w:p>
        </w:tc>
        <w:tc>
          <w:tcPr>
            <w:tcW w:w="7874" w:type="dxa"/>
          </w:tcPr>
          <w:p w14:paraId="79F7161D"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14:paraId="1718443C" w14:textId="27159510" w:rsidR="00C55547" w:rsidRPr="004B0EC7"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Artículos 259 y 260 del Reglamento (UE) n.º 575/2013.</w:t>
            </w:r>
          </w:p>
        </w:tc>
      </w:tr>
      <w:tr w:rsidR="00C55547" w:rsidRPr="004B0EC7" w14:paraId="35656008" w14:textId="77777777" w:rsidTr="00E10B85">
        <w:tc>
          <w:tcPr>
            <w:tcW w:w="1016" w:type="dxa"/>
          </w:tcPr>
          <w:p w14:paraId="720D0546" w14:textId="77777777" w:rsidR="00C55547" w:rsidRPr="004B0EC7" w:rsidRDefault="002F79EA" w:rsidP="00921700">
            <w:pPr>
              <w:rPr>
                <w:rFonts w:ascii="Times New Roman" w:hAnsi="Times New Roman"/>
                <w:sz w:val="24"/>
              </w:rPr>
            </w:pPr>
            <w:r>
              <w:rPr>
                <w:rFonts w:ascii="Times New Roman" w:hAnsi="Times New Roman"/>
                <w:sz w:val="24"/>
              </w:rPr>
              <w:lastRenderedPageBreak/>
              <w:t>0403</w:t>
            </w:r>
          </w:p>
        </w:tc>
        <w:tc>
          <w:tcPr>
            <w:tcW w:w="7874" w:type="dxa"/>
          </w:tcPr>
          <w:p w14:paraId="78903335"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14:paraId="4F095DEE" w14:textId="02044DC6" w:rsidR="00C55547" w:rsidRPr="004B0EC7"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Artículos 261 y 262 del Reglamento (UE) n.º 575/2013.</w:t>
            </w:r>
          </w:p>
        </w:tc>
      </w:tr>
      <w:tr w:rsidR="00C55547" w:rsidRPr="004B0EC7" w14:paraId="7B54B7CF" w14:textId="77777777" w:rsidTr="00E10B85">
        <w:tc>
          <w:tcPr>
            <w:tcW w:w="1016" w:type="dxa"/>
          </w:tcPr>
          <w:p w14:paraId="0D21F451" w14:textId="77777777" w:rsidR="00C55547" w:rsidRPr="004B0EC7" w:rsidRDefault="002F79EA" w:rsidP="00921700">
            <w:pPr>
              <w:rPr>
                <w:rFonts w:ascii="Times New Roman" w:hAnsi="Times New Roman"/>
                <w:sz w:val="24"/>
              </w:rPr>
            </w:pPr>
            <w:r>
              <w:rPr>
                <w:rFonts w:ascii="Times New Roman" w:hAnsi="Times New Roman"/>
                <w:sz w:val="24"/>
              </w:rPr>
              <w:t>0404</w:t>
            </w:r>
          </w:p>
        </w:tc>
        <w:tc>
          <w:tcPr>
            <w:tcW w:w="7874" w:type="dxa"/>
          </w:tcPr>
          <w:p w14:paraId="6AA67FFF"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14:paraId="108938CD" w14:textId="7A2858ED" w:rsidR="00C55547" w:rsidRPr="004B0EC7"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Artículos 263 y 264 del Reglamento (UE) n.º 575/2013.</w:t>
            </w:r>
          </w:p>
        </w:tc>
      </w:tr>
      <w:tr w:rsidR="00C55547" w:rsidRPr="004B0EC7" w14:paraId="7979A32D" w14:textId="77777777" w:rsidTr="00E10B85">
        <w:tc>
          <w:tcPr>
            <w:tcW w:w="1016" w:type="dxa"/>
          </w:tcPr>
          <w:p w14:paraId="7C1C67E6" w14:textId="77777777" w:rsidR="00C55547" w:rsidRPr="004B0EC7" w:rsidRDefault="002F79EA" w:rsidP="00921700">
            <w:pPr>
              <w:rPr>
                <w:rFonts w:ascii="Times New Roman" w:hAnsi="Times New Roman"/>
                <w:sz w:val="24"/>
              </w:rPr>
            </w:pPr>
            <w:r>
              <w:rPr>
                <w:rFonts w:ascii="Times New Roman" w:hAnsi="Times New Roman"/>
                <w:sz w:val="24"/>
              </w:rPr>
              <w:t>0405</w:t>
            </w:r>
          </w:p>
        </w:tc>
        <w:tc>
          <w:tcPr>
            <w:tcW w:w="7874" w:type="dxa"/>
          </w:tcPr>
          <w:p w14:paraId="68CACB61" w14:textId="77777777"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MÉTODO DE EVALUACIÓN INTERNA</w:t>
            </w:r>
          </w:p>
          <w:p w14:paraId="46E92693" w14:textId="78E87E8C" w:rsidR="00C55547" w:rsidRPr="004B0EC7" w:rsidRDefault="00C55547" w:rsidP="0002267E">
            <w:pPr>
              <w:autoSpaceDE w:val="0"/>
              <w:autoSpaceDN w:val="0"/>
              <w:adjustRightInd w:val="0"/>
              <w:jc w:val="left"/>
              <w:rPr>
                <w:rStyle w:val="InstructionsTabelleberschrift"/>
                <w:rFonts w:ascii="Times New Roman" w:hAnsi="Times New Roman"/>
                <w:sz w:val="24"/>
              </w:rPr>
            </w:pPr>
            <w:r>
              <w:rPr>
                <w:rFonts w:ascii="Times New Roman" w:hAnsi="Times New Roman"/>
                <w:sz w:val="24"/>
              </w:rPr>
              <w:t>Artículos 254 y 265 y artículo 266, apartado 5, del Reglamento (UE) n.º 575/2013.</w:t>
            </w:r>
          </w:p>
        </w:tc>
      </w:tr>
      <w:tr w:rsidR="00A97C62" w:rsidRPr="004B0EC7" w14:paraId="412C0D2A" w14:textId="77777777" w:rsidTr="00E10B85">
        <w:tc>
          <w:tcPr>
            <w:tcW w:w="1016" w:type="dxa"/>
          </w:tcPr>
          <w:p w14:paraId="184EAC6C" w14:textId="26696219" w:rsidR="00A97C62" w:rsidRPr="004B0EC7" w:rsidRDefault="00A97C62" w:rsidP="00A97C62">
            <w:pPr>
              <w:rPr>
                <w:rFonts w:ascii="Times New Roman" w:hAnsi="Times New Roman"/>
                <w:sz w:val="24"/>
              </w:rPr>
            </w:pPr>
            <w:r>
              <w:rPr>
                <w:rFonts w:ascii="Times New Roman" w:hAnsi="Times New Roman"/>
                <w:sz w:val="24"/>
              </w:rPr>
              <w:t>0900</w:t>
            </w:r>
          </w:p>
        </w:tc>
        <w:tc>
          <w:tcPr>
            <w:tcW w:w="7874" w:type="dxa"/>
          </w:tcPr>
          <w:p w14:paraId="33E51780" w14:textId="77777777" w:rsidR="00A97C62" w:rsidRPr="004B0EC7" w:rsidRDefault="00A97C62" w:rsidP="00A97C62">
            <w:pPr>
              <w:spacing w:before="0" w:after="0"/>
              <w:jc w:val="left"/>
              <w:rPr>
                <w:rFonts w:ascii="Times New Roman" w:hAnsi="Times New Roman"/>
                <w:b/>
                <w:sz w:val="24"/>
                <w:u w:val="single"/>
              </w:rPr>
            </w:pPr>
            <w:r>
              <w:rPr>
                <w:rFonts w:ascii="Times New Roman" w:hAnsi="Times New Roman"/>
                <w:b/>
                <w:sz w:val="24"/>
                <w:u w:val="single"/>
              </w:rPr>
              <w:t>TRATAMIENTO ESPECÍFICO DE LOS TRAMOS PREFERENTES DE TITULIZACIONES DE EXPOSICIONES DUDOSAS ADMISIBLES</w:t>
            </w:r>
          </w:p>
          <w:p w14:paraId="1D397AE3" w14:textId="76C348BD" w:rsidR="00A97C62" w:rsidRPr="004B0EC7" w:rsidRDefault="00A97C62" w:rsidP="001235ED">
            <w:pPr>
              <w:autoSpaceDE w:val="0"/>
              <w:autoSpaceDN w:val="0"/>
              <w:adjustRightInd w:val="0"/>
              <w:jc w:val="left"/>
              <w:rPr>
                <w:rFonts w:ascii="Times New Roman" w:hAnsi="Times New Roman"/>
                <w:b/>
                <w:bCs/>
                <w:sz w:val="24"/>
                <w:u w:val="single"/>
              </w:rPr>
            </w:pPr>
            <w:r>
              <w:rPr>
                <w:rFonts w:ascii="Times New Roman" w:hAnsi="Times New Roman"/>
                <w:sz w:val="24"/>
              </w:rPr>
              <w:t>Artículo 269 </w:t>
            </w:r>
            <w:r>
              <w:rPr>
                <w:rFonts w:ascii="Times New Roman" w:hAnsi="Times New Roman"/>
                <w:i/>
                <w:sz w:val="24"/>
              </w:rPr>
              <w:t>bis</w:t>
            </w:r>
            <w:r>
              <w:rPr>
                <w:rFonts w:ascii="Times New Roman" w:hAnsi="Times New Roman"/>
                <w:sz w:val="24"/>
              </w:rPr>
              <w:t>, apartado 3, del Reglamento (UE) n.º 575/2013.</w:t>
            </w:r>
          </w:p>
        </w:tc>
      </w:tr>
      <w:tr w:rsidR="00C55547" w:rsidRPr="004B0EC7" w14:paraId="5C0D49CC" w14:textId="77777777" w:rsidTr="00E10B85">
        <w:tc>
          <w:tcPr>
            <w:tcW w:w="1016" w:type="dxa"/>
          </w:tcPr>
          <w:p w14:paraId="4A75E404" w14:textId="77777777" w:rsidR="00C55547" w:rsidRPr="004B0EC7" w:rsidRDefault="002F79EA" w:rsidP="00921700">
            <w:pPr>
              <w:rPr>
                <w:rFonts w:ascii="Times New Roman" w:hAnsi="Times New Roman"/>
                <w:sz w:val="24"/>
              </w:rPr>
            </w:pPr>
            <w:r>
              <w:rPr>
                <w:rFonts w:ascii="Times New Roman" w:hAnsi="Times New Roman"/>
                <w:sz w:val="24"/>
              </w:rPr>
              <w:t>0406</w:t>
            </w:r>
          </w:p>
        </w:tc>
        <w:tc>
          <w:tcPr>
            <w:tcW w:w="7874" w:type="dxa"/>
          </w:tcPr>
          <w:p w14:paraId="27B9523C" w14:textId="26593451" w:rsidR="00C55547" w:rsidRPr="004B0EC7"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OTROS (PONDERACIÓN DE RIESGO = 1 250 %)</w:t>
            </w:r>
          </w:p>
          <w:p w14:paraId="0B94870A" w14:textId="0A4BBAC5" w:rsidR="00C55547" w:rsidRPr="004B0EC7"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Artículo 254, apartado 7,</w:t>
            </w:r>
            <w:r>
              <w:rPr>
                <w:rFonts w:ascii="Times New Roman" w:hAnsi="Times New Roman"/>
                <w:sz w:val="24"/>
              </w:rPr>
              <w:t xml:space="preserve"> del Reglamento (UE) n.º 575/2013.</w:t>
            </w:r>
          </w:p>
        </w:tc>
      </w:tr>
      <w:tr w:rsidR="00C55547" w:rsidRPr="004B0EC7" w14:paraId="16A48520" w14:textId="77777777" w:rsidTr="00E10B85">
        <w:tc>
          <w:tcPr>
            <w:tcW w:w="1016" w:type="dxa"/>
          </w:tcPr>
          <w:p w14:paraId="04D4F5AC" w14:textId="77777777" w:rsidR="00C55547" w:rsidRPr="004B0EC7" w:rsidRDefault="002F79EA" w:rsidP="0002267E">
            <w:pPr>
              <w:rPr>
                <w:rFonts w:ascii="Times New Roman" w:hAnsi="Times New Roman"/>
                <w:sz w:val="24"/>
              </w:rPr>
            </w:pPr>
            <w:r>
              <w:rPr>
                <w:rFonts w:ascii="Times New Roman" w:hAnsi="Times New Roman"/>
                <w:sz w:val="24"/>
              </w:rPr>
              <w:t>0410-0420</w:t>
            </w:r>
          </w:p>
        </w:tc>
        <w:tc>
          <w:tcPr>
            <w:tcW w:w="7874" w:type="dxa"/>
          </w:tcPr>
          <w:p w14:paraId="78E183CC"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ANTES DE APLICAR EL LÍMITE MÁXIMO - POSICIONES NETAS LARGAS / CORTAS PONDERADAS</w:t>
            </w:r>
          </w:p>
          <w:p w14:paraId="7E8A31C6" w14:textId="04B0137F" w:rsidR="00C55547" w:rsidRPr="004B0EC7" w:rsidRDefault="00C55547" w:rsidP="007062FD">
            <w:pPr>
              <w:rPr>
                <w:rFonts w:ascii="Times New Roman" w:hAnsi="Times New Roman"/>
                <w:sz w:val="24"/>
              </w:rPr>
            </w:pPr>
            <w:r>
              <w:rPr>
                <w:rFonts w:ascii="Times New Roman" w:hAnsi="Times New Roman"/>
                <w:sz w:val="24"/>
              </w:rPr>
              <w:t xml:space="preserve">Artículo 338 del Reglamento (UE) n.º 575/2013, sin tener en cuenta la discrecionalidad establecida en el artículo 335 de dicho Reglamento. </w:t>
            </w:r>
          </w:p>
        </w:tc>
      </w:tr>
      <w:tr w:rsidR="00C55547" w:rsidRPr="004B0EC7" w14:paraId="566ACCB3" w14:textId="77777777" w:rsidTr="00E10B85">
        <w:tc>
          <w:tcPr>
            <w:tcW w:w="1016" w:type="dxa"/>
          </w:tcPr>
          <w:p w14:paraId="4093CA68" w14:textId="77777777" w:rsidR="00C55547" w:rsidRPr="004B0EC7" w:rsidRDefault="002F79EA" w:rsidP="0002267E">
            <w:pPr>
              <w:rPr>
                <w:rFonts w:ascii="Times New Roman" w:hAnsi="Times New Roman"/>
                <w:sz w:val="24"/>
              </w:rPr>
            </w:pPr>
            <w:r>
              <w:rPr>
                <w:rFonts w:ascii="Times New Roman" w:hAnsi="Times New Roman"/>
                <w:sz w:val="24"/>
              </w:rPr>
              <w:t>0430-0440</w:t>
            </w:r>
          </w:p>
        </w:tc>
        <w:tc>
          <w:tcPr>
            <w:tcW w:w="7874" w:type="dxa"/>
          </w:tcPr>
          <w:p w14:paraId="00C8D0F3"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DESPUÉS DE APLICAR EL LÍMITE MÁXIMO - POSICIONES NETAS LARGAS / CORTAS PONDERADAS</w:t>
            </w:r>
          </w:p>
          <w:p w14:paraId="3304B399" w14:textId="1538540C" w:rsidR="00C55547" w:rsidRPr="004B0EC7" w:rsidRDefault="00C55547" w:rsidP="007062FD">
            <w:pPr>
              <w:rPr>
                <w:rFonts w:ascii="Times New Roman" w:hAnsi="Times New Roman"/>
                <w:sz w:val="24"/>
              </w:rPr>
            </w:pPr>
            <w:r>
              <w:rPr>
                <w:rFonts w:ascii="Times New Roman" w:hAnsi="Times New Roman"/>
                <w:sz w:val="24"/>
              </w:rPr>
              <w:t xml:space="preserve">Artículo 338 del Reglamento (UE) n.º 575/2013, teniendo en cuenta la discrecionalidad establecida en el artículo 335 de dicho Reglamento. </w:t>
            </w:r>
          </w:p>
        </w:tc>
      </w:tr>
      <w:tr w:rsidR="00C55547" w:rsidRPr="004B0EC7" w14:paraId="23063B74" w14:textId="77777777" w:rsidTr="00E10B85">
        <w:tc>
          <w:tcPr>
            <w:tcW w:w="1016" w:type="dxa"/>
          </w:tcPr>
          <w:p w14:paraId="5A3BC562" w14:textId="77777777" w:rsidR="00C55547" w:rsidRPr="004B0EC7" w:rsidRDefault="002F79EA" w:rsidP="0002267E">
            <w:pPr>
              <w:rPr>
                <w:rFonts w:ascii="Times New Roman" w:hAnsi="Times New Roman"/>
                <w:sz w:val="24"/>
              </w:rPr>
            </w:pPr>
            <w:r>
              <w:rPr>
                <w:rFonts w:ascii="Times New Roman" w:hAnsi="Times New Roman"/>
                <w:sz w:val="24"/>
              </w:rPr>
              <w:t>0450</w:t>
            </w:r>
          </w:p>
        </w:tc>
        <w:tc>
          <w:tcPr>
            <w:tcW w:w="7874" w:type="dxa"/>
          </w:tcPr>
          <w:p w14:paraId="4210145F" w14:textId="7D6EC5B6"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REQUISITOS DE FONDOS PROPIOS TOTALES ANTES DE APLICAR EL FACTOR DE ESCALA</w:t>
            </w:r>
          </w:p>
          <w:p w14:paraId="7DEA5D32" w14:textId="77777777" w:rsidR="00C55547" w:rsidRPr="004B0EC7" w:rsidRDefault="00C55547" w:rsidP="00E10B85">
            <w:pPr>
              <w:rPr>
                <w:rFonts w:ascii="Times New Roman" w:hAnsi="Times New Roman"/>
                <w:sz w:val="24"/>
              </w:rPr>
            </w:pPr>
            <w:r>
              <w:rPr>
                <w:rFonts w:ascii="Times New Roman" w:hAnsi="Times New Roman"/>
                <w:sz w:val="24"/>
              </w:rPr>
              <w:t>Los requisitos de fondos propios se determinan como la mayor entre i) la exigencia por riesgo específico que se aplicaría únicamente a las posiciones netas largas (columna 0430) y ii) la exigencia por riesgo específico que se aplicaría únicamente a las posiciones netas cortas (columna 0440).</w:t>
            </w:r>
          </w:p>
        </w:tc>
      </w:tr>
    </w:tbl>
    <w:p w14:paraId="4123A762"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4B0EC7"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C55547" w:rsidRPr="004B0EC7" w14:paraId="0C05A0C6" w14:textId="77777777" w:rsidTr="00E10B85">
        <w:trPr>
          <w:trHeight w:val="642"/>
        </w:trPr>
        <w:tc>
          <w:tcPr>
            <w:tcW w:w="9212" w:type="dxa"/>
            <w:gridSpan w:val="2"/>
            <w:shd w:val="clear" w:color="auto" w:fill="CCCCCC"/>
          </w:tcPr>
          <w:p w14:paraId="1B224033" w14:textId="77777777" w:rsidR="00C55547" w:rsidRPr="004B0EC7"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Filas</w:t>
            </w:r>
          </w:p>
        </w:tc>
      </w:tr>
      <w:tr w:rsidR="00C55547" w:rsidRPr="004B0EC7" w14:paraId="51303CB0" w14:textId="77777777" w:rsidTr="00E10B85">
        <w:tc>
          <w:tcPr>
            <w:tcW w:w="1008" w:type="dxa"/>
          </w:tcPr>
          <w:p w14:paraId="4EF580E7"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B5F07DE"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TOTAL DE EXPOSICIONES</w:t>
            </w:r>
          </w:p>
          <w:p w14:paraId="47BDA358" w14:textId="77777777" w:rsidR="00C55547" w:rsidRPr="004B0EC7" w:rsidRDefault="00C55547" w:rsidP="00E10B85">
            <w:pPr>
              <w:rPr>
                <w:rFonts w:ascii="Times New Roman" w:hAnsi="Times New Roman"/>
                <w:sz w:val="24"/>
              </w:rPr>
            </w:pPr>
            <w:r>
              <w:rPr>
                <w:rFonts w:ascii="Times New Roman" w:hAnsi="Times New Roman"/>
                <w:sz w:val="24"/>
              </w:rPr>
              <w:t>Importe total de las posiciones vivas (en la cartera de negociación de correlación) declaradas por la entidad en su función de originadora, inversora o patrocinadora.</w:t>
            </w:r>
          </w:p>
        </w:tc>
      </w:tr>
      <w:tr w:rsidR="00C55547" w:rsidRPr="004B0EC7" w14:paraId="4F9E3B66" w14:textId="77777777" w:rsidTr="00E10B85">
        <w:tc>
          <w:tcPr>
            <w:tcW w:w="1008" w:type="dxa"/>
          </w:tcPr>
          <w:p w14:paraId="4294FDFC"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68E0826A"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ORIGINADORA</w:t>
            </w:r>
          </w:p>
          <w:p w14:paraId="07F7FC7F" w14:textId="691C5D11" w:rsidR="00C55547" w:rsidRPr="004B0EC7" w:rsidRDefault="00C55547" w:rsidP="001F2389">
            <w:pPr>
              <w:rPr>
                <w:rFonts w:ascii="Times New Roman" w:hAnsi="Times New Roman"/>
                <w:sz w:val="24"/>
              </w:rPr>
            </w:pPr>
            <w:r>
              <w:rPr>
                <w:rFonts w:ascii="Times New Roman" w:hAnsi="Times New Roman"/>
                <w:sz w:val="24"/>
              </w:rPr>
              <w:t xml:space="preserve">Artículo 4, apartado 1, punto 13, del Reglamento (UE) n.º 575/2013. </w:t>
            </w:r>
          </w:p>
        </w:tc>
      </w:tr>
      <w:tr w:rsidR="00C55547" w:rsidRPr="004B0EC7" w14:paraId="1113CFCE" w14:textId="77777777" w:rsidTr="00E10B85">
        <w:tc>
          <w:tcPr>
            <w:tcW w:w="1008" w:type="dxa"/>
          </w:tcPr>
          <w:p w14:paraId="045998CB"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14:paraId="7C4743F6"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INVERSORA</w:t>
            </w:r>
          </w:p>
          <w:p w14:paraId="5507389D" w14:textId="77777777" w:rsidR="00C55547" w:rsidRPr="004B0EC7" w:rsidRDefault="00C55547">
            <w:pPr>
              <w:rPr>
                <w:rFonts w:ascii="Times New Roman" w:hAnsi="Times New Roman"/>
                <w:sz w:val="24"/>
              </w:rPr>
            </w:pPr>
            <w:r>
              <w:rPr>
                <w:rFonts w:ascii="Times New Roman" w:hAnsi="Times New Roman"/>
                <w:sz w:val="24"/>
              </w:rPr>
              <w:lastRenderedPageBreak/>
              <w:t>Entidad de crédito que mantiene una posición de titulización en una operación de titulización en la que no actúa como originadora, patrocinadora ni prestamista original.</w:t>
            </w:r>
          </w:p>
        </w:tc>
      </w:tr>
      <w:tr w:rsidR="00C55547" w:rsidRPr="004B0EC7" w14:paraId="3AE4557E" w14:textId="77777777" w:rsidTr="00E10B85">
        <w:tc>
          <w:tcPr>
            <w:tcW w:w="1008" w:type="dxa"/>
          </w:tcPr>
          <w:p w14:paraId="4017D379"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0080-0100</w:t>
            </w:r>
          </w:p>
        </w:tc>
        <w:tc>
          <w:tcPr>
            <w:tcW w:w="8204" w:type="dxa"/>
          </w:tcPr>
          <w:p w14:paraId="6D18A74A"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PATROCINADORA</w:t>
            </w:r>
          </w:p>
          <w:p w14:paraId="65D6B605" w14:textId="002B3FBA" w:rsidR="005C14B0" w:rsidRPr="004B0EC7" w:rsidRDefault="00E64BFE" w:rsidP="001E0C80">
            <w:pPr>
              <w:rPr>
                <w:rFonts w:ascii="Times New Roman" w:hAnsi="Times New Roman"/>
                <w:sz w:val="24"/>
              </w:rPr>
            </w:pPr>
            <w:r>
              <w:rPr>
                <w:rFonts w:ascii="Times New Roman" w:hAnsi="Times New Roman"/>
                <w:sz w:val="24"/>
              </w:rPr>
              <w:t xml:space="preserve"> Artículo 4, apartado 1, punto 14, del Reglamento (UE) n.º 575/2013. </w:t>
            </w:r>
          </w:p>
          <w:p w14:paraId="7911CCA2" w14:textId="77777777" w:rsidR="00C55547" w:rsidRPr="004B0EC7" w:rsidRDefault="005F3BBE" w:rsidP="005F3BBE">
            <w:pPr>
              <w:rPr>
                <w:rFonts w:ascii="Times New Roman" w:hAnsi="Times New Roman"/>
                <w:sz w:val="24"/>
              </w:rPr>
            </w:pPr>
            <w:r>
              <w:rPr>
                <w:rFonts w:ascii="Times New Roman" w:hAnsi="Times New Roman"/>
                <w:sz w:val="24"/>
              </w:rPr>
              <w:t>Si la entidad patrocinadora tituliza también sus propios activos, deberá indicar en las filas correspondientes a la entidad originadora los datos relativos a sus propios activos titulizados.</w:t>
            </w:r>
          </w:p>
        </w:tc>
      </w:tr>
      <w:tr w:rsidR="00C55547" w:rsidRPr="004B0EC7" w14:paraId="5A0251A3" w14:textId="77777777" w:rsidTr="00E10B85">
        <w:tc>
          <w:tcPr>
            <w:tcW w:w="1008" w:type="dxa"/>
          </w:tcPr>
          <w:p w14:paraId="64B09950"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 0060 y 0090</w:t>
            </w:r>
          </w:p>
        </w:tc>
        <w:tc>
          <w:tcPr>
            <w:tcW w:w="8204" w:type="dxa"/>
          </w:tcPr>
          <w:p w14:paraId="65F68A65"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POSICIONES DE TITULIZACIÓN</w:t>
            </w:r>
          </w:p>
          <w:p w14:paraId="3E2839F4" w14:textId="4835C00E" w:rsidR="00C55547" w:rsidRPr="004B0EC7" w:rsidRDefault="00C55547" w:rsidP="00E10B85">
            <w:pPr>
              <w:rPr>
                <w:rFonts w:ascii="Times New Roman" w:hAnsi="Times New Roman"/>
                <w:sz w:val="24"/>
              </w:rPr>
            </w:pPr>
            <w:r>
              <w:rPr>
                <w:rFonts w:ascii="Times New Roman" w:hAnsi="Times New Roman"/>
                <w:sz w:val="24"/>
              </w:rPr>
              <w:t>La cartera de negociación de correlación comprenderá titulizaciones y derivados de crédito de n-ésimo impago y posiblemente otras posiciones de cobertura que cumplan los criterios establecidos en el artículo 338, apartados 2 y 3, del Reglamento (UE) n.º 575/2013.</w:t>
            </w:r>
          </w:p>
          <w:p w14:paraId="284429BF" w14:textId="77777777" w:rsidR="00C55547" w:rsidRPr="004B0EC7" w:rsidRDefault="00C55547" w:rsidP="00E10B85">
            <w:pPr>
              <w:rPr>
                <w:rFonts w:ascii="Times New Roman" w:hAnsi="Times New Roman"/>
                <w:sz w:val="24"/>
              </w:rPr>
            </w:pPr>
            <w:r>
              <w:rPr>
                <w:rFonts w:ascii="Times New Roman" w:hAnsi="Times New Roman"/>
                <w:sz w:val="24"/>
              </w:rPr>
              <w:t>Los derivados de exposiciones de titulización que ofrezcan una participación proporcional y las posiciones que cubran posiciones de la cartera de negociación de correlación se incluirán en la fila “Otras posiciones de la cartera de negociación de correlación”.</w:t>
            </w:r>
          </w:p>
        </w:tc>
      </w:tr>
      <w:tr w:rsidR="00C55547" w:rsidRPr="004B0EC7" w14:paraId="310FE06B" w14:textId="77777777" w:rsidTr="00E10B85">
        <w:tc>
          <w:tcPr>
            <w:tcW w:w="1008" w:type="dxa"/>
          </w:tcPr>
          <w:p w14:paraId="2602BE79"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14:paraId="5251DCC8"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DERIVADOS DE CRÉDITO DE N-ÉSIMO IMPAGO</w:t>
            </w:r>
          </w:p>
          <w:p w14:paraId="298FC0AB" w14:textId="5115C116" w:rsidR="00C55547" w:rsidRPr="004B0EC7" w:rsidRDefault="00C55547" w:rsidP="00E10B85">
            <w:pPr>
              <w:rPr>
                <w:rFonts w:ascii="Times New Roman" w:hAnsi="Times New Roman"/>
                <w:sz w:val="24"/>
              </w:rPr>
            </w:pPr>
            <w:r>
              <w:rPr>
                <w:rFonts w:ascii="Times New Roman" w:hAnsi="Times New Roman"/>
                <w:sz w:val="24"/>
              </w:rPr>
              <w:t>Los derivados de crédito de n-ésimo impago cubiertos mediante derivados de crédito de n-ésimo impago con arreglo al artículo 347 del Reglamento (UE) n.º 575/2013 se comunicarán aquí en ambos casos.</w:t>
            </w:r>
          </w:p>
          <w:p w14:paraId="0ADF3C10" w14:textId="77777777" w:rsidR="00C55547" w:rsidRPr="004B0EC7" w:rsidRDefault="00C55547" w:rsidP="00E10B85">
            <w:pPr>
              <w:rPr>
                <w:rFonts w:ascii="Times New Roman" w:hAnsi="Times New Roman"/>
                <w:sz w:val="24"/>
              </w:rPr>
            </w:pPr>
            <w:r>
              <w:rPr>
                <w:rFonts w:ascii="Times New Roman" w:hAnsi="Times New Roman"/>
                <w:sz w:val="24"/>
              </w:rPr>
              <w:t>Las posiciones originadora, inversora y patrocinadora no proceden en el caso de los derivados de crédito de n-ésimo impago. Por este motivo, el desglose correspondiente a las posiciones de titulización no puede aplicarse a los derivados de crédito de n-ésimo impago.</w:t>
            </w:r>
          </w:p>
        </w:tc>
      </w:tr>
      <w:tr w:rsidR="00C55547" w:rsidRPr="004B0EC7" w14:paraId="3804EA7A" w14:textId="77777777" w:rsidTr="00E10B85">
        <w:tc>
          <w:tcPr>
            <w:tcW w:w="1008" w:type="dxa"/>
          </w:tcPr>
          <w:p w14:paraId="492141F6" w14:textId="77777777" w:rsidR="00C55547" w:rsidRPr="004B0EC7"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0040, 0070, 0100 y 0120</w:t>
            </w:r>
          </w:p>
        </w:tc>
        <w:tc>
          <w:tcPr>
            <w:tcW w:w="8204" w:type="dxa"/>
          </w:tcPr>
          <w:p w14:paraId="1BEC5316" w14:textId="77777777" w:rsidR="00C55547" w:rsidRPr="004B0EC7"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OTRAS POSICIONES DE LA CARTERA DE NEGOCIACIÓN DE CORRELACIÓN</w:t>
            </w:r>
          </w:p>
          <w:p w14:paraId="543C28DD" w14:textId="77777777" w:rsidR="00C55547" w:rsidRPr="004B0EC7" w:rsidRDefault="00C55547" w:rsidP="00E10B85">
            <w:pPr>
              <w:rPr>
                <w:rFonts w:ascii="Times New Roman" w:hAnsi="Times New Roman"/>
                <w:sz w:val="24"/>
              </w:rPr>
            </w:pPr>
            <w:r>
              <w:rPr>
                <w:rFonts w:ascii="Times New Roman" w:hAnsi="Times New Roman"/>
                <w:sz w:val="24"/>
              </w:rPr>
              <w:t xml:space="preserve">Se incluirán las siguientes posiciones: </w:t>
            </w:r>
          </w:p>
          <w:p w14:paraId="22F89721" w14:textId="77777777" w:rsidR="00C55547" w:rsidRPr="004B0EC7"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rPr>
              <w:t>Los derivados de exposiciones de titulización que ofrezcan una participación proporcional y las posiciones que cubran posiciones de la cartera de negociación de correlación.</w:t>
            </w:r>
          </w:p>
          <w:p w14:paraId="35CA9598" w14:textId="4A9D4754" w:rsidR="00C55547" w:rsidRPr="004B0EC7"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rPr>
              <w:t>Las posiciones de la cartera de negociación de correlación cubiertas mediante derivados de crédito conforme al artículo 346 del Reglamento (UE) n.º 575/2013.</w:t>
            </w:r>
          </w:p>
          <w:p w14:paraId="37D9C26F" w14:textId="0EC62F4B" w:rsidR="00C55547" w:rsidRPr="004B0EC7" w:rsidRDefault="00C55547" w:rsidP="005F3BBE">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rPr>
              <w:t>Otras posiciones que cumplan lo establecido en el artículo 338, apartado 3, del Reglamento (UE) n.º 575/2013.</w:t>
            </w:r>
          </w:p>
        </w:tc>
      </w:tr>
    </w:tbl>
    <w:p w14:paraId="2FA40F1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43E44EE8" w14:textId="3D00D7C6"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82" w:name="_Toc262566429"/>
      <w:bookmarkStart w:id="83" w:name="_Toc295830005"/>
      <w:bookmarkStart w:id="84" w:name="_Toc308426682"/>
      <w:bookmarkStart w:id="85" w:name="_Toc310415066"/>
      <w:bookmarkStart w:id="86" w:name="_Toc360188401"/>
      <w:bookmarkStart w:id="87" w:name="_Toc473561041"/>
      <w:bookmarkStart w:id="88" w:name="_Toc151714495"/>
      <w:r>
        <w:rPr>
          <w:rFonts w:ascii="Times New Roman" w:hAnsi="Times New Roman"/>
          <w:sz w:val="24"/>
          <w:u w:val="none"/>
        </w:rPr>
        <w:lastRenderedPageBreak/>
        <w:t>5.4.</w:t>
      </w:r>
      <w:r>
        <w:rPr>
          <w:rFonts w:ascii="Times New Roman" w:hAnsi="Times New Roman"/>
          <w:sz w:val="24"/>
          <w:u w:val="none"/>
        </w:rPr>
        <w:tab/>
      </w:r>
      <w:r>
        <w:rPr>
          <w:rFonts w:ascii="Times New Roman" w:hAnsi="Times New Roman"/>
          <w:sz w:val="24"/>
        </w:rPr>
        <w:t>C 21.01 - Riesgo de mercado: método estándar simplificado para el riesgo de posición en instrumentos de patrimonio</w:t>
      </w:r>
      <w:bookmarkEnd w:id="82"/>
      <w:bookmarkEnd w:id="83"/>
      <w:bookmarkEnd w:id="84"/>
      <w:bookmarkEnd w:id="85"/>
      <w:bookmarkEnd w:id="86"/>
      <w:r>
        <w:rPr>
          <w:rFonts w:ascii="Times New Roman" w:hAnsi="Times New Roman"/>
          <w:sz w:val="24"/>
        </w:rPr>
        <w:t xml:space="preserve"> (MKR SSA EQU)</w:t>
      </w:r>
      <w:bookmarkEnd w:id="87"/>
      <w:bookmarkEnd w:id="88"/>
    </w:p>
    <w:p w14:paraId="28B3FACA"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89" w:name="_Toc262566430"/>
      <w:bookmarkStart w:id="90" w:name="_Toc295830006"/>
      <w:bookmarkStart w:id="91" w:name="_Toc308426683"/>
      <w:bookmarkStart w:id="92" w:name="_Toc310415067"/>
      <w:bookmarkStart w:id="93" w:name="_Toc360188402"/>
      <w:bookmarkStart w:id="94" w:name="_Toc473561042"/>
      <w:bookmarkStart w:id="95" w:name="_Toc151714496"/>
      <w:r>
        <w:rPr>
          <w:rFonts w:ascii="Times New Roman" w:hAnsi="Times New Roman"/>
          <w:sz w:val="24"/>
          <w:u w:val="none"/>
        </w:rPr>
        <w:t>5.4.1.</w:t>
      </w:r>
      <w:r>
        <w:rPr>
          <w:rFonts w:ascii="Times New Roman" w:hAnsi="Times New Roman"/>
          <w:sz w:val="24"/>
          <w:u w:val="none"/>
        </w:rPr>
        <w:tab/>
      </w:r>
      <w:r>
        <w:rPr>
          <w:rFonts w:ascii="Times New Roman" w:hAnsi="Times New Roman"/>
          <w:sz w:val="24"/>
        </w:rPr>
        <w:t>Observaciones generales</w:t>
      </w:r>
      <w:bookmarkEnd w:id="89"/>
      <w:bookmarkEnd w:id="90"/>
      <w:bookmarkEnd w:id="91"/>
      <w:bookmarkEnd w:id="92"/>
      <w:bookmarkEnd w:id="93"/>
      <w:bookmarkEnd w:id="94"/>
      <w:bookmarkEnd w:id="95"/>
    </w:p>
    <w:p w14:paraId="1BA8EF6D" w14:textId="171A3E6F"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169</w:t>
      </w:r>
      <w:r w:rsidRPr="004B0EC7">
        <w:fldChar w:fldCharType="end"/>
      </w:r>
      <w:r>
        <w:t>.</w:t>
      </w:r>
      <w:r>
        <w:tab/>
        <w:t xml:space="preserve"> Esta plantilla recoge información sobre las posiciones y los correspondientes requisitos de fondos propios por riesgo de posición en instrumentos de patrimonio de la cartera de negociación con arreglo al método estándar.</w:t>
      </w:r>
    </w:p>
    <w:p w14:paraId="3AF5EC7C" w14:textId="2604BD99" w:rsidR="00B828CC"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170</w:t>
      </w:r>
      <w:r w:rsidRPr="004B0EC7">
        <w:fldChar w:fldCharType="end"/>
      </w:r>
      <w:r>
        <w:t>.</w:t>
      </w:r>
      <w:r>
        <w:tab/>
        <w:t xml:space="preserve"> La plantilla deberá cumplimentarse por separado para el “Total” y la siguiente lista estática predefinida de mercados: Bulgaria, Chequia, Dinamarca, Egipto, Hungría, Islandia, Liechtenstein, Noruega, Polonia, Rumanía, Suecia, Reino Unido, Albania, Japón, Antigua República Yugoslava de Macedonia, Federación Rusa, Serbia, Suiza, Turquía, Ucrania, Estados Unidos y zona del euro, además de una plantilla residual para todos los mercados restantes. A efectos de este requisito de comunicación, el término “mercado” se entenderá equivalente a “país” [salvo para los países pertenecientes a la zona del euro; véase el Reglamento Delegado (UE) n.º 525/2014 de la Comisión</w:t>
      </w:r>
      <w:r w:rsidR="00B828CC" w:rsidRPr="004B0EC7">
        <w:rPr>
          <w:rStyle w:val="FootnoteReference"/>
        </w:rPr>
        <w:footnoteReference w:id="2"/>
      </w:r>
      <w:r>
        <w:t>].</w:t>
      </w:r>
    </w:p>
    <w:p w14:paraId="077E1A41" w14:textId="0A87F23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96" w:name="_Toc262566431"/>
      <w:bookmarkStart w:id="97" w:name="_Toc295830007"/>
      <w:bookmarkStart w:id="98" w:name="_Toc308426684"/>
      <w:bookmarkStart w:id="99" w:name="_Toc310415068"/>
      <w:bookmarkStart w:id="100" w:name="_Toc360188403"/>
      <w:bookmarkStart w:id="101" w:name="_Toc473561043"/>
      <w:bookmarkStart w:id="102" w:name="_Toc151714497"/>
      <w:r>
        <w:rPr>
          <w:rFonts w:ascii="Times New Roman" w:hAnsi="Times New Roman"/>
          <w:sz w:val="24"/>
          <w:u w:val="none"/>
        </w:rPr>
        <w:t>5.4.2.</w:t>
      </w:r>
      <w:r>
        <w:rPr>
          <w:rFonts w:ascii="Times New Roman" w:hAnsi="Times New Roman"/>
          <w:sz w:val="24"/>
          <w:u w:val="none"/>
        </w:rPr>
        <w:tab/>
      </w:r>
      <w:r>
        <w:rPr>
          <w:rFonts w:ascii="Times New Roman" w:hAnsi="Times New Roman"/>
          <w:sz w:val="24"/>
        </w:rPr>
        <w:t>Instrucciones relativas a posiciones concretas</w:t>
      </w:r>
      <w:bookmarkEnd w:id="96"/>
      <w:bookmarkEnd w:id="97"/>
      <w:bookmarkEnd w:id="98"/>
      <w:bookmarkEnd w:id="99"/>
      <w:bookmarkEnd w:id="100"/>
      <w:bookmarkEnd w:id="101"/>
      <w:bookmarkEnd w:id="1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2ADAFC61" w14:textId="77777777" w:rsidTr="00672D2A">
        <w:trPr>
          <w:trHeight w:val="626"/>
        </w:trPr>
        <w:tc>
          <w:tcPr>
            <w:tcW w:w="8862" w:type="dxa"/>
            <w:gridSpan w:val="2"/>
            <w:shd w:val="clear" w:color="auto" w:fill="CCCCCC"/>
          </w:tcPr>
          <w:p w14:paraId="0BC1F4DA"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Columnas</w:t>
            </w:r>
          </w:p>
        </w:tc>
      </w:tr>
      <w:tr w:rsidR="000B0B09" w:rsidRPr="004B0EC7" w14:paraId="1B6DCA2D" w14:textId="77777777" w:rsidTr="00672D2A">
        <w:tc>
          <w:tcPr>
            <w:tcW w:w="988" w:type="dxa"/>
          </w:tcPr>
          <w:p w14:paraId="2E10DD05"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14:paraId="57FBE31B" w14:textId="77777777" w:rsidR="000B0B09" w:rsidRPr="004B0EC7" w:rsidRDefault="000B0B09" w:rsidP="005F3BBE">
            <w:pPr>
              <w:autoSpaceDE w:val="0"/>
              <w:autoSpaceDN w:val="0"/>
              <w:adjustRightInd w:val="0"/>
              <w:rPr>
                <w:rFonts w:ascii="Times New Roman" w:hAnsi="Times New Roman"/>
                <w:b/>
                <w:bCs/>
                <w:sz w:val="24"/>
                <w:u w:val="single"/>
              </w:rPr>
            </w:pPr>
            <w:r>
              <w:rPr>
                <w:rFonts w:ascii="Times New Roman" w:hAnsi="Times New Roman"/>
                <w:b/>
                <w:sz w:val="24"/>
                <w:u w:val="single"/>
              </w:rPr>
              <w:t>TODAS LAS POSICIONES (LARGAS Y CORTAS)</w:t>
            </w:r>
          </w:p>
          <w:p w14:paraId="754457ED" w14:textId="6411188D" w:rsidR="005C14B0" w:rsidRPr="004B0EC7"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Artículo 102 y artículo 105, apartado 1, del Reglamento (UE) n.º 575/2013. </w:t>
            </w:r>
          </w:p>
          <w:p w14:paraId="59EE061F" w14:textId="7EE7BDEC" w:rsidR="000B0B09" w:rsidRPr="004B0EC7" w:rsidRDefault="000B0B09" w:rsidP="00E64BFE">
            <w:pPr>
              <w:autoSpaceDE w:val="0"/>
              <w:autoSpaceDN w:val="0"/>
              <w:adjustRightInd w:val="0"/>
              <w:spacing w:before="0"/>
              <w:rPr>
                <w:rFonts w:ascii="Times New Roman" w:hAnsi="Times New Roman"/>
                <w:sz w:val="24"/>
              </w:rPr>
            </w:pPr>
            <w:r>
              <w:rPr>
                <w:rFonts w:ascii="Times New Roman" w:hAnsi="Times New Roman"/>
                <w:sz w:val="24"/>
              </w:rPr>
              <w:t xml:space="preserve">Son posiciones brutas no compensadas por instrumentos, pero deducidas las posiciones de aseguramiento ya suscritas o reaseguradas por terceros a que se refiere el artículo 345, apartado 1, párrafo primero, segunda frase, del Reglamento (UE) n.º 575/2013. </w:t>
            </w:r>
          </w:p>
        </w:tc>
      </w:tr>
      <w:tr w:rsidR="000B0B09" w:rsidRPr="004B0EC7" w14:paraId="518A8218" w14:textId="77777777" w:rsidTr="00672D2A">
        <w:tc>
          <w:tcPr>
            <w:tcW w:w="988" w:type="dxa"/>
          </w:tcPr>
          <w:p w14:paraId="5DF1DDF0"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14:paraId="22DC25D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POSICIONES NETAS (LARGAS Y CORTAS)</w:t>
            </w:r>
          </w:p>
          <w:p w14:paraId="72A57BC7" w14:textId="1B6E0BBC" w:rsidR="000B0B09" w:rsidRPr="004B0EC7" w:rsidRDefault="000B0B09" w:rsidP="005F3BBE">
            <w:pPr>
              <w:autoSpaceDE w:val="0"/>
              <w:autoSpaceDN w:val="0"/>
              <w:adjustRightInd w:val="0"/>
              <w:rPr>
                <w:rFonts w:ascii="Times New Roman" w:hAnsi="Times New Roman"/>
                <w:sz w:val="24"/>
              </w:rPr>
            </w:pPr>
            <w:r>
              <w:rPr>
                <w:rFonts w:ascii="Times New Roman" w:hAnsi="Times New Roman"/>
                <w:sz w:val="24"/>
              </w:rPr>
              <w:t xml:space="preserve">Artículos 327, 329, 332, 341 y 345 del Reglamento (UE) n.º 575/2013. </w:t>
            </w:r>
          </w:p>
        </w:tc>
      </w:tr>
      <w:tr w:rsidR="000B0B09" w:rsidRPr="004B0EC7" w14:paraId="1ED40A34" w14:textId="77777777" w:rsidTr="00672D2A">
        <w:tc>
          <w:tcPr>
            <w:tcW w:w="988" w:type="dxa"/>
          </w:tcPr>
          <w:p w14:paraId="49ADB5D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8262B96" w14:textId="77777777" w:rsidR="000B0B09" w:rsidRPr="004B0EC7"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POSICIONES SUJETAS A EXIGENCIA DE CAPITAL</w:t>
            </w:r>
          </w:p>
          <w:p w14:paraId="5B62E698" w14:textId="56A23293" w:rsidR="000B0B09" w:rsidRPr="004B0EC7" w:rsidRDefault="000B0B09" w:rsidP="005F3BBE">
            <w:pPr>
              <w:autoSpaceDE w:val="0"/>
              <w:autoSpaceDN w:val="0"/>
              <w:adjustRightInd w:val="0"/>
              <w:spacing w:after="0"/>
              <w:rPr>
                <w:rFonts w:ascii="Times New Roman" w:hAnsi="Times New Roman"/>
                <w:sz w:val="24"/>
              </w:rPr>
            </w:pPr>
            <w:r>
              <w:rPr>
                <w:rFonts w:ascii="Times New Roman" w:hAnsi="Times New Roman"/>
                <w:sz w:val="24"/>
              </w:rPr>
              <w:t>Posiciones netas sobre las que, con arreglo a los distintos métodos considerados en la parte tercera, título IV, capítulo 2, del Reglamento (UE) n.º 575/2013, recae una exigencia de capital. La exigencia de capital debe calcularse de forma separada para cada mercado nacional. No se incluirán en esta columna las posiciones en futuros sobre índices bursátiles a que se refiere el artículo 344, apartado 4, segunda frase, del Reglamento (UE) n.º 575/2013.</w:t>
            </w:r>
          </w:p>
          <w:p w14:paraId="7C352B88"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7DD60D2" w14:textId="77777777" w:rsidTr="00672D2A">
        <w:tc>
          <w:tcPr>
            <w:tcW w:w="988" w:type="dxa"/>
          </w:tcPr>
          <w:p w14:paraId="479821DD"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3258053C" w14:textId="679461BC"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FONDOS PROPIOS ANTES DE APLICAR LOS FACTORES DE ESCALA</w:t>
            </w:r>
          </w:p>
          <w:p w14:paraId="75CDA27D" w14:textId="1AD90BE9" w:rsidR="000B0B09" w:rsidRPr="004B0EC7" w:rsidRDefault="000B0B09" w:rsidP="005F3BBE">
            <w:pPr>
              <w:autoSpaceDE w:val="0"/>
              <w:autoSpaceDN w:val="0"/>
              <w:adjustRightInd w:val="0"/>
              <w:spacing w:after="0"/>
              <w:rPr>
                <w:rFonts w:ascii="Times New Roman" w:hAnsi="Times New Roman"/>
                <w:sz w:val="24"/>
              </w:rPr>
            </w:pPr>
            <w:r>
              <w:rPr>
                <w:rFonts w:ascii="Times New Roman" w:hAnsi="Times New Roman"/>
                <w:sz w:val="24"/>
              </w:rPr>
              <w:t xml:space="preserve">Los requisitos de fondos propios de conformidad con la parte tercera, título IV, capítulo 2, del Reglamento (UE) n.º 575/2013 para cualquier posición pertinente, </w:t>
            </w:r>
            <w:r>
              <w:rPr>
                <w:rFonts w:ascii="Times New Roman" w:hAnsi="Times New Roman"/>
                <w:sz w:val="24"/>
              </w:rPr>
              <w:lastRenderedPageBreak/>
              <w:t>antes de aplicar los factores de escala establecidos en el artículo 325, apartado 2, letra a), inciso ii), de dicho Reglamento.</w:t>
            </w:r>
          </w:p>
          <w:p w14:paraId="6CDF917D"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4B0EC7" w14:paraId="62F4C373" w14:textId="77777777" w:rsidTr="00672D2A">
        <w:tc>
          <w:tcPr>
            <w:tcW w:w="988" w:type="dxa"/>
          </w:tcPr>
          <w:p w14:paraId="62D82E3B" w14:textId="1C5268CF"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874" w:type="dxa"/>
          </w:tcPr>
          <w:p w14:paraId="1A727463"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 DE LA EXPOSICIÓN AL RIESGO</w:t>
            </w:r>
          </w:p>
          <w:p w14:paraId="33E7C378" w14:textId="2CD315CB" w:rsidR="00E64BFE" w:rsidRPr="004B0EC7" w:rsidRDefault="000B0B0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t xml:space="preserve">Artículo 92, apartado 4, letra b), inciso i), del Reglamento (UE) n.º 575/2013. </w:t>
            </w:r>
          </w:p>
          <w:p w14:paraId="5D42B3B3" w14:textId="746A8766" w:rsidR="000B0B09" w:rsidRPr="004B0EC7"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El resultado de multiplicar los requisitos de fondos propios por 12,5 de conformidad con el artículo 92, apartado 6, letra b), del Reglamento (UE) n.º 575/2013 y por el factor de escala de conformidad con el artículo 325, apartado 2, letra a), inciso ii), de dicho Reglamento.</w:t>
            </w:r>
          </w:p>
        </w:tc>
      </w:tr>
    </w:tbl>
    <w:p w14:paraId="62FB026B"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4B0EC7" w14:paraId="4775591D" w14:textId="77777777" w:rsidTr="00672D2A">
        <w:trPr>
          <w:trHeight w:val="662"/>
        </w:trPr>
        <w:tc>
          <w:tcPr>
            <w:tcW w:w="9212" w:type="dxa"/>
            <w:gridSpan w:val="2"/>
            <w:shd w:val="clear" w:color="auto" w:fill="CCCCCC"/>
          </w:tcPr>
          <w:p w14:paraId="5298B570"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Filas</w:t>
            </w:r>
          </w:p>
        </w:tc>
      </w:tr>
      <w:tr w:rsidR="000B0B09" w:rsidRPr="004B0EC7" w14:paraId="7546B05C" w14:textId="77777777" w:rsidTr="00672D2A">
        <w:tc>
          <w:tcPr>
            <w:tcW w:w="1008" w:type="dxa"/>
          </w:tcPr>
          <w:p w14:paraId="7BE875B0"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14:paraId="1FF7DE12"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INSTRUMENTOS DE PATRIMONIO EN LA CARTERA DE NEGOCIACIÓN</w:t>
            </w:r>
          </w:p>
          <w:p w14:paraId="030F1935" w14:textId="5FC6F493" w:rsidR="000B0B09" w:rsidRPr="004B0EC7" w:rsidRDefault="000B0B09" w:rsidP="007062FD">
            <w:pPr>
              <w:tabs>
                <w:tab w:val="left" w:pos="1665"/>
              </w:tabs>
              <w:autoSpaceDE w:val="0"/>
              <w:autoSpaceDN w:val="0"/>
              <w:adjustRightInd w:val="0"/>
              <w:rPr>
                <w:rFonts w:ascii="Times New Roman" w:hAnsi="Times New Roman"/>
                <w:sz w:val="24"/>
              </w:rPr>
            </w:pPr>
            <w:r>
              <w:rPr>
                <w:rFonts w:ascii="Times New Roman" w:hAnsi="Times New Roman"/>
                <w:sz w:val="24"/>
              </w:rPr>
              <w:t>Los requisitos de fondos propios por riesgo de posición a que se refiere el artículo 92, apartado 4, letra b), inciso i), y la parte tercera, título IV, capítulo 2, sección 3, del Reglamento (UE) n.º 575/2013.</w:t>
            </w:r>
          </w:p>
        </w:tc>
      </w:tr>
      <w:tr w:rsidR="000B0B09" w:rsidRPr="004B0EC7" w14:paraId="06FCC7F1" w14:textId="77777777" w:rsidTr="00672D2A">
        <w:tc>
          <w:tcPr>
            <w:tcW w:w="1008" w:type="dxa"/>
          </w:tcPr>
          <w:p w14:paraId="33E8BCC6"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14:paraId="029ED25F"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RIESGO GENERAL</w:t>
            </w:r>
          </w:p>
          <w:p w14:paraId="21F94335" w14:textId="276AABDB" w:rsidR="000B0B09" w:rsidRPr="004B0EC7" w:rsidRDefault="000B0B09" w:rsidP="005F3BBE">
            <w:pPr>
              <w:autoSpaceDE w:val="0"/>
              <w:autoSpaceDN w:val="0"/>
              <w:adjustRightInd w:val="0"/>
              <w:rPr>
                <w:rFonts w:ascii="Times New Roman" w:hAnsi="Times New Roman"/>
                <w:sz w:val="24"/>
              </w:rPr>
            </w:pPr>
            <w:r>
              <w:rPr>
                <w:rFonts w:ascii="Times New Roman" w:hAnsi="Times New Roman"/>
                <w:sz w:val="24"/>
              </w:rPr>
              <w:t xml:space="preserve">Posiciones en instrumentos de patrimonio sujetas al riesgo general [artículo 343 del Reglamento (UE) n.º 575/2013] y sus correspondientes requisitos de fondos propios de conformidad con la parte tercera, título IV, capítulo 2, sección 3, del Reglamento (UE) n.º 575/2013. </w:t>
            </w:r>
          </w:p>
          <w:p w14:paraId="729400AD" w14:textId="77777777" w:rsidR="001E0C80" w:rsidRPr="004B0EC7" w:rsidRDefault="000B0B09" w:rsidP="005F3BBE">
            <w:pPr>
              <w:autoSpaceDE w:val="0"/>
              <w:autoSpaceDN w:val="0"/>
              <w:adjustRightInd w:val="0"/>
              <w:spacing w:before="0"/>
              <w:rPr>
                <w:rFonts w:ascii="Times New Roman" w:hAnsi="Times New Roman"/>
                <w:sz w:val="24"/>
              </w:rPr>
            </w:pPr>
            <w:r>
              <w:rPr>
                <w:rFonts w:ascii="Times New Roman" w:hAnsi="Times New Roman"/>
                <w:sz w:val="24"/>
              </w:rPr>
              <w:t>Ambos desgloses (filas 0021/0022 y 0030/0040) corresponden a todas las posiciones sujetas al riesgo general.</w:t>
            </w:r>
          </w:p>
          <w:p w14:paraId="32EAD513" w14:textId="77777777" w:rsidR="004E2725" w:rsidRPr="004B0EC7"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Las filas 0021 y 0022 requieren información sobre el desglose por instrumentos. </w:t>
            </w:r>
          </w:p>
          <w:p w14:paraId="75FD06DA" w14:textId="77777777" w:rsidR="000B0B09" w:rsidRPr="004B0EC7"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Para el cálculo de los requisitos de fondos propios solo se utilizará el desglose de las filas 0030 y 0040.</w:t>
            </w:r>
          </w:p>
        </w:tc>
      </w:tr>
      <w:tr w:rsidR="000B0B09" w:rsidRPr="004B0EC7" w14:paraId="7E2E7066" w14:textId="77777777" w:rsidTr="00672D2A">
        <w:tc>
          <w:tcPr>
            <w:tcW w:w="1008" w:type="dxa"/>
          </w:tcPr>
          <w:p w14:paraId="2A8F2E03"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14:paraId="51E4EB2D" w14:textId="77777777" w:rsidR="000B0B09" w:rsidRPr="004B0EC7"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Derivados</w:t>
            </w:r>
          </w:p>
          <w:p w14:paraId="561EFF21" w14:textId="424FAD2D" w:rsidR="000B0B09" w:rsidRPr="004B0EC7"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Derivados incluidos en el cálculo del riesgo de renta variable de las posiciones de la cartera de negociación, teniendo en cuenta los artículos 329 y 332 del Reglamento (UE) n.º 575/2013, si procede.</w:t>
            </w:r>
          </w:p>
        </w:tc>
      </w:tr>
      <w:tr w:rsidR="000B0B09" w:rsidRPr="004B0EC7" w14:paraId="70CC2A6A" w14:textId="77777777" w:rsidTr="00672D2A">
        <w:tc>
          <w:tcPr>
            <w:tcW w:w="1008" w:type="dxa"/>
          </w:tcPr>
          <w:p w14:paraId="569AE9F8"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100EC51C" w14:textId="77777777" w:rsidR="000B0B09" w:rsidRPr="004B0EC7"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Otros activos y pasivos</w:t>
            </w:r>
          </w:p>
          <w:p w14:paraId="21AC79DF" w14:textId="77777777" w:rsidR="000B0B09" w:rsidRPr="004B0EC7"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Instrumentos distintos de los derivados incluidos en el cálculo del riesgo de renta variable de las posiciones de la cartera de negociación. </w:t>
            </w:r>
          </w:p>
        </w:tc>
      </w:tr>
      <w:tr w:rsidR="000B0B09" w:rsidRPr="004B0EC7" w14:paraId="2ECBC519" w14:textId="77777777" w:rsidTr="00672D2A">
        <w:tc>
          <w:tcPr>
            <w:tcW w:w="1008" w:type="dxa"/>
          </w:tcPr>
          <w:p w14:paraId="63840C82"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5BE0B58F"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Futuros sobre índices bursátiles negociados en mercados organizados, ampliamente diversificados y sujetos a un método particular</w:t>
            </w:r>
          </w:p>
          <w:p w14:paraId="56A22316" w14:textId="77777777" w:rsidR="005C14B0" w:rsidRPr="004B0EC7"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Futuros sobre índices bursátiles negociados en mercados organizados, ampliamente diversificados y sujetos a un método particular de conformidad con el Reglamento de Ejecución (UE) n.º 945/2014 de la Comisión</w:t>
            </w:r>
            <w:r w:rsidR="00A11C6E" w:rsidRPr="004B0EC7">
              <w:rPr>
                <w:rStyle w:val="FootnoteReference"/>
              </w:rPr>
              <w:footnoteReference w:id="3"/>
            </w:r>
            <w:r>
              <w:rPr>
                <w:rFonts w:ascii="Times New Roman" w:hAnsi="Times New Roman"/>
                <w:sz w:val="24"/>
              </w:rPr>
              <w:t>.</w:t>
            </w:r>
          </w:p>
          <w:p w14:paraId="2528F1AA" w14:textId="77777777" w:rsidR="000B0B09" w:rsidRPr="004B0EC7"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lastRenderedPageBreak/>
              <w:t>Estas posiciones estarán sujetas únicamente al riesgo general y, por tanto, no deberán comunicarse en la fila 0050.</w:t>
            </w:r>
          </w:p>
        </w:tc>
      </w:tr>
      <w:tr w:rsidR="000B0B09" w:rsidRPr="004B0EC7" w14:paraId="132F7A31" w14:textId="77777777" w:rsidTr="00672D2A">
        <w:tc>
          <w:tcPr>
            <w:tcW w:w="1008" w:type="dxa"/>
          </w:tcPr>
          <w:p w14:paraId="5A552EB7"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8204" w:type="dxa"/>
          </w:tcPr>
          <w:p w14:paraId="10EE0C22"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Otros instrumentos de patrimonio distintos de los futuros sobre índices bursátiles negociados en mercados organizados y ampliamente diversificados</w:t>
            </w:r>
          </w:p>
          <w:p w14:paraId="17542C2D" w14:textId="0BABB084" w:rsidR="000B0B09" w:rsidRPr="004B0EC7" w:rsidRDefault="000B0B09" w:rsidP="007062FD">
            <w:pPr>
              <w:autoSpaceDE w:val="0"/>
              <w:autoSpaceDN w:val="0"/>
              <w:adjustRightInd w:val="0"/>
              <w:rPr>
                <w:rFonts w:ascii="Times New Roman" w:hAnsi="Times New Roman"/>
                <w:sz w:val="24"/>
              </w:rPr>
            </w:pPr>
            <w:r>
              <w:rPr>
                <w:rFonts w:ascii="Times New Roman" w:hAnsi="Times New Roman"/>
                <w:sz w:val="24"/>
              </w:rPr>
              <w:t>Otras posiciones en instrumentos de patrimonio sujetas a riesgo específico, y sus correspondientes requisitos de fondos propios, con arreglo al artículo 343 del Reglamento (UE) n.º 575/2013, incluidas las posiciones en futuros sobre índices bursátiles tratadas conforme al artículo 344, apartado 3, de dicho Reglamento.</w:t>
            </w:r>
          </w:p>
        </w:tc>
      </w:tr>
      <w:tr w:rsidR="000B0B09" w:rsidRPr="004B0EC7" w14:paraId="10C7ACD9" w14:textId="77777777" w:rsidTr="00672D2A">
        <w:tc>
          <w:tcPr>
            <w:tcW w:w="1008" w:type="dxa"/>
          </w:tcPr>
          <w:p w14:paraId="1F6F53FD"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14:paraId="0CF5CE8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RIESGO ESPECÍFICO</w:t>
            </w:r>
          </w:p>
          <w:p w14:paraId="4CFFEA2D" w14:textId="05674FED" w:rsidR="000B0B09" w:rsidRPr="004B0EC7" w:rsidRDefault="000B0B09" w:rsidP="007062FD">
            <w:pPr>
              <w:autoSpaceDE w:val="0"/>
              <w:autoSpaceDN w:val="0"/>
              <w:adjustRightInd w:val="0"/>
              <w:rPr>
                <w:rFonts w:ascii="Times New Roman" w:hAnsi="Times New Roman"/>
                <w:sz w:val="24"/>
              </w:rPr>
            </w:pPr>
            <w:r>
              <w:rPr>
                <w:rFonts w:ascii="Times New Roman" w:hAnsi="Times New Roman"/>
                <w:sz w:val="24"/>
              </w:rPr>
              <w:t xml:space="preserve">Posiciones en instrumentos de patrimonio sujetas a riesgo específico, y sus correspondientes requisitos de fondos propios, con arreglo al artículo 342 del Reglamento (UE) n.º 575/2013, excluidas las posiciones en futuros sobre índices bursátiles tratadas conforme al artículo 344, apartado 4, segunda frase, de dicho Reglamento. </w:t>
            </w:r>
          </w:p>
        </w:tc>
      </w:tr>
      <w:tr w:rsidR="000B0B09" w:rsidRPr="004B0EC7" w14:paraId="63780725" w14:textId="77777777" w:rsidTr="00672D2A">
        <w:tc>
          <w:tcPr>
            <w:tcW w:w="1008" w:type="dxa"/>
          </w:tcPr>
          <w:p w14:paraId="573EB4E8"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14:paraId="1BAF0B57"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REQUISITOS ADICIONALES PARA OPCIONES (RIESGOS DISTINTOS DE DELTA)</w:t>
            </w:r>
          </w:p>
          <w:p w14:paraId="2552C107" w14:textId="2AD28847" w:rsidR="000B0B09" w:rsidRPr="004B0EC7" w:rsidRDefault="00F2521E" w:rsidP="00F2521E">
            <w:pPr>
              <w:autoSpaceDE w:val="0"/>
              <w:autoSpaceDN w:val="0"/>
              <w:adjustRightInd w:val="0"/>
              <w:rPr>
                <w:rFonts w:ascii="Times New Roman" w:hAnsi="Times New Roman"/>
                <w:sz w:val="24"/>
              </w:rPr>
            </w:pPr>
            <w:r>
              <w:rPr>
                <w:rFonts w:ascii="Times New Roman" w:hAnsi="Times New Roman"/>
                <w:sz w:val="24"/>
              </w:rPr>
              <w:t xml:space="preserve">Artículo 329, apartados 2 y 3, del Reglamento (UE) n.º 575/2013. </w:t>
            </w:r>
          </w:p>
          <w:p w14:paraId="72C3FAC3" w14:textId="77777777" w:rsidR="000B0B09" w:rsidRPr="004B0EC7" w:rsidRDefault="000B0B09">
            <w:pPr>
              <w:autoSpaceDE w:val="0"/>
              <w:autoSpaceDN w:val="0"/>
              <w:adjustRightInd w:val="0"/>
              <w:spacing w:before="0" w:after="0"/>
              <w:rPr>
                <w:rFonts w:ascii="Times New Roman" w:hAnsi="Times New Roman"/>
                <w:sz w:val="24"/>
              </w:rPr>
            </w:pPr>
            <w:r>
              <w:rPr>
                <w:rFonts w:ascii="Times New Roman" w:hAnsi="Times New Roman"/>
                <w:sz w:val="24"/>
              </w:rPr>
              <w:t>Los requisitos adicionales para las opciones en relación con riesgos distintos de delta se comunicarán en función del método empleado para su cálculo.</w:t>
            </w:r>
          </w:p>
        </w:tc>
      </w:tr>
    </w:tbl>
    <w:p w14:paraId="0EB6FD79" w14:textId="77777777" w:rsidR="000B0B09" w:rsidRPr="004B0EC7" w:rsidRDefault="000B0B09" w:rsidP="000B0B09">
      <w:pPr>
        <w:autoSpaceDE w:val="0"/>
        <w:autoSpaceDN w:val="0"/>
        <w:adjustRightInd w:val="0"/>
        <w:spacing w:before="0" w:after="0"/>
        <w:rPr>
          <w:rFonts w:ascii="Times New Roman" w:hAnsi="Times New Roman"/>
          <w:bCs/>
          <w:sz w:val="24"/>
          <w:lang w:eastAsia="nl-BE"/>
        </w:rPr>
      </w:pPr>
    </w:p>
    <w:p w14:paraId="1D26B512" w14:textId="46B21F7D"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03" w:name="_Toc262566432"/>
      <w:bookmarkStart w:id="104" w:name="_Toc295830008"/>
      <w:bookmarkStart w:id="105" w:name="_Toc308426685"/>
      <w:bookmarkStart w:id="106" w:name="_Toc310415069"/>
      <w:bookmarkStart w:id="107" w:name="_Toc360188404"/>
      <w:bookmarkStart w:id="108" w:name="_Toc473561044"/>
      <w:bookmarkStart w:id="109" w:name="_Toc151714498"/>
      <w:r>
        <w:rPr>
          <w:rFonts w:ascii="Times New Roman" w:hAnsi="Times New Roman"/>
          <w:sz w:val="24"/>
          <w:u w:val="none"/>
        </w:rPr>
        <w:t>5.5.</w:t>
      </w:r>
      <w:r>
        <w:rPr>
          <w:rFonts w:ascii="Times New Roman" w:hAnsi="Times New Roman"/>
          <w:sz w:val="24"/>
          <w:u w:val="none"/>
        </w:rPr>
        <w:tab/>
      </w:r>
      <w:r>
        <w:rPr>
          <w:rFonts w:ascii="Times New Roman" w:hAnsi="Times New Roman"/>
          <w:sz w:val="24"/>
        </w:rPr>
        <w:t>C 22.01 - Riesgo de mercado: método estándar simplificado para el riesgo de tipo de cambio</w:t>
      </w:r>
      <w:bookmarkEnd w:id="103"/>
      <w:bookmarkEnd w:id="104"/>
      <w:bookmarkEnd w:id="105"/>
      <w:bookmarkEnd w:id="106"/>
      <w:bookmarkEnd w:id="107"/>
      <w:r>
        <w:rPr>
          <w:rFonts w:ascii="Times New Roman" w:hAnsi="Times New Roman"/>
          <w:sz w:val="24"/>
        </w:rPr>
        <w:t xml:space="preserve"> (MKR SSA FX)</w:t>
      </w:r>
      <w:bookmarkEnd w:id="108"/>
      <w:bookmarkEnd w:id="109"/>
    </w:p>
    <w:p w14:paraId="70FD2A29"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10" w:name="_Toc262566433"/>
      <w:bookmarkStart w:id="111" w:name="_Toc295830009"/>
      <w:bookmarkStart w:id="112" w:name="_Toc308426686"/>
      <w:bookmarkStart w:id="113" w:name="_Toc310415070"/>
      <w:bookmarkStart w:id="114" w:name="_Toc360188405"/>
      <w:bookmarkStart w:id="115" w:name="_Toc473561045"/>
      <w:bookmarkStart w:id="116" w:name="_Toc151714499"/>
      <w:r>
        <w:rPr>
          <w:rFonts w:ascii="Times New Roman" w:hAnsi="Times New Roman"/>
          <w:sz w:val="24"/>
          <w:u w:val="none"/>
        </w:rPr>
        <w:t>5.5.1.</w:t>
      </w:r>
      <w:r>
        <w:rPr>
          <w:rFonts w:ascii="Times New Roman" w:hAnsi="Times New Roman"/>
          <w:sz w:val="24"/>
          <w:u w:val="none"/>
        </w:rPr>
        <w:tab/>
      </w:r>
      <w:r>
        <w:rPr>
          <w:rFonts w:ascii="Times New Roman" w:hAnsi="Times New Roman"/>
          <w:sz w:val="24"/>
        </w:rPr>
        <w:t>Observaciones generales</w:t>
      </w:r>
      <w:bookmarkEnd w:id="110"/>
      <w:bookmarkEnd w:id="111"/>
      <w:bookmarkEnd w:id="112"/>
      <w:bookmarkEnd w:id="113"/>
      <w:bookmarkEnd w:id="114"/>
      <w:bookmarkEnd w:id="115"/>
      <w:bookmarkEnd w:id="116"/>
    </w:p>
    <w:p w14:paraId="3B4750B2" w14:textId="251AD709" w:rsidR="00F71DF2"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171</w:t>
      </w:r>
      <w:r w:rsidRPr="004B0EC7">
        <w:fldChar w:fldCharType="end"/>
      </w:r>
      <w:r>
        <w:t>. Las entidades comunicarán información sobre las posiciones en cada divisa (incluida la divisa de referencia) y los correspondientes requisitos de fondos propios para el riesgo de tipo de cambio, con arreglo al método estándar. Esta posición se calculará para todas las divisas (incluido el euro), el oro y las posiciones en OIC.</w:t>
      </w:r>
    </w:p>
    <w:p w14:paraId="39EF826C" w14:textId="3D244F2F"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172</w:t>
      </w:r>
      <w:r w:rsidRPr="004B0EC7">
        <w:fldChar w:fldCharType="end"/>
      </w:r>
      <w:r>
        <w:t>.</w:t>
      </w:r>
      <w:r>
        <w:tab/>
        <w:t xml:space="preserve"> Las filas 0100 a 0480 de esta plantilla se cumplimentarán incluso aunque las entidades no estén obligadas a calcular los requisitos de fondos propios por riesgo de tipo de cambio conforme al artículo 351 del Reglamento (UE) n.º 575/2013. En estas partidas pro memoria se incluyen todas las posiciones en la divisa de referencia, con independencia de que se tengan en cuenta a efectos del artículo 354 del Reglamento (UE) n.º 575/2013. Las filas 0130 a 0480 de las partidas pro memoria de la plantilla deberán cumplimentarse por separado para todas las monedas de los Estados miembros de la Unión y las siguientes divisas: GBP, USD, CHF, JPY, RUB, TRY, AUD, CAD, RSD, ALL, UAH, MKD, EGP, ARS, BRL, MXN, HKD, ICK, TWD, NZD, NOK, SGD, KRW, CNY y todas las demás divisas.</w:t>
      </w:r>
    </w:p>
    <w:p w14:paraId="346B4732" w14:textId="273354B2"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17" w:name="_Toc262566434"/>
      <w:bookmarkStart w:id="118" w:name="_Toc295830010"/>
      <w:bookmarkStart w:id="119" w:name="_Toc308426687"/>
      <w:bookmarkStart w:id="120" w:name="_Toc310415071"/>
      <w:bookmarkStart w:id="121" w:name="_Toc360188406"/>
      <w:bookmarkStart w:id="122" w:name="_Toc473561046"/>
      <w:bookmarkStart w:id="123" w:name="_Toc151714500"/>
      <w:r>
        <w:rPr>
          <w:rFonts w:ascii="Times New Roman" w:hAnsi="Times New Roman"/>
          <w:sz w:val="24"/>
          <w:u w:val="none"/>
        </w:rPr>
        <w:t>5.5.2.</w:t>
      </w:r>
      <w:r>
        <w:rPr>
          <w:rFonts w:ascii="Times New Roman" w:hAnsi="Times New Roman"/>
          <w:sz w:val="24"/>
          <w:u w:val="none"/>
        </w:rPr>
        <w:tab/>
      </w:r>
      <w:r>
        <w:rPr>
          <w:rFonts w:ascii="Times New Roman" w:hAnsi="Times New Roman"/>
          <w:sz w:val="24"/>
        </w:rPr>
        <w:t>Instrucciones relativas a posiciones concretas</w:t>
      </w:r>
      <w:bookmarkEnd w:id="117"/>
      <w:bookmarkEnd w:id="118"/>
      <w:bookmarkEnd w:id="119"/>
      <w:bookmarkEnd w:id="120"/>
      <w:bookmarkEnd w:id="121"/>
      <w:bookmarkEnd w:id="122"/>
      <w:bookmarkEnd w:id="1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4B0EC7" w14:paraId="49DEFDC7" w14:textId="77777777" w:rsidTr="00672D2A">
        <w:trPr>
          <w:trHeight w:val="595"/>
        </w:trPr>
        <w:tc>
          <w:tcPr>
            <w:tcW w:w="8862" w:type="dxa"/>
            <w:gridSpan w:val="2"/>
            <w:shd w:val="clear" w:color="auto" w:fill="CCCCCC"/>
          </w:tcPr>
          <w:p w14:paraId="12971A77"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Columnas</w:t>
            </w:r>
          </w:p>
        </w:tc>
      </w:tr>
      <w:tr w:rsidR="000B0B09" w:rsidRPr="004B0EC7" w14:paraId="159B4B41" w14:textId="77777777" w:rsidTr="00672D2A">
        <w:tc>
          <w:tcPr>
            <w:tcW w:w="988" w:type="dxa"/>
          </w:tcPr>
          <w:p w14:paraId="0ABA9E2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0020-0030</w:t>
            </w:r>
          </w:p>
        </w:tc>
        <w:tc>
          <w:tcPr>
            <w:tcW w:w="7874" w:type="dxa"/>
          </w:tcPr>
          <w:p w14:paraId="3450FB8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TODAS LAS POSICIONES (LARGAS Y CORTAS)</w:t>
            </w:r>
          </w:p>
          <w:p w14:paraId="21CD6173" w14:textId="77777777" w:rsidR="000B0B09" w:rsidRPr="004B0EC7" w:rsidRDefault="000B0B09" w:rsidP="00283B5F">
            <w:pPr>
              <w:autoSpaceDE w:val="0"/>
              <w:autoSpaceDN w:val="0"/>
              <w:adjustRightInd w:val="0"/>
              <w:spacing w:before="0" w:after="0"/>
              <w:rPr>
                <w:rFonts w:ascii="Times New Roman" w:hAnsi="Times New Roman"/>
                <w:sz w:val="24"/>
                <w:lang w:eastAsia="nl-BE"/>
              </w:rPr>
            </w:pPr>
          </w:p>
          <w:p w14:paraId="5F204D98" w14:textId="7206E339" w:rsidR="005C14B0" w:rsidRPr="004B0EC7" w:rsidRDefault="000B0B09" w:rsidP="00F2521E">
            <w:pPr>
              <w:autoSpaceDE w:val="0"/>
              <w:autoSpaceDN w:val="0"/>
              <w:adjustRightInd w:val="0"/>
              <w:spacing w:before="0"/>
              <w:rPr>
                <w:rFonts w:ascii="Times New Roman" w:hAnsi="Times New Roman"/>
                <w:sz w:val="24"/>
              </w:rPr>
            </w:pPr>
            <w:r>
              <w:rPr>
                <w:rFonts w:ascii="Times New Roman" w:hAnsi="Times New Roman"/>
                <w:sz w:val="24"/>
              </w:rPr>
              <w:t>Posiciones brutas por activos, importes pendientes de cobro y elementos similares a que se hace referencia en el artículo 352, apartado 1, del Reglamento (UE) n.º 575/2013.</w:t>
            </w:r>
          </w:p>
          <w:p w14:paraId="754DB1BB" w14:textId="2FEAA29E" w:rsidR="000B0B09" w:rsidRPr="004B0EC7"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Conforme al artículo 352, apartado 2, del Reglamento (UE) n.º 575/2013 y siempre que las autoridades competentes lo autoricen, las posiciones asumidas como cobertura frente a los efectos adversos del tipo de cambio sobre las ratios a que se refiere el artículo 92, apartado 1, de dicho Reglamento y las posiciones relacionadas con elementos ya deducidos en el cálculo de los fondos propios no se comunicarán.</w:t>
            </w:r>
          </w:p>
          <w:p w14:paraId="40A85A41"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5B6C2519" w14:textId="77777777" w:rsidTr="00672D2A">
        <w:tc>
          <w:tcPr>
            <w:tcW w:w="988" w:type="dxa"/>
          </w:tcPr>
          <w:p w14:paraId="01A2B5B6"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14:paraId="5A21CA5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POSICIONES NETAS (LARGAS Y CORTAS)</w:t>
            </w:r>
          </w:p>
          <w:p w14:paraId="5D5BCFBB"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263D2EB9" w14:textId="4D60A7B0" w:rsidR="00283B5F" w:rsidRPr="004B0EC7" w:rsidRDefault="000B0B09" w:rsidP="00F2521E">
            <w:pPr>
              <w:autoSpaceDE w:val="0"/>
              <w:autoSpaceDN w:val="0"/>
              <w:adjustRightInd w:val="0"/>
              <w:spacing w:before="0"/>
              <w:rPr>
                <w:rFonts w:ascii="Times New Roman" w:hAnsi="Times New Roman"/>
                <w:sz w:val="24"/>
              </w:rPr>
            </w:pPr>
            <w:r>
              <w:rPr>
                <w:rFonts w:ascii="Times New Roman" w:hAnsi="Times New Roman"/>
                <w:sz w:val="24"/>
              </w:rPr>
              <w:t>Artículo 352, apartado 3 y apartado 4, primeras dos frases, y artículo 353 del Reglamento (UE) n.º 575/2013.</w:t>
            </w:r>
          </w:p>
          <w:p w14:paraId="1436375E" w14:textId="100DFA36"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Las posiciones netas se calculan por cada divisa, conforme al artículo 352, apartado 1, del Reglamento (UE) n.º 575/2013. Por consiguiente, podrán comunicarse al mismo tiempo posiciones largas y cortas.</w:t>
            </w:r>
          </w:p>
          <w:p w14:paraId="7EF6C18C"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1DBF3F98" w14:textId="77777777" w:rsidTr="00672D2A">
        <w:tc>
          <w:tcPr>
            <w:tcW w:w="988" w:type="dxa"/>
          </w:tcPr>
          <w:p w14:paraId="5ED8190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14:paraId="23461A4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POSICIONES SUJETAS A EXIGENCIA DE CAPITAL</w:t>
            </w:r>
          </w:p>
          <w:p w14:paraId="536B2115"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4FE1162B" w14:textId="78C764D9"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Artículo 352, apartado 4, tercera frase, y artículos 353 y 354 del Reglamento (UE) n.º 575/2013. </w:t>
            </w:r>
          </w:p>
          <w:p w14:paraId="091C4CE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2E36B34" w14:textId="77777777" w:rsidTr="00672D2A">
        <w:tc>
          <w:tcPr>
            <w:tcW w:w="988" w:type="dxa"/>
          </w:tcPr>
          <w:p w14:paraId="4CF75F7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14:paraId="4917443B"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POSICIONES SUJETAS A EXIGENCIA DE CAPITAL (LARGAS Y CORTAS)</w:t>
            </w:r>
          </w:p>
          <w:p w14:paraId="1CA17503" w14:textId="77777777" w:rsidR="000B0B09" w:rsidRPr="004B0EC7" w:rsidRDefault="000B0B09" w:rsidP="00F2521E">
            <w:pPr>
              <w:autoSpaceDE w:val="0"/>
              <w:autoSpaceDN w:val="0"/>
              <w:adjustRightInd w:val="0"/>
              <w:spacing w:after="0"/>
              <w:rPr>
                <w:rFonts w:ascii="Times New Roman" w:hAnsi="Times New Roman"/>
                <w:sz w:val="24"/>
              </w:rPr>
            </w:pPr>
            <w:r>
              <w:rPr>
                <w:rFonts w:ascii="Times New Roman" w:hAnsi="Times New Roman"/>
                <w:sz w:val="24"/>
              </w:rPr>
              <w:t>Las posiciones netas largas y cortas en cada divisa se calcularán deduciendo el total de las posiciones cortas del total de las posiciones largas.</w:t>
            </w:r>
          </w:p>
          <w:p w14:paraId="7912A4F1" w14:textId="77777777" w:rsidR="000B0B09" w:rsidRPr="004B0EC7" w:rsidRDefault="000B0B09" w:rsidP="00F2521E">
            <w:pPr>
              <w:autoSpaceDE w:val="0"/>
              <w:autoSpaceDN w:val="0"/>
              <w:adjustRightInd w:val="0"/>
              <w:spacing w:after="0"/>
              <w:rPr>
                <w:rFonts w:ascii="Times New Roman" w:hAnsi="Times New Roman"/>
                <w:sz w:val="24"/>
              </w:rPr>
            </w:pPr>
            <w:r>
              <w:rPr>
                <w:rFonts w:ascii="Times New Roman" w:hAnsi="Times New Roman"/>
                <w:sz w:val="24"/>
              </w:rPr>
              <w:t>Las posiciones netas largas de cada operación en una divisa se sumarán para obtener la posición neta larga en dicha divisa.</w:t>
            </w:r>
          </w:p>
          <w:p w14:paraId="5B4E9BDF" w14:textId="77777777" w:rsidR="000B0B09" w:rsidRPr="004B0EC7" w:rsidRDefault="000B0B09" w:rsidP="00F2521E">
            <w:pPr>
              <w:autoSpaceDE w:val="0"/>
              <w:autoSpaceDN w:val="0"/>
              <w:adjustRightInd w:val="0"/>
              <w:spacing w:after="0"/>
              <w:rPr>
                <w:rFonts w:ascii="Times New Roman" w:hAnsi="Times New Roman"/>
                <w:sz w:val="24"/>
              </w:rPr>
            </w:pPr>
            <w:r>
              <w:rPr>
                <w:rFonts w:ascii="Times New Roman" w:hAnsi="Times New Roman"/>
                <w:sz w:val="24"/>
              </w:rPr>
              <w:t>Las posiciones netas cortas de cada operación en una divisa se sumarán para obtener la posición neta corta en dicha divisa.</w:t>
            </w:r>
          </w:p>
          <w:p w14:paraId="71BEB09F" w14:textId="77777777" w:rsidR="000B0B09" w:rsidRPr="004B0EC7" w:rsidRDefault="000B0B09" w:rsidP="00F2521E">
            <w:pPr>
              <w:autoSpaceDE w:val="0"/>
              <w:autoSpaceDN w:val="0"/>
              <w:adjustRightInd w:val="0"/>
              <w:spacing w:after="0"/>
              <w:rPr>
                <w:rFonts w:ascii="Times New Roman" w:hAnsi="Times New Roman"/>
                <w:sz w:val="24"/>
              </w:rPr>
            </w:pPr>
            <w:r>
              <w:rPr>
                <w:rFonts w:ascii="Times New Roman" w:hAnsi="Times New Roman"/>
                <w:sz w:val="24"/>
              </w:rPr>
              <w:t>Las posiciones no compensadas en divisas distintas de la de referencia se añadirán a las posiciones sujetas a exigencias de capital en otras divisas (fila 030) en la columna 060 o 070, según se trate de posiciones cortas o largas.</w:t>
            </w:r>
          </w:p>
          <w:p w14:paraId="3B8AB235" w14:textId="77777777" w:rsidR="00DE48EF" w:rsidRPr="004B0EC7"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4B0EC7" w14:paraId="153E3368" w14:textId="77777777" w:rsidTr="00672D2A">
        <w:tc>
          <w:tcPr>
            <w:tcW w:w="988" w:type="dxa"/>
          </w:tcPr>
          <w:p w14:paraId="79947C75"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14:paraId="50779B26"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POSICIONES SUJETAS A EXIGENCIA DE CAPITAL (COMPENSADAS)</w:t>
            </w:r>
          </w:p>
          <w:p w14:paraId="1787EA62"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Posiciones compensadas en divisas estrechamente correlacionadas.</w:t>
            </w:r>
          </w:p>
          <w:p w14:paraId="6BC8E67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E3750E4" w14:textId="77777777" w:rsidTr="00672D2A">
        <w:tc>
          <w:tcPr>
            <w:tcW w:w="988" w:type="dxa"/>
          </w:tcPr>
          <w:p w14:paraId="0E46DE0C"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4FC12DDA" w14:textId="7F464E56"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FONDOS PROPIOS ANTES DE APLICAR LOS FACTORES DE ESCALA</w:t>
            </w:r>
          </w:p>
          <w:p w14:paraId="4108E694"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D828234" w14:textId="6DCB9C10"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Los requisitos de fondos propios para cualquier posición pertinente de conformidad con la parte tercera, título IV, capítulo 3, del Reglamento (UE) </w:t>
            </w:r>
            <w:r>
              <w:rPr>
                <w:rFonts w:ascii="Times New Roman" w:hAnsi="Times New Roman"/>
                <w:sz w:val="24"/>
              </w:rPr>
              <w:lastRenderedPageBreak/>
              <w:t xml:space="preserve">n.º 575/2013, antes de aplicar el factor de escala de conformidad con el artículo 325, apartado 2, letra b), de dicho Reglamento. </w:t>
            </w:r>
          </w:p>
          <w:p w14:paraId="62C9AE7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75A4CD35" w14:textId="77777777" w:rsidTr="00672D2A">
        <w:tc>
          <w:tcPr>
            <w:tcW w:w="988" w:type="dxa"/>
          </w:tcPr>
          <w:p w14:paraId="5B271B1C" w14:textId="16F42514"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0100</w:t>
            </w:r>
          </w:p>
        </w:tc>
        <w:tc>
          <w:tcPr>
            <w:tcW w:w="7874" w:type="dxa"/>
          </w:tcPr>
          <w:p w14:paraId="0647EAC0"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 DE LA EXPOSICIÓN AL RIESGO</w:t>
            </w:r>
          </w:p>
          <w:p w14:paraId="1005789B"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20CDB811" w:rsidR="005C14B0" w:rsidRPr="004B0EC7" w:rsidRDefault="000B0B0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Artículo 92, apartado 4, letra c), del Reglamento (UE) n.º 575/2013.</w:t>
            </w:r>
          </w:p>
          <w:p w14:paraId="74C1A53D" w14:textId="0F1B212C" w:rsidR="000B0B09" w:rsidRPr="004B0EC7"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El resultado de multiplicar los requisitos de fondos propios por 12,5 de conformidad con el artículo 92, apartado 6, letra b), del Reglamento (UE) n.º 575/2013 y por el factor de escala de conformidad con el artículo 325, apartado 2, letra b), de dicho Reglamento. </w:t>
            </w:r>
          </w:p>
          <w:p w14:paraId="43ECFCA3" w14:textId="77777777" w:rsidR="00DE48EF" w:rsidRPr="004B0EC7"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4B0EC7"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4B0EC7" w14:paraId="0291DB10" w14:textId="77777777" w:rsidTr="00672D2A">
        <w:trPr>
          <w:trHeight w:val="497"/>
        </w:trPr>
        <w:tc>
          <w:tcPr>
            <w:tcW w:w="8862" w:type="dxa"/>
            <w:gridSpan w:val="2"/>
            <w:shd w:val="clear" w:color="auto" w:fill="CCCCCC"/>
          </w:tcPr>
          <w:p w14:paraId="080D5566"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Filas</w:t>
            </w:r>
          </w:p>
        </w:tc>
      </w:tr>
      <w:tr w:rsidR="000B0B09" w:rsidRPr="004B0EC7" w14:paraId="7E8F93AD" w14:textId="77777777" w:rsidTr="00672D2A">
        <w:tc>
          <w:tcPr>
            <w:tcW w:w="991" w:type="dxa"/>
          </w:tcPr>
          <w:p w14:paraId="308DA05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444D3E4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TOTAL DE POSICIONES </w:t>
            </w:r>
          </w:p>
          <w:p w14:paraId="625A8F91"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p w14:paraId="474297D9" w14:textId="1621A6E7" w:rsidR="000B0B09" w:rsidRPr="004B0EC7"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Todas las posiciones en divisas distintas de la de referencia y las posiciones en la divisa de referencia que se tienen en cuenta a efectos del artículo 354 del Reglamento (UE) n.º 575/2013, así como sus correspondientes requisitos de fondos propios por riesgo de tipo de cambio, con arreglo al artículo 92, apartado 4, letra c), de dicho Reglamento, teniendo en cuenta lo previsto en su artículo 352, apartados 2 y 4 (para la conversión a la divisa de referencia).</w:t>
            </w:r>
          </w:p>
          <w:p w14:paraId="60C8486E"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467D9D0D" w14:textId="77777777" w:rsidTr="00672D2A">
        <w:tc>
          <w:tcPr>
            <w:tcW w:w="991" w:type="dxa"/>
          </w:tcPr>
          <w:p w14:paraId="65214D6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871" w:type="dxa"/>
          </w:tcPr>
          <w:p w14:paraId="49A2740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DIVISAS ESTRECHAMENTE CORRELACIONADAS</w:t>
            </w:r>
          </w:p>
          <w:p w14:paraId="784B138D"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7339F996" w14:textId="4E8E103C"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Posiciones y sus correspondientes requisitos de fondos propios para las divisas estrechamente correlacionadas a que se refiere el artículo 354 del Reglamento (UE) n.º 575/2013.</w:t>
            </w:r>
          </w:p>
          <w:p w14:paraId="1228E8F4"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491F4D" w:rsidRPr="004B0EC7" w14:paraId="6BD5BA15" w14:textId="77777777" w:rsidTr="00672D2A">
        <w:tc>
          <w:tcPr>
            <w:tcW w:w="991" w:type="dxa"/>
          </w:tcPr>
          <w:p w14:paraId="5BFECF57" w14:textId="77777777" w:rsidR="00491F4D"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596531B8" w14:textId="77777777" w:rsidR="00491F4D" w:rsidRPr="004B0EC7"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Divisas estrechamente correlacionadas. </w:t>
            </w:r>
            <w:r>
              <w:rPr>
                <w:rFonts w:ascii="Times New Roman" w:hAnsi="Times New Roman"/>
                <w:b/>
                <w:i/>
                <w:sz w:val="24"/>
                <w:u w:val="single"/>
              </w:rPr>
              <w:t>De las cuales:</w:t>
            </w:r>
            <w:r>
              <w:rPr>
                <w:rFonts w:ascii="Times New Roman" w:hAnsi="Times New Roman"/>
                <w:b/>
                <w:sz w:val="24"/>
                <w:u w:val="single"/>
              </w:rPr>
              <w:t xml:space="preserve"> divisa de referencia</w:t>
            </w:r>
          </w:p>
          <w:p w14:paraId="1A313604" w14:textId="77777777" w:rsidR="00491F4D" w:rsidRPr="004B0EC7" w:rsidRDefault="00491F4D" w:rsidP="000B0B09">
            <w:pPr>
              <w:autoSpaceDE w:val="0"/>
              <w:autoSpaceDN w:val="0"/>
              <w:adjustRightInd w:val="0"/>
              <w:spacing w:before="0" w:after="0"/>
              <w:rPr>
                <w:rFonts w:ascii="Times New Roman" w:hAnsi="Times New Roman"/>
                <w:sz w:val="24"/>
              </w:rPr>
            </w:pPr>
          </w:p>
          <w:p w14:paraId="6CF1E695" w14:textId="3B11B1C0" w:rsidR="00491F4D" w:rsidRPr="004B0EC7"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Posiciones en la divisa de referencia que contribuyen al cálculo de los requisitos de capital con arreglo al artículo 354 del Reglamento (UE) n.º 575/2013.</w:t>
            </w:r>
          </w:p>
          <w:p w14:paraId="1727C5A3" w14:textId="77777777" w:rsidR="00491F4D" w:rsidRPr="004B0EC7"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52A3FAA7" w14:textId="77777777" w:rsidTr="00672D2A">
        <w:tc>
          <w:tcPr>
            <w:tcW w:w="991" w:type="dxa"/>
          </w:tcPr>
          <w:p w14:paraId="0150967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14:paraId="0BAA11C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OTRAS DIVISAS (incluidos OIC tratados como divisas diferentes)</w:t>
            </w:r>
          </w:p>
          <w:p w14:paraId="1677D28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05872348"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Posiciones y sus correspondientes requisitos de fondos propios respecto de las divisas sujetas al procedimiento general a que se refieren el artículo 351 y el artículo 352, apartados 2 y 4, del Reglamento (UE) n.º 575/2013.</w:t>
            </w:r>
          </w:p>
          <w:p w14:paraId="0D0C93F2"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2C612C05" w:rsidR="000B0B09" w:rsidRPr="004B0EC7"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Información sobre los OIC tratados como divisas diferentes de conformidad con el artículo 353 del Reglamento (UE) n.º 575/2013:</w:t>
            </w:r>
          </w:p>
          <w:p w14:paraId="77B7A43F" w14:textId="77777777" w:rsidR="000B0B09" w:rsidRPr="004B0EC7"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Hay dos tratamientos distintos de los OIC tratados como divisas independientes a efectos del cálculo de los requisitos de capital:</w:t>
            </w:r>
          </w:p>
          <w:p w14:paraId="5B250982" w14:textId="77777777" w:rsidR="000B0B09" w:rsidRPr="004B0EC7"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1.</w:t>
            </w:r>
            <w:r>
              <w:rPr>
                <w:rFonts w:ascii="Times New Roman" w:hAnsi="Times New Roman"/>
                <w:sz w:val="24"/>
              </w:rPr>
              <w:tab/>
              <w:t>El método del oro modificado, si no se conoce la dirección de la inversión del OIC (estos OIC se añadirán a la posición global neta en divisas de la entidad).</w:t>
            </w:r>
          </w:p>
          <w:p w14:paraId="36EAAD8C" w14:textId="77777777" w:rsidR="000B0B09" w:rsidRPr="004B0EC7"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lastRenderedPageBreak/>
              <w:t>2.</w:t>
            </w:r>
            <w:r>
              <w:rPr>
                <w:rFonts w:ascii="Times New Roman" w:hAnsi="Times New Roman"/>
                <w:sz w:val="24"/>
              </w:rPr>
              <w:tab/>
              <w:t>Si se conoce la dirección de la inversión de los OIC, estos se añadirán a la posición abierta total en divisas (larga o corta, dependiendo de la dirección del OIC).</w:t>
            </w:r>
          </w:p>
          <w:p w14:paraId="6410AE39" w14:textId="77777777" w:rsidR="000B0B09" w:rsidRPr="004B0EC7"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La comunicación de estos OIC se efectuará siguiendo el cálculo de los requisitos de capital.</w:t>
            </w:r>
          </w:p>
          <w:p w14:paraId="6EF89CCB"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3074F2FD" w14:textId="77777777" w:rsidTr="00672D2A">
        <w:tc>
          <w:tcPr>
            <w:tcW w:w="991" w:type="dxa"/>
          </w:tcPr>
          <w:p w14:paraId="77D3A983"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7871" w:type="dxa"/>
          </w:tcPr>
          <w:p w14:paraId="0E1B066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ORO</w:t>
            </w:r>
          </w:p>
          <w:p w14:paraId="3DD20C37"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E2B6F8D" w14:textId="6CE20A0D"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Posiciones y sus correspondientes requisitos de fondos propios respecto de las divisas sujetas al procedimiento general a que se refieren el artículo 351 y el artículo 352, apartados 2 y 4, del Reglamento (UE) n.º 575/2013. </w:t>
            </w:r>
          </w:p>
          <w:p w14:paraId="2363385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76FC5B51" w14:textId="77777777" w:rsidTr="00672D2A">
        <w:tc>
          <w:tcPr>
            <w:tcW w:w="991" w:type="dxa"/>
          </w:tcPr>
          <w:p w14:paraId="119AB326"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0050-0090</w:t>
            </w:r>
          </w:p>
        </w:tc>
        <w:tc>
          <w:tcPr>
            <w:tcW w:w="7871" w:type="dxa"/>
          </w:tcPr>
          <w:p w14:paraId="76D7671B"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REQUISITOS ADICIONALES PARA OPCIONES (RIESGOS DISTINTOS DE DELTA)</w:t>
            </w:r>
          </w:p>
          <w:p w14:paraId="409B80C0" w14:textId="56A2BE80" w:rsidR="000B0B09" w:rsidRPr="004B0EC7" w:rsidRDefault="000B0B09" w:rsidP="001A0143">
            <w:pPr>
              <w:autoSpaceDE w:val="0"/>
              <w:autoSpaceDN w:val="0"/>
              <w:adjustRightInd w:val="0"/>
              <w:spacing w:after="0"/>
              <w:rPr>
                <w:rFonts w:ascii="Times New Roman" w:hAnsi="Times New Roman"/>
                <w:sz w:val="24"/>
              </w:rPr>
            </w:pPr>
            <w:r>
              <w:rPr>
                <w:rFonts w:ascii="Times New Roman" w:hAnsi="Times New Roman"/>
                <w:sz w:val="24"/>
              </w:rPr>
              <w:t xml:space="preserve">Artículo 352, apartados 5 y 6, del Reglamento (UE) n.º 575/2013. </w:t>
            </w:r>
          </w:p>
          <w:p w14:paraId="28A72F07"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0C3DAE3"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Los requisitos adicionales para las opciones en relación con riesgos distintos de delta se comunicarán desglosados en función del método empleado para su cálculo. </w:t>
            </w:r>
          </w:p>
          <w:p w14:paraId="64B10AE8" w14:textId="77777777" w:rsidR="000B0B09" w:rsidRPr="004B0EC7"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4B0EC7" w14:paraId="4FB6CAB6" w14:textId="77777777" w:rsidTr="00672D2A">
        <w:tc>
          <w:tcPr>
            <w:tcW w:w="991" w:type="dxa"/>
          </w:tcPr>
          <w:p w14:paraId="4A4827FD"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14:paraId="4D32EE9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Desglose del total de posiciones (incluida la divisa de referencia) por tipos de exposición</w:t>
            </w:r>
          </w:p>
          <w:p w14:paraId="35F84DAE"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El total de posiciones se desglosará en derivados, otros activos y pasivos, y partidas fuera de balance.</w:t>
            </w:r>
          </w:p>
          <w:p w14:paraId="645944F1"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2C3A573" w14:textId="77777777" w:rsidTr="00672D2A">
        <w:tc>
          <w:tcPr>
            <w:tcW w:w="991" w:type="dxa"/>
          </w:tcPr>
          <w:p w14:paraId="328B76F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14:paraId="2B5ED8B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Otros activos y pasivos distintos de los derivados y las partidas fuera de balance</w:t>
            </w:r>
          </w:p>
          <w:p w14:paraId="70ABA94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48B1F95" w14:textId="77777777" w:rsidR="00DE48EF"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Se incluirán aquí las posiciones no incluidas en las filas 0110 o 0120. </w:t>
            </w:r>
          </w:p>
          <w:p w14:paraId="68474F8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4B0EC7" w14:paraId="68F25686" w14:textId="77777777" w:rsidTr="00672D2A">
        <w:tc>
          <w:tcPr>
            <w:tcW w:w="991" w:type="dxa"/>
          </w:tcPr>
          <w:p w14:paraId="76AEDC5B"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2D48760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Partidas fuera de balance</w:t>
            </w:r>
          </w:p>
          <w:p w14:paraId="4FE41ABE"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2927412B"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Partidas que entran en el ámbito de aplicación del artículo 352 del Reglamento (UE) n.º 575/2013, con independencia de la moneda de denominación, y que están incluidas en su anexo I, excepto las incluidas como operaciones de financiación de valores y operaciones con liquidación diferida o que resulten de un acuerdo de compensación contractual entre productos</w:t>
            </w:r>
          </w:p>
          <w:p w14:paraId="25D49F5C" w14:textId="77777777" w:rsidR="00DE48EF" w:rsidRPr="004B0EC7"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C61B439" w14:textId="77777777" w:rsidTr="00672D2A">
        <w:tc>
          <w:tcPr>
            <w:tcW w:w="991" w:type="dxa"/>
          </w:tcPr>
          <w:p w14:paraId="33EE452C" w14:textId="77777777" w:rsidR="000B0B09" w:rsidRPr="004B0EC7"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14:paraId="56E0717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Derivados</w:t>
            </w:r>
          </w:p>
          <w:p w14:paraId="7B6CC85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61FBE982"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Posiciones valoradas de conformidad con el artículo 352 del Reglamento (UE) n.º 575/2013.</w:t>
            </w:r>
          </w:p>
          <w:p w14:paraId="2984F2C2" w14:textId="77777777" w:rsidR="00902EFC" w:rsidRPr="004B0EC7"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0D32A9CF" w14:textId="77777777" w:rsidTr="00672D2A">
        <w:tc>
          <w:tcPr>
            <w:tcW w:w="991" w:type="dxa"/>
          </w:tcPr>
          <w:p w14:paraId="7B4BCDF0" w14:textId="77777777" w:rsidR="000B0B09" w:rsidRPr="004B0EC7"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0130-0480</w:t>
            </w:r>
          </w:p>
        </w:tc>
        <w:tc>
          <w:tcPr>
            <w:tcW w:w="7871" w:type="dxa"/>
          </w:tcPr>
          <w:p w14:paraId="26286B4C" w14:textId="38433819"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PRO MEMORIA: POSICIONES EN DIVISAS</w:t>
            </w:r>
          </w:p>
          <w:p w14:paraId="77A906DE" w14:textId="77777777" w:rsidR="000B0B09" w:rsidRPr="004B0EC7" w:rsidRDefault="000B0B09" w:rsidP="000B0B09">
            <w:pPr>
              <w:autoSpaceDE w:val="0"/>
              <w:autoSpaceDN w:val="0"/>
              <w:adjustRightInd w:val="0"/>
              <w:spacing w:before="0" w:after="0"/>
              <w:rPr>
                <w:rFonts w:ascii="Times New Roman" w:hAnsi="Times New Roman"/>
                <w:b/>
                <w:bCs/>
                <w:sz w:val="24"/>
                <w:lang w:eastAsia="de-DE"/>
              </w:rPr>
            </w:pPr>
          </w:p>
          <w:p w14:paraId="31EAE6A1" w14:textId="77777777" w:rsidR="000B0B09" w:rsidRPr="004B0EC7" w:rsidRDefault="000B0B09" w:rsidP="00A2757B">
            <w:pPr>
              <w:autoSpaceDE w:val="0"/>
              <w:autoSpaceDN w:val="0"/>
              <w:adjustRightInd w:val="0"/>
              <w:spacing w:before="0" w:after="0"/>
              <w:rPr>
                <w:rFonts w:ascii="Times New Roman" w:hAnsi="Times New Roman"/>
                <w:sz w:val="24"/>
              </w:rPr>
            </w:pPr>
            <w:r>
              <w:rPr>
                <w:rFonts w:ascii="Times New Roman" w:hAnsi="Times New Roman"/>
                <w:sz w:val="24"/>
              </w:rPr>
              <w:t xml:space="preserve">Las partidas pro memoria de la plantilla deberán indicarse por separado para todas las monedas de los Estados miembros de la Unión y las siguientes divisas: GBP, USD, CHF, JPY, RUB, TRY, AUD, CAD, RSD, ALL, UAH, MKD, EGP, </w:t>
            </w:r>
            <w:r>
              <w:rPr>
                <w:rFonts w:ascii="Times New Roman" w:hAnsi="Times New Roman"/>
                <w:sz w:val="24"/>
              </w:rPr>
              <w:lastRenderedPageBreak/>
              <w:t xml:space="preserve">ARS, BRL, MXN, HKD, ICK, TWD, NZD, NOK, SGD, KRW, CNY y todas las demás divisas. </w:t>
            </w:r>
          </w:p>
          <w:p w14:paraId="2A795EB2" w14:textId="3FA18151" w:rsidR="0055144E" w:rsidRPr="004B0EC7" w:rsidRDefault="0055144E" w:rsidP="00A2757B">
            <w:pPr>
              <w:autoSpaceDE w:val="0"/>
              <w:autoSpaceDN w:val="0"/>
              <w:adjustRightInd w:val="0"/>
              <w:spacing w:before="0" w:after="0"/>
              <w:rPr>
                <w:rStyle w:val="InstructionsTabelleText"/>
                <w:rFonts w:ascii="Times New Roman" w:hAnsi="Times New Roman"/>
                <w:sz w:val="24"/>
              </w:rPr>
            </w:pPr>
          </w:p>
        </w:tc>
      </w:tr>
      <w:tr w:rsidR="00DB1114" w:rsidRPr="004B0EC7" w14:paraId="0E22FBA2" w14:textId="77777777" w:rsidTr="00E40F04">
        <w:tc>
          <w:tcPr>
            <w:tcW w:w="991" w:type="dxa"/>
          </w:tcPr>
          <w:p w14:paraId="70BD8900" w14:textId="77777777" w:rsidR="00DB1114" w:rsidRPr="004B0EC7" w:rsidRDefault="00DB1114" w:rsidP="00E40F04">
            <w:pPr>
              <w:autoSpaceDE w:val="0"/>
              <w:autoSpaceDN w:val="0"/>
              <w:adjustRightInd w:val="0"/>
              <w:spacing w:before="0" w:after="0"/>
              <w:rPr>
                <w:rFonts w:ascii="Times New Roman" w:hAnsi="Times New Roman"/>
                <w:sz w:val="24"/>
              </w:rPr>
            </w:pPr>
            <w:r>
              <w:rPr>
                <w:rFonts w:ascii="Times New Roman" w:hAnsi="Times New Roman"/>
                <w:sz w:val="24"/>
              </w:rPr>
              <w:lastRenderedPageBreak/>
              <w:t>0470</w:t>
            </w:r>
          </w:p>
        </w:tc>
        <w:tc>
          <w:tcPr>
            <w:tcW w:w="7871" w:type="dxa"/>
          </w:tcPr>
          <w:p w14:paraId="323DC607" w14:textId="77777777" w:rsidR="00DB1114" w:rsidRPr="004B0EC7" w:rsidRDefault="00DB1114" w:rsidP="00E40F04">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Otras</w:t>
            </w:r>
          </w:p>
          <w:p w14:paraId="06E2CC4B" w14:textId="77777777" w:rsidR="00DB1114" w:rsidRPr="004B0EC7" w:rsidRDefault="00DB1114" w:rsidP="00E40F04">
            <w:pPr>
              <w:autoSpaceDE w:val="0"/>
              <w:autoSpaceDN w:val="0"/>
              <w:adjustRightInd w:val="0"/>
              <w:spacing w:before="0" w:after="0"/>
              <w:rPr>
                <w:rFonts w:ascii="Times New Roman" w:hAnsi="Times New Roman"/>
                <w:b/>
                <w:bCs/>
                <w:sz w:val="24"/>
                <w:u w:val="single"/>
                <w:lang w:eastAsia="nl-BE"/>
              </w:rPr>
            </w:pPr>
          </w:p>
          <w:p w14:paraId="45C4133E" w14:textId="77777777" w:rsidR="00DB1114" w:rsidRPr="004B0EC7" w:rsidRDefault="00DB1114" w:rsidP="00E40F04">
            <w:pPr>
              <w:autoSpaceDE w:val="0"/>
              <w:autoSpaceDN w:val="0"/>
              <w:adjustRightInd w:val="0"/>
              <w:spacing w:before="0" w:after="0"/>
              <w:rPr>
                <w:rFonts w:ascii="Times New Roman" w:hAnsi="Times New Roman"/>
                <w:b/>
                <w:bCs/>
                <w:sz w:val="24"/>
                <w:u w:val="single"/>
              </w:rPr>
            </w:pPr>
            <w:r>
              <w:rPr>
                <w:rFonts w:ascii="Times New Roman" w:hAnsi="Times New Roman"/>
                <w:sz w:val="24"/>
              </w:rPr>
              <w:t>Se incluirán en esta fila las posiciones en oro y las posiciones en OIC tratadas como divisa independiente de conformidad con el artículo 353, apartado 3, del Reglamento (UE) n.º 575/2013.</w:t>
            </w:r>
          </w:p>
        </w:tc>
      </w:tr>
    </w:tbl>
    <w:p w14:paraId="6BA92730" w14:textId="77777777" w:rsidR="000B0B09" w:rsidRPr="004B0EC7" w:rsidRDefault="000B0B09" w:rsidP="000B0B09">
      <w:pPr>
        <w:rPr>
          <w:rFonts w:ascii="Times New Roman" w:hAnsi="Times New Roman"/>
          <w:sz w:val="24"/>
        </w:rPr>
      </w:pPr>
    </w:p>
    <w:p w14:paraId="53515718" w14:textId="15BE5B2C"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24" w:name="_Toc262566435"/>
      <w:bookmarkStart w:id="125" w:name="_Toc295830011"/>
      <w:bookmarkStart w:id="126" w:name="_Toc308426688"/>
      <w:bookmarkStart w:id="127" w:name="_Toc310415072"/>
      <w:bookmarkStart w:id="128" w:name="_Toc360188407"/>
      <w:bookmarkStart w:id="129" w:name="_Toc473561047"/>
      <w:bookmarkStart w:id="130" w:name="_Toc151714501"/>
      <w:r>
        <w:rPr>
          <w:rFonts w:ascii="Times New Roman" w:hAnsi="Times New Roman"/>
          <w:sz w:val="24"/>
          <w:u w:val="none"/>
        </w:rPr>
        <w:t>5.6.</w:t>
      </w:r>
      <w:r>
        <w:rPr>
          <w:rFonts w:ascii="Times New Roman" w:hAnsi="Times New Roman"/>
          <w:sz w:val="24"/>
          <w:u w:val="none"/>
        </w:rPr>
        <w:tab/>
      </w:r>
      <w:r>
        <w:rPr>
          <w:rFonts w:ascii="Times New Roman" w:hAnsi="Times New Roman"/>
          <w:sz w:val="24"/>
        </w:rPr>
        <w:t>C 23.01 - Riesgo de mercado: método estándar simplificado para el riesgo de materias primas</w:t>
      </w:r>
      <w:bookmarkEnd w:id="124"/>
      <w:bookmarkEnd w:id="125"/>
      <w:bookmarkEnd w:id="126"/>
      <w:bookmarkEnd w:id="127"/>
      <w:bookmarkEnd w:id="128"/>
      <w:r>
        <w:rPr>
          <w:rFonts w:ascii="Times New Roman" w:hAnsi="Times New Roman"/>
          <w:sz w:val="24"/>
        </w:rPr>
        <w:t xml:space="preserve"> (MKR SSA COM)</w:t>
      </w:r>
      <w:bookmarkEnd w:id="129"/>
      <w:bookmarkEnd w:id="130"/>
    </w:p>
    <w:p w14:paraId="72871AE4"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31" w:name="_Toc262566436"/>
      <w:bookmarkStart w:id="132" w:name="_Toc295830012"/>
      <w:bookmarkStart w:id="133" w:name="_Toc308426689"/>
      <w:bookmarkStart w:id="134" w:name="_Toc310415073"/>
      <w:bookmarkStart w:id="135" w:name="_Toc360188408"/>
      <w:bookmarkStart w:id="136" w:name="_Toc473561048"/>
      <w:bookmarkStart w:id="137" w:name="_Toc151714502"/>
      <w:r>
        <w:rPr>
          <w:rFonts w:ascii="Times New Roman" w:hAnsi="Times New Roman"/>
          <w:sz w:val="24"/>
          <w:u w:val="none"/>
        </w:rPr>
        <w:t>5.6.1.</w:t>
      </w:r>
      <w:r>
        <w:rPr>
          <w:rFonts w:ascii="Times New Roman" w:hAnsi="Times New Roman"/>
          <w:sz w:val="24"/>
          <w:u w:val="none"/>
        </w:rPr>
        <w:tab/>
      </w:r>
      <w:r>
        <w:rPr>
          <w:rFonts w:ascii="Times New Roman" w:hAnsi="Times New Roman"/>
          <w:sz w:val="24"/>
        </w:rPr>
        <w:t>Observaciones generales</w:t>
      </w:r>
      <w:bookmarkEnd w:id="131"/>
      <w:bookmarkEnd w:id="132"/>
      <w:bookmarkEnd w:id="133"/>
      <w:bookmarkEnd w:id="134"/>
      <w:bookmarkEnd w:id="135"/>
      <w:bookmarkEnd w:id="136"/>
      <w:bookmarkEnd w:id="137"/>
    </w:p>
    <w:p w14:paraId="441FA19A" w14:textId="38802150" w:rsidR="000B0B09" w:rsidRPr="004B0EC7" w:rsidRDefault="008F3052" w:rsidP="00660845">
      <w:pPr>
        <w:pStyle w:val="InstructionsText2"/>
        <w:numPr>
          <w:ilvl w:val="0"/>
          <w:numId w:val="0"/>
        </w:numPr>
        <w:ind w:left="993"/>
      </w:pPr>
      <w:r w:rsidRPr="004B0EC7">
        <w:fldChar w:fldCharType="begin"/>
      </w:r>
      <w:r w:rsidRPr="004B0EC7">
        <w:instrText>seq paragraphs</w:instrText>
      </w:r>
      <w:r w:rsidRPr="004B0EC7">
        <w:fldChar w:fldCharType="separate"/>
      </w:r>
      <w:r w:rsidR="00771068" w:rsidRPr="004B0EC7">
        <w:t>173</w:t>
      </w:r>
      <w:r w:rsidRPr="004B0EC7">
        <w:fldChar w:fldCharType="end"/>
      </w:r>
      <w:r>
        <w:t>.</w:t>
      </w:r>
      <w:r>
        <w:tab/>
        <w:t xml:space="preserve"> Esta plantilla recoge información sobre las posiciones en materias primas y los correspondientes requisitos de fondos propios con arreglo al método estándar.</w:t>
      </w:r>
    </w:p>
    <w:p w14:paraId="0C8765B1" w14:textId="16F4CE7F"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38" w:name="_Toc262566437"/>
      <w:bookmarkStart w:id="139" w:name="_Toc295830013"/>
      <w:bookmarkStart w:id="140" w:name="_Toc308426690"/>
      <w:bookmarkStart w:id="141" w:name="_Toc310415074"/>
      <w:bookmarkStart w:id="142" w:name="_Toc360188409"/>
      <w:bookmarkStart w:id="143" w:name="_Toc473561049"/>
      <w:bookmarkStart w:id="144" w:name="_Toc151714503"/>
      <w:r>
        <w:rPr>
          <w:rFonts w:ascii="Times New Roman" w:hAnsi="Times New Roman"/>
          <w:sz w:val="24"/>
          <w:u w:val="none"/>
        </w:rPr>
        <w:t>5.6.2.</w:t>
      </w:r>
      <w:r>
        <w:rPr>
          <w:rFonts w:ascii="Times New Roman" w:hAnsi="Times New Roman"/>
          <w:sz w:val="24"/>
          <w:u w:val="none"/>
        </w:rPr>
        <w:tab/>
      </w:r>
      <w:r>
        <w:rPr>
          <w:rFonts w:ascii="Times New Roman" w:hAnsi="Times New Roman"/>
          <w:sz w:val="24"/>
        </w:rPr>
        <w:t>Instrucciones relativas a posiciones concretas</w:t>
      </w:r>
      <w:bookmarkEnd w:id="138"/>
      <w:bookmarkEnd w:id="139"/>
      <w:bookmarkEnd w:id="140"/>
      <w:bookmarkEnd w:id="141"/>
      <w:bookmarkEnd w:id="142"/>
      <w:bookmarkEnd w:id="143"/>
      <w:bookmarkEnd w:id="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4B0EC7" w14:paraId="7440A91F" w14:textId="77777777" w:rsidTr="00672D2A">
        <w:trPr>
          <w:trHeight w:val="591"/>
        </w:trPr>
        <w:tc>
          <w:tcPr>
            <w:tcW w:w="8862" w:type="dxa"/>
            <w:gridSpan w:val="2"/>
            <w:shd w:val="clear" w:color="auto" w:fill="CCCCCC"/>
          </w:tcPr>
          <w:p w14:paraId="4154FB7C"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Columnas</w:t>
            </w:r>
          </w:p>
        </w:tc>
      </w:tr>
      <w:tr w:rsidR="000B0B09" w:rsidRPr="004B0EC7" w14:paraId="12CECACA" w14:textId="77777777" w:rsidTr="00672D2A">
        <w:tc>
          <w:tcPr>
            <w:tcW w:w="986" w:type="dxa"/>
          </w:tcPr>
          <w:p w14:paraId="6FA50BBC"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14:paraId="29C026B5"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TODAS LAS POSICIONES (LARGAS Y CORTAS)</w:t>
            </w:r>
          </w:p>
          <w:p w14:paraId="4B99A78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0520F9FF"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Posiciones brutas largas/cortas que se consideren posiciones en la misma materia prima con arreglo al artículo 357, apartado 4, del Reglamento (UE) n.º 575/2013 (véase también el artículo 359, apartado 1, de dicho Reglamento).</w:t>
            </w:r>
          </w:p>
          <w:p w14:paraId="3E9C7204"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4B0EC7" w14:paraId="4AB4396B" w14:textId="77777777" w:rsidTr="00672D2A">
        <w:tc>
          <w:tcPr>
            <w:tcW w:w="986" w:type="dxa"/>
          </w:tcPr>
          <w:p w14:paraId="224657DD"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14:paraId="7FA580C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POSICIONES NETAS (LARGAS Y CORTAS)</w:t>
            </w:r>
          </w:p>
          <w:p w14:paraId="0B49C3FC"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27F059DD" w14:textId="5D2358BE" w:rsidR="000B0B09" w:rsidRPr="004B0EC7" w:rsidRDefault="000B0B09" w:rsidP="001A0143">
            <w:pPr>
              <w:autoSpaceDE w:val="0"/>
              <w:autoSpaceDN w:val="0"/>
              <w:adjustRightInd w:val="0"/>
              <w:spacing w:before="0"/>
              <w:rPr>
                <w:rFonts w:ascii="Times New Roman" w:hAnsi="Times New Roman"/>
                <w:sz w:val="24"/>
              </w:rPr>
            </w:pPr>
            <w:r>
              <w:rPr>
                <w:rFonts w:ascii="Times New Roman" w:hAnsi="Times New Roman"/>
                <w:sz w:val="24"/>
              </w:rPr>
              <w:t xml:space="preserve">De acuerdo con lo definido en el artículo 357, apartado 3, del Reglamento (UE) n.º 575/2013. </w:t>
            </w:r>
          </w:p>
        </w:tc>
      </w:tr>
      <w:tr w:rsidR="000B0B09" w:rsidRPr="004B0EC7" w14:paraId="0A46320C" w14:textId="77777777" w:rsidTr="00672D2A">
        <w:tc>
          <w:tcPr>
            <w:tcW w:w="986" w:type="dxa"/>
          </w:tcPr>
          <w:p w14:paraId="7F0B984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7ADEF1C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POSICIONES SUJETAS A EXIGENCIA DE CAPITAL</w:t>
            </w:r>
          </w:p>
          <w:p w14:paraId="55ED580C"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0D57A399" w14:textId="09B8F7C1"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Posiciones netas sobre las que, con arreglo a los distintos métodos considerados en la parte tercera, título IV, capítulo 4, del Reglamento (UE) n.º 575/2013, recae una exigencia de capital.</w:t>
            </w:r>
          </w:p>
          <w:p w14:paraId="762BD2E2"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37B5E6C" w14:textId="77777777" w:rsidTr="00672D2A">
        <w:tc>
          <w:tcPr>
            <w:tcW w:w="986" w:type="dxa"/>
          </w:tcPr>
          <w:p w14:paraId="41FAB945"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4AA26DC6" w14:textId="579AC514"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FONDOS PROPIOS ANTES DE APLICAR LOS FACTORES DE ESCALA</w:t>
            </w:r>
          </w:p>
          <w:p w14:paraId="545A195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605A5C51" w:rsidR="000B0B09" w:rsidRPr="004B0EC7"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t>Los requisitos de fondos propios calculados de conformidad con la parte tercera, título IV, capítulo 4, del Reglamento (UE) n.º 575/2013 para cualquier posición pertinente, antes de aplicar el factor de escala de conformidad con el artículo 325, apartado 2, de dicho Reglamento.</w:t>
            </w:r>
          </w:p>
        </w:tc>
      </w:tr>
      <w:tr w:rsidR="000B0B09" w:rsidRPr="004B0EC7" w14:paraId="380AB4E0" w14:textId="77777777" w:rsidTr="00672D2A">
        <w:tc>
          <w:tcPr>
            <w:tcW w:w="986" w:type="dxa"/>
          </w:tcPr>
          <w:p w14:paraId="0EE22EDA" w14:textId="671C9C7F"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162C1DF7"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 DE LA EXPOSICIÓN AL RIESGO</w:t>
            </w:r>
          </w:p>
          <w:p w14:paraId="35864C1F" w14:textId="77777777" w:rsidR="000B0B09" w:rsidRPr="004B0EC7"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C230E5C" w14:textId="173EE7A5" w:rsidR="00A2757B" w:rsidRPr="004B0EC7" w:rsidRDefault="000B0B0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Artículo 92, apartado 4, letra c), del Reglamento (UE) n.º 575/2013. </w:t>
            </w:r>
          </w:p>
          <w:p w14:paraId="67EADC1A" w14:textId="634950C6" w:rsidR="000B0B09" w:rsidRPr="004B0EC7"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lastRenderedPageBreak/>
              <w:t>El resultado de multiplicar los requisitos de fondos propios por 12,5 de conformidad con el artículo 92, apartado 6, letra b), del Reglamento (UE) n.º 575/2013 y por el factor de escala de conformidad con el artículo 325, apartado 2, letra c), de dicho Reglamento.</w:t>
            </w:r>
          </w:p>
        </w:tc>
      </w:tr>
    </w:tbl>
    <w:p w14:paraId="0DC9D0A4" w14:textId="77777777" w:rsidR="000B0B09" w:rsidRPr="004B0EC7"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4B0EC7" w14:paraId="0386B5FC" w14:textId="77777777" w:rsidTr="00672D2A">
        <w:trPr>
          <w:trHeight w:val="483"/>
        </w:trPr>
        <w:tc>
          <w:tcPr>
            <w:tcW w:w="8862" w:type="dxa"/>
            <w:gridSpan w:val="2"/>
            <w:shd w:val="clear" w:color="auto" w:fill="CCCCCC"/>
          </w:tcPr>
          <w:p w14:paraId="1255E033"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Filas</w:t>
            </w:r>
          </w:p>
        </w:tc>
      </w:tr>
      <w:tr w:rsidR="000B0B09" w:rsidRPr="004B0EC7" w14:paraId="3F19FB75" w14:textId="77777777" w:rsidTr="00672D2A">
        <w:tc>
          <w:tcPr>
            <w:tcW w:w="987" w:type="dxa"/>
          </w:tcPr>
          <w:p w14:paraId="62003386"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3CC5979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 DE POSICIONES EN MATERIAS PRIMAS</w:t>
            </w:r>
          </w:p>
          <w:p w14:paraId="03562626" w14:textId="77777777" w:rsidR="000B0B09" w:rsidRPr="004B0EC7" w:rsidRDefault="000B0B09" w:rsidP="000B0B09">
            <w:pPr>
              <w:autoSpaceDE w:val="0"/>
              <w:autoSpaceDN w:val="0"/>
              <w:adjustRightInd w:val="0"/>
              <w:spacing w:before="0" w:after="0"/>
              <w:rPr>
                <w:rFonts w:ascii="Times New Roman" w:hAnsi="Times New Roman"/>
                <w:sz w:val="24"/>
              </w:rPr>
            </w:pPr>
          </w:p>
          <w:p w14:paraId="1B02378E" w14:textId="27789902" w:rsidR="000B0B09" w:rsidRPr="004B0EC7" w:rsidRDefault="000B0B09" w:rsidP="00070113">
            <w:pPr>
              <w:autoSpaceDE w:val="0"/>
              <w:autoSpaceDN w:val="0"/>
              <w:adjustRightInd w:val="0"/>
              <w:spacing w:before="0"/>
              <w:rPr>
                <w:rFonts w:ascii="Times New Roman" w:hAnsi="Times New Roman"/>
                <w:sz w:val="24"/>
              </w:rPr>
            </w:pPr>
            <w:r>
              <w:rPr>
                <w:rFonts w:ascii="Times New Roman" w:hAnsi="Times New Roman"/>
                <w:sz w:val="24"/>
              </w:rPr>
              <w:t xml:space="preserve">Posiciones en materias primas y sus correspondientes requisitos de fondos propios por riesgo de mercado calculados de conformidad con el artículo 92, apartado 4, letra c), y la parte tercera, título IV, capítulo 4, del Reglamento (UE) n.º 575/2013. </w:t>
            </w:r>
          </w:p>
        </w:tc>
      </w:tr>
      <w:tr w:rsidR="000B0B09" w:rsidRPr="004B0EC7" w14:paraId="216F1AEE" w14:textId="77777777" w:rsidTr="00672D2A">
        <w:tc>
          <w:tcPr>
            <w:tcW w:w="987" w:type="dxa"/>
          </w:tcPr>
          <w:p w14:paraId="62D08C2C"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14:paraId="759E579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POSICIONES POR CATEGORÍA DE MATERIAS PRIMAS</w:t>
            </w:r>
          </w:p>
          <w:p w14:paraId="5692188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DC33454" w14:textId="05CBF891"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efectos de la presentación de información, las materias primas se agruparán en las cuatro categorías señaladas en el cuadro 2 del artículo 361 del Reglamento (UE) n.º 575/2013.</w:t>
            </w:r>
          </w:p>
          <w:p w14:paraId="04BB5316"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4B0EC7" w14:paraId="50CBB22D" w14:textId="77777777" w:rsidTr="00672D2A">
        <w:tc>
          <w:tcPr>
            <w:tcW w:w="987" w:type="dxa"/>
          </w:tcPr>
          <w:p w14:paraId="3E68EF2F"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5AACA5EE"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SISTEMA DE ESCALA DE VENCIMIENTOS</w:t>
            </w:r>
          </w:p>
          <w:p w14:paraId="2C667CB8"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72CB6FD7" w14:textId="0EBD6A78"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Posiciones en materias primas sujetas al sistema de escala de vencimientos a que se refiere el artículo 359 del Reglamento (UE) n.º 575/2013.</w:t>
            </w:r>
          </w:p>
          <w:p w14:paraId="018E7283"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D4187B0" w14:textId="77777777" w:rsidTr="00672D2A">
        <w:tc>
          <w:tcPr>
            <w:tcW w:w="987" w:type="dxa"/>
          </w:tcPr>
          <w:p w14:paraId="317F5718"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7D3D047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SISTEMA DE ESCALA DE VENCIMIENTOS AMPLIADO</w:t>
            </w:r>
          </w:p>
          <w:p w14:paraId="28E22845"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072FB876" w14:textId="13AA387E"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Posiciones en materias primas sujetas al sistema de escala de vencimientos ampliado a que se refiere el artículo 361 del Reglamento (UE) n.º 575/2013.</w:t>
            </w:r>
          </w:p>
          <w:p w14:paraId="4CC42EBB"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08D8BBC0" w14:textId="77777777" w:rsidTr="00672D2A">
        <w:tc>
          <w:tcPr>
            <w:tcW w:w="987" w:type="dxa"/>
          </w:tcPr>
          <w:p w14:paraId="75FF36E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14:paraId="5AEA8FE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MÉTODO SIMPLIFICADO</w:t>
            </w:r>
          </w:p>
          <w:p w14:paraId="739EF26B"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3C6F5D9" w14:textId="7485AEDA"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Posiciones en materias primas sujetas al método simplificado a que se refiere el artículo 360 del Reglamento (UE) n.º 575/2013. </w:t>
            </w:r>
          </w:p>
          <w:p w14:paraId="72D24CC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46AF081D" w14:textId="77777777" w:rsidTr="00672D2A">
        <w:tc>
          <w:tcPr>
            <w:tcW w:w="987" w:type="dxa"/>
          </w:tcPr>
          <w:p w14:paraId="7DA76A9F"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14:paraId="1AB2469B"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REQUISITOS ADICIONALES PARA OPCIONES (RIESGOS DISTINTOS DE DELTA)</w:t>
            </w:r>
          </w:p>
          <w:p w14:paraId="444B7110" w14:textId="08585130" w:rsidR="000B0B09" w:rsidRPr="004B0EC7" w:rsidRDefault="000B0B09" w:rsidP="001A0143">
            <w:pPr>
              <w:autoSpaceDE w:val="0"/>
              <w:autoSpaceDN w:val="0"/>
              <w:adjustRightInd w:val="0"/>
              <w:rPr>
                <w:rFonts w:ascii="Times New Roman" w:hAnsi="Times New Roman"/>
                <w:sz w:val="24"/>
              </w:rPr>
            </w:pPr>
            <w:r>
              <w:rPr>
                <w:rFonts w:ascii="Times New Roman" w:hAnsi="Times New Roman"/>
                <w:sz w:val="24"/>
              </w:rPr>
              <w:t xml:space="preserve">Artículo 358, apartado 4, del Reglamento (UE) n.º 575/2013. </w:t>
            </w:r>
          </w:p>
          <w:p w14:paraId="1D3D5AF7"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Los requisitos adicionales para las opciones en relación con riesgos distintos de delta se comunicarán en función del método empleado para su cálculo.</w:t>
            </w:r>
          </w:p>
          <w:p w14:paraId="55D77BA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4B0EC7" w:rsidRDefault="000B0B09" w:rsidP="000B0B09">
      <w:pPr>
        <w:rPr>
          <w:rFonts w:ascii="Times New Roman" w:hAnsi="Times New Roman"/>
          <w:sz w:val="24"/>
        </w:rPr>
      </w:pPr>
    </w:p>
    <w:p w14:paraId="2B97C384" w14:textId="77777777" w:rsidR="000B0B09" w:rsidRPr="004B0EC7" w:rsidRDefault="00125707" w:rsidP="0023700C">
      <w:pPr>
        <w:pStyle w:val="Instructionsberschrift2"/>
        <w:numPr>
          <w:ilvl w:val="0"/>
          <w:numId w:val="0"/>
        </w:numPr>
        <w:ind w:left="357" w:hanging="357"/>
        <w:rPr>
          <w:rFonts w:ascii="Times New Roman" w:hAnsi="Times New Roman"/>
          <w:sz w:val="24"/>
        </w:rPr>
      </w:pPr>
      <w:bookmarkStart w:id="145" w:name="_Toc262566438"/>
      <w:bookmarkStart w:id="146" w:name="_Toc295830014"/>
      <w:bookmarkStart w:id="147" w:name="_Toc308426691"/>
      <w:bookmarkStart w:id="148" w:name="_Toc310415075"/>
      <w:bookmarkStart w:id="149" w:name="_Toc360188410"/>
      <w:bookmarkStart w:id="150" w:name="_Toc473561050"/>
      <w:bookmarkStart w:id="151" w:name="_Toc151714504"/>
      <w:r>
        <w:rPr>
          <w:rFonts w:ascii="Times New Roman" w:hAnsi="Times New Roman"/>
          <w:sz w:val="24"/>
          <w:u w:val="none"/>
        </w:rPr>
        <w:lastRenderedPageBreak/>
        <w:t>5.7.</w:t>
      </w:r>
      <w:r>
        <w:rPr>
          <w:rFonts w:ascii="Times New Roman" w:hAnsi="Times New Roman"/>
          <w:sz w:val="24"/>
          <w:u w:val="none"/>
        </w:rPr>
        <w:tab/>
      </w:r>
      <w:r>
        <w:rPr>
          <w:rFonts w:ascii="Times New Roman" w:hAnsi="Times New Roman"/>
          <w:sz w:val="24"/>
        </w:rPr>
        <w:t>C 24.00 - Modelos internos de riesgo de mercado</w:t>
      </w:r>
      <w:bookmarkEnd w:id="145"/>
      <w:bookmarkEnd w:id="146"/>
      <w:bookmarkEnd w:id="147"/>
      <w:bookmarkEnd w:id="148"/>
      <w:bookmarkEnd w:id="149"/>
      <w:r>
        <w:rPr>
          <w:rFonts w:ascii="Times New Roman" w:hAnsi="Times New Roman"/>
          <w:sz w:val="24"/>
        </w:rPr>
        <w:t xml:space="preserve"> (MKR IM)</w:t>
      </w:r>
      <w:bookmarkEnd w:id="150"/>
      <w:bookmarkEnd w:id="151"/>
    </w:p>
    <w:p w14:paraId="78347ABD" w14:textId="77777777"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52" w:name="_Toc262566439"/>
      <w:bookmarkStart w:id="153" w:name="_Toc295830015"/>
      <w:bookmarkStart w:id="154" w:name="_Toc308426692"/>
      <w:bookmarkStart w:id="155" w:name="_Toc310415076"/>
      <w:bookmarkStart w:id="156" w:name="_Toc360188411"/>
      <w:bookmarkStart w:id="157" w:name="_Toc473561051"/>
      <w:bookmarkStart w:id="158" w:name="_Toc151714505"/>
      <w:r>
        <w:rPr>
          <w:rFonts w:ascii="Times New Roman" w:hAnsi="Times New Roman"/>
          <w:sz w:val="24"/>
          <w:u w:val="none"/>
        </w:rPr>
        <w:t>5.7.1.</w:t>
      </w:r>
      <w:r>
        <w:rPr>
          <w:rFonts w:ascii="Times New Roman" w:hAnsi="Times New Roman"/>
          <w:sz w:val="24"/>
          <w:u w:val="none"/>
        </w:rPr>
        <w:tab/>
      </w:r>
      <w:r>
        <w:rPr>
          <w:rFonts w:ascii="Times New Roman" w:hAnsi="Times New Roman"/>
          <w:sz w:val="24"/>
        </w:rPr>
        <w:t>Observaciones generales</w:t>
      </w:r>
      <w:bookmarkEnd w:id="152"/>
      <w:bookmarkEnd w:id="153"/>
      <w:bookmarkEnd w:id="154"/>
      <w:bookmarkEnd w:id="155"/>
      <w:bookmarkEnd w:id="156"/>
      <w:bookmarkEnd w:id="157"/>
      <w:bookmarkEnd w:id="158"/>
    </w:p>
    <w:p w14:paraId="1055920F" w14:textId="5CFE289B" w:rsidR="000B0B09" w:rsidRPr="004B0EC7" w:rsidRDefault="00CE7221" w:rsidP="00660845">
      <w:pPr>
        <w:pStyle w:val="InstructionsText2"/>
        <w:numPr>
          <w:ilvl w:val="0"/>
          <w:numId w:val="0"/>
        </w:numPr>
        <w:ind w:left="993"/>
      </w:pPr>
      <w:r w:rsidRPr="004B0EC7">
        <w:fldChar w:fldCharType="begin"/>
      </w:r>
      <w:r w:rsidRPr="004B0EC7">
        <w:instrText xml:space="preserve"> seq paragraphs </w:instrText>
      </w:r>
      <w:r w:rsidRPr="004B0EC7">
        <w:fldChar w:fldCharType="separate"/>
      </w:r>
      <w:r w:rsidR="00771068" w:rsidRPr="004B0EC7">
        <w:t>174</w:t>
      </w:r>
      <w:r w:rsidRPr="004B0EC7">
        <w:fldChar w:fldCharType="end"/>
      </w:r>
      <w:r>
        <w:t>.</w:t>
      </w:r>
      <w:r>
        <w:tab/>
        <w:t xml:space="preserve"> Esta plantilla establece un desglose de las cifras del valor en riesgo (VaR) y del valor en riesgo en situación de tensión (sVaR) en función de los distintos riesgos de mercado (deuda, renta variable, tipo de cambio, materias primas) y otra información relevante para el cálculo de los requisitos de fondos propios.</w:t>
      </w:r>
    </w:p>
    <w:p w14:paraId="3DD1046B" w14:textId="4AD05ACF" w:rsidR="000B0B09" w:rsidRPr="004B0EC7" w:rsidRDefault="00CE7221" w:rsidP="00660845">
      <w:pPr>
        <w:pStyle w:val="InstructionsText2"/>
        <w:numPr>
          <w:ilvl w:val="0"/>
          <w:numId w:val="0"/>
        </w:numPr>
        <w:ind w:left="993"/>
      </w:pPr>
      <w:r w:rsidRPr="004B0EC7">
        <w:fldChar w:fldCharType="begin"/>
      </w:r>
      <w:r w:rsidRPr="004B0EC7">
        <w:instrText xml:space="preserve"> seq paragraphs </w:instrText>
      </w:r>
      <w:r w:rsidRPr="004B0EC7">
        <w:fldChar w:fldCharType="separate"/>
      </w:r>
      <w:r w:rsidR="00771068" w:rsidRPr="004B0EC7">
        <w:t>175</w:t>
      </w:r>
      <w:r w:rsidRPr="004B0EC7">
        <w:fldChar w:fldCharType="end"/>
      </w:r>
      <w:r>
        <w:t>.</w:t>
      </w:r>
      <w:r>
        <w:tab/>
        <w:t xml:space="preserve"> Por lo general, la posibilidad de determinar y comunicar las cifras de riesgo general y específico por separado o únicamente de forma global dependerá de la estructura del modelo de las entidades. Esto mismo ocurre con la descomposición del VaR/sVaR según las categorías de riesgo (tipo de interés, renta variable, materias primas y tipo de cambio). La entidad puede abstenerse de comunicar estos desgloses si demuestra que hacerlo representaría una carga injustificada. </w:t>
      </w:r>
    </w:p>
    <w:p w14:paraId="16A354D7" w14:textId="38B85B55" w:rsidR="000B0B09" w:rsidRPr="004B0EC7" w:rsidRDefault="00125707" w:rsidP="0023700C">
      <w:pPr>
        <w:pStyle w:val="Instructionsberschrift2"/>
        <w:numPr>
          <w:ilvl w:val="0"/>
          <w:numId w:val="0"/>
        </w:numPr>
        <w:ind w:left="357" w:hanging="357"/>
        <w:rPr>
          <w:rFonts w:ascii="Times New Roman" w:hAnsi="Times New Roman" w:cs="Times New Roman"/>
          <w:sz w:val="24"/>
        </w:rPr>
      </w:pPr>
      <w:bookmarkStart w:id="159" w:name="_Toc262566440"/>
      <w:bookmarkStart w:id="160" w:name="_Toc295830016"/>
      <w:bookmarkStart w:id="161" w:name="_Toc308426693"/>
      <w:bookmarkStart w:id="162" w:name="_Toc310415077"/>
      <w:bookmarkStart w:id="163" w:name="_Toc360188412"/>
      <w:bookmarkStart w:id="164" w:name="_Toc473561052"/>
      <w:bookmarkStart w:id="165" w:name="_Toc151714506"/>
      <w:r>
        <w:rPr>
          <w:rFonts w:ascii="Times New Roman" w:hAnsi="Times New Roman"/>
          <w:sz w:val="24"/>
          <w:u w:val="none"/>
        </w:rPr>
        <w:t>5.7.2.</w:t>
      </w:r>
      <w:r>
        <w:rPr>
          <w:rFonts w:ascii="Times New Roman" w:hAnsi="Times New Roman"/>
          <w:sz w:val="24"/>
          <w:u w:val="none"/>
        </w:rPr>
        <w:tab/>
      </w:r>
      <w:r>
        <w:rPr>
          <w:rFonts w:ascii="Times New Roman" w:hAnsi="Times New Roman"/>
          <w:sz w:val="24"/>
        </w:rPr>
        <w:t>Instrucciones relativas a posiciones concretas</w:t>
      </w:r>
      <w:bookmarkEnd w:id="159"/>
      <w:bookmarkEnd w:id="160"/>
      <w:bookmarkEnd w:id="161"/>
      <w:bookmarkEnd w:id="162"/>
      <w:bookmarkEnd w:id="163"/>
      <w:bookmarkEnd w:id="164"/>
      <w:bookmarkEnd w:id="1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4B0EC7" w14:paraId="2E01A882" w14:textId="77777777" w:rsidTr="00672D2A">
        <w:tc>
          <w:tcPr>
            <w:tcW w:w="8862" w:type="dxa"/>
            <w:gridSpan w:val="2"/>
            <w:shd w:val="clear" w:color="auto" w:fill="BFBFBF"/>
          </w:tcPr>
          <w:p w14:paraId="12FA7906" w14:textId="77777777" w:rsidR="000B0B09" w:rsidRPr="004B0EC7"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Columnas</w:t>
            </w:r>
          </w:p>
        </w:tc>
      </w:tr>
      <w:tr w:rsidR="000B0B09" w:rsidRPr="004B0EC7" w14:paraId="27C19C3C" w14:textId="77777777" w:rsidTr="00672D2A">
        <w:tc>
          <w:tcPr>
            <w:tcW w:w="993" w:type="dxa"/>
          </w:tcPr>
          <w:p w14:paraId="10AA4817"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14:paraId="6F9C4B0E" w14:textId="77777777" w:rsidR="000B0B09" w:rsidRPr="004B0EC7"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Valor en riesgo (VaR)</w:t>
            </w:r>
          </w:p>
          <w:p w14:paraId="59F85AD6" w14:textId="77777777" w:rsidR="000B0B09" w:rsidRPr="004B0EC7" w:rsidRDefault="0016282F" w:rsidP="002300C6">
            <w:pPr>
              <w:autoSpaceDE w:val="0"/>
              <w:autoSpaceDN w:val="0"/>
              <w:adjustRightInd w:val="0"/>
              <w:rPr>
                <w:rFonts w:ascii="Times New Roman" w:hAnsi="Times New Roman"/>
                <w:b/>
                <w:bCs/>
                <w:sz w:val="24"/>
                <w:u w:val="single"/>
              </w:rPr>
            </w:pPr>
            <w:r>
              <w:rPr>
                <w:rFonts w:ascii="Times New Roman" w:hAnsi="Times New Roman"/>
                <w:sz w:val="24"/>
              </w:rPr>
              <w:t>El VaR es la máxima pérdida potencial que resultaría de una variación del precio con una determinada probabilidad y en un horizonte temporal específico.</w:t>
            </w:r>
          </w:p>
        </w:tc>
      </w:tr>
      <w:tr w:rsidR="000B0B09" w:rsidRPr="004B0EC7" w14:paraId="50B81018" w14:textId="77777777" w:rsidTr="00672D2A">
        <w:tc>
          <w:tcPr>
            <w:tcW w:w="993" w:type="dxa"/>
          </w:tcPr>
          <w:p w14:paraId="4993712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3867D5D5"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Factor de multiplicación (mc) x media del VaR de los 60 días hábiles anteriores (VaRavg)</w:t>
            </w:r>
          </w:p>
          <w:p w14:paraId="028313D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fr-FR"/>
              </w:rPr>
            </w:pPr>
          </w:p>
          <w:p w14:paraId="799DC3B2" w14:textId="66672724" w:rsidR="000B0B09" w:rsidRPr="004B0EC7"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 Artículo 364, apartado 1, letra a), inciso ii), y artículo 365, apartado 1, del Reglamento (UE) n.º 575/2013. </w:t>
            </w:r>
          </w:p>
          <w:p w14:paraId="34698FA2"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50DDBD1E" w14:textId="77777777" w:rsidTr="00672D2A">
        <w:tc>
          <w:tcPr>
            <w:tcW w:w="993" w:type="dxa"/>
          </w:tcPr>
          <w:p w14:paraId="404E452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15C0D51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 del día anterior (VaRt-1)</w:t>
            </w:r>
          </w:p>
          <w:p w14:paraId="21BBDC54"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fr-FR"/>
              </w:rPr>
            </w:pPr>
          </w:p>
          <w:p w14:paraId="3F00377E" w14:textId="605D93C8" w:rsidR="000B0B09" w:rsidRPr="004B0EC7" w:rsidRDefault="00070113"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Artículo 364, apartado 1, letra a), inciso i), y artículo 365, apartado 1, del Reglamento (UE) n.º 575/2013. </w:t>
            </w:r>
          </w:p>
          <w:p w14:paraId="065DA05D" w14:textId="77777777" w:rsidR="000B0B09" w:rsidRPr="004B0EC7" w:rsidRDefault="000B0B09" w:rsidP="000B0B09">
            <w:pPr>
              <w:autoSpaceDE w:val="0"/>
              <w:autoSpaceDN w:val="0"/>
              <w:adjustRightInd w:val="0"/>
              <w:spacing w:before="0" w:after="0"/>
              <w:rPr>
                <w:rFonts w:ascii="Times New Roman" w:hAnsi="Times New Roman"/>
                <w:sz w:val="24"/>
                <w:lang w:eastAsia="nl-BE"/>
              </w:rPr>
            </w:pPr>
          </w:p>
        </w:tc>
      </w:tr>
      <w:tr w:rsidR="000B0B09" w:rsidRPr="004B0EC7" w14:paraId="1FD77FB5" w14:textId="77777777" w:rsidTr="00672D2A">
        <w:tc>
          <w:tcPr>
            <w:tcW w:w="993" w:type="dxa"/>
          </w:tcPr>
          <w:p w14:paraId="65ACFD9D"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14:paraId="388A6872"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VaR en situación de tensión</w:t>
            </w:r>
          </w:p>
          <w:p w14:paraId="30D5B348"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77777777" w:rsidR="000B0B09" w:rsidRPr="004B0EC7" w:rsidRDefault="0016282F" w:rsidP="002300C6">
            <w:pPr>
              <w:autoSpaceDE w:val="0"/>
              <w:autoSpaceDN w:val="0"/>
              <w:adjustRightInd w:val="0"/>
              <w:spacing w:before="0"/>
              <w:rPr>
                <w:rFonts w:ascii="Times New Roman" w:hAnsi="Times New Roman"/>
                <w:sz w:val="24"/>
              </w:rPr>
            </w:pPr>
            <w:r>
              <w:rPr>
                <w:rFonts w:ascii="Times New Roman" w:hAnsi="Times New Roman"/>
                <w:sz w:val="24"/>
              </w:rPr>
              <w:t>El VaR en situación de tensión es la máxima pérdida potencial que resultaría de una variación del precio con una determinada probabilidad y en un horizonte temporal específico y que se obtiene empleando datos calibrados con datos históricos de un período continuo de 12 meses de dificultades financieras relevantes para la cartera de la entidad.</w:t>
            </w:r>
          </w:p>
        </w:tc>
      </w:tr>
      <w:tr w:rsidR="000B0B09" w:rsidRPr="004B0EC7" w14:paraId="006F4906" w14:textId="77777777" w:rsidTr="00672D2A">
        <w:tc>
          <w:tcPr>
            <w:tcW w:w="993" w:type="dxa"/>
          </w:tcPr>
          <w:p w14:paraId="294AFD20"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14:paraId="3CDD7B35"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Factor de multiplicación (ms) x media de los 60 días hábiles anteriores (SVaRavg)</w:t>
            </w:r>
          </w:p>
          <w:p w14:paraId="17CC7E24" w14:textId="77777777" w:rsidR="000B0B09" w:rsidRPr="004B0EC7" w:rsidRDefault="000B0B09" w:rsidP="000B0B09">
            <w:pPr>
              <w:autoSpaceDE w:val="0"/>
              <w:autoSpaceDN w:val="0"/>
              <w:adjustRightInd w:val="0"/>
              <w:spacing w:before="0" w:after="0"/>
              <w:rPr>
                <w:rStyle w:val="InstructionsTabelleberschrift"/>
                <w:rFonts w:ascii="Times New Roman" w:hAnsi="Times New Roman"/>
                <w:sz w:val="24"/>
              </w:rPr>
            </w:pPr>
          </w:p>
          <w:p w14:paraId="1B0FF569" w14:textId="518AE671" w:rsidR="000B0B09" w:rsidRPr="004B0EC7" w:rsidRDefault="000B0B09"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Artículo 364, apartado 1, letra b), inciso ii), y artículo 365, apartado 1, del Reglamento (UE) n.º 575/2013.</w:t>
            </w:r>
            <w:r>
              <w:rPr>
                <w:rStyle w:val="InstructionsTabelleberschrift"/>
                <w:rFonts w:ascii="Times New Roman" w:hAnsi="Times New Roman"/>
                <w:sz w:val="24"/>
              </w:rPr>
              <w:t xml:space="preserve"> </w:t>
            </w:r>
          </w:p>
          <w:p w14:paraId="4E4677D0" w14:textId="77777777" w:rsidR="000B0B09" w:rsidRPr="004B0EC7"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4B0EC7" w14:paraId="67754317" w14:textId="77777777" w:rsidTr="00672D2A">
        <w:tc>
          <w:tcPr>
            <w:tcW w:w="993" w:type="dxa"/>
          </w:tcPr>
          <w:p w14:paraId="48511238"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14:paraId="6934BA2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Último disponible (SVaRt-1)</w:t>
            </w:r>
          </w:p>
          <w:p w14:paraId="26D70865" w14:textId="77777777" w:rsidR="000B0B09" w:rsidRPr="004B0EC7" w:rsidRDefault="000B0B09" w:rsidP="000B0B09">
            <w:pPr>
              <w:autoSpaceDE w:val="0"/>
              <w:autoSpaceDN w:val="0"/>
              <w:adjustRightInd w:val="0"/>
              <w:spacing w:before="0" w:after="0"/>
              <w:rPr>
                <w:rFonts w:ascii="Times New Roman" w:hAnsi="Times New Roman"/>
                <w:sz w:val="24"/>
              </w:rPr>
            </w:pPr>
          </w:p>
          <w:p w14:paraId="2269DF70" w14:textId="67B7CAF8" w:rsidR="000B0B09" w:rsidRPr="004B0EC7" w:rsidRDefault="001B17E6"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Artículo 364, apartado 1, letra b), inciso i), y artículo 365, apartado 1, del Reglamento (UE) n.º 575/2013. </w:t>
            </w:r>
          </w:p>
          <w:p w14:paraId="52AD8FDF"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4B0EC7" w14:paraId="7AFDCF05" w14:textId="77777777" w:rsidTr="00672D2A">
        <w:tc>
          <w:tcPr>
            <w:tcW w:w="993" w:type="dxa"/>
          </w:tcPr>
          <w:p w14:paraId="189BA47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0070-0080</w:t>
            </w:r>
          </w:p>
        </w:tc>
        <w:tc>
          <w:tcPr>
            <w:tcW w:w="7869" w:type="dxa"/>
          </w:tcPr>
          <w:p w14:paraId="260164A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EXIGENCIA DE CAPITAL POR RIESGOS DE IMPAGO Y DE MIGRACIÓN INCREMENTALES</w:t>
            </w:r>
          </w:p>
          <w:p w14:paraId="1E7EA146" w14:textId="62573725" w:rsidR="000B0B09" w:rsidRPr="004B0EC7" w:rsidRDefault="0016282F" w:rsidP="001B17E6">
            <w:pPr>
              <w:rPr>
                <w:rFonts w:ascii="Times New Roman" w:hAnsi="Times New Roman"/>
                <w:b/>
                <w:bCs/>
                <w:sz w:val="24"/>
                <w:u w:val="single"/>
              </w:rPr>
            </w:pPr>
            <w:r>
              <w:rPr>
                <w:rFonts w:ascii="Times New Roman" w:hAnsi="Times New Roman"/>
                <w:sz w:val="24"/>
              </w:rPr>
              <w:t xml:space="preserve">La exigencia de capital por riesgos de impago y de migración incrementales corresponde a la máxima pérdida potencial que resultaría de una variación de precio vinculada a los riesgos de impago y migración y que se calcula con arreglo al artículo 364, apartado 2, letra b), en conjunción con la parte tercera, título IV, capítulo 5, sección 4, del Reglamento (UE) n.º 575/2013. </w:t>
            </w:r>
          </w:p>
        </w:tc>
      </w:tr>
      <w:tr w:rsidR="000B0B09" w:rsidRPr="004B0EC7" w14:paraId="0A8D9874" w14:textId="77777777" w:rsidTr="00672D2A">
        <w:tc>
          <w:tcPr>
            <w:tcW w:w="993" w:type="dxa"/>
          </w:tcPr>
          <w:p w14:paraId="75FBF5CA"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14:paraId="5E1133B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Medida de la media de 12 semanas</w:t>
            </w:r>
          </w:p>
          <w:p w14:paraId="54F95AD4" w14:textId="77777777" w:rsidR="005C14B0" w:rsidRPr="004B0EC7" w:rsidRDefault="005C14B0">
            <w:pPr>
              <w:autoSpaceDE w:val="0"/>
              <w:autoSpaceDN w:val="0"/>
              <w:adjustRightInd w:val="0"/>
              <w:spacing w:before="0" w:after="0"/>
              <w:rPr>
                <w:rFonts w:ascii="Times New Roman" w:hAnsi="Times New Roman"/>
                <w:sz w:val="24"/>
              </w:rPr>
            </w:pPr>
          </w:p>
          <w:p w14:paraId="7D1E5A11" w14:textId="2D0D518D" w:rsidR="005C14B0" w:rsidRPr="004B0EC7" w:rsidRDefault="000B0B09">
            <w:pPr>
              <w:autoSpaceDE w:val="0"/>
              <w:autoSpaceDN w:val="0"/>
              <w:adjustRightInd w:val="0"/>
              <w:spacing w:before="0" w:after="0"/>
              <w:rPr>
                <w:rFonts w:ascii="Times New Roman" w:hAnsi="Times New Roman"/>
                <w:sz w:val="24"/>
              </w:rPr>
            </w:pPr>
            <w:r>
              <w:rPr>
                <w:rFonts w:ascii="Times New Roman" w:hAnsi="Times New Roman"/>
                <w:sz w:val="24"/>
              </w:rPr>
              <w:t>Artículo 364, apartado 2, letra b), inciso ii), en conjunción con la parte tercera, título IV, capítulo 5, sección 4, del Reglamento (UE) n.º 575/2013.</w:t>
            </w:r>
          </w:p>
          <w:p w14:paraId="10724354" w14:textId="77777777" w:rsidR="000B0B09" w:rsidRPr="004B0EC7" w:rsidRDefault="000B0B09">
            <w:pPr>
              <w:autoSpaceDE w:val="0"/>
              <w:autoSpaceDN w:val="0"/>
              <w:adjustRightInd w:val="0"/>
              <w:spacing w:before="0" w:after="0"/>
              <w:rPr>
                <w:rFonts w:ascii="Times New Roman" w:hAnsi="Times New Roman"/>
                <w:b/>
                <w:bCs/>
                <w:sz w:val="24"/>
                <w:u w:val="single"/>
                <w:lang w:eastAsia="nl-BE"/>
              </w:rPr>
            </w:pPr>
          </w:p>
        </w:tc>
      </w:tr>
      <w:tr w:rsidR="000B0B09" w:rsidRPr="004B0EC7" w14:paraId="067ADFA6" w14:textId="77777777" w:rsidTr="00672D2A">
        <w:tc>
          <w:tcPr>
            <w:tcW w:w="993" w:type="dxa"/>
          </w:tcPr>
          <w:p w14:paraId="751E50AF"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14:paraId="270A52C5"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Última medida</w:t>
            </w:r>
          </w:p>
          <w:p w14:paraId="52161985"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1A98AC14" w:rsidR="000B0B09" w:rsidRPr="004B0EC7"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Artículo 364, apartado 2, letra b), inciso i), en conjunción con la parte tercera, título IV, capítulo 5, sección 4, del Reglamento (UE) n.º 575/2013.</w:t>
            </w:r>
          </w:p>
          <w:p w14:paraId="401526B6"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F8D773E" w14:textId="77777777" w:rsidTr="00672D2A">
        <w:tc>
          <w:tcPr>
            <w:tcW w:w="993" w:type="dxa"/>
          </w:tcPr>
          <w:p w14:paraId="32E29A61"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14:paraId="3A49421F"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EXIGENCIA DE CAPITAL POR TODOS LOS RIESGOS DE PRECIO PARA LA CARTERA DE NEGOCIACIÓN DE CORRELACIÓN</w:t>
            </w:r>
          </w:p>
          <w:p w14:paraId="277A72A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2170B3A" w14:textId="77777777" w:rsidTr="00672D2A">
        <w:tc>
          <w:tcPr>
            <w:tcW w:w="993" w:type="dxa"/>
          </w:tcPr>
          <w:p w14:paraId="112441B2"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36F8F7A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LÍMITE MÍNIMO</w:t>
            </w:r>
          </w:p>
          <w:p w14:paraId="08424932" w14:textId="6F00A60B" w:rsidR="000B0B09" w:rsidRPr="004B0EC7" w:rsidRDefault="000B0B09" w:rsidP="000B0B09">
            <w:pPr>
              <w:rPr>
                <w:rFonts w:ascii="Times New Roman" w:hAnsi="Times New Roman"/>
                <w:sz w:val="24"/>
              </w:rPr>
            </w:pPr>
            <w:r>
              <w:rPr>
                <w:rFonts w:ascii="Times New Roman" w:hAnsi="Times New Roman"/>
                <w:sz w:val="24"/>
              </w:rPr>
              <w:t>Artículo 364, apartado 3, letra c), del Reglamento (UE) n.º 575/2013.</w:t>
            </w:r>
          </w:p>
          <w:p w14:paraId="71FEB01E" w14:textId="7D0B9236"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Es igual al 8 % de la exigencia de capital que se calcularía con arreglo al artículo 338, apartado 1, del Reglamento (UE) n.º 575/2013 para todas las posiciones incluidas en la exigencia de capital relativa a “todos los riesgos de precio”.</w:t>
            </w:r>
            <w:r>
              <w:rPr>
                <w:rFonts w:ascii="Times New Roman" w:hAnsi="Times New Roman"/>
                <w:b/>
                <w:sz w:val="24"/>
                <w:u w:val="single"/>
              </w:rPr>
              <w:t xml:space="preserve"> </w:t>
            </w:r>
          </w:p>
          <w:p w14:paraId="52B76E8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2A444375" w14:textId="77777777" w:rsidTr="00672D2A">
        <w:tc>
          <w:tcPr>
            <w:tcW w:w="993" w:type="dxa"/>
          </w:tcPr>
          <w:p w14:paraId="29168B09"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14:paraId="60E09F6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MEDIDA DE LA MEDIA DE 12 SEMANAS Y ÚLTIMA MEDIDA</w:t>
            </w:r>
          </w:p>
          <w:p w14:paraId="244F0E2D" w14:textId="75367C4C" w:rsidR="000B0B09" w:rsidRPr="004B0EC7" w:rsidRDefault="00587E96" w:rsidP="0016282F">
            <w:pPr>
              <w:autoSpaceDE w:val="0"/>
              <w:autoSpaceDN w:val="0"/>
              <w:adjustRightInd w:val="0"/>
              <w:spacing w:after="0"/>
              <w:rPr>
                <w:rFonts w:ascii="Times New Roman" w:hAnsi="Times New Roman"/>
                <w:bCs/>
                <w:sz w:val="24"/>
              </w:rPr>
            </w:pPr>
            <w:r>
              <w:rPr>
                <w:rFonts w:ascii="Times New Roman" w:hAnsi="Times New Roman"/>
                <w:sz w:val="24"/>
              </w:rPr>
              <w:t>Artículo 364, apartado 3, letra b), del Reglamento (UE) n.º 575/2013.</w:t>
            </w:r>
          </w:p>
          <w:p w14:paraId="07DFA832" w14:textId="4544A338" w:rsidR="000B0B09" w:rsidRPr="004B0EC7"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4B0EC7" w14:paraId="76A5FE93" w14:textId="77777777" w:rsidTr="00672D2A">
        <w:tc>
          <w:tcPr>
            <w:tcW w:w="993" w:type="dxa"/>
          </w:tcPr>
          <w:p w14:paraId="17DCA950"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07581252" w14:textId="77777777" w:rsidR="000B0B09" w:rsidRPr="004B0EC7"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ÚLTIMA MEDIDA</w:t>
            </w:r>
          </w:p>
          <w:p w14:paraId="58C3865D" w14:textId="7EBBD50E" w:rsidR="005C14B0" w:rsidRPr="004B0EC7" w:rsidRDefault="00587E96" w:rsidP="000B0B09">
            <w:pPr>
              <w:autoSpaceDE w:val="0"/>
              <w:autoSpaceDN w:val="0"/>
              <w:adjustRightInd w:val="0"/>
              <w:spacing w:before="0" w:after="0"/>
              <w:rPr>
                <w:rFonts w:ascii="Times New Roman" w:hAnsi="Times New Roman"/>
                <w:bCs/>
                <w:sz w:val="24"/>
              </w:rPr>
            </w:pPr>
            <w:r>
              <w:rPr>
                <w:rFonts w:ascii="Times New Roman" w:hAnsi="Times New Roman"/>
                <w:sz w:val="24"/>
              </w:rPr>
              <w:t>Artículo 364, apartado 3, letra a), del Reglamento (UE) n.º 575/2013.</w:t>
            </w:r>
          </w:p>
          <w:p w14:paraId="60068EE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662D7C08" w14:textId="77777777" w:rsidTr="00672D2A">
        <w:tc>
          <w:tcPr>
            <w:tcW w:w="993" w:type="dxa"/>
          </w:tcPr>
          <w:p w14:paraId="59243D7E"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5E5800C9"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REQUISITOS DE FONDOS PROPIOS</w:t>
            </w:r>
          </w:p>
          <w:p w14:paraId="7122FC14" w14:textId="52CC637D" w:rsidR="000B0B09" w:rsidRPr="004B0EC7" w:rsidRDefault="00BE0363" w:rsidP="0016282F">
            <w:pPr>
              <w:autoSpaceDE w:val="0"/>
              <w:autoSpaceDN w:val="0"/>
              <w:adjustRightInd w:val="0"/>
              <w:rPr>
                <w:rFonts w:ascii="Times New Roman" w:hAnsi="Times New Roman"/>
                <w:b/>
                <w:bCs/>
                <w:sz w:val="24"/>
                <w:u w:val="single"/>
              </w:rPr>
            </w:pPr>
            <w:r>
              <w:rPr>
                <w:rFonts w:ascii="Times New Roman" w:hAnsi="Times New Roman"/>
                <w:sz w:val="24"/>
              </w:rPr>
              <w:t xml:space="preserve">Requisitos de fondos propios contemplados en el artículo 364 del Reglamento (UE) n.º 575/2013 para todos los factores de riesgo, teniendo en cuenta los efectos de correlación, en su caso, más los riesgos de impago y migración incrementales y todos los riesgos de precio para la cartera de negociación de correlación, pero excluidas las exigencias de capital para las posiciones de titulización y los derivados de crédito de n-ésimo impago con arreglo al artículo 364, apartado 2, de dicho Reglamento. </w:t>
            </w:r>
          </w:p>
        </w:tc>
      </w:tr>
      <w:tr w:rsidR="000B0B09" w:rsidRPr="004B0EC7" w14:paraId="52312031" w14:textId="77777777" w:rsidTr="00672D2A">
        <w:tc>
          <w:tcPr>
            <w:tcW w:w="993" w:type="dxa"/>
          </w:tcPr>
          <w:p w14:paraId="79FC26FA"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14:paraId="5970507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TOTAL DE LA EXPOSICIÓN AL RIESGO</w:t>
            </w:r>
          </w:p>
          <w:p w14:paraId="44CC9511"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777F75DA" w14:textId="5892BB6A" w:rsidR="00BE0363"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Artículo 92, apartado 7, letra b), del Reglamento (UE) n.º 575/2013. </w:t>
            </w:r>
          </w:p>
          <w:p w14:paraId="6FD933BD" w14:textId="77777777"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Resultado de la multiplicación de los requisitos de fondos propios por 12,5.</w:t>
            </w:r>
          </w:p>
          <w:p w14:paraId="7AA2CA20"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4B0EC7" w14:paraId="1A9058AB" w14:textId="77777777" w:rsidTr="00672D2A">
        <w:tc>
          <w:tcPr>
            <w:tcW w:w="993" w:type="dxa"/>
          </w:tcPr>
          <w:p w14:paraId="41ACC74D"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0140</w:t>
            </w:r>
          </w:p>
        </w:tc>
        <w:tc>
          <w:tcPr>
            <w:tcW w:w="7869" w:type="dxa"/>
          </w:tcPr>
          <w:p w14:paraId="1C66A419" w14:textId="77777777" w:rsidR="000B0B09" w:rsidRPr="004B0EC7"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Número de excesos (durante los 250 días hábiles previos)</w:t>
            </w:r>
          </w:p>
          <w:p w14:paraId="28B225BB" w14:textId="3D65F9F7" w:rsidR="00A92CFF" w:rsidRPr="004B0EC7" w:rsidRDefault="000B0B09" w:rsidP="0016282F">
            <w:pPr>
              <w:autoSpaceDE w:val="0"/>
              <w:autoSpaceDN w:val="0"/>
              <w:adjustRightInd w:val="0"/>
              <w:spacing w:before="0"/>
              <w:rPr>
                <w:rFonts w:ascii="Times New Roman" w:hAnsi="Times New Roman"/>
                <w:sz w:val="24"/>
              </w:rPr>
            </w:pPr>
            <w:r>
              <w:rPr>
                <w:rFonts w:ascii="Times New Roman" w:hAnsi="Times New Roman"/>
                <w:sz w:val="24"/>
              </w:rPr>
              <w:t>Artículo 366 del Reglamento (UE) n.º 575/2013.</w:t>
            </w:r>
          </w:p>
          <w:p w14:paraId="555E37D2" w14:textId="0C3340E4" w:rsidR="000B0B09" w:rsidRPr="004B0EC7"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t xml:space="preserve">Se indicará el número de excesos a partir de los cuales se determina el sumando. Cuando las entidades estén autorizadas a excluir determinados excesos del cálculo del sumando de conformidad con el artículo 500 </w:t>
            </w:r>
            <w:r>
              <w:rPr>
                <w:rFonts w:ascii="Times New Roman" w:hAnsi="Times New Roman"/>
                <w:i/>
                <w:sz w:val="24"/>
              </w:rPr>
              <w:t>quater</w:t>
            </w:r>
            <w:r>
              <w:rPr>
                <w:rFonts w:ascii="Times New Roman" w:hAnsi="Times New Roman"/>
                <w:sz w:val="24"/>
              </w:rPr>
              <w:t xml:space="preserve"> del Reglamento (UE) n.º 575/2013, el número de excesos se consignará en esta columna previa deducción de los excesos excluidos.</w:t>
            </w:r>
          </w:p>
        </w:tc>
      </w:tr>
      <w:tr w:rsidR="000B0B09" w:rsidRPr="004B0EC7" w14:paraId="6B35F841" w14:textId="77777777" w:rsidTr="00672D2A">
        <w:tc>
          <w:tcPr>
            <w:tcW w:w="993" w:type="dxa"/>
          </w:tcPr>
          <w:p w14:paraId="2EA668BF" w14:textId="77777777" w:rsidR="000B0B09" w:rsidRPr="004B0EC7"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14:paraId="410D2BF2" w14:textId="77777777" w:rsidR="000B0B09" w:rsidRPr="004B0EC7"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Factor de multiplicación del VaR (mc) y factor de multiplicación del VaR en situación de tensión (ms)</w:t>
            </w:r>
          </w:p>
          <w:p w14:paraId="315BC479" w14:textId="254D1B3C" w:rsidR="005C14B0" w:rsidRPr="004B0EC7" w:rsidRDefault="000B0B09" w:rsidP="006418A0">
            <w:pPr>
              <w:autoSpaceDE w:val="0"/>
              <w:autoSpaceDN w:val="0"/>
              <w:adjustRightInd w:val="0"/>
              <w:spacing w:before="0"/>
              <w:rPr>
                <w:rFonts w:ascii="Times New Roman" w:hAnsi="Times New Roman"/>
                <w:sz w:val="24"/>
              </w:rPr>
            </w:pPr>
            <w:r>
              <w:rPr>
                <w:rFonts w:ascii="Times New Roman" w:hAnsi="Times New Roman"/>
                <w:sz w:val="24"/>
              </w:rPr>
              <w:t>Artículo 366 del Reglamento (UE) n.º 575/2013.</w:t>
            </w:r>
          </w:p>
          <w:p w14:paraId="288D1C77" w14:textId="1A1A8D50" w:rsidR="00011AFA" w:rsidRPr="004B0EC7" w:rsidRDefault="00011AFA">
            <w:pPr>
              <w:autoSpaceDE w:val="0"/>
              <w:autoSpaceDN w:val="0"/>
              <w:adjustRightInd w:val="0"/>
              <w:spacing w:before="0" w:after="0"/>
              <w:rPr>
                <w:rStyle w:val="InstructionsTabelleberschrift"/>
              </w:rPr>
            </w:pPr>
            <w:r>
              <w:rPr>
                <w:rFonts w:ascii="Times New Roman" w:hAnsi="Times New Roman"/>
                <w:sz w:val="24"/>
              </w:rPr>
              <w:t>Se comunicarán los factores de multiplicación efectivamente aplicables para el cálculo de los requisitos de fondos propios, cuando proceda tras la aplicación del artículo 500 </w:t>
            </w:r>
            <w:r>
              <w:rPr>
                <w:rFonts w:ascii="Times New Roman" w:hAnsi="Times New Roman"/>
                <w:i/>
                <w:sz w:val="24"/>
              </w:rPr>
              <w:t>quater</w:t>
            </w:r>
            <w:r>
              <w:rPr>
                <w:rFonts w:ascii="Times New Roman" w:hAnsi="Times New Roman"/>
                <w:sz w:val="24"/>
              </w:rPr>
              <w:t xml:space="preserve"> del Reglamento (UE) n.º 575/2013.</w:t>
            </w:r>
          </w:p>
          <w:p w14:paraId="4889D826" w14:textId="77777777" w:rsidR="000B0B09" w:rsidRPr="004B0EC7" w:rsidRDefault="000B0B09">
            <w:pPr>
              <w:autoSpaceDE w:val="0"/>
              <w:autoSpaceDN w:val="0"/>
              <w:adjustRightInd w:val="0"/>
              <w:spacing w:before="0" w:after="0"/>
              <w:rPr>
                <w:rFonts w:ascii="Times New Roman" w:hAnsi="Times New Roman"/>
                <w:b/>
                <w:bCs/>
                <w:sz w:val="24"/>
                <w:u w:val="single"/>
                <w:lang w:eastAsia="fr-FR"/>
              </w:rPr>
            </w:pPr>
          </w:p>
        </w:tc>
      </w:tr>
      <w:tr w:rsidR="000B0B09" w:rsidRPr="004B0EC7" w14:paraId="0F119F1A" w14:textId="77777777" w:rsidTr="00672D2A">
        <w:tc>
          <w:tcPr>
            <w:tcW w:w="993" w:type="dxa"/>
          </w:tcPr>
          <w:p w14:paraId="1081B646" w14:textId="77777777" w:rsidR="000B0B09" w:rsidRPr="004B0EC7"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14:paraId="5B3A5B31"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EXIGENCIA ESTIMADA PARA EL LÍMITE MÍNIMO DE LA CARTERA DE NEGOCIACIÓN DE CORRELACIÓN – POSICIONES NETAS LARGAS Y CORTAS PONDERADAS DESPUÉS DEL LÍMITE MÁXIMO</w:t>
            </w:r>
          </w:p>
          <w:p w14:paraId="68C956BE" w14:textId="3FF52305" w:rsidR="00902EFC" w:rsidRPr="004B0EC7" w:rsidRDefault="000B0B09" w:rsidP="00587E96">
            <w:pPr>
              <w:autoSpaceDE w:val="0"/>
              <w:autoSpaceDN w:val="0"/>
              <w:adjustRightInd w:val="0"/>
              <w:rPr>
                <w:rStyle w:val="InstructionsTabelleberschrift"/>
                <w:rFonts w:ascii="Times New Roman" w:hAnsi="Times New Roman"/>
                <w:sz w:val="24"/>
              </w:rPr>
            </w:pPr>
            <w:r>
              <w:rPr>
                <w:rFonts w:ascii="Times New Roman" w:hAnsi="Times New Roman"/>
                <w:sz w:val="24"/>
              </w:rPr>
              <w:t xml:space="preserve">El importe comunicado y que sirve de base para el cálculo de la exigencia de capital mínima para todos los riesgos de precio conforme al artículo 364, apartado 3, letra c), del Reglamento (UE) n.º 575/2013, teniendo en cuenta la discrecionalidad establecida en su artículo 335, que permite a las entidades limitar el producto de la ponderación y la posición neta a la pérdida máxima posible derivada del riesgo de impago. </w:t>
            </w:r>
          </w:p>
        </w:tc>
      </w:tr>
    </w:tbl>
    <w:p w14:paraId="32116763" w14:textId="77777777" w:rsidR="000B0B09" w:rsidRPr="004B0EC7"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67367" w:rsidRPr="004B0EC7" w14:paraId="0F7C3E72" w14:textId="77777777" w:rsidTr="00672D2A">
        <w:trPr>
          <w:trHeight w:val="566"/>
        </w:trPr>
        <w:tc>
          <w:tcPr>
            <w:tcW w:w="8896" w:type="dxa"/>
            <w:gridSpan w:val="2"/>
            <w:shd w:val="clear" w:color="auto" w:fill="CCCCCC"/>
          </w:tcPr>
          <w:p w14:paraId="60B80A9E" w14:textId="77777777" w:rsidR="000B0B09" w:rsidRPr="004B0EC7"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Filas</w:t>
            </w:r>
          </w:p>
        </w:tc>
      </w:tr>
      <w:tr w:rsidR="00E9314A" w:rsidRPr="004B0EC7" w14:paraId="4DAD8BA6" w14:textId="77777777" w:rsidTr="00672D2A">
        <w:tc>
          <w:tcPr>
            <w:tcW w:w="993" w:type="dxa"/>
          </w:tcPr>
          <w:p w14:paraId="2C74563C"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061D05D4"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TOTAL DE POSICIONES </w:t>
            </w:r>
          </w:p>
          <w:p w14:paraId="22755B2D"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63AC6002" w:rsidR="005C14B0" w:rsidRPr="004B0EC7" w:rsidRDefault="000B0B09" w:rsidP="0016282F">
            <w:pPr>
              <w:autoSpaceDE w:val="0"/>
              <w:autoSpaceDN w:val="0"/>
              <w:adjustRightInd w:val="0"/>
              <w:spacing w:before="0"/>
              <w:rPr>
                <w:rFonts w:ascii="Times New Roman" w:hAnsi="Times New Roman"/>
                <w:sz w:val="24"/>
              </w:rPr>
            </w:pPr>
            <w:r>
              <w:rPr>
                <w:rFonts w:ascii="Times New Roman" w:hAnsi="Times New Roman"/>
                <w:sz w:val="24"/>
              </w:rPr>
              <w:t>Corresponde a la parte de los riesgos de posición, de tipo de cambio y de materias primas a que se hace referencia en el artículo 363, apartado 1, del Reglamento (UE) n.º 575/2013 vinculada a los factores de riesgo especificados en el artículo 367, apartado 2, de dicho Reglamento.</w:t>
            </w:r>
          </w:p>
          <w:p w14:paraId="6F18E4FF" w14:textId="77777777" w:rsidR="005C14B0" w:rsidRPr="004B0EC7" w:rsidRDefault="000B0B09">
            <w:pPr>
              <w:autoSpaceDE w:val="0"/>
              <w:autoSpaceDN w:val="0"/>
              <w:adjustRightInd w:val="0"/>
              <w:spacing w:before="0" w:after="0"/>
              <w:rPr>
                <w:rFonts w:ascii="Times New Roman" w:hAnsi="Times New Roman"/>
                <w:sz w:val="24"/>
              </w:rPr>
            </w:pPr>
            <w:r>
              <w:rPr>
                <w:rFonts w:ascii="Times New Roman" w:hAnsi="Times New Roman"/>
                <w:sz w:val="24"/>
              </w:rPr>
              <w:t>En relación con las columnas 0030 a 0060 (VaR y sVaR), las cifras de la fila del total no son iguales al desglose de las cifras de VaR/sVaR de los componentes de riesgo correspondientes.</w:t>
            </w:r>
          </w:p>
          <w:p w14:paraId="29160AEA" w14:textId="77777777" w:rsidR="000B0B09" w:rsidRPr="004B0EC7" w:rsidRDefault="000B0B09">
            <w:pPr>
              <w:autoSpaceDE w:val="0"/>
              <w:autoSpaceDN w:val="0"/>
              <w:adjustRightInd w:val="0"/>
              <w:spacing w:before="0" w:after="0"/>
              <w:rPr>
                <w:rFonts w:ascii="Times New Roman" w:hAnsi="Times New Roman"/>
                <w:sz w:val="24"/>
                <w:lang w:eastAsia="fr-FR"/>
              </w:rPr>
            </w:pPr>
          </w:p>
        </w:tc>
      </w:tr>
      <w:tr w:rsidR="00E9314A" w:rsidRPr="004B0EC7" w14:paraId="544224F4" w14:textId="77777777" w:rsidTr="00672D2A">
        <w:tc>
          <w:tcPr>
            <w:tcW w:w="993" w:type="dxa"/>
          </w:tcPr>
          <w:p w14:paraId="15D33493"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14:paraId="6294BA0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INSTRUMENTOS DE DEUDA NEGOCIABLES</w:t>
            </w:r>
          </w:p>
          <w:p w14:paraId="7EB08097" w14:textId="464B7176" w:rsidR="000B0B09" w:rsidRPr="004B0EC7" w:rsidRDefault="000B0B09" w:rsidP="00587E96">
            <w:pPr>
              <w:autoSpaceDE w:val="0"/>
              <w:autoSpaceDN w:val="0"/>
              <w:adjustRightInd w:val="0"/>
              <w:rPr>
                <w:rFonts w:ascii="Times New Roman" w:hAnsi="Times New Roman"/>
                <w:sz w:val="24"/>
              </w:rPr>
            </w:pPr>
            <w:r>
              <w:rPr>
                <w:rFonts w:ascii="Times New Roman" w:hAnsi="Times New Roman"/>
                <w:sz w:val="24"/>
              </w:rPr>
              <w:t>Corresponde a la parte del riesgo de posición a que se hace referencia en el artículo 363, apartado 1, del Reglamento (UE) n.º 575/2013 vinculada a los factores de riesgo de tipo de interés especificados en el artículo 367, apartado 2, letra a), de dicho Reglamento.</w:t>
            </w:r>
          </w:p>
        </w:tc>
      </w:tr>
      <w:tr w:rsidR="00E9314A" w:rsidRPr="004B0EC7" w14:paraId="72F66455" w14:textId="77777777" w:rsidTr="00672D2A">
        <w:tc>
          <w:tcPr>
            <w:tcW w:w="993" w:type="dxa"/>
          </w:tcPr>
          <w:p w14:paraId="0890877A"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0030</w:t>
            </w:r>
          </w:p>
        </w:tc>
        <w:tc>
          <w:tcPr>
            <w:tcW w:w="7903" w:type="dxa"/>
          </w:tcPr>
          <w:p w14:paraId="2BA9F6D7"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INSTRUMENTOS DE DEUDA NEGOCIABLES – RIESGO GENERAL</w:t>
            </w:r>
          </w:p>
          <w:p w14:paraId="326F4D54" w14:textId="3D6EBE1B" w:rsidR="000B0B09" w:rsidRPr="004B0EC7" w:rsidRDefault="000B0B09" w:rsidP="0016282F">
            <w:pPr>
              <w:autoSpaceDE w:val="0"/>
              <w:autoSpaceDN w:val="0"/>
              <w:adjustRightInd w:val="0"/>
              <w:rPr>
                <w:rFonts w:ascii="Times New Roman" w:hAnsi="Times New Roman"/>
                <w:sz w:val="24"/>
              </w:rPr>
            </w:pPr>
            <w:r>
              <w:rPr>
                <w:rFonts w:ascii="Times New Roman" w:hAnsi="Times New Roman"/>
                <w:sz w:val="24"/>
              </w:rPr>
              <w:t xml:space="preserve">Componente de riesgo general a que se refiere el artículo 362 del Reglamento (UE) n.º 575/2013. </w:t>
            </w:r>
          </w:p>
        </w:tc>
      </w:tr>
      <w:tr w:rsidR="00E9314A" w:rsidRPr="004B0EC7" w14:paraId="7683899C" w14:textId="77777777" w:rsidTr="00672D2A">
        <w:tc>
          <w:tcPr>
            <w:tcW w:w="993" w:type="dxa"/>
          </w:tcPr>
          <w:p w14:paraId="71740265"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14:paraId="0A8CBDBA"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INSTRUMENTOS DE DEUDA NEGOCIABLES – RIESGO ESPECÍFICO</w:t>
            </w:r>
          </w:p>
          <w:p w14:paraId="545744BD"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32F4DB08" w14:textId="5C7FE474" w:rsidR="000B0B09" w:rsidRPr="004B0EC7"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Componente de riesgo específico a que se refiere el artículo 362 del Reglamento (UE) n.º 575/2013. </w:t>
            </w:r>
          </w:p>
        </w:tc>
      </w:tr>
      <w:tr w:rsidR="00E9314A" w:rsidRPr="004B0EC7" w14:paraId="71D5C884" w14:textId="77777777" w:rsidTr="00672D2A">
        <w:tc>
          <w:tcPr>
            <w:tcW w:w="993" w:type="dxa"/>
          </w:tcPr>
          <w:p w14:paraId="2F431F5B"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3D16BF4C"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INSTRUMENTOS DE PATRIMONIO</w:t>
            </w:r>
          </w:p>
          <w:p w14:paraId="2CB5AD43" w14:textId="77777777" w:rsidR="000B0B09" w:rsidRPr="004B0EC7" w:rsidRDefault="000B0B09" w:rsidP="000B0B09">
            <w:pPr>
              <w:autoSpaceDE w:val="0"/>
              <w:autoSpaceDN w:val="0"/>
              <w:adjustRightInd w:val="0"/>
              <w:spacing w:before="0" w:after="0"/>
              <w:rPr>
                <w:rFonts w:ascii="Times New Roman" w:hAnsi="Times New Roman"/>
                <w:sz w:val="24"/>
                <w:lang w:eastAsia="de-DE"/>
              </w:rPr>
            </w:pPr>
          </w:p>
          <w:p w14:paraId="50C4B755" w14:textId="16496F3A" w:rsidR="000B0B09" w:rsidRPr="004B0EC7"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Corresponde a la parte del riesgo de posición a que se hace referencia en el artículo 363, apartado 1, del Reglamento (UE) n.º 575/2013 vinculada a los factores de riesgo de renta variable especificados en el artículo 367, apartado 2, letra c), de dicho Reglamento. </w:t>
            </w:r>
          </w:p>
          <w:p w14:paraId="25BA2979" w14:textId="77777777" w:rsidR="000B0B09" w:rsidRPr="004B0EC7" w:rsidRDefault="000B0B09" w:rsidP="000B0B09">
            <w:pPr>
              <w:autoSpaceDE w:val="0"/>
              <w:autoSpaceDN w:val="0"/>
              <w:adjustRightInd w:val="0"/>
              <w:spacing w:before="0" w:after="0"/>
              <w:rPr>
                <w:rFonts w:ascii="Times New Roman" w:hAnsi="Times New Roman"/>
                <w:b/>
                <w:bCs/>
                <w:sz w:val="24"/>
                <w:u w:val="single"/>
                <w:lang w:eastAsia="nl-BE"/>
              </w:rPr>
            </w:pPr>
          </w:p>
        </w:tc>
      </w:tr>
      <w:tr w:rsidR="00E9314A" w:rsidRPr="004B0EC7" w14:paraId="35DF2979" w14:textId="77777777" w:rsidTr="00672D2A">
        <w:tc>
          <w:tcPr>
            <w:tcW w:w="993" w:type="dxa"/>
          </w:tcPr>
          <w:p w14:paraId="317A6DAF"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14:paraId="40CEA49F"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INSTRUMENTOS DE PATRIMONIO – RIESGO GENERAL</w:t>
            </w:r>
          </w:p>
          <w:p w14:paraId="528E3DA1" w14:textId="2D4BA326" w:rsidR="000B0B09" w:rsidRPr="004B0EC7"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Componente de riesgo general a que se refiere el artículo 362 del Reglamento (UE) n.º 575/2013.</w:t>
            </w:r>
          </w:p>
        </w:tc>
      </w:tr>
      <w:tr w:rsidR="00E9314A" w:rsidRPr="004B0EC7" w14:paraId="76BBEE88" w14:textId="77777777" w:rsidTr="00672D2A">
        <w:tc>
          <w:tcPr>
            <w:tcW w:w="993" w:type="dxa"/>
          </w:tcPr>
          <w:p w14:paraId="4D46D495"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315638D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INSTRUMENTOS DE PATRIMONIO – RIESGO ESPECÍFICO</w:t>
            </w:r>
          </w:p>
          <w:p w14:paraId="53D03CDE" w14:textId="49BEAF03" w:rsidR="000B0B09" w:rsidRPr="004B0EC7"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Componente de riesgo específico a que se refiere el artículo 362 del Reglamento (UE) n.º 575/2013. </w:t>
            </w:r>
          </w:p>
        </w:tc>
      </w:tr>
      <w:tr w:rsidR="00E9314A" w:rsidRPr="004B0EC7" w14:paraId="572477D3" w14:textId="77777777" w:rsidTr="00672D2A">
        <w:tc>
          <w:tcPr>
            <w:tcW w:w="993" w:type="dxa"/>
          </w:tcPr>
          <w:p w14:paraId="22BAC81A"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14:paraId="729B481D"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RIESGO DE TIPO DE CAMBIO</w:t>
            </w:r>
          </w:p>
          <w:p w14:paraId="4A2A62FE" w14:textId="098C8392" w:rsidR="000B0B09" w:rsidRPr="004B0EC7" w:rsidRDefault="000B0B09" w:rsidP="00587E96">
            <w:pPr>
              <w:autoSpaceDE w:val="0"/>
              <w:autoSpaceDN w:val="0"/>
              <w:adjustRightInd w:val="0"/>
              <w:rPr>
                <w:rFonts w:ascii="Times New Roman" w:hAnsi="Times New Roman"/>
                <w:b/>
                <w:bCs/>
                <w:sz w:val="24"/>
                <w:u w:val="single"/>
              </w:rPr>
            </w:pPr>
            <w:r>
              <w:rPr>
                <w:rFonts w:ascii="Times New Roman" w:hAnsi="Times New Roman"/>
                <w:sz w:val="24"/>
              </w:rPr>
              <w:t>Artículo 363, apartado 1, y artículo 367, apartado 2, letra b), del Reglamento (UE) n.º 575/2013.</w:t>
            </w:r>
          </w:p>
        </w:tc>
      </w:tr>
      <w:tr w:rsidR="00E9314A" w:rsidRPr="004B0EC7" w14:paraId="0161DCDD" w14:textId="77777777" w:rsidTr="00672D2A">
        <w:tc>
          <w:tcPr>
            <w:tcW w:w="993" w:type="dxa"/>
          </w:tcPr>
          <w:p w14:paraId="2D15B36B"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3490DA9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RIESGO DE MATERIAS PRIMAS</w:t>
            </w:r>
          </w:p>
          <w:p w14:paraId="341E16EA" w14:textId="56B929B0" w:rsidR="000B0B09" w:rsidRPr="004B0EC7"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Artículo 363, apartado 1, y artículo 367, apartado 2, letra d), del Reglamento (UE) n.º 575/2013. </w:t>
            </w:r>
          </w:p>
        </w:tc>
      </w:tr>
      <w:tr w:rsidR="00E9314A" w:rsidRPr="004B0EC7" w14:paraId="5676DEE7" w14:textId="77777777" w:rsidTr="00672D2A">
        <w:tc>
          <w:tcPr>
            <w:tcW w:w="993" w:type="dxa"/>
          </w:tcPr>
          <w:p w14:paraId="2262B333" w14:textId="77777777" w:rsidR="000B0B09" w:rsidRPr="004B0EC7"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3F8165C0"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IMPORTE TOTAL RIESGO GENERAL</w:t>
            </w:r>
          </w:p>
          <w:p w14:paraId="62293AE5" w14:textId="77777777" w:rsidR="005C14B0" w:rsidRPr="004B0EC7" w:rsidRDefault="005C14B0" w:rsidP="000B0B09">
            <w:pPr>
              <w:autoSpaceDE w:val="0"/>
              <w:autoSpaceDN w:val="0"/>
              <w:adjustRightInd w:val="0"/>
              <w:spacing w:before="0" w:after="0"/>
              <w:rPr>
                <w:rFonts w:ascii="Times New Roman" w:hAnsi="Times New Roman"/>
                <w:b/>
                <w:bCs/>
                <w:sz w:val="24"/>
                <w:u w:val="single"/>
                <w:lang w:eastAsia="nl-BE"/>
              </w:rPr>
            </w:pPr>
          </w:p>
          <w:p w14:paraId="62C557EE" w14:textId="5C48B345" w:rsidR="000B0B09" w:rsidRPr="004B0EC7"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Riesgo de mercado causado por movimientos generales de los mercados de instrumentos de deuda negociables, instrumentos de patrimonio, divisas y materias primas. VaR por riesgo general de todos los factores de riesgo (teniendo en cuenta los efectos de correlación, en su caso). </w:t>
            </w:r>
          </w:p>
          <w:p w14:paraId="47CB1F26" w14:textId="77777777" w:rsidR="005C14B0" w:rsidRPr="004B0EC7" w:rsidRDefault="005C14B0">
            <w:pPr>
              <w:autoSpaceDE w:val="0"/>
              <w:autoSpaceDN w:val="0"/>
              <w:adjustRightInd w:val="0"/>
              <w:spacing w:before="0" w:after="0"/>
              <w:rPr>
                <w:rFonts w:ascii="Times New Roman" w:hAnsi="Times New Roman"/>
                <w:b/>
                <w:bCs/>
                <w:sz w:val="24"/>
                <w:u w:val="single"/>
                <w:lang w:eastAsia="nl-BE"/>
              </w:rPr>
            </w:pPr>
          </w:p>
        </w:tc>
      </w:tr>
      <w:tr w:rsidR="00E9314A" w:rsidRPr="002A677E" w14:paraId="41EDF57A" w14:textId="77777777" w:rsidTr="00672D2A">
        <w:tc>
          <w:tcPr>
            <w:tcW w:w="993" w:type="dxa"/>
          </w:tcPr>
          <w:p w14:paraId="2952258D" w14:textId="77777777" w:rsidR="000B0B09" w:rsidRPr="004B0EC7" w:rsidRDefault="00787733" w:rsidP="000911FE">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14:paraId="4F775FB3" w14:textId="77777777" w:rsidR="000B0B09" w:rsidRPr="004B0EC7"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IMPORTE TOTAL RIESGO ESPECÍFICO</w:t>
            </w:r>
          </w:p>
          <w:p w14:paraId="319F28D3" w14:textId="77777777" w:rsidR="000B0B09" w:rsidRPr="002A677E"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Componente de riesgo específico de los instrumentos de deuda negociables e instrumentos de patrimonio. VaR por riesgo específico de los instrumentos de patrimonio e instrumentos de deuda negociables de la cartera de negociación (teniendo en cuenta los efectos de correlación, en su caso).</w:t>
            </w:r>
          </w:p>
        </w:tc>
      </w:tr>
    </w:tbl>
    <w:p w14:paraId="23397501" w14:textId="77777777" w:rsidR="00724589" w:rsidRPr="002A677E" w:rsidRDefault="00724589">
      <w:pPr>
        <w:spacing w:before="0" w:after="0"/>
        <w:jc w:val="left"/>
        <w:rPr>
          <w:rStyle w:val="InstructionsTabelleText"/>
          <w:rFonts w:ascii="Times New Roman" w:hAnsi="Times New Roman"/>
          <w:sz w:val="24"/>
        </w:rPr>
      </w:pPr>
    </w:p>
    <w:sectPr w:rsidR="00724589" w:rsidRPr="002A677E" w:rsidSect="00B51F4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B86EA" w14:textId="77777777" w:rsidR="00F72086" w:rsidRDefault="00F72086" w:rsidP="00D946DB">
      <w:pPr>
        <w:spacing w:before="0" w:after="0"/>
      </w:pPr>
      <w:r>
        <w:separator/>
      </w:r>
    </w:p>
  </w:endnote>
  <w:endnote w:type="continuationSeparator" w:id="0">
    <w:p w14:paraId="7E78B2E2" w14:textId="77777777" w:rsidR="00F72086" w:rsidRDefault="00F72086" w:rsidP="00D946DB">
      <w:pPr>
        <w:spacing w:before="0" w:after="0"/>
      </w:pPr>
      <w:r>
        <w:continuationSeparator/>
      </w:r>
    </w:p>
  </w:endnote>
  <w:endnote w:type="continuationNotice" w:id="1">
    <w:p w14:paraId="23302D77" w14:textId="77777777" w:rsidR="00F72086" w:rsidRDefault="00F720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8F3052">
      <w:rPr>
        <w:rFonts w:ascii="Times New Roman" w:hAnsi="Times New Roman"/>
        <w:sz w:val="20"/>
      </w:rPr>
      <w:t>42</w:t>
    </w:r>
    <w:r w:rsidRPr="00ED1956">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00540" w14:textId="77777777" w:rsidR="00F72086" w:rsidRDefault="00F72086" w:rsidP="00D946DB">
      <w:pPr>
        <w:spacing w:before="0" w:after="0"/>
      </w:pPr>
      <w:r>
        <w:separator/>
      </w:r>
    </w:p>
  </w:footnote>
  <w:footnote w:type="continuationSeparator" w:id="0">
    <w:p w14:paraId="6C737719" w14:textId="77777777" w:rsidR="00F72086" w:rsidRDefault="00F72086" w:rsidP="00D946DB">
      <w:pPr>
        <w:spacing w:before="0" w:after="0"/>
      </w:pPr>
      <w:r>
        <w:continuationSeparator/>
      </w:r>
    </w:p>
  </w:footnote>
  <w:footnote w:type="continuationNotice" w:id="1">
    <w:p w14:paraId="190DCB3C" w14:textId="77777777" w:rsidR="00F72086" w:rsidRDefault="00F72086">
      <w:pPr>
        <w:spacing w:before="0" w:after="0"/>
      </w:pPr>
    </w:p>
  </w:footnote>
  <w:footnote w:id="2">
    <w:p w14:paraId="3507A652" w14:textId="78897E61" w:rsidR="00C3070C" w:rsidRPr="00B828CC" w:rsidRDefault="00C3070C">
      <w:pPr>
        <w:pStyle w:val="FootnoteText"/>
      </w:pPr>
      <w:r>
        <w:rPr>
          <w:rStyle w:val="FootnoteReference"/>
        </w:rPr>
        <w:footnoteRef/>
      </w:r>
      <w:r>
        <w:t xml:space="preserve"> </w:t>
      </w:r>
      <w:r>
        <w:rPr>
          <w:rFonts w:ascii="Times New Roman" w:hAnsi="Times New Roman"/>
          <w:sz w:val="20"/>
        </w:rPr>
        <w:t>Reglamento Delegado (UE) n.º 525/2014 de la Comisión, de 12 de marzo de 2014, por el que se completa el Reglamento (UE) n.º 575/2013 del Parlamento Europeo y del Consejo en lo que respecta a las normas técnicas de regulación para la definición de “mercado” (DO L 148 de 20.5.2014, p. 15).</w:t>
      </w:r>
    </w:p>
  </w:footnote>
  <w:footnote w:id="3">
    <w:p w14:paraId="018474C7" w14:textId="77777777" w:rsidR="00C3070C" w:rsidRPr="00A11C6E" w:rsidRDefault="00C3070C">
      <w:pPr>
        <w:pStyle w:val="FootnoteText"/>
      </w:pPr>
      <w:r>
        <w:rPr>
          <w:rStyle w:val="FootnoteReference"/>
        </w:rPr>
        <w:footnoteRef/>
      </w:r>
      <w:r>
        <w:t xml:space="preserve"> Reglamento de Ejecución (UE) n.º 945/2014 de la Comisión, de 4 de septiembre de 2014, por el que se establecen normas técnicas de ejecución en lo que respecta a los índices pertinentes debidamente diversificados, de conformidad con el Reglamento (UE) n.º 575/2013 del Parlamento Europeo y del Consejo.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Uso habitual de la 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Uso habitual de la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Uso habitual de la AB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Uso habitual de la ABE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Uso habitual de la 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Uso habitual de la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Uso habitual de la AB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Uso habitual de la ABE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Uso habitual de la 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Uso habitual de la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Uso habitual de la AB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Uso habitual de la ABE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6"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3"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9"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0"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8"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0"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1"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4A10E5B"/>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6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0"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49"/>
  </w:num>
  <w:num w:numId="3" w16cid:durableId="286200695">
    <w:abstractNumId w:val="65"/>
  </w:num>
  <w:num w:numId="4" w16cid:durableId="487287975">
    <w:abstractNumId w:val="41"/>
  </w:num>
  <w:num w:numId="5" w16cid:durableId="1754350949">
    <w:abstractNumId w:val="56"/>
  </w:num>
  <w:num w:numId="6" w16cid:durableId="1507597667">
    <w:abstractNumId w:val="30"/>
  </w:num>
  <w:num w:numId="7" w16cid:durableId="139271283">
    <w:abstractNumId w:val="64"/>
  </w:num>
  <w:num w:numId="8" w16cid:durableId="763764270">
    <w:abstractNumId w:val="16"/>
  </w:num>
  <w:num w:numId="9" w16cid:durableId="1561986968">
    <w:abstractNumId w:val="54"/>
  </w:num>
  <w:num w:numId="10" w16cid:durableId="1349260748">
    <w:abstractNumId w:val="27"/>
  </w:num>
  <w:num w:numId="11" w16cid:durableId="1097991330">
    <w:abstractNumId w:val="43"/>
  </w:num>
  <w:num w:numId="12" w16cid:durableId="858469680">
    <w:abstractNumId w:val="18"/>
  </w:num>
  <w:num w:numId="13" w16cid:durableId="1485394352">
    <w:abstractNumId w:val="55"/>
  </w:num>
  <w:num w:numId="14" w16cid:durableId="881021889">
    <w:abstractNumId w:val="48"/>
  </w:num>
  <w:num w:numId="15" w16cid:durableId="1923681300">
    <w:abstractNumId w:val="25"/>
  </w:num>
  <w:num w:numId="16" w16cid:durableId="211188018">
    <w:abstractNumId w:val="42"/>
  </w:num>
  <w:num w:numId="17" w16cid:durableId="373817584">
    <w:abstractNumId w:val="22"/>
  </w:num>
  <w:num w:numId="18" w16cid:durableId="1615165847">
    <w:abstractNumId w:val="57"/>
  </w:num>
  <w:num w:numId="19" w16cid:durableId="429467310">
    <w:abstractNumId w:val="10"/>
  </w:num>
  <w:num w:numId="20" w16cid:durableId="526409463">
    <w:abstractNumId w:val="14"/>
  </w:num>
  <w:num w:numId="21" w16cid:durableId="1023021418">
    <w:abstractNumId w:val="26"/>
  </w:num>
  <w:num w:numId="22" w16cid:durableId="510485648">
    <w:abstractNumId w:val="36"/>
  </w:num>
  <w:num w:numId="23" w16cid:durableId="863594772">
    <w:abstractNumId w:val="47"/>
  </w:num>
  <w:num w:numId="24" w16cid:durableId="1184786628">
    <w:abstractNumId w:val="58"/>
  </w:num>
  <w:num w:numId="25" w16cid:durableId="156314703">
    <w:abstractNumId w:val="15"/>
  </w:num>
  <w:num w:numId="26" w16cid:durableId="1106079368">
    <w:abstractNumId w:val="34"/>
  </w:num>
  <w:num w:numId="27" w16cid:durableId="1353070508">
    <w:abstractNumId w:val="45"/>
  </w:num>
  <w:num w:numId="28" w16cid:durableId="70588701">
    <w:abstractNumId w:val="11"/>
  </w:num>
  <w:num w:numId="29" w16cid:durableId="1356804014">
    <w:abstractNumId w:val="12"/>
  </w:num>
  <w:num w:numId="30" w16cid:durableId="3557898">
    <w:abstractNumId w:val="50"/>
  </w:num>
  <w:num w:numId="31" w16cid:durableId="1418819944">
    <w:abstractNumId w:val="68"/>
  </w:num>
  <w:num w:numId="32" w16cid:durableId="239949740">
    <w:abstractNumId w:val="17"/>
  </w:num>
  <w:num w:numId="33" w16cid:durableId="8442498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0"/>
  </w:num>
  <w:num w:numId="36" w16cid:durableId="1464036760">
    <w:abstractNumId w:val="4"/>
  </w:num>
  <w:num w:numId="37" w16cid:durableId="249973241">
    <w:abstractNumId w:val="62"/>
  </w:num>
  <w:num w:numId="38" w16cid:durableId="1115178956">
    <w:abstractNumId w:val="66"/>
  </w:num>
  <w:num w:numId="39" w16cid:durableId="1079792157">
    <w:abstractNumId w:val="35"/>
  </w:num>
  <w:num w:numId="40" w16cid:durableId="1333265662">
    <w:abstractNumId w:val="2"/>
  </w:num>
  <w:num w:numId="41" w16cid:durableId="737484550">
    <w:abstractNumId w:val="29"/>
  </w:num>
  <w:num w:numId="42" w16cid:durableId="309210531">
    <w:abstractNumId w:val="63"/>
  </w:num>
  <w:num w:numId="43" w16cid:durableId="166527561">
    <w:abstractNumId w:val="1"/>
  </w:num>
  <w:num w:numId="44" w16cid:durableId="1544101633">
    <w:abstractNumId w:val="59"/>
  </w:num>
  <w:num w:numId="45" w16cid:durableId="44380249">
    <w:abstractNumId w:val="44"/>
  </w:num>
  <w:num w:numId="46" w16cid:durableId="1838038624">
    <w:abstractNumId w:val="0"/>
  </w:num>
  <w:num w:numId="47" w16cid:durableId="1856265522">
    <w:abstractNumId w:val="19"/>
  </w:num>
  <w:num w:numId="48" w16cid:durableId="2081713154">
    <w:abstractNumId w:val="40"/>
  </w:num>
  <w:num w:numId="49" w16cid:durableId="1718896137">
    <w:abstractNumId w:val="21"/>
  </w:num>
  <w:num w:numId="50" w16cid:durableId="1728258729">
    <w:abstractNumId w:val="69"/>
  </w:num>
  <w:num w:numId="51" w16cid:durableId="1856534817">
    <w:abstractNumId w:val="53"/>
  </w:num>
  <w:num w:numId="52" w16cid:durableId="771122248">
    <w:abstractNumId w:val="32"/>
  </w:num>
  <w:num w:numId="53" w16cid:durableId="738211683">
    <w:abstractNumId w:val="25"/>
  </w:num>
  <w:num w:numId="54" w16cid:durableId="1774208110">
    <w:abstractNumId w:val="25"/>
  </w:num>
  <w:num w:numId="55" w16cid:durableId="698626776">
    <w:abstractNumId w:val="25"/>
  </w:num>
  <w:num w:numId="56" w16cid:durableId="1155799151">
    <w:abstractNumId w:val="25"/>
  </w:num>
  <w:num w:numId="57" w16cid:durableId="16854895">
    <w:abstractNumId w:val="55"/>
  </w:num>
  <w:num w:numId="58" w16cid:durableId="441648627">
    <w:abstractNumId w:val="61"/>
  </w:num>
  <w:num w:numId="59" w16cid:durableId="1204750145">
    <w:abstractNumId w:val="37"/>
  </w:num>
  <w:num w:numId="60" w16cid:durableId="1881163654">
    <w:abstractNumId w:val="60"/>
  </w:num>
  <w:num w:numId="61" w16cid:durableId="564342068">
    <w:abstractNumId w:val="67"/>
  </w:num>
  <w:num w:numId="62" w16cid:durableId="1797748123">
    <w:abstractNumId w:val="13"/>
  </w:num>
  <w:num w:numId="63" w16cid:durableId="77364674">
    <w:abstractNumId w:val="7"/>
  </w:num>
  <w:num w:numId="64" w16cid:durableId="1571499201">
    <w:abstractNumId w:val="55"/>
  </w:num>
  <w:num w:numId="65" w16cid:durableId="912351439">
    <w:abstractNumId w:val="25"/>
  </w:num>
  <w:num w:numId="66" w16cid:durableId="1115518585">
    <w:abstractNumId w:val="23"/>
  </w:num>
  <w:num w:numId="67" w16cid:durableId="1254245876">
    <w:abstractNumId w:val="71"/>
  </w:num>
  <w:num w:numId="68" w16cid:durableId="1354916990">
    <w:abstractNumId w:val="31"/>
  </w:num>
  <w:num w:numId="69" w16cid:durableId="304165099">
    <w:abstractNumId w:val="28"/>
  </w:num>
  <w:num w:numId="70" w16cid:durableId="1683121088">
    <w:abstractNumId w:val="39"/>
  </w:num>
  <w:num w:numId="71" w16cid:durableId="1626156895">
    <w:abstractNumId w:val="6"/>
  </w:num>
  <w:num w:numId="72" w16cid:durableId="1012489178">
    <w:abstractNumId w:val="9"/>
  </w:num>
  <w:num w:numId="73" w16cid:durableId="954292358">
    <w:abstractNumId w:val="38"/>
  </w:num>
  <w:num w:numId="74" w16cid:durableId="469858578">
    <w:abstractNumId w:val="46"/>
  </w:num>
  <w:num w:numId="75" w16cid:durableId="2106150306">
    <w:abstractNumId w:val="33"/>
  </w:num>
  <w:num w:numId="76" w16cid:durableId="1625306053">
    <w:abstractNumId w:val="25"/>
  </w:num>
  <w:num w:numId="77" w16cid:durableId="1635911473">
    <w:abstractNumId w:val="25"/>
  </w:num>
  <w:num w:numId="78" w16cid:durableId="254442520">
    <w:abstractNumId w:val="55"/>
  </w:num>
  <w:num w:numId="79" w16cid:durableId="2019043190">
    <w:abstractNumId w:val="55"/>
  </w:num>
  <w:num w:numId="80" w16cid:durableId="562058377">
    <w:abstractNumId w:val="55"/>
  </w:num>
  <w:num w:numId="81" w16cid:durableId="1759137703">
    <w:abstractNumId w:val="55"/>
  </w:num>
  <w:num w:numId="82" w16cid:durableId="123818016">
    <w:abstractNumId w:val="55"/>
  </w:num>
  <w:num w:numId="83" w16cid:durableId="1590625833">
    <w:abstractNumId w:val="55"/>
  </w:num>
  <w:num w:numId="84" w16cid:durableId="671184775">
    <w:abstractNumId w:val="55"/>
  </w:num>
  <w:num w:numId="85" w16cid:durableId="897664751">
    <w:abstractNumId w:val="5"/>
  </w:num>
  <w:num w:numId="86" w16cid:durableId="1293025442">
    <w:abstractNumId w:val="55"/>
  </w:num>
  <w:num w:numId="87" w16cid:durableId="784428268">
    <w:abstractNumId w:val="55"/>
  </w:num>
  <w:num w:numId="88" w16cid:durableId="1356544267">
    <w:abstractNumId w:val="55"/>
  </w:num>
  <w:num w:numId="89" w16cid:durableId="1756898050">
    <w:abstractNumId w:val="55"/>
  </w:num>
  <w:num w:numId="90" w16cid:durableId="1953591268">
    <w:abstractNumId w:val="55"/>
  </w:num>
  <w:num w:numId="91" w16cid:durableId="1411076586">
    <w:abstractNumId w:val="55"/>
  </w:num>
  <w:num w:numId="92" w16cid:durableId="713577442">
    <w:abstractNumId w:val="55"/>
  </w:num>
  <w:num w:numId="93" w16cid:durableId="1665546488">
    <w:abstractNumId w:val="55"/>
  </w:num>
  <w:num w:numId="94" w16cid:durableId="967052354">
    <w:abstractNumId w:val="55"/>
  </w:num>
  <w:num w:numId="95" w16cid:durableId="309484170">
    <w:abstractNumId w:val="55"/>
  </w:num>
  <w:num w:numId="96" w16cid:durableId="1535777035">
    <w:abstractNumId w:val="25"/>
  </w:num>
  <w:num w:numId="97" w16cid:durableId="973751919">
    <w:abstractNumId w:val="25"/>
  </w:num>
  <w:num w:numId="98" w16cid:durableId="1635792443">
    <w:abstractNumId w:val="24"/>
  </w:num>
  <w:num w:numId="99" w16cid:durableId="1668896319">
    <w:abstractNumId w:val="8"/>
  </w:num>
  <w:num w:numId="100" w16cid:durableId="544409319">
    <w:abstractNumId w:val="25"/>
  </w:num>
  <w:num w:numId="101" w16cid:durableId="808861108">
    <w:abstractNumId w:val="25"/>
  </w:num>
  <w:num w:numId="102" w16cid:durableId="202838676">
    <w:abstractNumId w:val="25"/>
  </w:num>
  <w:num w:numId="103" w16cid:durableId="760026508">
    <w:abstractNumId w:val="25"/>
  </w:num>
  <w:num w:numId="104" w16cid:durableId="1074426706">
    <w:abstractNumId w:val="55"/>
  </w:num>
  <w:num w:numId="105" w16cid:durableId="524179360">
    <w:abstractNumId w:val="25"/>
  </w:num>
  <w:num w:numId="106" w16cid:durableId="98719631">
    <w:abstractNumId w:val="51"/>
  </w:num>
  <w:num w:numId="107" w16cid:durableId="1289240839">
    <w:abstractNumId w:val="25"/>
  </w:num>
  <w:num w:numId="108" w16cid:durableId="1410078559">
    <w:abstractNumId w:val="25"/>
  </w:num>
  <w:num w:numId="109" w16cid:durableId="1179739189">
    <w:abstractNumId w:val="25"/>
  </w:num>
  <w:num w:numId="110" w16cid:durableId="346566243">
    <w:abstractNumId w:val="25"/>
  </w:num>
  <w:num w:numId="111" w16cid:durableId="306859254">
    <w:abstractNumId w:val="25"/>
  </w:num>
  <w:num w:numId="112" w16cid:durableId="732776132">
    <w:abstractNumId w:val="55"/>
  </w:num>
  <w:num w:numId="113" w16cid:durableId="872963773">
    <w:abstractNumId w:val="55"/>
  </w:num>
  <w:num w:numId="114" w16cid:durableId="419832823">
    <w:abstractNumId w:val="25"/>
  </w:num>
  <w:num w:numId="115" w16cid:durableId="1976831320">
    <w:abstractNumId w:val="25"/>
  </w:num>
  <w:num w:numId="116" w16cid:durableId="926570473">
    <w:abstractNumId w:val="55"/>
  </w:num>
  <w:num w:numId="117" w16cid:durableId="365564648">
    <w:abstractNumId w:val="25"/>
  </w:num>
  <w:num w:numId="118" w16cid:durableId="98573524">
    <w:abstractNumId w:val="25"/>
  </w:num>
  <w:num w:numId="119" w16cid:durableId="1933127277">
    <w:abstractNumId w:val="25"/>
  </w:num>
  <w:num w:numId="120" w16cid:durableId="1898935926">
    <w:abstractNumId w:val="25"/>
  </w:num>
  <w:num w:numId="121" w16cid:durableId="102649250">
    <w:abstractNumId w:val="25"/>
  </w:num>
  <w:num w:numId="122" w16cid:durableId="1231430260">
    <w:abstractNumId w:val="5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2A80"/>
    <w:rsid w:val="00052CAE"/>
    <w:rsid w:val="00052EE6"/>
    <w:rsid w:val="000530BC"/>
    <w:rsid w:val="0005400A"/>
    <w:rsid w:val="000548A2"/>
    <w:rsid w:val="0005609F"/>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C33"/>
    <w:rsid w:val="000B3E00"/>
    <w:rsid w:val="000B480F"/>
    <w:rsid w:val="000B5700"/>
    <w:rsid w:val="000B6A14"/>
    <w:rsid w:val="000B70E1"/>
    <w:rsid w:val="000B73C4"/>
    <w:rsid w:val="000B7ABA"/>
    <w:rsid w:val="000C0127"/>
    <w:rsid w:val="000C0A34"/>
    <w:rsid w:val="000C0FA2"/>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4235"/>
    <w:rsid w:val="00124A44"/>
    <w:rsid w:val="00124B85"/>
    <w:rsid w:val="00124F78"/>
    <w:rsid w:val="001250CC"/>
    <w:rsid w:val="0012515B"/>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171B"/>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D60"/>
    <w:rsid w:val="001F0FCF"/>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7B0"/>
    <w:rsid w:val="002E28DA"/>
    <w:rsid w:val="002E306A"/>
    <w:rsid w:val="002E3720"/>
    <w:rsid w:val="002E3CE5"/>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7060"/>
    <w:rsid w:val="003B7693"/>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431C"/>
    <w:rsid w:val="003D485B"/>
    <w:rsid w:val="003D560C"/>
    <w:rsid w:val="003D56DE"/>
    <w:rsid w:val="003D5F68"/>
    <w:rsid w:val="003D655D"/>
    <w:rsid w:val="003D69CB"/>
    <w:rsid w:val="003D711A"/>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0CF"/>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17F0B"/>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63E"/>
    <w:rsid w:val="00475B6A"/>
    <w:rsid w:val="00475F76"/>
    <w:rsid w:val="00475F8F"/>
    <w:rsid w:val="0047602E"/>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A47"/>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0EC7"/>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66F4"/>
    <w:rsid w:val="00566905"/>
    <w:rsid w:val="00566A45"/>
    <w:rsid w:val="00566DB5"/>
    <w:rsid w:val="00566E59"/>
    <w:rsid w:val="005704F9"/>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CD"/>
    <w:rsid w:val="005C2A1D"/>
    <w:rsid w:val="005C2F53"/>
    <w:rsid w:val="005C31F9"/>
    <w:rsid w:val="005C3734"/>
    <w:rsid w:val="005C3E68"/>
    <w:rsid w:val="005C401B"/>
    <w:rsid w:val="005C4B60"/>
    <w:rsid w:val="005C5136"/>
    <w:rsid w:val="005C517E"/>
    <w:rsid w:val="005C6242"/>
    <w:rsid w:val="005C6605"/>
    <w:rsid w:val="005C6CF7"/>
    <w:rsid w:val="005C6DEB"/>
    <w:rsid w:val="005C7542"/>
    <w:rsid w:val="005C7A65"/>
    <w:rsid w:val="005C7A91"/>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187"/>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264"/>
    <w:rsid w:val="00616690"/>
    <w:rsid w:val="00616CC0"/>
    <w:rsid w:val="00616E90"/>
    <w:rsid w:val="00617624"/>
    <w:rsid w:val="006205D1"/>
    <w:rsid w:val="00620AB3"/>
    <w:rsid w:val="006213EF"/>
    <w:rsid w:val="006219CF"/>
    <w:rsid w:val="00622635"/>
    <w:rsid w:val="00622B37"/>
    <w:rsid w:val="00622B8C"/>
    <w:rsid w:val="00622CC2"/>
    <w:rsid w:val="00622DF8"/>
    <w:rsid w:val="0062362F"/>
    <w:rsid w:val="00623724"/>
    <w:rsid w:val="00623BD2"/>
    <w:rsid w:val="00623E77"/>
    <w:rsid w:val="00623EAD"/>
    <w:rsid w:val="00624117"/>
    <w:rsid w:val="00624624"/>
    <w:rsid w:val="0062472D"/>
    <w:rsid w:val="00625556"/>
    <w:rsid w:val="0062558D"/>
    <w:rsid w:val="006259C7"/>
    <w:rsid w:val="00625FF5"/>
    <w:rsid w:val="0062603B"/>
    <w:rsid w:val="006269F7"/>
    <w:rsid w:val="00626A88"/>
    <w:rsid w:val="00627143"/>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845"/>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17FF7"/>
    <w:rsid w:val="00720ADC"/>
    <w:rsid w:val="00720CA2"/>
    <w:rsid w:val="00721A22"/>
    <w:rsid w:val="00721CEA"/>
    <w:rsid w:val="00722031"/>
    <w:rsid w:val="0072265E"/>
    <w:rsid w:val="00722A10"/>
    <w:rsid w:val="00722C1C"/>
    <w:rsid w:val="007233B1"/>
    <w:rsid w:val="007235F4"/>
    <w:rsid w:val="00723A50"/>
    <w:rsid w:val="00723F2B"/>
    <w:rsid w:val="00724108"/>
    <w:rsid w:val="007241D3"/>
    <w:rsid w:val="00724589"/>
    <w:rsid w:val="007247ED"/>
    <w:rsid w:val="007248BD"/>
    <w:rsid w:val="007260DA"/>
    <w:rsid w:val="00726591"/>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6DFF"/>
    <w:rsid w:val="007B6ED2"/>
    <w:rsid w:val="007B7B53"/>
    <w:rsid w:val="007C099C"/>
    <w:rsid w:val="007C0A10"/>
    <w:rsid w:val="007C2334"/>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746"/>
    <w:rsid w:val="007D4FF8"/>
    <w:rsid w:val="007D57E8"/>
    <w:rsid w:val="007D633B"/>
    <w:rsid w:val="007D63B3"/>
    <w:rsid w:val="007D7224"/>
    <w:rsid w:val="007D7D73"/>
    <w:rsid w:val="007E1466"/>
    <w:rsid w:val="007E16E5"/>
    <w:rsid w:val="007E18BB"/>
    <w:rsid w:val="007E1ED6"/>
    <w:rsid w:val="007E2B46"/>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A6"/>
    <w:rsid w:val="007F28DF"/>
    <w:rsid w:val="007F3089"/>
    <w:rsid w:val="007F360A"/>
    <w:rsid w:val="007F3864"/>
    <w:rsid w:val="007F43CC"/>
    <w:rsid w:val="007F5225"/>
    <w:rsid w:val="007F5488"/>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EA"/>
    <w:rsid w:val="00816F2D"/>
    <w:rsid w:val="0082014C"/>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DE7"/>
    <w:rsid w:val="0082689E"/>
    <w:rsid w:val="00826E25"/>
    <w:rsid w:val="0082704F"/>
    <w:rsid w:val="00827581"/>
    <w:rsid w:val="00827BBD"/>
    <w:rsid w:val="00827C9A"/>
    <w:rsid w:val="008304E8"/>
    <w:rsid w:val="00830C5F"/>
    <w:rsid w:val="00830C91"/>
    <w:rsid w:val="00830F86"/>
    <w:rsid w:val="00830FBE"/>
    <w:rsid w:val="00831443"/>
    <w:rsid w:val="00831751"/>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4E94"/>
    <w:rsid w:val="008651D4"/>
    <w:rsid w:val="00865D33"/>
    <w:rsid w:val="0086634C"/>
    <w:rsid w:val="00866C27"/>
    <w:rsid w:val="0086703D"/>
    <w:rsid w:val="008674A6"/>
    <w:rsid w:val="00867C62"/>
    <w:rsid w:val="00867EDC"/>
    <w:rsid w:val="00870531"/>
    <w:rsid w:val="00871877"/>
    <w:rsid w:val="00871CAF"/>
    <w:rsid w:val="00872366"/>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528"/>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66C"/>
    <w:rsid w:val="00960B47"/>
    <w:rsid w:val="00960B92"/>
    <w:rsid w:val="00961C3F"/>
    <w:rsid w:val="00962601"/>
    <w:rsid w:val="00962BBD"/>
    <w:rsid w:val="00962D2C"/>
    <w:rsid w:val="0096378F"/>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1D22"/>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C58"/>
    <w:rsid w:val="009C3801"/>
    <w:rsid w:val="009C3D16"/>
    <w:rsid w:val="009C3DD6"/>
    <w:rsid w:val="009C40BC"/>
    <w:rsid w:val="009C41F8"/>
    <w:rsid w:val="009C4291"/>
    <w:rsid w:val="009C43C7"/>
    <w:rsid w:val="009C44E7"/>
    <w:rsid w:val="009C4702"/>
    <w:rsid w:val="009C5582"/>
    <w:rsid w:val="009C6159"/>
    <w:rsid w:val="009C621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2F1E"/>
    <w:rsid w:val="00A03C89"/>
    <w:rsid w:val="00A03DC9"/>
    <w:rsid w:val="00A045D1"/>
    <w:rsid w:val="00A0483F"/>
    <w:rsid w:val="00A04CFA"/>
    <w:rsid w:val="00A0575F"/>
    <w:rsid w:val="00A05C8B"/>
    <w:rsid w:val="00A06927"/>
    <w:rsid w:val="00A07646"/>
    <w:rsid w:val="00A10C90"/>
    <w:rsid w:val="00A114D6"/>
    <w:rsid w:val="00A11C6E"/>
    <w:rsid w:val="00A12B66"/>
    <w:rsid w:val="00A12EBD"/>
    <w:rsid w:val="00A12ECF"/>
    <w:rsid w:val="00A136CD"/>
    <w:rsid w:val="00A13C75"/>
    <w:rsid w:val="00A13D97"/>
    <w:rsid w:val="00A14679"/>
    <w:rsid w:val="00A15371"/>
    <w:rsid w:val="00A15696"/>
    <w:rsid w:val="00A1589A"/>
    <w:rsid w:val="00A159E2"/>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D0F"/>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253"/>
    <w:rsid w:val="00B145A2"/>
    <w:rsid w:val="00B14895"/>
    <w:rsid w:val="00B15072"/>
    <w:rsid w:val="00B15280"/>
    <w:rsid w:val="00B15569"/>
    <w:rsid w:val="00B15761"/>
    <w:rsid w:val="00B15DB6"/>
    <w:rsid w:val="00B15F2D"/>
    <w:rsid w:val="00B17100"/>
    <w:rsid w:val="00B171C0"/>
    <w:rsid w:val="00B17999"/>
    <w:rsid w:val="00B20317"/>
    <w:rsid w:val="00B203D1"/>
    <w:rsid w:val="00B20B4D"/>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E19"/>
    <w:rsid w:val="00BC068F"/>
    <w:rsid w:val="00BC0A7F"/>
    <w:rsid w:val="00BC1220"/>
    <w:rsid w:val="00BC136A"/>
    <w:rsid w:val="00BC288D"/>
    <w:rsid w:val="00BC2C58"/>
    <w:rsid w:val="00BC329F"/>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B3B"/>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90D"/>
    <w:rsid w:val="00D16E19"/>
    <w:rsid w:val="00D16FBF"/>
    <w:rsid w:val="00D177A5"/>
    <w:rsid w:val="00D1786A"/>
    <w:rsid w:val="00D2018B"/>
    <w:rsid w:val="00D20799"/>
    <w:rsid w:val="00D209AF"/>
    <w:rsid w:val="00D20C67"/>
    <w:rsid w:val="00D212FE"/>
    <w:rsid w:val="00D21348"/>
    <w:rsid w:val="00D21548"/>
    <w:rsid w:val="00D21B29"/>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447"/>
    <w:rsid w:val="00D333AC"/>
    <w:rsid w:val="00D33AA1"/>
    <w:rsid w:val="00D3431A"/>
    <w:rsid w:val="00D34F75"/>
    <w:rsid w:val="00D35656"/>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BAB"/>
    <w:rsid w:val="00D87CDF"/>
    <w:rsid w:val="00D9038C"/>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F76"/>
    <w:rsid w:val="00E03E51"/>
    <w:rsid w:val="00E03E93"/>
    <w:rsid w:val="00E044C4"/>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5CB9"/>
    <w:rsid w:val="00E863C1"/>
    <w:rsid w:val="00E86638"/>
    <w:rsid w:val="00E868FD"/>
    <w:rsid w:val="00E86B98"/>
    <w:rsid w:val="00E86EF8"/>
    <w:rsid w:val="00E871FE"/>
    <w:rsid w:val="00E872E9"/>
    <w:rsid w:val="00E87925"/>
    <w:rsid w:val="00E87B6C"/>
    <w:rsid w:val="00E91106"/>
    <w:rsid w:val="00E91D1C"/>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5013"/>
    <w:rsid w:val="00EB53AD"/>
    <w:rsid w:val="00EB5633"/>
    <w:rsid w:val="00EB5804"/>
    <w:rsid w:val="00EB5C9A"/>
    <w:rsid w:val="00EB6224"/>
    <w:rsid w:val="00EB62C2"/>
    <w:rsid w:val="00EB66E9"/>
    <w:rsid w:val="00EB6DEA"/>
    <w:rsid w:val="00EB6E04"/>
    <w:rsid w:val="00EB6FC2"/>
    <w:rsid w:val="00EB77E4"/>
    <w:rsid w:val="00EC0AAB"/>
    <w:rsid w:val="00EC0B74"/>
    <w:rsid w:val="00EC0C65"/>
    <w:rsid w:val="00EC153B"/>
    <w:rsid w:val="00EC19AE"/>
    <w:rsid w:val="00EC1EA0"/>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BDA"/>
    <w:rsid w:val="00EE2BEA"/>
    <w:rsid w:val="00EE2CD5"/>
    <w:rsid w:val="00EE34F2"/>
    <w:rsid w:val="00EE358F"/>
    <w:rsid w:val="00EE4105"/>
    <w:rsid w:val="00EE5691"/>
    <w:rsid w:val="00EE63B4"/>
    <w:rsid w:val="00EE690D"/>
    <w:rsid w:val="00EE6EBC"/>
    <w:rsid w:val="00EE6F6C"/>
    <w:rsid w:val="00EE72D1"/>
    <w:rsid w:val="00EE7559"/>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F30"/>
    <w:rsid w:val="00F12EA3"/>
    <w:rsid w:val="00F13B3B"/>
    <w:rsid w:val="00F13E69"/>
    <w:rsid w:val="00F1455C"/>
    <w:rsid w:val="00F14A2E"/>
    <w:rsid w:val="00F14A91"/>
    <w:rsid w:val="00F14B0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60FC"/>
    <w:rsid w:val="00F66294"/>
    <w:rsid w:val="00F66371"/>
    <w:rsid w:val="00F66830"/>
    <w:rsid w:val="00F66A6C"/>
    <w:rsid w:val="00F66DFB"/>
    <w:rsid w:val="00F67634"/>
    <w:rsid w:val="00F70C26"/>
    <w:rsid w:val="00F71101"/>
    <w:rsid w:val="00F714CC"/>
    <w:rsid w:val="00F719C0"/>
    <w:rsid w:val="00F71DEB"/>
    <w:rsid w:val="00F71DF2"/>
    <w:rsid w:val="00F72086"/>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683"/>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5C6"/>
    <w:rsid w:val="00FF1617"/>
    <w:rsid w:val="00FF208F"/>
    <w:rsid w:val="00FF2658"/>
    <w:rsid w:val="00FF2818"/>
    <w:rsid w:val="00FF2BC3"/>
    <w:rsid w:val="00FF2D0E"/>
    <w:rsid w:val="00FF36A5"/>
    <w:rsid w:val="00FF3B3B"/>
    <w:rsid w:val="00FF49BE"/>
    <w:rsid w:val="00FF6630"/>
    <w:rsid w:val="00FF6BEE"/>
    <w:rsid w:val="00FF6E0E"/>
    <w:rsid w:val="00FF75CC"/>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F61534"/>
    <w:rsid w:val="4F39CF42"/>
    <w:rsid w:val="4FD33F80"/>
    <w:rsid w:val="4FDE97E6"/>
    <w:rsid w:val="4FE9CA36"/>
    <w:rsid w:val="50820D43"/>
    <w:rsid w:val="5098F6C4"/>
    <w:rsid w:val="50DCBEC3"/>
    <w:rsid w:val="5157F2B5"/>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CB8A86"/>
    <w:rsid w:val="5FF14103"/>
    <w:rsid w:val="60290D1E"/>
    <w:rsid w:val="609C72D8"/>
    <w:rsid w:val="60C43AC3"/>
    <w:rsid w:val="6116CB0F"/>
    <w:rsid w:val="619BBE61"/>
    <w:rsid w:val="61EB4141"/>
    <w:rsid w:val="62624A16"/>
    <w:rsid w:val="627DBBFB"/>
    <w:rsid w:val="628F8154"/>
    <w:rsid w:val="62D561CC"/>
    <w:rsid w:val="634CD558"/>
    <w:rsid w:val="634F01E0"/>
    <w:rsid w:val="635C49C7"/>
    <w:rsid w:val="638DCD7E"/>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A9785487-7472-490C-889B-8751B3E4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s-ES"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es-ES"/>
    </w:rPr>
  </w:style>
  <w:style w:type="character" w:customStyle="1" w:styleId="Heading2Char">
    <w:name w:val="Heading 2 Char"/>
    <w:link w:val="Heading2"/>
    <w:uiPriority w:val="99"/>
    <w:locked/>
    <w:rsid w:val="00EC5046"/>
    <w:rPr>
      <w:rFonts w:ascii="Verdana" w:hAnsi="Verdana" w:cs="Times New Roman"/>
      <w:b/>
      <w:sz w:val="24"/>
      <w:szCs w:val="24"/>
      <w:u w:val="single"/>
      <w:lang w:val="es-ES"/>
    </w:rPr>
  </w:style>
  <w:style w:type="character" w:customStyle="1" w:styleId="Heading3Char">
    <w:name w:val="Heading 3 Char"/>
    <w:aliases w:val="Title 2 Char"/>
    <w:uiPriority w:val="99"/>
    <w:locked/>
    <w:rsid w:val="00884FEB"/>
    <w:rPr>
      <w:rFonts w:cs="Times New Roman"/>
      <w:sz w:val="24"/>
      <w:szCs w:val="24"/>
      <w:lang w:val="es-E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71D2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es-E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es-E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s-ES"/>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D3B3B"/>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D3B3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s-E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s-E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s-ES"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s-ES"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s-ES"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es-ES"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es-ES"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D8732D-68BE-4618-AF70-8C6846EB9E66}">
  <ds:schemaRefs>
    <ds:schemaRef ds:uri="http://schemas.microsoft.com/sharepoint/v3/contenttype/forms"/>
  </ds:schemaRefs>
</ds:datastoreItem>
</file>

<file path=customXml/itemProps2.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3.xml><?xml version="1.0" encoding="utf-8"?>
<ds:datastoreItem xmlns:ds="http://schemas.openxmlformats.org/officeDocument/2006/customXml" ds:itemID="{A29EB61F-A9EF-4CD5-9D00-3EE3424BC13C}"/>
</file>

<file path=customXml/itemProps4.xml><?xml version="1.0" encoding="utf-8"?>
<ds:datastoreItem xmlns:ds="http://schemas.openxmlformats.org/officeDocument/2006/customXml" ds:itemID="{11D0F0D9-9BF3-4E33-B3A6-4C1191582AF3}">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3</TotalTime>
  <Pages>22</Pages>
  <Words>7514</Words>
  <Characters>41005</Characters>
  <Application>Microsoft Office Word</Application>
  <DocSecurity>0</DocSecurity>
  <Lines>1206</Lines>
  <Paragraphs>683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VICENTE MARTINEZ Carmen (DGT)</cp:lastModifiedBy>
  <cp:revision>4</cp:revision>
  <dcterms:created xsi:type="dcterms:W3CDTF">2024-06-19T18:18:00Z</dcterms:created>
  <dcterms:modified xsi:type="dcterms:W3CDTF">2025-01-27T14:58:00Z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2025-01-27T14:58:55Z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8cd4ca16-0224-466b-a4d3-6b5f4a65b257</vt:lpwstr>
  </property>
  <property fmtid="{D5CDD505-2E9C-101B-9397-08002B2CF9AE}" pid="9" name="MSIP_Label_6bd9ddd1-4d20-43f6-abfa-fc3c07406f94_ContentBits">
    <vt:lpwstr>0</vt:lpwstr>
  </property>
</Properties>
</file>