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FFA5F" w14:textId="77777777" w:rsidR="00AB3AA8" w:rsidRDefault="00AB3AA8" w:rsidP="00AB3AA8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21950E32" w14:textId="77777777" w:rsidR="00AB3AA8" w:rsidRDefault="00AB3AA8" w:rsidP="00AB3AA8">
      <w:pPr>
        <w:rPr>
          <w:rFonts w:asciiTheme="minorHAnsi" w:hAnsiTheme="minorHAnsi"/>
          <w:sz w:val="22"/>
        </w:rPr>
      </w:pPr>
    </w:p>
    <w:p w14:paraId="7630D4F1" w14:textId="77777777" w:rsidR="00393F1E" w:rsidRPr="00037E7B" w:rsidRDefault="00393F1E" w:rsidP="00393F1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 II</w:t>
      </w:r>
    </w:p>
    <w:p w14:paraId="4A662760" w14:textId="77777777" w:rsidR="00393F1E" w:rsidRPr="00037E7B" w:rsidRDefault="00393F1E" w:rsidP="00393F1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4C01682A" w14:textId="77777777" w:rsidR="00393F1E" w:rsidRPr="00037E7B" w:rsidRDefault="00393F1E" w:rsidP="00393F1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6B9B322A" w14:textId="77777777" w:rsidR="00E26A90" w:rsidRDefault="00E26A90"/>
    <w:p w14:paraId="0A62D0FD" w14:textId="77777777" w:rsidR="00626DD7" w:rsidRDefault="00626DD7" w:rsidP="00626DD7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MAL-FORMOLI</w:t>
      </w:r>
    </w:p>
    <w:p w14:paraId="0BF83CF9" w14:textId="77777777" w:rsidR="00626DD7" w:rsidRDefault="00626DD7" w:rsidP="00626DD7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4D47E5BD" w14:textId="77777777" w:rsidR="00626DD7" w:rsidRPr="00736637" w:rsidRDefault="00626DD7" w:rsidP="00626DD7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19E744EA" w14:textId="77777777" w:rsidR="00626DD7" w:rsidRDefault="00626DD7"/>
    <w:p w14:paraId="3B628AE5" w14:textId="6F51021A" w:rsidR="00FB3D09" w:rsidRPr="002A677E" w:rsidRDefault="00582B0D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r>
        <w:rPr>
          <w:sz w:val="24"/>
          <w:rFonts w:ascii="Times New Roman" w:hAnsi="Times New Roman"/>
        </w:rPr>
        <w:t xml:space="preserve">3.3 Riskji ta’ kreditu u ta’ kreditu tal-kontroparti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L-Approċċ IRB għar-Rekwiżiti ta’ Fondi Proprji (CR IRB)</w:t>
      </w:r>
    </w:p>
    <w:p w14:paraId="4E7759A8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360188358"/>
      <w:bookmarkStart w:id="1" w:name="_Toc473560907"/>
      <w:bookmarkStart w:id="2" w:name="_Toc151714395"/>
      <w:r>
        <w:rPr>
          <w:sz w:val="24"/>
          <w:u w:val="none"/>
          <w:rFonts w:ascii="Times New Roman" w:hAnsi="Times New Roman"/>
        </w:rPr>
        <w:t xml:space="preserve">3.3.1.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Kamp ta’ applikazzjoni tal-formola CR IRB</w:t>
      </w:r>
      <w:bookmarkEnd w:id="0"/>
      <w:bookmarkEnd w:id="1"/>
      <w:bookmarkEnd w:id="2"/>
    </w:p>
    <w:p w14:paraId="53B757C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>72</w:t>
      </w:r>
      <w:r>
        <w:fldChar w:fldCharType="end"/>
      </w:r>
      <w:r>
        <w:t xml:space="preserve">.</w:t>
      </w:r>
      <w:r>
        <w:tab/>
      </w:r>
      <w:r>
        <w:t xml:space="preserve">Il-kamp ta’ applikazzjoni tal-formola CR IRB ikopri:</w:t>
      </w:r>
    </w:p>
    <w:p w14:paraId="3BAE32CC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i.</w:t>
      </w:r>
      <w:r>
        <w:tab/>
      </w:r>
      <w:r>
        <w:t xml:space="preserve">Riskju ta’ kreditu fil-portafoll bankarju, fost l-oħrajn:</w:t>
      </w:r>
    </w:p>
    <w:p w14:paraId="24DF91FB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Riskju ta’ kreditu tal-kontroparti fil-portafoll bankarju;</w:t>
      </w:r>
    </w:p>
    <w:p w14:paraId="2FF003CE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Riskju ta’ dilwizzjoni għal riċevibbli mixtrija;</w:t>
      </w:r>
    </w:p>
    <w:p w14:paraId="25CEC37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ii.</w:t>
      </w:r>
      <w:r>
        <w:tab/>
      </w:r>
      <w:r>
        <w:t xml:space="preserve">Riskju ta’ kreditu tal-kontroparti fil-portafoll tan-negozjar;</w:t>
      </w:r>
    </w:p>
    <w:p w14:paraId="082D669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iii.</w:t>
      </w:r>
      <w:r>
        <w:tab/>
      </w:r>
      <w:r>
        <w:t xml:space="preserve">Konsenji bla ħlas li jirriżultaw mill-attivitajiet kummerċjali kollha.</w:t>
      </w:r>
    </w:p>
    <w:p w14:paraId="50C5E88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73.</w:t>
      </w:r>
      <w:r>
        <w:tab/>
      </w:r>
      <w:r>
        <w:t xml:space="preserve">Il-kamp ta’ applikazzjoni tal-formola jirreferi għall-iskoperturi li għalihom l-ammonti tal-iskoperturi ponderati għar-riskju huma kkalkolati f’konformità mal-Parti Tliet, it-Titolu II, il-Kapitolu 3, l-Artikoli 151 sa 157 tar-Regolament (UE) Nru 575/2013 (l-Approċċ IRB).</w:t>
      </w:r>
      <w:r>
        <w:t xml:space="preserve"> </w:t>
      </w:r>
    </w:p>
    <w:p w14:paraId="537660ED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 xml:space="preserve"> seq paragraphs </w:instrText>
      </w:r>
      <w:r>
        <w:fldChar w:fldCharType="separate"/>
      </w:r>
      <w:r>
        <w:t>74</w:t>
      </w:r>
      <w:r>
        <w:fldChar w:fldCharType="end"/>
      </w:r>
      <w:r>
        <w:t xml:space="preserve">.</w:t>
      </w:r>
      <w:r>
        <w:t xml:space="preserve"> </w:t>
      </w:r>
      <w:r>
        <w:t xml:space="preserve">Il-formola CR IRB ma tkoprix id-data li ġejja:</w:t>
      </w:r>
      <w:r>
        <w:t xml:space="preserve"> </w:t>
      </w:r>
    </w:p>
    <w:p w14:paraId="7F7154C9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i.</w:t>
      </w:r>
      <w:r>
        <w:tab/>
      </w:r>
      <w:r>
        <w:t xml:space="preserve">Skoperturi tal-ekwità, li huma rapportati fil-formola CR EQU IRB;</w:t>
      </w:r>
      <w:r>
        <w:t xml:space="preserve"> </w:t>
      </w:r>
    </w:p>
    <w:p w14:paraId="39CEAA6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ii.</w:t>
      </w:r>
      <w:r>
        <w:tab/>
      </w:r>
      <w:r>
        <w:t xml:space="preserve">Pożizzjonijiet ta’ titolizzazzjoni, li huma rapportati fil-formoli CR SEC u/jew CR SEC Dettalji;</w:t>
      </w:r>
    </w:p>
    <w:p w14:paraId="486C870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iii.</w:t>
      </w:r>
      <w:r>
        <w:tab/>
      </w:r>
      <w:r>
        <w:t xml:space="preserve"> </w:t>
      </w:r>
      <w:r>
        <w:t xml:space="preserve">“Assi oħrajn b’obbligi mhux ta’ kreditu”, kif imsemmi fl-Artikolu 147(2), il-punt (g), tar-Regolament (UE) Nru 575/2013.</w:t>
      </w:r>
      <w:r>
        <w:t xml:space="preserve"> </w:t>
      </w:r>
      <w:r>
        <w:t xml:space="preserve">Il-ponderazzjoni tar-riskju għal din il-klassi tal-iskoperturi trid tiġi stabbilita għal 100 % fi kwalunkwe ħin ħlief għall-flus fl-idejn, entrati ta’ flus ekwivalenti u skoperturi li huma valuri residwi tal-assi mogħtija b’lokazzjoni, f’konformità mal-Artikolu 156 tar-Regolament (UE) Nru 575/2013.</w:t>
      </w:r>
      <w:r>
        <w:t xml:space="preserve"> </w:t>
      </w:r>
      <w:r>
        <w:t xml:space="preserve">L-ammonti tal-iskoperturi ponderati għar-riskju għal din il-klassi tal-iskoperturi għandhom jiġu rapportati direttament fil-Formola CA;</w:t>
      </w:r>
    </w:p>
    <w:p w14:paraId="06855F02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iv.</w:t>
      </w:r>
      <w:r>
        <w:tab/>
      </w:r>
      <w:r>
        <w:t xml:space="preserve">Riskju ta’ aġġustament tal-valwazzjoni tal-kreditu, li huwa rapportat fil-formola tar-Riskju tas-CVA;</w:t>
      </w:r>
    </w:p>
    <w:p w14:paraId="459A7112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Il-formola CR IRB ma tirrikjedix diżaggregazzjoni ġeografika ta’ skoperturi IRB skont ir-residenza tal-kontroparti.</w:t>
      </w:r>
      <w:r>
        <w:t xml:space="preserve"> </w:t>
      </w:r>
      <w:r>
        <w:t xml:space="preserve">Din id-diżaggregazzjoni għandha tiġi rapportata fil-formola CR GB.</w:t>
      </w:r>
      <w:r>
        <w:t xml:space="preserve"> </w:t>
      </w:r>
    </w:p>
    <w:p w14:paraId="50F092DC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L-entrati i) u iii) ma japplikawx għall-formola CR IRB 7.</w:t>
      </w:r>
    </w:p>
    <w:p w14:paraId="383EDB2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75</w:t>
      </w:r>
      <w:r>
        <w:fldChar w:fldCharType="end"/>
      </w:r>
      <w:r>
        <w:t xml:space="preserve">.</w:t>
      </w:r>
      <w:r>
        <w:tab/>
      </w:r>
      <w:r>
        <w:t xml:space="preserve">Sabiex jiġi ċċarat jekk l-istituzzjoni tużax l-istimi tagħha stess għal-LGD u/jew fatturi tal-konverżjoni ta’ kreditu, għandha tiġi pprovduta l-informazzjoni li ġejja għal kull klassi tal-iskoperturi rapportata:</w:t>
      </w:r>
    </w:p>
    <w:p w14:paraId="5E6A9A8B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“LE” = f’każ li jintużaw l-istimi superviżorji tal-LGD u l-fatturi tal-konverżjoni ta’ kreditu (IRB ta’ Fondazzjoni)</w:t>
      </w:r>
    </w:p>
    <w:p w14:paraId="3AB7C0DB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“IVA” = f’każ li jintużaw l-istimi proprji tal-LGD u/jew il-fatturi tal-konverżjoni ta’ kreditu (IRB Avvanzat).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Dan jinkludi l-portafolli kollha fil-livell tal-konsumatur.</w:t>
      </w:r>
    </w:p>
    <w:p w14:paraId="366E5CCA" w14:textId="77777777" w:rsidR="00FB3D09" w:rsidRPr="002A677E" w:rsidRDefault="00FB3D09" w:rsidP="00FB3D09">
      <w:pPr>
        <w:autoSpaceDE w:val="0"/>
        <w:autoSpaceDN w:val="0"/>
        <w:adjustRightInd w:val="0"/>
        <w:spacing w:before="0" w:after="240"/>
        <w:ind w:left="993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F’każ li istituzzjoni tuża stimi proprji tal-LGDs biex tikkalkola </w:t>
      </w:r>
      <w:r>
        <w:rPr>
          <w:sz w:val="24"/>
          <w:rStyle w:val="InstructionsTabelleText"/>
          <w:rFonts w:ascii="Times New Roman" w:hAnsi="Times New Roman"/>
        </w:rPr>
        <w:t xml:space="preserve">l-ammonti tal-iskoperturi ponderati għar-riskju</w:t>
      </w:r>
      <w:r>
        <w:rPr>
          <w:sz w:val="24"/>
          <w:rFonts w:ascii="Times New Roman" w:hAnsi="Times New Roman"/>
        </w:rPr>
        <w:t xml:space="preserve"> għal parti mill-iskoperturi IRB tagħha kif ukoll LGDs superviżorji biex tikkalkola </w:t>
      </w:r>
      <w:r>
        <w:rPr>
          <w:sz w:val="24"/>
          <w:rStyle w:val="InstructionsTabelleText"/>
          <w:rFonts w:ascii="Times New Roman" w:hAnsi="Times New Roman"/>
        </w:rPr>
        <w:t xml:space="preserve">l-ammonti tal-iskoperturi ponderati għar-riskju</w:t>
      </w:r>
      <w:r>
        <w:rPr>
          <w:sz w:val="24"/>
          <w:rFonts w:ascii="Times New Roman" w:hAnsi="Times New Roman"/>
        </w:rPr>
        <w:t xml:space="preserve"> għall-parti l-oħra tal-iskoperturi IRB tagħha, iridu jiġu rapportati t-Total tas-CR IRB għal pożizzjonijiet F-IRB u t-Total tas-CR IRB wieħed għal pożizzjonijiet A-IRB.</w:t>
      </w:r>
    </w:p>
    <w:p w14:paraId="42EA72F2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3" w:name="_Toc262568037"/>
      <w:bookmarkStart w:id="4" w:name="_Toc264038435"/>
      <w:bookmarkStart w:id="5" w:name="_Toc295829865"/>
      <w:bookmarkStart w:id="6" w:name="_Toc308155142"/>
      <w:bookmarkStart w:id="7" w:name="_Toc310415028"/>
      <w:bookmarkStart w:id="8" w:name="_Toc360188359"/>
      <w:bookmarkStart w:id="9" w:name="_Toc473560908"/>
      <w:bookmarkStart w:id="10" w:name="_Toc151714396"/>
      <w:r>
        <w:rPr>
          <w:sz w:val="24"/>
          <w:u w:val="none"/>
          <w:rFonts w:ascii="Times New Roman" w:hAnsi="Times New Roman"/>
        </w:rPr>
        <w:t xml:space="preserve">3.3.2.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Diżaggregazzjoni tal-formola CR IRB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37488548" w14:textId="1E62BF0E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76</w:t>
      </w:r>
      <w:r>
        <w:fldChar w:fldCharType="end"/>
      </w:r>
      <w:r>
        <w:t xml:space="preserve">.</w:t>
      </w:r>
      <w:r>
        <w:tab/>
      </w:r>
      <w:r>
        <w:t xml:space="preserve">Is-CR IRB tikkonsisti minn seba’ formoli.</w:t>
      </w:r>
      <w:r>
        <w:t xml:space="preserve"> </w:t>
      </w:r>
      <w:r>
        <w:t xml:space="preserve">Is-CR IRB 1 tipprovdi ħarsa ġenerali lejn l-iskoperturi IRB u l-metodi differenti għall-kalkolu tal-ammonti tal-iskopertura ponderati għar-riskju kif ukoll diżaggregazzjoni tal-iskoperturi totali skont it-tipi ta’ skoperturi.</w:t>
      </w:r>
      <w:r>
        <w:t xml:space="preserve"> </w:t>
      </w:r>
      <w:r>
        <w:t xml:space="preserve">Is-CR IRB 2 tipprovdi diżaggregazzjoni tal-iskoperturi totali assenjati għall-gradi jew għall-aggregazzjonijiet tal-obbligant (skoperturi rapportati fir-ringiela 0070 tas-CR IRB 1).</w:t>
      </w:r>
      <w:r>
        <w:t xml:space="preserve"> </w:t>
      </w:r>
      <w:r>
        <w:t xml:space="preserve">Is-CR IRB 3 tipprovdi l-parametri rilevanti kollha użati għall-kalkolu tar-rekwiżiti kapitali tar-riskju ta’ kreditu għall-mudelli IRB.</w:t>
      </w:r>
      <w:r>
        <w:t xml:space="preserve"> </w:t>
      </w:r>
      <w:r>
        <w:t xml:space="preserve">Is-CR IRB 4 tippreżenta dikjarazzjoni tal-fluss li tispjega l-bidliet fl-ammonti tal-iskoperturi ponderati għar-riskju determinati skont l-approċċ IRB għar-riskju ta’ kreditu.</w:t>
      </w:r>
      <w:r>
        <w:t xml:space="preserve"> </w:t>
      </w:r>
      <w:r>
        <w:t xml:space="preserve">Is-CR IRB 5 tipprovdi informazzjoni dwar ir-riżultati tal-ittestjar retrospettiv tal-PDs għall-mudelli rapportati.</w:t>
      </w:r>
      <w:r>
        <w:t xml:space="preserve"> </w:t>
      </w:r>
      <w:r>
        <w:t xml:space="preserve">Is-CR IRB 6 tipprovdi l-parametri rilevanti kollha użati għall-kalkolu tar-rekwiżiti kapitali tar-riskju ta’ kreditu skont il-kriterji ta’ klassifikazzjoni għal self speċjalizzat.</w:t>
      </w:r>
      <w:r>
        <w:t xml:space="preserve"> </w:t>
      </w:r>
      <w:r>
        <w:t xml:space="preserve">Is-CR IRB 7 tipprovdi ħarsa ġenerali lejn il-perċentwali tal-valur tal-iskopertura soġġett għall-approċċi SA jew IRB għal kull klassi tal-iskoperturi rilevanti.</w:t>
      </w:r>
      <w:r>
        <w:t xml:space="preserve"> </w:t>
      </w:r>
      <w:r>
        <w:t xml:space="preserve">Il-formoli CR IRB 1, CR IRB 2, CR IRB 3 u CR IRB 5 għandhom jiġu rrapportati b’mod separat għall-klassijiet tal-iskoperturi u tas-subskoperturi li ġejjin (“entrata ta’ memorandum” għandha tkun irrapportata b’mod separat bħala klassi tas-subskoperturi, iżda mhix marbuta mal-formola C 02.00 u mhux parti mill-Formola totali):</w:t>
      </w:r>
    </w:p>
    <w:p w14:paraId="23A3F056" w14:textId="64EA1880" w:rsidR="00FD1A9F" w:rsidRPr="00126E51" w:rsidRDefault="006B0F8A" w:rsidP="00126E51">
      <w:pPr>
        <w:autoSpaceDE w:val="0"/>
        <w:autoSpaceDN w:val="0"/>
        <w:adjustRightInd w:val="0"/>
        <w:spacing w:before="0" w:after="0"/>
        <w:ind w:left="708"/>
        <w:jc w:val="left"/>
        <w:rPr>
          <w:u w:val="single"/>
        </w:rPr>
      </w:pPr>
      <w:r>
        <w:rPr>
          <w:sz w:val="24"/>
          <w:u w:val="single"/>
          <w:rFonts w:ascii="Times New Roman" w:hAnsi="Times New Roman"/>
        </w:rPr>
        <w:t xml:space="preserve">A) Approċċi IRB meta ma jintużaw la stimi proprji tal-LGD u lanqas Fatturi ta’ Konverżjoni (Approċċ IRB ta’ fondazzjoni)</w:t>
      </w:r>
    </w:p>
    <w:p w14:paraId="742DED0D" w14:textId="60DC622C" w:rsidR="00FB3D09" w:rsidRPr="00126E51" w:rsidRDefault="006B0F8A" w:rsidP="006B0F8A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A.1)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Totali</w:t>
      </w:r>
    </w:p>
    <w:p w14:paraId="17E353AE" w14:textId="4D7B9170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A.2)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Banek ċentrali u gvernijiet ċentrali</w:t>
      </w:r>
      <w:r>
        <w:rPr>
          <w:sz w:val="24"/>
          <w:rFonts w:ascii="Times New Roman" w:hAnsi="Times New Roman"/>
        </w:rPr>
        <w:t xml:space="preserve"> </w:t>
      </w:r>
    </w:p>
    <w:p w14:paraId="070E0717" w14:textId="77777777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(a), tar-Regolament (UE) Nru 575/2013)</w:t>
      </w:r>
    </w:p>
    <w:p w14:paraId="4032BEC5" w14:textId="47D8D1A7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A.3)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Gvernijiet reġjonali jew awtoritajiet lokali</w:t>
      </w:r>
      <w:r>
        <w:rPr>
          <w:sz w:val="24"/>
          <w:rFonts w:ascii="Times New Roman" w:hAnsi="Times New Roman"/>
        </w:rPr>
        <w:t xml:space="preserve"> </w:t>
      </w:r>
    </w:p>
    <w:p w14:paraId="75CD54FE" w14:textId="4B4A74E8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(aa) (i), tar-Regolament (UE) Nru 575/2013)</w:t>
      </w:r>
    </w:p>
    <w:p w14:paraId="614294C6" w14:textId="682C38BE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A.4)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Entitajiet tas-settur pubbliku</w:t>
      </w:r>
      <w:r>
        <w:rPr>
          <w:sz w:val="24"/>
          <w:rFonts w:ascii="Times New Roman" w:hAnsi="Times New Roman"/>
        </w:rPr>
        <w:t xml:space="preserve">  </w:t>
      </w:r>
    </w:p>
    <w:p w14:paraId="52525D8D" w14:textId="056FDE6F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(aa) (ii), tar-Regolament (UE) Nru 575/2013)</w:t>
      </w:r>
    </w:p>
    <w:p w14:paraId="3CDBBA19" w14:textId="3B656C48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A.5)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Istituzzjonijiet</w:t>
      </w:r>
    </w:p>
    <w:p w14:paraId="5A2EE4F2" w14:textId="3CF7CB17" w:rsidR="00FB3D09" w:rsidRDefault="00FB3D09" w:rsidP="00E13BD0">
      <w:pPr>
        <w:autoSpaceDE w:val="0"/>
        <w:autoSpaceDN w:val="0"/>
        <w:adjustRightInd w:val="0"/>
        <w:spacing w:before="0" w:after="0"/>
        <w:ind w:left="1416" w:firstLine="12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(b), tar-Regolament (UE) Nru 575/2013)</w:t>
      </w:r>
    </w:p>
    <w:p w14:paraId="5411EBAF" w14:textId="1E5C1A05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A.6.1)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Impriżi – Għoti ta’ self speċjalizzat</w:t>
      </w:r>
    </w:p>
    <w:p w14:paraId="4E8B7543" w14:textId="4E5EF733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(c)(ii) tar-Regolament (UE) Nru 575/2013)</w:t>
      </w:r>
    </w:p>
    <w:p w14:paraId="571E5944" w14:textId="28012B61" w:rsidR="00FB3D09" w:rsidRPr="002A677E" w:rsidRDefault="006B0F8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A.6.2) Impriżi – Riċevibbli mixtrija</w:t>
      </w:r>
    </w:p>
    <w:p w14:paraId="1A7D2649" w14:textId="4FE9E262" w:rsidR="00E13BD0" w:rsidRDefault="00FB3D09" w:rsidP="00EF2302">
      <w:pPr>
        <w:autoSpaceDE w:val="0"/>
        <w:autoSpaceDN w:val="0"/>
        <w:adjustRightInd w:val="0"/>
        <w:spacing w:before="0" w:after="0"/>
        <w:ind w:left="72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(c) (iii), tar-Regolament (UE) Nru 575/2013)</w:t>
      </w:r>
    </w:p>
    <w:p w14:paraId="77FF0C8B" w14:textId="0F260419" w:rsidR="00FB3D09" w:rsidRPr="002A677E" w:rsidRDefault="006B0F8A" w:rsidP="00E13BD0">
      <w:pPr>
        <w:autoSpaceDE w:val="0"/>
        <w:autoSpaceDN w:val="0"/>
        <w:adjustRightInd w:val="0"/>
        <w:spacing w:before="0" w:after="0"/>
        <w:ind w:left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A.6.3)</w:t>
      </w:r>
      <w:r>
        <w:tab/>
      </w:r>
      <w:r>
        <w:rPr>
          <w:sz w:val="24"/>
          <w:rFonts w:ascii="Times New Roman" w:hAnsi="Times New Roman"/>
        </w:rPr>
        <w:t xml:space="preserve">Impriżi – Oħrajn</w:t>
      </w:r>
      <w:r>
        <w:rPr>
          <w:sz w:val="24"/>
          <w:rFonts w:ascii="Times New Roman" w:hAnsi="Times New Roman"/>
        </w:rPr>
        <w:t xml:space="preserve"> </w:t>
      </w:r>
    </w:p>
    <w:p w14:paraId="0E912CCE" w14:textId="24911A15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(c)(i), tar-Regolament (UE) Nru 575/2013).</w:t>
      </w:r>
    </w:p>
    <w:p w14:paraId="486BF9E6" w14:textId="1FC1D76C" w:rsidR="0029349B" w:rsidRPr="00874942" w:rsidRDefault="0029349B" w:rsidP="0029349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A.6.4)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Impriżi - Impriża Kbira</w:t>
      </w:r>
    </w:p>
    <w:p w14:paraId="715EBD40" w14:textId="150CC2BB" w:rsidR="0029349B" w:rsidRDefault="0029349B" w:rsidP="0029349B">
      <w:pPr>
        <w:pStyle w:val="ListParagraph"/>
        <w:autoSpaceDE w:val="0"/>
        <w:autoSpaceDN w:val="0"/>
        <w:adjustRightInd w:val="0"/>
        <w:spacing w:before="0" w:after="0"/>
        <w:ind w:left="14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(c), tar-Regolament (UE) Nru 575/2013, l-Artikolu 142(1), flimkien mal-punt (5a) tar-Regolament (UE) Nru 575/2013)</w:t>
      </w:r>
    </w:p>
    <w:p w14:paraId="5A8F3224" w14:textId="4866743F" w:rsidR="0029349B" w:rsidRPr="00874942" w:rsidRDefault="0029349B" w:rsidP="0029349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A.6.5)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Impriżi - SME</w:t>
      </w:r>
    </w:p>
    <w:p w14:paraId="42836C84" w14:textId="124ED090" w:rsidR="0029349B" w:rsidRPr="00EF2302" w:rsidRDefault="0029349B" w:rsidP="00126E51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I, tar-Regolament (UE) Nru 575/2013, flimkien mal-Artikolu 5(8) tar-Regolament (UE) Nru 575/2013)</w:t>
      </w:r>
    </w:p>
    <w:p w14:paraId="23564959" w14:textId="77777777" w:rsidR="00B949C3" w:rsidRDefault="00B949C3" w:rsidP="00FB3D09">
      <w:pPr>
        <w:autoSpaceDE w:val="0"/>
        <w:autoSpaceDN w:val="0"/>
        <w:adjustRightInd w:val="0"/>
        <w:spacing w:before="0" w:after="0"/>
        <w:ind w:left="1428"/>
        <w:jc w:val="left"/>
        <w:rPr>
          <w:rFonts w:ascii="Times New Roman" w:hAnsi="Times New Roman"/>
          <w:sz w:val="24"/>
          <w:lang w:eastAsia="de-DE"/>
        </w:rPr>
      </w:pPr>
    </w:p>
    <w:p w14:paraId="52CFD6D7" w14:textId="11403070" w:rsidR="00B949C3" w:rsidRPr="00126E51" w:rsidRDefault="006013AC" w:rsidP="00126E51">
      <w:pPr>
        <w:autoSpaceDE w:val="0"/>
        <w:autoSpaceDN w:val="0"/>
        <w:adjustRightInd w:val="0"/>
        <w:spacing w:before="0" w:after="0"/>
        <w:ind w:firstLine="708"/>
        <w:jc w:val="left"/>
        <w:rPr>
          <w:sz w:val="24"/>
          <w:u w:val="single"/>
          <w:rFonts w:ascii="Times New Roman" w:hAnsi="Times New Roman"/>
        </w:rPr>
      </w:pPr>
      <w:r>
        <w:rPr>
          <w:sz w:val="24"/>
          <w:u w:val="single"/>
          <w:rFonts w:ascii="Times New Roman" w:hAnsi="Times New Roman"/>
        </w:rPr>
        <w:t xml:space="preserve">B) Approċċi IRB meta jintużaw stimi proprji tal-LGD u/jew Fatturi ta’ Konverżjoni</w:t>
      </w:r>
    </w:p>
    <w:p w14:paraId="31E1DC0E" w14:textId="5BBBD0A6" w:rsidR="006013AC" w:rsidRPr="00CF47EA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B.1)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Totali</w:t>
      </w:r>
    </w:p>
    <w:p w14:paraId="2607EE3C" w14:textId="4BBA570A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B.2)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Banek ċentrali u gvernijiet ċentrali</w:t>
      </w:r>
      <w:r>
        <w:rPr>
          <w:sz w:val="24"/>
          <w:rFonts w:ascii="Times New Roman" w:hAnsi="Times New Roman"/>
        </w:rPr>
        <w:t xml:space="preserve"> </w:t>
      </w:r>
    </w:p>
    <w:p w14:paraId="194B4B2A" w14:textId="77777777" w:rsidR="006013AC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(a), tar-Regolament (UE) Nru 575/2013)</w:t>
      </w:r>
    </w:p>
    <w:p w14:paraId="788F5C27" w14:textId="060EA0B3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B.3)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Gvernijiet reġjonali jew awtoritajiet lokali</w:t>
      </w:r>
      <w:r>
        <w:rPr>
          <w:sz w:val="24"/>
          <w:rFonts w:ascii="Times New Roman" w:hAnsi="Times New Roman"/>
        </w:rPr>
        <w:t xml:space="preserve"> </w:t>
      </w:r>
    </w:p>
    <w:p w14:paraId="2ECF3277" w14:textId="77777777" w:rsidR="006013AC" w:rsidRPr="002A677E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(aa) (i), tar-Regolament (UE) Nru 575/2013)</w:t>
      </w:r>
    </w:p>
    <w:p w14:paraId="5DCFC117" w14:textId="01557B68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B.4)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Entitajiet tas-settur pubbliku</w:t>
      </w:r>
      <w:r>
        <w:rPr>
          <w:sz w:val="24"/>
          <w:rFonts w:ascii="Times New Roman" w:hAnsi="Times New Roman"/>
        </w:rPr>
        <w:t xml:space="preserve">  </w:t>
      </w:r>
    </w:p>
    <w:p w14:paraId="062F8299" w14:textId="77777777" w:rsidR="006013AC" w:rsidRPr="002A677E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(aa) (ii), tar-Regolament (UE) Nru 575/2013)</w:t>
      </w:r>
    </w:p>
    <w:p w14:paraId="698D8E50" w14:textId="3BD81666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B.5.1)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Impriżi – Għoti ta’ self speċjalizzat</w:t>
      </w:r>
    </w:p>
    <w:p w14:paraId="7699809B" w14:textId="4B162F04" w:rsidR="006013AC" w:rsidRDefault="006013AC" w:rsidP="006013AC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(I)(ii), tar-Regolament (UE) Nru 575/2013)</w:t>
      </w:r>
    </w:p>
    <w:p w14:paraId="79E7A993" w14:textId="0A3A70E1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B.5.2) Impriżi – Riċevibbli mixtrija</w:t>
      </w:r>
    </w:p>
    <w:p w14:paraId="47616290" w14:textId="5372C532" w:rsidR="006013AC" w:rsidRDefault="006013AC" w:rsidP="006013AC">
      <w:pPr>
        <w:autoSpaceDE w:val="0"/>
        <w:autoSpaceDN w:val="0"/>
        <w:adjustRightInd w:val="0"/>
        <w:spacing w:before="0" w:after="0"/>
        <w:ind w:left="72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(I)(iii), tar-Regolament (UE) Nru 575/2013)</w:t>
      </w:r>
    </w:p>
    <w:p w14:paraId="7E0F1962" w14:textId="1EC228E7" w:rsidR="006013AC" w:rsidRPr="002A677E" w:rsidRDefault="009D125A" w:rsidP="006013AC">
      <w:pPr>
        <w:autoSpaceDE w:val="0"/>
        <w:autoSpaceDN w:val="0"/>
        <w:adjustRightInd w:val="0"/>
        <w:spacing w:before="0" w:after="0"/>
        <w:ind w:left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B.5.3)</w:t>
      </w:r>
      <w:r>
        <w:tab/>
      </w:r>
      <w:r>
        <w:rPr>
          <w:sz w:val="24"/>
          <w:rFonts w:ascii="Times New Roman" w:hAnsi="Times New Roman"/>
        </w:rPr>
        <w:t xml:space="preserve">Impriżi – Oħrajn</w:t>
      </w:r>
      <w:r>
        <w:rPr>
          <w:sz w:val="24"/>
          <w:rFonts w:ascii="Times New Roman" w:hAnsi="Times New Roman"/>
        </w:rPr>
        <w:t xml:space="preserve"> </w:t>
      </w:r>
    </w:p>
    <w:p w14:paraId="7C24044A" w14:textId="31456617" w:rsidR="00CD1BFF" w:rsidRDefault="006013AC" w:rsidP="009D125A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(I)(i), tar-Regolament (UE) Nru 575/2013).</w:t>
      </w:r>
    </w:p>
    <w:p w14:paraId="0D9A4B56" w14:textId="3B70C431" w:rsidR="008A3C6B" w:rsidRPr="00CF47EA" w:rsidRDefault="008A3C6B" w:rsidP="008A3C6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B.5.4)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Impriżi - Impriża Kbira</w:t>
      </w:r>
    </w:p>
    <w:p w14:paraId="7348E5D3" w14:textId="77777777" w:rsidR="008A3C6B" w:rsidRDefault="008A3C6B" w:rsidP="008A3C6B">
      <w:pPr>
        <w:pStyle w:val="ListParagraph"/>
        <w:autoSpaceDE w:val="0"/>
        <w:autoSpaceDN w:val="0"/>
        <w:adjustRightInd w:val="0"/>
        <w:spacing w:before="0" w:after="0"/>
        <w:ind w:left="14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(c), tar-Regolament (UE) Nru 575/2013, l-Artikolu 142(1), flimkien mal-punt (5a) tar-Regolament (UE) Nru 575/2013)</w:t>
      </w:r>
    </w:p>
    <w:p w14:paraId="4EA5C9B6" w14:textId="568BE150" w:rsidR="008A3C6B" w:rsidRPr="00CF47EA" w:rsidRDefault="008A3C6B" w:rsidP="008A3C6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B.5.6)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Impriżi – SMEs</w:t>
      </w:r>
    </w:p>
    <w:p w14:paraId="327F10F1" w14:textId="086997C1" w:rsidR="008A3C6B" w:rsidRDefault="008A3C6B" w:rsidP="008A3C6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(L-Artikolu 147(2), il-punt (c) tar-Regolament (UE) Nru 575/2013, flimkien mal-Artikolu 5(8) tar-Regolament (UE) Nru 575/2013)</w:t>
      </w:r>
    </w:p>
    <w:p w14:paraId="72709B7F" w14:textId="0A3CA0B0" w:rsidR="00FB3D09" w:rsidRPr="002A677E" w:rsidRDefault="009D125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B.6.1)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Livell tal-konsumatur – Garantit bi proprjetà immobbli residenzjali</w:t>
      </w:r>
      <w:r>
        <w:rPr>
          <w:sz w:val="24"/>
          <w:rFonts w:ascii="Times New Roman" w:hAnsi="Times New Roman"/>
        </w:rPr>
        <w:t xml:space="preserve"> </w:t>
      </w:r>
    </w:p>
    <w:p w14:paraId="650A4DF9" w14:textId="69386974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imsemmija fl-Artikolu 147(2), il-punt (d) (ii), tar-Regolament (UE) Nru 575/2013</w:t>
      </w:r>
    </w:p>
    <w:p w14:paraId="2ECC4965" w14:textId="776EA69B" w:rsidR="00A54B9F" w:rsidRDefault="000C3D68" w:rsidP="00E13BD0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Taħt din il-kategorija.</w:t>
      </w:r>
    </w:p>
    <w:p w14:paraId="4F591501" w14:textId="3C2A575C" w:rsidR="00FB3D09" w:rsidRPr="002A677E" w:rsidRDefault="009D125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B.6.2)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Livell tal-konsumatur – Rotanti kwalifikanti</w:t>
      </w:r>
    </w:p>
    <w:p w14:paraId="2787B7FB" w14:textId="77777777" w:rsidR="00FB3D09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imsemmija fl-Artikolu 147(2), il-punt (d) (i), tar-Regolament (UE) Nru 575/2013, flimkien mal-Artikolu 154(4) ta’ dak ir-Regolament).</w:t>
      </w:r>
      <w:r>
        <w:rPr>
          <w:sz w:val="24"/>
          <w:rFonts w:ascii="Times New Roman" w:hAnsi="Times New Roman"/>
        </w:rPr>
        <w:t xml:space="preserve"> </w:t>
      </w:r>
    </w:p>
    <w:p w14:paraId="1CA9F240" w14:textId="4E5B99F0" w:rsidR="00FB3D09" w:rsidRPr="002A677E" w:rsidRDefault="00DB50A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B6.3)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Fil-livell tal-konsumatur – Riċevibbli mixtrija</w:t>
      </w:r>
    </w:p>
    <w:p w14:paraId="3EBF4177" w14:textId="77777777" w:rsidR="00FB3D09" w:rsidRPr="002A677E" w:rsidRDefault="00FB3D09" w:rsidP="00FB3D09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imsemmija fl-Artikolu 147(2), il-punt (d) (iii), tar-Regolament (UE) Nru 575/2013).</w:t>
      </w:r>
      <w:r>
        <w:rPr>
          <w:sz w:val="24"/>
          <w:rFonts w:ascii="Times New Roman" w:hAnsi="Times New Roman"/>
        </w:rPr>
        <w:t xml:space="preserve"> </w:t>
      </w:r>
    </w:p>
    <w:p w14:paraId="776A9653" w14:textId="274FCDDB" w:rsidR="00FB3D09" w:rsidRPr="002A677E" w:rsidRDefault="00DB50AA" w:rsidP="00FB3D09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B.6.4)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Livell tal-konsumatur – Oħrajn</w:t>
      </w:r>
      <w:r>
        <w:rPr>
          <w:sz w:val="24"/>
          <w:rFonts w:ascii="Times New Roman" w:hAnsi="Times New Roman"/>
        </w:rPr>
        <w:t xml:space="preserve"> </w:t>
      </w:r>
    </w:p>
    <w:p w14:paraId="1CBC5EF4" w14:textId="450212A6" w:rsidR="00F61AEB" w:rsidRDefault="00FB3D09" w:rsidP="00A54B9F">
      <w:pPr>
        <w:autoSpaceDE w:val="0"/>
        <w:autoSpaceDN w:val="0"/>
        <w:adjustRightInd w:val="0"/>
        <w:spacing w:before="0" w:after="0"/>
        <w:ind w:left="142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imsemmija fl-Artikolu 147(2), il-punt (d) (iv), tar-Regolament (UE) Nru 575/2013).</w:t>
      </w:r>
    </w:p>
    <w:p w14:paraId="0C697B9E" w14:textId="3DDAB287" w:rsidR="00F61AEB" w:rsidRPr="00CF47EA" w:rsidRDefault="00F61AEB" w:rsidP="00F61AE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B.6.5)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Livell tal-konsumatur – Garantit bi proprjetà immobbli tal-SMEs</w:t>
      </w:r>
    </w:p>
    <w:p w14:paraId="45B80CE1" w14:textId="6E9AC07A" w:rsidR="00F61AEB" w:rsidRDefault="00F61AEB" w:rsidP="00F61AE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definiti fl-Artikolu 147(2), il-punt (d), tar-Regolament (UE) Nru 575/2013, irrapportati taħt B.6.1 sa B.6.4, li huma ggarantiti bi proprjetà immobbli kif definit fl-Artikolu 4(1), il-punt 75(f), il-punt (d) tar-Regolament (UE) Nru 575/2013, flimkien mal-Artikolu 5(8) tar-Regolament (UE) Nru 575/2013)</w:t>
      </w:r>
    </w:p>
    <w:p w14:paraId="40D2DB38" w14:textId="4857D4AC" w:rsidR="00F61AEB" w:rsidRPr="00CF47EA" w:rsidRDefault="00F61AEB" w:rsidP="00F61AEB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B.6.6)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Livell tal-konsumatur – Garantit bi proprjetà immobbli mhux tal-SMEs</w:t>
      </w:r>
    </w:p>
    <w:p w14:paraId="7430D81F" w14:textId="3488EF28" w:rsidR="00F61AEB" w:rsidRDefault="00F61AEB" w:rsidP="00F61AEB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definiti fl-Artikolu 147(2), il-punt (d), tar-Regolament (UE) Nru 575/2013, irrapportati taħt B.6.1 sa B.6.4, li huma ggarantiti bi proprjetà immobbli kif definit fl-Artikolu 4(1), il-punt 75(f), il-punt (d) tar-Regolament (UE) Nru 575/2013, mhux flimkien mal-Artikolu 5(8) tar-Regolament (UE) Nru 575/2013)</w:t>
      </w:r>
    </w:p>
    <w:p w14:paraId="0EB53292" w14:textId="6168F897" w:rsidR="00F37042" w:rsidRPr="00CF47EA" w:rsidRDefault="00F37042" w:rsidP="00F37042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B.6.7)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Livell tal-konsumatur - SMEs Oħrajn</w:t>
      </w:r>
    </w:p>
    <w:p w14:paraId="5861C1A9" w14:textId="50C55B82" w:rsidR="00F37042" w:rsidRDefault="00F37042" w:rsidP="00F37042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imsemmija fl-Artikolu 147(2), il-punt (d) (iv), tar-Regolament (UE) Nru 575/2013, mhux irrapportati taħt B.6.5 u B.6.6., flimkien mal-Artikolu 5(8) tar-Regolament (UE) Nru 575/2013)</w:t>
      </w:r>
    </w:p>
    <w:p w14:paraId="394F5A32" w14:textId="4E70921A" w:rsidR="00F37042" w:rsidRPr="00CF47EA" w:rsidRDefault="00F37042" w:rsidP="00F37042">
      <w:pPr>
        <w:autoSpaceDE w:val="0"/>
        <w:autoSpaceDN w:val="0"/>
        <w:adjustRightInd w:val="0"/>
        <w:spacing w:before="0" w:after="0"/>
        <w:ind w:left="70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B.6.8) Entrata ta’ memorandum: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Livell tal-konsumatur – Oħrajn li mhux SMEs</w:t>
      </w:r>
    </w:p>
    <w:p w14:paraId="75B56F15" w14:textId="6EAC1815" w:rsidR="00F37042" w:rsidRPr="00126E51" w:rsidRDefault="00F37042" w:rsidP="00F37042">
      <w:pPr>
        <w:pStyle w:val="ListParagraph"/>
        <w:autoSpaceDE w:val="0"/>
        <w:autoSpaceDN w:val="0"/>
        <w:adjustRightInd w:val="0"/>
        <w:spacing w:before="0" w:after="0"/>
        <w:ind w:left="1418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(Skoperturi fil-livell tal-konsumatur kif imsemmija fl-Artikolu 147(2), il-punt (d) (iv), tar-Regolament (UE) Nru 575/2013, mhux irrapportati taħt B.6.5 u B.6.6., flimkien mal-Artikolu 5(8) tar-Regolament (UE) Nru 575/2013)</w:t>
      </w:r>
    </w:p>
    <w:p w14:paraId="31C5A22B" w14:textId="61C91BE4" w:rsidR="00FB3D09" w:rsidRPr="002A677E" w:rsidRDefault="00DB50AA" w:rsidP="00E13BD0">
      <w:pPr>
        <w:pStyle w:val="ListParagraph1"/>
        <w:autoSpaceDE w:val="0"/>
        <w:autoSpaceDN w:val="0"/>
        <w:adjustRightInd w:val="0"/>
        <w:spacing w:before="0" w:after="0"/>
        <w:ind w:left="0" w:firstLine="72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B.7)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Impriżi ta’ investiment kollettiv (“CIU”)</w:t>
      </w:r>
    </w:p>
    <w:p w14:paraId="46A3FB56" w14:textId="38464F9F" w:rsidR="00FB3D09" w:rsidDel="00C72B5D" w:rsidRDefault="00FB3D09" w:rsidP="00126E51">
      <w:pPr>
        <w:autoSpaceDE w:val="0"/>
        <w:autoSpaceDN w:val="0"/>
        <w:adjustRightInd w:val="0"/>
        <w:spacing w:before="0" w:after="0"/>
        <w:ind w:left="1416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Skoperturi fil-forma ta’ unitajiet jew ishma f’impriżi ta’ investiment kollettiv (“CIU”) kif imsemmi fl-Artikolu 147(2), il-punt (ea), tar-Regolament (UE) Nru 575/2013</w:t>
      </w:r>
    </w:p>
    <w:p w14:paraId="1BEDE351" w14:textId="77777777" w:rsidR="00FB3D09" w:rsidRDefault="00FB3D09" w:rsidP="00FB3D09">
      <w:pPr>
        <w:spacing w:before="0" w:after="0"/>
        <w:ind w:left="709"/>
        <w:jc w:val="left"/>
        <w:rPr>
          <w:rFonts w:ascii="Times New Roman" w:hAnsi="Times New Roman"/>
          <w:sz w:val="24"/>
          <w:lang w:eastAsia="de-DE"/>
        </w:rPr>
      </w:pPr>
    </w:p>
    <w:p w14:paraId="677C9432" w14:textId="62D96D61" w:rsidR="00FB3D09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3.3.2a.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Kjarifiki dwar il-kamp ta’ applikazzjoni ta’ xi klassijiet tal-iskoperturi speċifiċi msemmija fl-Artikolu 147 tar-Regolament (UE) Nru 575/2013)</w:t>
      </w:r>
      <w:r>
        <w:rPr>
          <w:sz w:val="24"/>
          <w:rFonts w:ascii="Times New Roman" w:hAnsi="Times New Roman"/>
        </w:rPr>
        <w:t xml:space="preserve"> </w:t>
      </w:r>
    </w:p>
    <w:p w14:paraId="314E3D92" w14:textId="4C97F668" w:rsidR="00FB3D09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3.3.2A.1 Klassi tal-iskoperturi “Impriżi ta’ Investiment Kollettiv”</w:t>
      </w:r>
    </w:p>
    <w:p w14:paraId="219CEA19" w14:textId="7C695821" w:rsidR="00FB3D09" w:rsidRDefault="00FB3D09" w:rsidP="00126E51">
      <w:pPr>
        <w:spacing w:before="0" w:after="24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76a.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L-iskoperturi individwali kollha fil-forma ta’ unitajiet jew ishma f’impriżi ta’ investiment kollettiv fejn jiġi applikat l-approċċ taċ-ċar kristall jew l-approċċ ibbażat fuq il-mandat (l-Artikolu 152, il-punti (1) u (5), tar-Regolament (UE) Nru 575/2013) kif ukoll l-iskoperturi taħt l-approċċ ta’ riżerva għandhom jiġu kklassifikati fil-klassi tal-iskoperturi ta’ Skoperturi fil-forma ta’ unitajiet jew ishma f’impriżi ta’ investiment kollettiv (“CIU”) u rrapportati fit-taqsima DIŻAGGREGAZZJONI TAL-ISKOPERTURI TOTALI SKONT L-APPROĊĊ (CIU).</w:t>
      </w:r>
    </w:p>
    <w:p w14:paraId="1BCD95AE" w14:textId="76EFAF4A" w:rsidR="00FB3D09" w:rsidRDefault="00FC2C95" w:rsidP="00126E51">
      <w:pPr>
        <w:spacing w:before="0" w:after="240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76b.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F’każ li jintuża l-approċċ taċ-ċar kristall (l-Artikolu 152, il-punt (1), tar-Regolament (UE) Nru 575/2013), l-iskoperturi individwali sottostanti għandhom (minbarra l-klassifikazzjoni msemmija hawn fuq bħala “CIU”) jiġu kklassifikati fil-klassi tal-iskoperturi korrispondenti u rrapportati bħala entrata tal-memorandum fir-ringiela 0190 tal-formola C 08.01, b’referenza għall-approċċ taċ-ċar kristall (għal dik il-klassi tal-iskoperturi). Bħala tali, f’tali każ tal-approċċ taċ-ċar kristall, l-iskopertura individwali sottostanti ma tkunx parti mill-iskoperturi totali tal-klassi tal-iskoperturi korrispondenti iżda titqies fl-iskoperturi totali tal-klassi tal-iskoperturi tas-CIU.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Fejn, fl-aħħar mill-aħħar, l-approċċ standardizzat (SA) jiġi applikat għal xi wħud mill-iskoperturi sottostanti, dawk l-iskoperturi għandhom jiġu rrapportati fil-formola CR SA (C 07.00) fil-klassi tal-iskoperturi “Impriżi ta’ Investiment Kollettiv”.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F’din il-formola għandhom jiġu rrapportati biss l-iskoperturi sottostanti li għalihom intuża metodu bbażat fuq klassifikazzjonijiet interni (IRB) għall-kalkolu tar-rekwiżiti ta’ fondi proprji.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Madankollu, l-iskoperturi sottostanti li ġejjin ma għandhomx jiġu rrapportati fil-formoli CR IRB:</w:t>
      </w:r>
    </w:p>
    <w:p w14:paraId="38F3EA76" w14:textId="77777777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i.</w:t>
      </w:r>
      <w:r>
        <w:tab/>
      </w:r>
      <w:r>
        <w:t xml:space="preserve">Skoperturi tal-ekwità, li huma rapportati fil-formola CR EQU IRB;</w:t>
      </w:r>
      <w:r>
        <w:t xml:space="preserve"> </w:t>
      </w:r>
    </w:p>
    <w:p w14:paraId="007677D4" w14:textId="77777777" w:rsidR="00FB3D09" w:rsidRDefault="00FB3D09" w:rsidP="00FB3D09">
      <w:pPr>
        <w:pStyle w:val="InstructionsText2"/>
        <w:numPr>
          <w:ilvl w:val="0"/>
          <w:numId w:val="0"/>
        </w:numPr>
        <w:ind w:left="993"/>
      </w:pPr>
      <w:r>
        <w:t xml:space="preserve">ii.</w:t>
      </w:r>
      <w:r>
        <w:tab/>
      </w:r>
      <w:r>
        <w:t xml:space="preserve">Pożizzjonijiet ta’ titolizzazzjoni, li huma rapportati fil-formoli CR SEC u/jew CR SEC Dettalji;</w:t>
      </w:r>
    </w:p>
    <w:p w14:paraId="3868B76C" w14:textId="77777777" w:rsidR="00FB3D09" w:rsidRPr="002A677E" w:rsidRDefault="00FB3D09" w:rsidP="00FB3D09">
      <w:pPr>
        <w:spacing w:before="0" w:after="240"/>
        <w:jc w:val="left"/>
        <w:rPr>
          <w:sz w:val="24"/>
          <w:rFonts w:ascii="Times New Roman" w:hAnsi="Times New Roman"/>
        </w:rPr>
      </w:pPr>
      <w:bookmarkStart w:id="11" w:name="_Toc473560909"/>
      <w:bookmarkStart w:id="12" w:name="_Toc239157380"/>
      <w:bookmarkStart w:id="13" w:name="_Toc262568038"/>
      <w:bookmarkStart w:id="14" w:name="_Toc264038436"/>
      <w:bookmarkStart w:id="15" w:name="_Toc295829866"/>
      <w:bookmarkStart w:id="16" w:name="_Toc308155143"/>
      <w:bookmarkStart w:id="17" w:name="_Toc310415030"/>
      <w:bookmarkStart w:id="18" w:name="_Toc360188360"/>
      <w:r>
        <w:rPr>
          <w:sz w:val="24"/>
          <w:rFonts w:ascii="Times New Roman" w:hAnsi="Times New Roman"/>
        </w:rPr>
        <w:t xml:space="preserve">3.3.3.</w:t>
      </w:r>
      <w:r>
        <w:rPr>
          <w:sz w:val="24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08.01 - Riskji ta’ kreditu u ta’ kreditu tal-kontroparti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 (CR IRB 1)</w:t>
      </w:r>
      <w:bookmarkEnd w:id="11"/>
    </w:p>
    <w:p w14:paraId="24516C06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709" w:hanging="720"/>
        <w:rPr>
          <w:sz w:val="24"/>
          <w:rFonts w:ascii="Times New Roman" w:hAnsi="Times New Roman" w:cs="Times New Roman"/>
        </w:rPr>
      </w:pPr>
      <w:bookmarkStart w:id="19" w:name="_Toc473560910"/>
      <w:bookmarkStart w:id="20" w:name="_Toc151714397"/>
      <w:r>
        <w:rPr>
          <w:sz w:val="24"/>
          <w:u w:val="none"/>
          <w:rFonts w:ascii="Times New Roman" w:hAnsi="Times New Roman"/>
        </w:rPr>
        <w:t xml:space="preserve">3.3.3.1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57EC16E2" w14:textId="77777777" w:rsidTr="00822842">
        <w:tc>
          <w:tcPr>
            <w:tcW w:w="1188" w:type="dxa"/>
            <w:shd w:val="clear" w:color="auto" w:fill="CCCCCC"/>
          </w:tcPr>
          <w:p w14:paraId="62A9E81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shd w:val="clear" w:color="auto" w:fill="CCCCCC"/>
          </w:tcPr>
          <w:p w14:paraId="2B397F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6D2D58B3" w14:textId="77777777" w:rsidTr="00822842">
        <w:tc>
          <w:tcPr>
            <w:tcW w:w="1188" w:type="dxa"/>
          </w:tcPr>
          <w:p w14:paraId="1736B9C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</w:tcPr>
          <w:p w14:paraId="298149A1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SKALA TA’ KLASSIFIKAZZJONI INTERNA/PD ASSENJATA LILL-GRAD JEW LILL-AGGREGAZZJONI TAL-OBBLIGANT (%)</w:t>
            </w:r>
          </w:p>
          <w:p w14:paraId="5FF26C8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Il-PD assenjata lill-grad jew lill-aggregazzjoni tal-obbligant li għandha tiġi rapportata għandha tkun ibbażata fuq id-dispożizzjonijiet stipulati fl-Artikolu 180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Għal kull grad jew aggregazzjoni individwali, għandha tiġi rapportata l-PD assenjata għall-grad jew għall-aggregazzjoni speċifika tal-obbligant.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Għal ċifri li jikkorrispondu għal aggregazzjoni tal-gradi jew tal-obbligant (eż. skoperturi totali), għandha tiġi pprovduta l-medja ponderata skont l-iskopertura tal-PDs assenjati lill-gradi jew lill-aggregazzjonijiet tal-obbligant inklużi fl-aggregazzjoni.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Il-valur tal-iskopertura (il-kolonna 0110) għandu jintuża għall-kalkolu tal-medja ponderata skont l-iskopertura tal-PD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  <w:p w14:paraId="723A0BA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Għal kull grad jew aggregazzjoni individwali, għandha tiġi rapportata l-PD assenjata għall-grad jew għall-aggregazzjoni speċifika tal-obbligant.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Il-parametri rapportati kollha tar-riskju għandhom ikunu derivati mill-parametri tar-riskju użati fl-iskala ta’ klassifikazzjoni interna approvata mill-awtorità kompetenti rispettiva.</w:t>
            </w:r>
          </w:p>
          <w:p w14:paraId="37DDB74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La huwa maħsub u lanqas mixtieq li jkun hemm skala superviżorja prinċipali.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Jekk l-istituzzjoni li tirrapporta tapplika skala unika ta’ klassifikazzjoni jew tkun kapaċi tirrapporta f’konformità ma’ skala prinċipali interna, għandha tintuża dik l-iskala.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</w:p>
          <w:p w14:paraId="4FCCB57F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Inkella, l-iskali differenti ta’ klassifikazzjoni għandhom jiġu fużi u jitqiegħdu f’ordni f’konformità mal-kriterji li ġejjin: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Il-gradi tal-obbligant tal-iskali differenti ta’ klassifikazzjoni għandhom jiġu aggregati u jitqiegħdu f’ordni mill-inqas PD assenjata għal kull grad ta’ obbligant sal-ogħla.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Meta l-istituzzjoni tuża għadd kbir ta’ gradi jew aggregazzjonijiet, jista’ jintlaħaq qbil mal-awtoritajiet kompetenti dwar għadd imnaqqas ta’ gradi jew aggregazzjonijiet li għandhom jiġu rapportati.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L-istess japplika għall-iskali ta’ klassifikazzjoni kontinwi: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għandu jintlaħaq qbil mal-awtoritajiet kompetenti dwar għadd imnaqqas ta’ gradi li għandhom jiġu rapportati.</w:t>
            </w:r>
          </w:p>
          <w:p w14:paraId="7B5BA46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L-istituzzjonijiet għandhom jikkuntattjaw lill-awtorità kompetenti tagħhom minn qabel jekk jixtiequ jirrapportaw għadd differenti ta’ gradi meta mqabbla mal-għadd intern ta’ gradi.</w:t>
            </w:r>
          </w:p>
          <w:p w14:paraId="05BEC00A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L-aħħar grad jew gradi ta’ klassifikazzjoni għandhom ikunu ddedikati għal skoperturi inadempjenti b’PD ta’ 100</w:t>
            </w:r>
            <w:r>
              <w:rPr>
                <w:rStyle w:val="InstructionsTabelleText"/>
                <w:sz w:val="24"/>
                <w:rStyle w:val="InstructionsTabelleText"/>
                <w:sz w:val="24"/>
                <w:rFonts w:ascii="Times New Roman" w:hAnsi="Times New Roman"/>
              </w:rPr>
              <w:t xml:space="preserve"> 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%.</w:t>
            </w:r>
          </w:p>
          <w:p w14:paraId="21058E35" w14:textId="53D6092E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Għall-finijiet ta’ ponderazzjoni tal-medja tal-PD, għandu jintuża l-valur tal-iskopertura rapportat fil-kolonna 110.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Il-medja ponderata skont l-iskopertura tal-PD għandha tiġi kkalkolata billi jitqiesu l-iskoperturi kollha rapportati f’ringiela partikolari.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Fir-ringiela fejn huma rapportati biss skoperturi inadempjenti, il-PD medja għandha tkun ta’ 100 %.</w:t>
            </w:r>
          </w:p>
        </w:tc>
      </w:tr>
      <w:tr w:rsidR="00FB3D09" w:rsidRPr="002A677E" w14:paraId="45B04E8D" w14:textId="77777777" w:rsidTr="00822842">
        <w:tc>
          <w:tcPr>
            <w:tcW w:w="1188" w:type="dxa"/>
          </w:tcPr>
          <w:p w14:paraId="7FB0CCE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</w:tcPr>
          <w:p w14:paraId="3CB0A55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ORIĠINALI QABEL IL-FATTURI TA’ KONVERŻJONI</w:t>
            </w:r>
          </w:p>
          <w:p w14:paraId="5FC3A6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il-valur tal-iskopertura qabel ma jqisu kwalunkwe aġġustament tal-valur, provvediment, effett dovut għal tekniki ta’ mitigazzjoni tar-riskju ta’ kreditu jew fattur tal-konverżjoni ta’ 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FE079F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oriġinali għandu jiġi rapportat f’konformità mal-Artikolu 24 tar-Regolament (UE) Nru 575/2013 u l-Artikolu 166, il-paragrafi 1, 2, 4, 5, 6 u 7 ta’ dak ir-Regolament.</w:t>
            </w:r>
          </w:p>
          <w:p w14:paraId="11B433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L-effett li jirriżulta mill-Artikolu 166(3) tar-Regolament (UE) Nru 575/2013 (l-effett ta’ netting fil-karta bilanċjali ta’ self u depożiti) għandu jiġi rapportat b’mod separat bħala Protezzjoni tal-Kreditu Ffinanzjata u għalhekk ma għandux inaqqas l-Iskopertura Oriġinali.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918563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strumenti derivattivi, tranżazzjonijiet ta’ riakkwist, tranżazzjonijiet ta’ għoti jew teħid b’self ta’ titoli jew ta’ komoditajiet, tranżazzjonijiet ta’ saldu fit-tul u tranżazzjonijiet ta’ self b’marġini soġġetti għal riskju ta’ kreditu tal-kontroparti (il-Parti Tlieta, it-Titolu II, il-Kapitolu 4 jew il-Kapitolu 6, tar-Regolament (UE) Nru 575/2013) l-iskopertura oriġinali għandha tikkorrispondi għall-valur tal-iskopertura li jirriżulta mir-riskju ta’ kreditu tal-kontroparti (ara l-istruzzjonijiet għall-kolonna 0130).</w:t>
            </w:r>
          </w:p>
        </w:tc>
      </w:tr>
      <w:tr w:rsidR="00FB3D09" w:rsidRPr="002A677E" w14:paraId="4820425A" w14:textId="77777777" w:rsidTr="00822842">
        <w:tc>
          <w:tcPr>
            <w:tcW w:w="1188" w:type="dxa"/>
          </w:tcPr>
          <w:p w14:paraId="17C2578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</w:tcPr>
          <w:p w14:paraId="15A3D95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ENTITAJIET TAS-SETTUR FINANZJARJU KBAR U ENTITAJIET FINANZJARJI MHUX REGOLATI</w:t>
            </w:r>
          </w:p>
          <w:p w14:paraId="49D6950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Diżaggregazzjoni tal-fattur ta’ qabel il-konverżjoni tal-iskopertura oriġinali għall-iskoperturi kollha tal-entitajiet imsemmija fl-Artikolu 142(1), il-punti (4) u (5), tar-Regolament (UE) Nru 575/2013, soġġett għall-koeffiċjent ogħla ta’ korrelazzjoni determinat f’konformità mal-Artikolu 153(2) ta’ dak ir-Regolament.</w:t>
            </w:r>
          </w:p>
        </w:tc>
      </w:tr>
      <w:tr w:rsidR="00FB3D09" w:rsidRPr="002A677E" w14:paraId="216A721A" w14:textId="77777777" w:rsidTr="00822842">
        <w:tc>
          <w:tcPr>
            <w:tcW w:w="1188" w:type="dxa"/>
          </w:tcPr>
          <w:p w14:paraId="189E467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0040-0080</w:t>
            </w:r>
          </w:p>
        </w:tc>
        <w:tc>
          <w:tcPr>
            <w:tcW w:w="8843" w:type="dxa"/>
          </w:tcPr>
          <w:p w14:paraId="0B033AC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TEKNIKI TA’ MITIGAZZJONI TAR-RISKJU TA’ KREDITU (CRM) B’EFFETTI TA’ SOSTITUZZJONI FUQ L-ISKOPERTURA</w:t>
            </w:r>
          </w:p>
          <w:p w14:paraId="15F2801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Mitigazzjoni tar-riskju ta’ kreditu kif definit fl-Artikolu 4(1), il-punt (57), tar-Regolament (UE) Nru 575/2013 li tnaqqas ir-riskju ta’ kreditu ta’ skopertura jew skoperturi permezz tas-sostituzzjoni ta’ skoperturi kif definit hawn taħt fis-“SOSTITUZZJONI TAL-ISKOPERTURA DOVUTA GĦAS-CRM”.</w:t>
            </w:r>
          </w:p>
          <w:p w14:paraId="1328DB1C" w14:textId="77777777" w:rsidR="00FB3D09" w:rsidRPr="002A677E" w:rsidRDefault="00FB3D09" w:rsidP="00822842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FB3D09" w:rsidRPr="002A677E" w14:paraId="4BD2F7DD" w14:textId="77777777" w:rsidTr="00822842">
        <w:tc>
          <w:tcPr>
            <w:tcW w:w="1188" w:type="dxa"/>
          </w:tcPr>
          <w:p w14:paraId="0BA81A6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0040-0050</w:t>
            </w:r>
          </w:p>
        </w:tc>
        <w:tc>
          <w:tcPr>
            <w:tcW w:w="8843" w:type="dxa"/>
          </w:tcPr>
          <w:p w14:paraId="4B08A0E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PROTEZZJONI TA’ KREDITU MHUX IFFINANZJATA</w:t>
            </w:r>
          </w:p>
          <w:p w14:paraId="25128BF3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Protezzjoni ta’ kreditu mhux iffinanzjata kif definit fl-Artikolu 4(1), il-punt (59),</w:t>
            </w:r>
            <w:r>
              <w:rPr>
                <w:sz w:val="24"/>
                <w:rFonts w:ascii="Times New Roman" w:hAnsi="Times New Roman"/>
              </w:rPr>
              <w:t xml:space="preserve"> tar-Regolament (UE) 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  <w:p w14:paraId="538FB9A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Il-protezzjoni ta’ kreditu mhux iffinanzjata li għandha effett fuq l-iskopertura (eż. jekk tintuża għal tekniki ta’ mitigazzjoni tar-riskju ta’ kreditu bl-effetti tas-sostituzzjoni fuq l-iskopertura) għandha tkun limitata għall-valur tal-iskopertura.</w:t>
            </w:r>
          </w:p>
        </w:tc>
      </w:tr>
      <w:tr w:rsidR="00FB3D09" w:rsidRPr="002A677E" w14:paraId="4279348F" w14:textId="77777777" w:rsidTr="00822842">
        <w:tc>
          <w:tcPr>
            <w:tcW w:w="1188" w:type="dxa"/>
          </w:tcPr>
          <w:p w14:paraId="777BC73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</w:tcPr>
          <w:p w14:paraId="629601A3" w14:textId="77777777" w:rsidR="00FB3D09" w:rsidRPr="002A677E" w:rsidRDefault="00FB3D09" w:rsidP="00822842">
            <w:pPr>
              <w:jc w:val="lef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GARANZIJI:</w:t>
            </w:r>
          </w:p>
          <w:p w14:paraId="2FC9ABD9" w14:textId="7C572507" w:rsidR="00FB3D09" w:rsidRPr="00E01F19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l-ammonti tal-iskopertura ponderati għar-riskju jiġu kkalkulati skont l-approċċ ta’ sostituzzjoni f’konformità mal-Kapitolu 4 tar-Regolament (UE) Nru 575/2013 (l-Artikolu 108(2a) it-tieni sentenza, l-Artikolu 183(1a) l-ewwel sentenza, it-tieni alternattiva, l-Artikolu 235a, l-Artikolu 236, l-Artikolu 236a), għandu jiġi pprovdut il-Valur Aġġustat (GA) kif definit fl-Artikolu 235a(1) tar-Regolament (UE) Nru 575/2013.</w:t>
            </w:r>
          </w:p>
          <w:p w14:paraId="66D2714E" w14:textId="77777777" w:rsidR="00FB3D09" w:rsidRPr="00E01F19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 f’konformità mal-Artikolu 183 tar-Regolament (UE) Nru 575/2013 (ħlief għall-paragrafu 3), għandu jiġi rapportat il-valur rilevanti użat fil-mudell intern.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F837DAE" w14:textId="6FB660DD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jintuża l-approċċ ta’ aġġustament tal-immudellar tal-PD/LGD f’konformità mal-Artikolu 108(2a), l-ewwel sentenza, u l-Artikolu 183 (1a), u l-aġġustament isir fl-LGD, l-ammont tal-garanzija għandu jiġi rrapportat fil-kolonna 0150.</w:t>
            </w:r>
          </w:p>
        </w:tc>
      </w:tr>
      <w:tr w:rsidR="00FB3D09" w:rsidRPr="002A677E" w14:paraId="10449AF9" w14:textId="77777777" w:rsidTr="00822842">
        <w:tc>
          <w:tcPr>
            <w:tcW w:w="1188" w:type="dxa"/>
          </w:tcPr>
          <w:p w14:paraId="3EE21C3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</w:tcPr>
          <w:p w14:paraId="0360D0F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TA’ KREDITU:</w:t>
            </w:r>
          </w:p>
          <w:p w14:paraId="244ABC5F" w14:textId="381DD996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l-ammonti tal-iskopertura ponderati għar-riskju jiġu kkalkulati skont l-approċċ ta’ sostituzzjoni (l-Artikolu 108(2a) it-tieni sentenza, l-Artikolu 183(1a) l-ewwel sentenza, it-tieni alternattiva, l-Artikolu 235a, l-Artikolu 236, l-Artikolu 236a tar-Regolament (UE) Nru 575/2013), għandu jiġi pprovdut il-Valur Aġġustat (GA) kif definit fl-Artikolu 235a(1) tar-Regolament (UE) Nru 575/2013.</w:t>
            </w:r>
          </w:p>
          <w:p w14:paraId="4A934ED8" w14:textId="104690E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 l-approċċ ta’ aġġustament tal-immudellar tal-PD/LGD f’konformità mal-Artikolu 108(2a), l-ewwel sentenza, l-Artikolu 183(1a), l-ewwel sentenza, l-ewwel alternattiva, u l-Artikolu 183(3) tar-Regolament (UE) Nru 575/2013, u l-aġġustament isir fl-LGD, l-ammont tad-derivattivi ta’ kreditu għandu jiġi rrapportat fil-kolonna 0160.</w:t>
            </w:r>
            <w:r>
              <w:rPr>
                <w:sz w:val="24"/>
                <w:color w:val="008080"/>
                <w:u w:val="single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rilevanti użat fl-immudellar intern għandu jiġi rrapportat.</w:t>
            </w:r>
          </w:p>
        </w:tc>
      </w:tr>
      <w:tr w:rsidR="00FB3D09" w:rsidRPr="002A677E" w14:paraId="62414089" w14:textId="77777777" w:rsidTr="00822842">
        <w:tc>
          <w:tcPr>
            <w:tcW w:w="1188" w:type="dxa"/>
          </w:tcPr>
          <w:p w14:paraId="32FA08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</w:tcPr>
          <w:p w14:paraId="3D25836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PROTEZZJONI TAL-KREDITU FFINANZJATA OĦRA</w:t>
            </w:r>
          </w:p>
          <w:p w14:paraId="632FAD69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jintużawx l-istimi proprji tal-LGD, japplika l-Artikolu 232(1) tar-Regolament (UE) Nru 575/2013.</w:t>
            </w:r>
          </w:p>
          <w:p w14:paraId="371C738E" w14:textId="77777777" w:rsidR="00FB3D09" w:rsidRPr="000059B8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l-ammonti tal-iskopertura ponderati għar-riskju jiġu kkalkulati skont l-approċċ ta’ sostituzzjoni (l-Artikolu 108(2a), it-tieni sentenza, l-Artikolu 183(1a), l-ewwel sentenza, it-tieni alternattiva, l-Artikolu 235a, l-Artikolu 236 tar-Regolament (UE) Nru 575/2013), għandu jiġi pprovdut il-Valur Aġġustat (GA), kif definit fl-Artikolu 235a(1) tar-Regolament (UE) Nru 575/2013.</w:t>
            </w:r>
          </w:p>
          <w:p w14:paraId="5989E354" w14:textId="7E30FA86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L-iskopertura għandha tkun limitata għall-valur tal-fatturi ta’ qabel il-konverżjoni tal-iskopertura oriġinali.</w:t>
            </w:r>
          </w:p>
          <w:p w14:paraId="74A46846" w14:textId="29D167DC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jsir aġġustament fl-LGD skont l-Artikolu 181 tar-Regolament (UE) Nru 575/2013, dak l-ammont għandu jiġi rrapportat fil-kolonna 0170.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6C40B204" w14:textId="77777777" w:rsidTr="00822842">
        <w:tc>
          <w:tcPr>
            <w:tcW w:w="1188" w:type="dxa"/>
          </w:tcPr>
          <w:p w14:paraId="7C55B26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0070-0080</w:t>
            </w:r>
          </w:p>
        </w:tc>
        <w:tc>
          <w:tcPr>
            <w:tcW w:w="8843" w:type="dxa"/>
          </w:tcPr>
          <w:p w14:paraId="7EA9925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SOSTITUZZJONI TAL-ISKOPERTURA DOVUTA GĦAS-CRM</w:t>
            </w:r>
          </w:p>
          <w:p w14:paraId="4A614404" w14:textId="0D3BCE2F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Il-flussi ta’ ħruġ għandhom jikkorrispondu għall-parti koperta tal-fatturi ta’ qabel il-konverżjoni tal-iskopertura oriġinali, li titnaqqas mill-klassi tal-iskoperturi tal-obbligant u, fejn rilevanti, il-grad jew l-aggregazzjoni tal-obbligant, u sussegwentement assenjata għall-klassi tal-iskoperturi tal-fornitur tal-protezzjoni u, fejn rilevanti, il-grad jew l-aggregazzjoni tal-obbligant.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l-ammont għandu jitqies bħala influss fil-klassi tal-iskoperturi tal-fornitur tal-protezzjoni u, fejn relevanti, il-gradi jew l-aggregazzjonijiet tal-obbligant.</w:t>
            </w:r>
          </w:p>
          <w:p w14:paraId="107B30E3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jitqiesu wkoll l-influssi u l-flussi ta’ ħruġ fl-istess klassijiet tal-iskoperturi u, fejn rilevanti, il-gradi jew l-aggregazzjonijiet tal-obbligant.</w:t>
            </w:r>
          </w:p>
          <w:p w14:paraId="610F295D" w14:textId="77777777" w:rsidR="00FB3D09" w:rsidRPr="000059B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jitqiesu skoperturi li jirriżultaw minn influssi u flussi ta’ ħruġ possibbli minn formoli oħrajn.</w:t>
            </w:r>
          </w:p>
          <w:p w14:paraId="1DB2B7C5" w14:textId="3BA23E22" w:rsidR="00FB3D09" w:rsidRPr="002A677E" w:rsidRDefault="00FB3D09" w:rsidP="00822842"/>
        </w:tc>
      </w:tr>
      <w:tr w:rsidR="00FB3D09" w:rsidRPr="002A677E" w14:paraId="29952085" w14:textId="77777777" w:rsidTr="00822842">
        <w:tc>
          <w:tcPr>
            <w:tcW w:w="1188" w:type="dxa"/>
          </w:tcPr>
          <w:p w14:paraId="08FA3F2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355DD8B" w14:textId="77777777" w:rsidR="00FB3D09" w:rsidRPr="002A677E" w:rsidRDefault="00FB3D09" w:rsidP="00822842">
            <w:r>
              <w:br/>
            </w:r>
          </w:p>
          <w:p w14:paraId="1020C237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</w:tcPr>
          <w:p w14:paraId="53C76B9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WARA L-EFFETTI TAS-SOSTITUZZJONI TAS-CRM QABEL IL-FATTURI TA’ KONVERŻJONI</w:t>
            </w:r>
          </w:p>
          <w:p w14:paraId="2477F8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L-iskopertura assenjata fil-grad jew l-aggregazzjoni korrispondenti tal-obbligant u l-klassi tal-iskoperturi wara li jitqiesu l-influssi u l-flussi ta’ ħruġ dovuti għal tekniki CRM b’effetti tas-sostituzzjoni fuq l-iskopertura.</w:t>
            </w:r>
          </w:p>
        </w:tc>
      </w:tr>
      <w:tr w:rsidR="00FB3D09" w:rsidRPr="002A677E" w14:paraId="678E16FA" w14:textId="77777777" w:rsidTr="00822842">
        <w:tc>
          <w:tcPr>
            <w:tcW w:w="1188" w:type="dxa"/>
          </w:tcPr>
          <w:p w14:paraId="590D5D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0100, 0120</w:t>
            </w:r>
          </w:p>
        </w:tc>
        <w:tc>
          <w:tcPr>
            <w:tcW w:w="8843" w:type="dxa"/>
          </w:tcPr>
          <w:p w14:paraId="70C0CAF4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Entrati li ma jidhrux fil-karta bilanċjali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2F36E22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tas-CR-SA</w:t>
            </w:r>
          </w:p>
        </w:tc>
      </w:tr>
      <w:tr w:rsidR="00FB3D09" w:rsidRPr="002A677E" w14:paraId="00A4DCE6" w14:textId="77777777" w:rsidTr="00822842">
        <w:tc>
          <w:tcPr>
            <w:tcW w:w="1188" w:type="dxa"/>
          </w:tcPr>
          <w:p w14:paraId="511472D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0101-0107</w:t>
            </w:r>
          </w:p>
        </w:tc>
        <w:tc>
          <w:tcPr>
            <w:tcW w:w="8843" w:type="dxa"/>
          </w:tcPr>
          <w:p w14:paraId="1886DC9B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DIŻAGGREGAZZJONI TAL-VALUR TAL-ISKOPERTURA TOTALMENT AĠĠUSTAT TA’ ENTRATI MHUX FIL-KARTA BILANĊJALI SKONT IL-FATTURI TAL-KONVERSJONI</w:t>
            </w:r>
          </w:p>
          <w:p w14:paraId="08C9DDC2" w14:textId="77777777" w:rsidR="00FB3D09" w:rsidRPr="002A677E" w:rsidRDefault="00FB3D09" w:rsidP="00822842">
            <w:pPr>
              <w:pStyle w:val="InstructionsText"/>
            </w:pPr>
            <w:r>
              <w:t xml:space="preserve">L-Artikolu 166(8) f’konformità mal-paragrafi 8a u 8b u l-Artikolu 151(8) tar-Regolament (UE) Nru 575/2013.</w:t>
            </w:r>
          </w:p>
          <w:p w14:paraId="434D1ED6" w14:textId="77777777" w:rsidR="00FB3D09" w:rsidRPr="00E438EB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Iċ-ċifri rapportati għandhom ikunu l-valuri tal-iskopertura totalment aġġustati qabel l-applikazzjoni tal-fattur ta’ konverżjoni.</w:t>
            </w:r>
          </w:p>
        </w:tc>
      </w:tr>
      <w:tr w:rsidR="00FB3D09" w:rsidRPr="002A677E" w14:paraId="56ED3146" w14:textId="77777777" w:rsidTr="00822842">
        <w:tc>
          <w:tcPr>
            <w:tcW w:w="1188" w:type="dxa"/>
          </w:tcPr>
          <w:p w14:paraId="4FBB1F46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0101</w:t>
            </w:r>
          </w:p>
        </w:tc>
        <w:tc>
          <w:tcPr>
            <w:tcW w:w="8843" w:type="dxa"/>
          </w:tcPr>
          <w:p w14:paraId="58AB915A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FATTURI TA’ KONVERŻJONI MMUDELLATI</w:t>
            </w:r>
          </w:p>
          <w:p w14:paraId="48F41598" w14:textId="77777777" w:rsidR="00FB3D09" w:rsidRPr="00E438EB" w:rsidRDefault="00FB3D09" w:rsidP="00822842">
            <w:pPr>
              <w:pStyle w:val="InstructionsText"/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</w:pPr>
            <w:r>
              <w:t xml:space="preserve">L-Artikolu 166(8b) u (8c) u l-Artikolu 182 tar-Regolament (UE) Nru 575/2013.</w:t>
            </w:r>
          </w:p>
        </w:tc>
      </w:tr>
      <w:tr w:rsidR="00FB3D09" w:rsidRPr="002A677E" w14:paraId="723ED349" w14:textId="77777777" w:rsidTr="00822842">
        <w:tc>
          <w:tcPr>
            <w:tcW w:w="1188" w:type="dxa"/>
          </w:tcPr>
          <w:p w14:paraId="64882817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0102-0107</w:t>
            </w:r>
          </w:p>
        </w:tc>
        <w:tc>
          <w:tcPr>
            <w:tcW w:w="8843" w:type="dxa"/>
          </w:tcPr>
          <w:p w14:paraId="5676D624" w14:textId="77777777" w:rsidR="00FB3D09" w:rsidRPr="00B7761D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FATTURI TA’ KONVERŻJONI STANDARD</w:t>
            </w:r>
          </w:p>
          <w:p w14:paraId="2802107A" w14:textId="77777777" w:rsidR="00FB3D09" w:rsidRPr="00433E67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166(8a) tar-Regolament (UE) Nru 575/2013.</w:t>
            </w:r>
          </w:p>
        </w:tc>
      </w:tr>
      <w:tr w:rsidR="00FB3D09" w:rsidRPr="002A677E" w14:paraId="72A515B8" w14:textId="77777777" w:rsidTr="00822842">
        <w:tc>
          <w:tcPr>
            <w:tcW w:w="1188" w:type="dxa"/>
          </w:tcPr>
          <w:p w14:paraId="6F3C95D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</w:tcPr>
          <w:p w14:paraId="024D894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7397AAA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tal-iskopertura ddeterminati f’konformità mal-Artikolu 166 tar-Regolament (UE) Nru 575/2013 u t-tieni sentenza tal-Artikolu 230(1) ta’ dak ir-Regolament għandhom jiġu rapportati.</w:t>
            </w:r>
          </w:p>
          <w:p w14:paraId="1C7B98CD" w14:textId="775FF974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Għall-istrumenti msemmija fl-Anness I, jiġu applikati l-fatturi tal-konverżjoni ta’ kreditu u l-perċentwali f’konformità mal-Artikolu 166, il-paragrafi 8 u 9 tar-Regolament (UE) Nru 575/2013, irrispettivament mill-approċċ magħżul mill-istituzzjoni.</w:t>
            </w:r>
          </w:p>
          <w:p w14:paraId="4CA1B4E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tal-iskoperturi għall-operazzjonijiet tas-CCR għandhom ikunu l-istess bħal dawk rapportati fil-kolonna 0130.</w:t>
            </w:r>
          </w:p>
        </w:tc>
      </w:tr>
      <w:tr w:rsidR="00FB3D09" w:rsidRPr="002A677E" w14:paraId="7E1EABB6" w14:textId="77777777" w:rsidTr="00822842">
        <w:tc>
          <w:tcPr>
            <w:tcW w:w="1188" w:type="dxa"/>
          </w:tcPr>
          <w:p w14:paraId="423F28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843" w:type="dxa"/>
          </w:tcPr>
          <w:p w14:paraId="0C131540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jirriżultaw minn Riskju ta’ Kreditu tal-kontroparti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322EE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 SA korrispondenti fil-kolonna 0210.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236CDCC" w14:textId="77777777" w:rsidTr="00822842">
        <w:tc>
          <w:tcPr>
            <w:tcW w:w="1188" w:type="dxa"/>
          </w:tcPr>
          <w:p w14:paraId="79AE6E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843" w:type="dxa"/>
          </w:tcPr>
          <w:p w14:paraId="33C21D5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ENTITAJIET TAS-SETTUR FINANZJARJU KBAR U ENTITAJIET FINANZJARJI MHUX REGOLATI</w:t>
            </w:r>
          </w:p>
          <w:p w14:paraId="38EC098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Diżaggregazzjoni tal-valur tal-iskopertura oriġinali għall-iskoperturi kollha tal-entitajiet imsemmija fl-Artikolu 142(1), il-punti (4) u (5) tar-Regolament (UE) Nru 575/2013 soġġett għall-koeffiċjent ta’ korrelazzjoni ogħla determinat f’konformità mal-Artikolu 153(2) ta’ dak ir-Regolament.</w:t>
            </w:r>
          </w:p>
        </w:tc>
      </w:tr>
      <w:tr w:rsidR="00FB3D09" w:rsidRPr="002A677E" w14:paraId="5C3F07BE" w14:textId="77777777" w:rsidTr="00822842">
        <w:trPr>
          <w:trHeight w:val="708"/>
        </w:trPr>
        <w:tc>
          <w:tcPr>
            <w:tcW w:w="1188" w:type="dxa"/>
          </w:tcPr>
          <w:p w14:paraId="1B81DCB5" w14:textId="77777777" w:rsidR="00FB3D09" w:rsidRPr="002A677E" w:rsidDel="001D4BE0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0150-0210</w:t>
            </w:r>
          </w:p>
        </w:tc>
        <w:tc>
          <w:tcPr>
            <w:tcW w:w="8843" w:type="dxa"/>
          </w:tcPr>
          <w:p w14:paraId="5FFCDE2C" w14:textId="37F1BD92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TEKNIKI TA’ MITIGAZZJONI TAR-RISKJU TA’ KREDITU MEQJUS FL-ESTIMI TAL-LGD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2E436B3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Tekniki CRM li għandhom impatt fuq l-istimi tal-LGDs b’riżultat tal-applikazzjoni tal-effett ta’ sostituzzjoni tat-tekniki CRM ma għandhomx jiġu inklużi f’dawn il-kolonni.</w:t>
            </w:r>
          </w:p>
          <w:p w14:paraId="0813160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tal-kollateral irrapportati għandhom ikunu limitati għall-valur tal-iskoperturi.</w:t>
            </w:r>
          </w:p>
          <w:p w14:paraId="5F41737F" w14:textId="02BF2E74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jintużawx l-istimi proprji tal-LGD, għandhom jitqiesu l-Artikolu 230, il-punti (1), (2) u (4) u l-Artikolu 231 tar-Regolament (UE) Nru 575/2013.</w:t>
            </w:r>
          </w:p>
          <w:p w14:paraId="6CF8B54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C4E5F4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Rigward protezzjoni ta’ kreditu mhux iffinanzjata, għal skoperturi għal gvernijiet ċentrali u banek ċentrali, istituzzjonijiet u impriżi, għandu jitqies l-Artikolu 161(3)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Għall-iskoperturi fil-livell tal-konsumatur, għandu jitqies l-Artikolu 164(2) tar-Regolament (UE) Nru 575/2013.</w:t>
            </w:r>
          </w:p>
          <w:p w14:paraId="05A9C03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- Rigward protezzjoni tal-kreditu ffinanzjata, il-kollateral għandu jitqies fl-istimi tal-LGD f’konformità mal-Artikolu 181(1), il-punti (e) u (f), tar-Regolament (UE) Nru 575/2013.</w:t>
            </w:r>
          </w:p>
        </w:tc>
      </w:tr>
      <w:tr w:rsidR="00FB3D09" w:rsidRPr="002A677E" w14:paraId="4CC8BF71" w14:textId="77777777" w:rsidTr="00822842">
        <w:trPr>
          <w:trHeight w:val="957"/>
        </w:trPr>
        <w:tc>
          <w:tcPr>
            <w:tcW w:w="1188" w:type="dxa"/>
          </w:tcPr>
          <w:p w14:paraId="7918EC1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843" w:type="dxa"/>
          </w:tcPr>
          <w:p w14:paraId="4C26606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GARANZIJI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74C7F9E" w14:textId="77777777" w:rsidR="00FB3D09" w:rsidRPr="002A677E" w:rsidRDefault="00FB3D09" w:rsidP="00822842">
            <w:pPr>
              <w:jc w:val="left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0040.</w:t>
            </w:r>
          </w:p>
        </w:tc>
      </w:tr>
      <w:tr w:rsidR="00FB3D09" w:rsidRPr="002A677E" w14:paraId="052C8B55" w14:textId="77777777" w:rsidTr="00822842">
        <w:tc>
          <w:tcPr>
            <w:tcW w:w="1188" w:type="dxa"/>
          </w:tcPr>
          <w:p w14:paraId="4C65336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843" w:type="dxa"/>
          </w:tcPr>
          <w:p w14:paraId="61710E9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TA’ KREDITU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948B3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għall-kolonna 0050.</w:t>
            </w:r>
          </w:p>
        </w:tc>
      </w:tr>
      <w:tr w:rsidR="00FB3D09" w14:paraId="66ECA0F4" w14:textId="77777777" w:rsidTr="00822842">
        <w:trPr>
          <w:trHeight w:val="300"/>
        </w:trPr>
        <w:tc>
          <w:tcPr>
            <w:tcW w:w="1188" w:type="dxa"/>
          </w:tcPr>
          <w:p w14:paraId="18EA00BE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0170-0210</w:t>
            </w:r>
          </w:p>
        </w:tc>
        <w:tc>
          <w:tcPr>
            <w:tcW w:w="8843" w:type="dxa"/>
          </w:tcPr>
          <w:p w14:paraId="642B29BA" w14:textId="77777777" w:rsidR="00FB3D09" w:rsidRDefault="00FB3D09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PROTEZZJONI TAL-KREDITU FFINANZJATA</w:t>
            </w:r>
          </w:p>
        </w:tc>
      </w:tr>
      <w:tr w:rsidR="00FB3D09" w:rsidRPr="002A677E" w14:paraId="4AF255C0" w14:textId="77777777" w:rsidTr="00822842">
        <w:tc>
          <w:tcPr>
            <w:tcW w:w="1188" w:type="dxa"/>
          </w:tcPr>
          <w:p w14:paraId="1EE7AF6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0170-0173</w:t>
            </w:r>
          </w:p>
        </w:tc>
        <w:tc>
          <w:tcPr>
            <w:tcW w:w="8843" w:type="dxa"/>
          </w:tcPr>
          <w:p w14:paraId="3941829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JINTUŻAW STIMI PROPRJI TAL-LGDS: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PROTEZZJONI TAL-KREDITU FFINANZJATA OĦRA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213C028C" w14:textId="77777777" w:rsidR="00FB3D09" w:rsidRPr="000059B8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L-Artikolu 181(e) u (f) tar-Regolament (UE) Nru 575/2013</w:t>
            </w:r>
          </w:p>
          <w:p w14:paraId="163A7BF8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Il-valur rilevanti użat fl-immudellar intern tal-istituzzjoni.</w:t>
            </w:r>
          </w:p>
          <w:p w14:paraId="5CB29B0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Dawk il-mitiganti tar-riskju ta’ kreditu li jikkonformaw mal-kriterji fl-Artikolu 212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75F84050" w14:textId="77777777" w:rsidTr="00822842">
        <w:tc>
          <w:tcPr>
            <w:tcW w:w="1188" w:type="dxa"/>
          </w:tcPr>
          <w:p w14:paraId="4DD08A6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0171</w:t>
            </w:r>
          </w:p>
        </w:tc>
        <w:tc>
          <w:tcPr>
            <w:tcW w:w="8843" w:type="dxa"/>
          </w:tcPr>
          <w:p w14:paraId="545A819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FLUS IDDEPOŻITATI</w:t>
            </w:r>
          </w:p>
          <w:p w14:paraId="2F2A2E1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200, il-punt (a)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037C11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Flus iddepożitati ma’ istituzzjoni terza, jew strumenti assimilati ta’ flus miżmuma minnha, f’arranġament nondepożitarju u mirhun lill-istituzzjoni mutwanti.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rapportat għandu jkun limitat għall-valur tal-iskopertura fil-livell ta’ skopertura individwali.</w:t>
            </w:r>
          </w:p>
        </w:tc>
      </w:tr>
      <w:tr w:rsidR="00FB3D09" w:rsidRPr="002A677E" w14:paraId="6605DFE4" w14:textId="77777777" w:rsidTr="00822842">
        <w:tc>
          <w:tcPr>
            <w:tcW w:w="1188" w:type="dxa"/>
          </w:tcPr>
          <w:p w14:paraId="4FC8218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0172</w:t>
            </w:r>
          </w:p>
        </w:tc>
        <w:tc>
          <w:tcPr>
            <w:tcW w:w="8843" w:type="dxa"/>
          </w:tcPr>
          <w:p w14:paraId="4BBBA9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POLOZ TAL-ASSIGURAZZJONI TAL-ĦAJJA</w:t>
            </w:r>
          </w:p>
          <w:p w14:paraId="796996C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200, il-punt (b)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2C977C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tal-kollateral rapportat għandu jkun limitat għall-valur tal-iskopertura fil-livell ta’ skopertura individwali.</w:t>
            </w:r>
          </w:p>
        </w:tc>
      </w:tr>
      <w:tr w:rsidR="00FB3D09" w:rsidRPr="002A677E" w14:paraId="12F298DE" w14:textId="77777777" w:rsidTr="00822842">
        <w:tc>
          <w:tcPr>
            <w:tcW w:w="1188" w:type="dxa"/>
          </w:tcPr>
          <w:p w14:paraId="0A6B27A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0173</w:t>
            </w:r>
          </w:p>
        </w:tc>
        <w:tc>
          <w:tcPr>
            <w:tcW w:w="8843" w:type="dxa"/>
          </w:tcPr>
          <w:p w14:paraId="4BDD659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STRUMENTI MIŻMUMA MINN PARTI TERZA</w:t>
            </w:r>
          </w:p>
          <w:p w14:paraId="078E707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200, il-punt (c)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E7CC08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jinkludi strumenti maħruġa minn istituzzjoni terza, li se jiġu riakkwistati minn dik l-istituzzjoni fuq talba.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tal-kollateral rapportat għandu jkun limitat għall-valur tal-iskopertura fil-livell ta’ skopertura individwali.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Din il-kolonna għandha teskludi dawk l-iskoperturi koperti minn strumenti miżmuma minn parti terza fejn, f’konformità mal-Artikolu 232(4) tar-Regolament (UE) Nru 575/2013, l-istituzzjonijiet jittrattaw strumenti riakkwistati fuq talba li huma eliġibbli skont l-Artikolu 200, il-punt (c) ta’ dak ir-Regolament bħala garanzija mill-istituzzjoni li toħroġ.</w:t>
            </w:r>
          </w:p>
        </w:tc>
      </w:tr>
      <w:tr w:rsidR="00FB3D09" w:rsidRPr="002A677E" w14:paraId="7F635CD0" w14:textId="77777777" w:rsidTr="00822842">
        <w:tc>
          <w:tcPr>
            <w:tcW w:w="1188" w:type="dxa"/>
          </w:tcPr>
          <w:p w14:paraId="7FDF3B8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843" w:type="dxa"/>
          </w:tcPr>
          <w:p w14:paraId="31FAF9A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KOLLATERAL FINANZJARJU ELIĠIBBLI</w:t>
            </w:r>
          </w:p>
          <w:p w14:paraId="0447D5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Għall-operazzjonijiet tal-portafoll tan-negozjar, għandhom jiġu inklużi strumenti finanzjarji u komoditajiet eliġibbli għall-iskoperturi tal-portafoll tan-negozjar f’konformità mal-Artikolu 299(2), il-punti minn (c) sa (f)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Noti marbuta ma’ kreditu u netting fil-karta bilanċjali f’konformità mal-Parti Tlieta, it-Titolu II, il-Kapitolu 4, it-Taqsima 4 tar-Regolament (UE) Nru 575/2013 għandhom jiġu trattati bħala kollateral fi flus.</w:t>
            </w:r>
          </w:p>
          <w:p w14:paraId="52D78AC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jintużawx l-istimi proprji tal-LGD, għal kollateral finanzjarju eliġibbli f’konformità mal-Artikolu 197 tar-Regolament (UE) Nru 575/2013, għandu jiġi rapportat il-valur aġġustat (Cvam) kif stabbilit fl-Artikolu 223(2) ta’ dak ir-Regolament.</w:t>
            </w:r>
          </w:p>
          <w:p w14:paraId="31F42CB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tal-LGD, il-kollateral finanzjarju għandu jitqies fl-istimi tal-LGD f’konformità mal-Artikolu 181(1), il-punti (e) u (f)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L-ammont li għandu jiġi rapportat għandu jkun il-valur tas-suq stmat tal-kollateral.</w:t>
            </w:r>
          </w:p>
        </w:tc>
      </w:tr>
      <w:tr w:rsidR="00FB3D09" w:rsidRPr="002A677E" w14:paraId="175F5CB2" w14:textId="77777777" w:rsidTr="00822842">
        <w:tc>
          <w:tcPr>
            <w:tcW w:w="1188" w:type="dxa"/>
          </w:tcPr>
          <w:p w14:paraId="21EC8197" w14:textId="77777777" w:rsidR="00FB3D09" w:rsidRPr="002A677E" w:rsidDel="001D4BE0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0190-0210</w:t>
            </w:r>
          </w:p>
        </w:tc>
        <w:tc>
          <w:tcPr>
            <w:tcW w:w="8843" w:type="dxa"/>
          </w:tcPr>
          <w:p w14:paraId="0934323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KOLLATERAL ELIĠIBBLI IEĦOR</w:t>
            </w:r>
          </w:p>
          <w:p w14:paraId="3277DA0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ma jintużawx l-istimi proprji tal-LGD, il-valuri għandhom ikunu determinati f’konformità mal-Artikolu 199, il-paragrafi minn 1 sa 8 tar-Regolament (UE) Nru 575/2013 u l-Artikolu 229 ta’ dak ir-Regolament.</w:t>
            </w:r>
          </w:p>
          <w:p w14:paraId="3AF3004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tal-LGD, kollateral ieħor għandu jitqies fl-istimi tal-LGD f’konformità mal-Artikolu 181(1), il-punti (e) u (f) tar-Regolament (UE) Nru 575/2013.</w:t>
            </w:r>
          </w:p>
        </w:tc>
      </w:tr>
      <w:tr w:rsidR="00FB3D09" w:rsidRPr="002A677E" w14:paraId="57654874" w14:textId="77777777" w:rsidTr="00822842">
        <w:tc>
          <w:tcPr>
            <w:tcW w:w="1188" w:type="dxa"/>
          </w:tcPr>
          <w:p w14:paraId="4073E085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843" w:type="dxa"/>
          </w:tcPr>
          <w:p w14:paraId="38792F93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PROPRJETÀ IMMOBBLI</w:t>
            </w:r>
          </w:p>
          <w:p w14:paraId="1C22EB67" w14:textId="7B65D474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jintużawx l-istimi proprji tal-LGD, il-valuri għandhom ikunu determinati f’konformità mal-Artikolu 199, il-paragrafi 2 sa 4a tar-Regolament (UE) Nru 575/2013 u għandhom jiġu rapportati f’din il-kolonna.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Il-kiri ta’ proprjetà immobbli għandu jiġi inkluż ukoll (ara l-Artikolu 199(7) tar-Regolament (UE) Nru 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Ara wkoll l-Artikolu 229 tar-Regolament (UE) Nru 575/2013.</w:t>
            </w:r>
          </w:p>
          <w:p w14:paraId="02AD8F76" w14:textId="77777777" w:rsidR="00FB3D09" w:rsidRPr="002A677E" w:rsidRDefault="00FB3D09" w:rsidP="00822842">
            <w:pPr>
              <w:spacing w:line="240" w:lineRule="exac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 l-ammont li għandu jiġi rapportat għandu jkun il-valur tas-suq stmat.</w:t>
            </w:r>
          </w:p>
        </w:tc>
      </w:tr>
      <w:tr w:rsidR="00FB3D09" w:rsidRPr="002A677E" w14:paraId="5A77D1F7" w14:textId="77777777" w:rsidTr="00822842">
        <w:tc>
          <w:tcPr>
            <w:tcW w:w="1188" w:type="dxa"/>
          </w:tcPr>
          <w:p w14:paraId="639978E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843" w:type="dxa"/>
          </w:tcPr>
          <w:p w14:paraId="11BF78C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KOLLATERAL FIŻIKU IEĦOR</w:t>
            </w:r>
          </w:p>
          <w:p w14:paraId="79893B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jintużawx l-istimi proprji tal-LGD, il-valuri għandhom ikunu determinati f’konformità mal-Artikolu 199, il-paragrafi 6 u 8 tar-Regolament (UE) Nru 575/2013 u għandhom jiġu rapportati f’din il-kolonna.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Il-lokazzjoni ta’ proprjetà differenti mill-proprjetà immobbli għandha tiġi inkluża wkoll (ara l-Artikolu 199(7) tar-Regolament (UE) Nru 575/2013).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Ara wkoll l-Artikolu 229(3)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0C5AC8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tal-LGD, l-ammont li għandu jiġi rapportat għandu jkun il-valur tas-suq stmat tal-kollateral.</w:t>
            </w:r>
          </w:p>
        </w:tc>
      </w:tr>
      <w:tr w:rsidR="00FB3D09" w:rsidRPr="002A677E" w14:paraId="6B2A20B1" w14:textId="77777777" w:rsidTr="00822842">
        <w:tc>
          <w:tcPr>
            <w:tcW w:w="1188" w:type="dxa"/>
          </w:tcPr>
          <w:p w14:paraId="41BEC94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843" w:type="dxa"/>
          </w:tcPr>
          <w:p w14:paraId="4F3D36E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RIĊEVIBBLI</w:t>
            </w:r>
          </w:p>
          <w:p w14:paraId="7A705B5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ma jintużawx l-istimi proprji tal-LGD, il-valuri għandhom ikunu determinati f’konformità mal-Artikolu 199(5) u 229(2) tar-Regolament (UE) Nru 575/2013 u għandhom jiġu rapportati f’din il-kolonna.</w:t>
            </w:r>
          </w:p>
          <w:p w14:paraId="436DED0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jintużaw l-istimi proprji tal-LGD, l-ammont li għandu jiġi rapportat għandu jkun il-valur tas-suq stmat tal-kollateral.</w:t>
            </w:r>
          </w:p>
        </w:tc>
      </w:tr>
      <w:tr w:rsidR="00FB3D09" w:rsidRPr="002A677E" w14:paraId="60E8AC07" w14:textId="77777777" w:rsidTr="00822842">
        <w:tc>
          <w:tcPr>
            <w:tcW w:w="1188" w:type="dxa"/>
          </w:tcPr>
          <w:p w14:paraId="5D5750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843" w:type="dxa"/>
          </w:tcPr>
          <w:p w14:paraId="79AFFD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LGD MEDJU PONDERAT SKONT L-ISKOPERTURA (%)</w:t>
            </w:r>
          </w:p>
          <w:p w14:paraId="6F9170F4" w14:textId="5D91644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Għandu jitqies l-impatt kollu tat-tekniki tas-CRM fuq il-valuri LGD kif speċifikat fil-Parti Tlieta, it-Titolu II, il-Kapitoli 3 u 4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9A7425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fil-livell tal-konsumatur, għandu jitqies l-Artikolu 181(1), il-punt (h) tar-Regolament (UE) Nru 575/2013.</w:t>
            </w:r>
          </w:p>
          <w:p w14:paraId="60A8EDA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msemmi fil-kolonna 0110 għandu jintuża għall-kalkolu tal-medji ponderati skont l-iskopertura.</w:t>
            </w:r>
          </w:p>
          <w:p w14:paraId="4BB1142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L-effetti kollha għandhom jitqiesu (għalhekk l-effetti tal-limitu minimu applikabbli għal skoperturi garantiti bi proprjetà immobbli f’konformità mal-Artikolu 164(4) tar-Regolament (UE) Nru 575/2013 għandhom jiġu inklużi fir-rapportar).</w:t>
            </w:r>
          </w:p>
          <w:p w14:paraId="635EEDC3" w14:textId="2DC0DF9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istituzzjonijiet li japplikaw l-Approċċ IRB iżda li ma jużawx l-istimi proprji tagħhom tal-LGD, l-effetti ta’ mitigazzjoni tar-riskju tal-kollateral finanzjarju għandhom ikunu riflessi f’E*, il-valur totalment aġġustat tal-iskopertura, u mbagħad rifless fl-LGD* kif imsemmi fl-Artikolu 230 tar-Regolament (UE) Nru 575/2013.</w:t>
            </w:r>
          </w:p>
          <w:p w14:paraId="4BD44AA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L-LGD medju ponderat skont l-iskopertura assoċjat ma’ kull “grad jew aggregazzjoni tal-obbligant” PD għandu jirriżulta mill-medja tal-LGDs prudenzjali, assenjati lill-iskoperturi ta’ dak il-grad/dik l-aggregazzjoni PD, ponderat skont il-valur tal-iskopertura rispettiv tal-kolonna 0110.</w:t>
            </w:r>
          </w:p>
          <w:p w14:paraId="2A3FAE7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jiġu applikati l-istimi proprji tal-LGD, għandhom jitqiesu l-Artikolu 175 u l-Artikolu 181, il-paragrafi 1 u 2 tar-Regolament (UE) Nru 575/2013.</w:t>
            </w:r>
          </w:p>
          <w:p w14:paraId="0DF969B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Il-kalkolu tal-LGD medju ponderat skont l-iskopertura għandu jiġi derivat mill-parametri tar-riskju realment użati fl-iskala ta’ klassifikazzjoni interna approvata mill-awtorità kompetenti rispettiva.</w:t>
            </w:r>
          </w:p>
          <w:p w14:paraId="345A6D2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 għandhiex tiġi rapportata data għal skoperturi ta’ self speċjalizzat imsemmija fl-Artikolu 153(5)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tiġi stmata l-PD għal skoperturi ta’ għoti ta’ self speċjalizzat, id-data għandha tiġi rapportata fuq il-bażi tal-istimi proprji tal-LGDs jew tal-LGDs regolatorji.</w:t>
            </w:r>
          </w:p>
          <w:p w14:paraId="0C1A1D7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L-iskopertura u l-LGDs rispettivi għal entitajiet regolati tas-settur finanzjarju kbar u entitajiet mhux regolati tas-settur finanzjarju ma għandhomx jiġu inklużi fil-kalkolu tal-kolonna 0230, iżda jiġu inklużi biss fil-kalkolu tal-kolonna 0240.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6B45F6BD" w14:textId="77777777" w:rsidTr="00822842">
        <w:tc>
          <w:tcPr>
            <w:tcW w:w="1188" w:type="dxa"/>
          </w:tcPr>
          <w:p w14:paraId="591C6D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843" w:type="dxa"/>
          </w:tcPr>
          <w:p w14:paraId="32B1C75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LGD MEDJU PONDERAT SKONT L-ISKOPERTURA (%) GĦAL ENTITAJIET TAS-SETTUR FINANZJARJU KBAR U ENTITAJIET FINANZJARJI MHUX REGOLATI</w:t>
            </w:r>
          </w:p>
          <w:p w14:paraId="6939D8F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L-LGD medju ponderat skont l-iskopertura (%) għall-iskoperturi kollha għal entitajiet tas-settur finanzjarju kbar kif definiti fl-Artikolu 142(1), il-punt (4) tar-Regolament (UE) Nru 575/2013 u għal entitajiet mhux regolati tas-settur finanzjarju kif definiti fl-Artikolu 142(1), il-punt (5) tar-Regolament (UE) Nru 575/2013 soġġetti għall-koeffiċjent ta’ korrelazzjoni ogħla determinata f’konformità mal-Artikolu 153(2) tar-Regolament (UE) Nru 575/2013</w:t>
            </w:r>
          </w:p>
        </w:tc>
      </w:tr>
      <w:tr w:rsidR="00FB3D09" w:rsidRPr="002A677E" w14:paraId="176E6206" w14:textId="77777777" w:rsidTr="00822842">
        <w:tc>
          <w:tcPr>
            <w:tcW w:w="1188" w:type="dxa"/>
          </w:tcPr>
          <w:p w14:paraId="76179D8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843" w:type="dxa"/>
          </w:tcPr>
          <w:p w14:paraId="0303416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TAL-MATURITÀ MEDJA PONDERATA SKONT L-ISKOPERTURA (JIEM)</w:t>
            </w:r>
          </w:p>
          <w:p w14:paraId="2EF0BB8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rapportat għandu jiġi determinat f’konformità mal-Artikolu 162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Il-valur tal-iskopertura (il-kolonna 0110) għandu jintuża għall-kalkolu tal-medji ponderati għall-iskopertura.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Il-maturità medja għandha tiġi rapportata f’jiem.</w:t>
            </w:r>
          </w:p>
          <w:p w14:paraId="6457CD5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id-data ma għandhiex tiġi rapportata għall-valur tal-iskoperturi li għalihom il-maturità ma tkunx element fil-kalkolu tal-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ammonti tal-iskoperturi ponderati skont ir-riskju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ifisser li din il-kolonna ma għandhiex timtela għall-klassi tal-iskoperturi “fil-livell tal-konsumatur”.</w:t>
            </w:r>
          </w:p>
        </w:tc>
      </w:tr>
      <w:tr w:rsidR="00FB3D09" w:rsidRPr="002A677E" w14:paraId="713A30E1" w14:textId="77777777" w:rsidTr="00822842">
        <w:tc>
          <w:tcPr>
            <w:tcW w:w="1188" w:type="dxa"/>
          </w:tcPr>
          <w:p w14:paraId="00B32F9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0255</w:t>
            </w:r>
          </w:p>
        </w:tc>
        <w:tc>
          <w:tcPr>
            <w:tcW w:w="8843" w:type="dxa"/>
          </w:tcPr>
          <w:p w14:paraId="75364CA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QABEL IL-FATTURI TA’ APPOĠĠ</w:t>
            </w:r>
          </w:p>
          <w:p w14:paraId="3F28CD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gvernijiet ċentrali u banek ċentrali, impriżi u istituzzjonijiet, ara l-Artikolu 153, il-paragrafi 1, 2, 3 u 4 tar-Regolament (UE) Nru 575/2013;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Għal-livell tal-konsumatur, ara l-Artikolu 154(1) tar-Regolament (UE) Nru 575/2013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B679E8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Il-fatturi ta’ appoġġ tal-SMEs u l-infrastruttura stipulati fl-Artikoli 501 u 501a tar-Regolament (UE) Nru 575/2013 ma għandhomx jitqiesu.</w:t>
            </w:r>
          </w:p>
        </w:tc>
      </w:tr>
      <w:tr w:rsidR="00FB3D09" w:rsidRPr="002A677E" w14:paraId="00547464" w14:textId="77777777" w:rsidTr="00822842">
        <w:tc>
          <w:tcPr>
            <w:tcW w:w="1188" w:type="dxa"/>
          </w:tcPr>
          <w:p w14:paraId="607227A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0256</w:t>
            </w:r>
          </w:p>
        </w:tc>
        <w:tc>
          <w:tcPr>
            <w:tcW w:w="8843" w:type="dxa"/>
          </w:tcPr>
          <w:p w14:paraId="16679AD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 FL-AMMONT TAL-ISKOPERTURA PONDERAT GĦAR-RISKJU DOVUT GĦALL-FATTUR TA’ SOSTENN LILL-SMEs</w:t>
            </w:r>
          </w:p>
          <w:p w14:paraId="1FAB0E6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tad-differenza tal-ammonti tal-iskoperturi ponderati għar-riskju għal skoperturi mhux inadempjenti għal SME (RWEA), li huma kkalkolati f’konformità mal-Parti Tlieta, it-Titolu II, il-Kapitolu 3 tar-Regolament (UE) Nru 575/2013, kif applikabbli u RWEA* f’konformità mal-Artikolu 501 ta’ dak ir-Regolament.</w:t>
            </w:r>
          </w:p>
        </w:tc>
      </w:tr>
      <w:tr w:rsidR="00FB3D09" w:rsidRPr="002A677E" w14:paraId="601EC6CE" w14:textId="77777777" w:rsidTr="00822842">
        <w:tc>
          <w:tcPr>
            <w:tcW w:w="1188" w:type="dxa"/>
          </w:tcPr>
          <w:p w14:paraId="4301D42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0257</w:t>
            </w:r>
          </w:p>
        </w:tc>
        <w:tc>
          <w:tcPr>
            <w:tcW w:w="8843" w:type="dxa"/>
          </w:tcPr>
          <w:p w14:paraId="3835B6D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 FL-AMMONT TAL-ISKOPERTURA PONDERAT GĦAR-RISKJU DOVUT GĦALL-FATTUR TA’ APPOĠĠ GĦALL-INFRASTRUTTURA</w:t>
            </w:r>
          </w:p>
          <w:p w14:paraId="7FB50F7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Tnaqqis tad-differenza tal-ammonti tal-iskopertura ponderati għar-riskju kkalkolati f’konformità mal-Parti Tlieta, it-Titolu II tar-Regolament (UE) Nru 575/2013 u l-RWEA aġġustati għar-riskju ta’ kreditu għal skoperturi għal entitajiet li joperaw jew jiffinanzjaw strutturi fiżiċi jew faċilitajiet, sistemi u networks li jipprovdu jew jappoġġaw servizzi pubbliċi essenzjali f’konformità mal-Artikolu 501a ta’ dak ir-Regolament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01863AFF" w14:textId="77777777" w:rsidTr="00822842">
        <w:tc>
          <w:tcPr>
            <w:tcW w:w="1188" w:type="dxa"/>
            <w:shd w:val="clear" w:color="auto" w:fill="auto"/>
          </w:tcPr>
          <w:p w14:paraId="17BDBBC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843" w:type="dxa"/>
            <w:shd w:val="clear" w:color="auto" w:fill="auto"/>
          </w:tcPr>
          <w:p w14:paraId="64DAA80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WARA L-FATTURI TA’ APPOĠĠ</w:t>
            </w:r>
          </w:p>
          <w:p w14:paraId="336DC8E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gvernijiet ċentrali u banek ċentrali, impriżi u istituzzjonijiet, ara l-Artikolu 153, il-paragrafi 1, 2, 3 u 4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Għal-livell tal-konsumatur, ara l-Artikolu 154(1) tar-Regolament (UE) Nru 575/2013.</w:t>
            </w:r>
          </w:p>
          <w:p w14:paraId="15BFFE2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Il-fatturi ta’ appoġġ tal-SMEs u l-infrastruttura stipulati fl-Artikoli 501 u 501a tar-Regolament (UE) Nru 575/2013 għandhom jitqiesu.</w:t>
            </w:r>
          </w:p>
        </w:tc>
      </w:tr>
      <w:tr w:rsidR="00FB3D09" w:rsidRPr="002A677E" w14:paraId="1E25EE5D" w14:textId="77777777" w:rsidTr="00822842">
        <w:tc>
          <w:tcPr>
            <w:tcW w:w="1188" w:type="dxa"/>
            <w:shd w:val="clear" w:color="auto" w:fill="auto"/>
          </w:tcPr>
          <w:p w14:paraId="159202C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843" w:type="dxa"/>
            <w:shd w:val="clear" w:color="auto" w:fill="auto"/>
          </w:tcPr>
          <w:p w14:paraId="1D818AB3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ENTITAJIET TAS-SETTUR FINANZJARJU KBAR U ENTITAJIET FINANZJARJI MHUX REGOLATI</w:t>
            </w:r>
          </w:p>
          <w:p w14:paraId="0DB2C46B" w14:textId="77777777" w:rsidR="00FB3D09" w:rsidRPr="002A677E" w:rsidDel="005A2363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Diżaggregazzjoni tal-ammont tal-iskopertura ponderat għar-riskju wara l-fattur ta’ appoġġ għall-SMEs għall-iskoperturi kollha għal entitajiet tas-setturi finanzjarji kbar kif definit fl-Artikolu 142(1), il-punt (4) tar-Regolament (UE) Nru 575/2013 u għal entitajiet mhux regolati tas-settur finanzjarju kif definiti fl-Artikolu 142(1), il-punt (5) ta’ dak ir-Regolament, soġġetti għall-koeffiċjent ta’ korrelazzjoni ogħla determinata f’konformità mal-Artikolu 153(2) ta’ dak ir-Regolament.</w:t>
            </w:r>
          </w:p>
        </w:tc>
      </w:tr>
      <w:tr w:rsidR="00FB3D09" w:rsidRPr="002A677E" w14:paraId="60FB0B14" w14:textId="77777777" w:rsidTr="00822842">
        <w:tc>
          <w:tcPr>
            <w:tcW w:w="1188" w:type="dxa"/>
          </w:tcPr>
          <w:p w14:paraId="30362B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8843" w:type="dxa"/>
          </w:tcPr>
          <w:p w14:paraId="292D01A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TA’ TELF MISTENNI</w:t>
            </w:r>
          </w:p>
          <w:p w14:paraId="3EA527F7" w14:textId="77777777" w:rsidR="00FB3D09" w:rsidRPr="002A677E" w:rsidRDefault="00FB3D09" w:rsidP="00822842">
            <w:pPr>
              <w:jc w:val="left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Għad-definizzjoni ta’ Telf Mistenni ara l-Artikolu 5(3) tar-Regolament (UE) Nru 575/2013 u, għall-kalkolu tal-ammonti ta’ telf mistenni, ara l-Artikolu 158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f’inadempjenza, ara l-Artikolu 181(1), il-punt (h)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L-ammont ta’ telf mistenni li għandu jiġi rapportat għandu jkun ibbażat fuq il-parametri tar-riskju realment użati fl-iskala ta’ klassifikazzjoni interna approvata mill-awtorità kompetenti rispettiva.</w:t>
            </w:r>
          </w:p>
        </w:tc>
      </w:tr>
      <w:tr w:rsidR="00FB3D09" w:rsidRPr="002A677E" w14:paraId="78AB62DA" w14:textId="77777777" w:rsidTr="00822842">
        <w:tc>
          <w:tcPr>
            <w:tcW w:w="1188" w:type="dxa"/>
          </w:tcPr>
          <w:p w14:paraId="19E4E66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8843" w:type="dxa"/>
          </w:tcPr>
          <w:p w14:paraId="7D685CC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AĠĠUSTAMENTI TAL-VALUR U DISPOŻIZZJONIJIET</w:t>
            </w:r>
          </w:p>
          <w:p w14:paraId="27BC2A3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tal-Valur kif ukoll aġġustamenti speċifiċi u ġenerali għar-riskju ta’ kreditu f’konformità mal-Artikolu 159 tar-Regolament (UE) Nru 575/2013 għandhom jiġu rapportati.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Aġġustamenti ġenerali għar-riskju ta’ kreditu għandhom jiġu rapportati billi jiġi assenjat l-ammont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pro rata</w:t>
            </w:r>
            <w:r>
              <w:rPr>
                <w:sz w:val="24"/>
                <w:rFonts w:ascii="Times New Roman" w:hAnsi="Times New Roman"/>
              </w:rPr>
              <w:t xml:space="preserve"> fuq il-bażi tat-telf mistenni tal-gradi differenti tal-obbliganti.</w:t>
            </w:r>
          </w:p>
        </w:tc>
      </w:tr>
      <w:tr w:rsidR="00FB3D09" w:rsidRPr="002A677E" w14:paraId="21C57CE6" w14:textId="77777777" w:rsidTr="00822842">
        <w:tc>
          <w:tcPr>
            <w:tcW w:w="1188" w:type="dxa"/>
          </w:tcPr>
          <w:p w14:paraId="61FC4938" w14:textId="77777777" w:rsidR="00FB3D09" w:rsidRPr="002A677E" w:rsidRDefault="00FB3D09" w:rsidP="00822842">
            <w:pPr>
              <w:ind w:right="-288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8843" w:type="dxa"/>
          </w:tcPr>
          <w:p w14:paraId="2691C548" w14:textId="77777777" w:rsidR="00FB3D09" w:rsidRPr="002A677E" w:rsidRDefault="00FB3D09" w:rsidP="00822842">
            <w:pPr>
              <w:ind w:right="-288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GĦADD TA’ OBBLIGANTI</w:t>
            </w:r>
          </w:p>
          <w:p w14:paraId="414A302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172, il-paragrafi 1 u 2 tar-Regolament (UE) Nru 575/2013.</w:t>
            </w:r>
          </w:p>
          <w:p w14:paraId="562514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Għall-klassijiet kollha tal-iskoperturi, bl-eċċezzjoni tal-klassi ta’ skopertura fil-livell tal-konsumaturi u l-każijiet imsemmija fit-tieni sentenza tal-Artikolu 172(1), il-punt (e) tar-Regolament (UE) Nru 575/2013, l-istituzzjoni għandha tirrapporta l-għadd ta’ entitajiet/obbliganti legali li kienu klassifikati separatament, irrispettivament mill-għadd ta’ selfiet jew skoperturi differenti mogħtija.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798893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Fil-klassi tal-iskoperturi fil-livell tal-konsumaturi jew jekk skoperturi separati għall-istess obbligant ikunu assenjati lil gradi differenti ta’ obbliganti f’konformità mat-tieni sentenza tal-Artikolu 172(1), il-punt (e) tar-Regolament (UE) Nru 575/2013 fi klassijiet oħra tal-iskopertura, l-istituzzjoni għandha tirrapporta l-għadd ta’ skoperturi li ġew assenjati separatament lil ċerti gradi jew aggregazzjonijiet ta’ klassifikazzjoni.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japplika l-Artikolu 172(2) tar-Regolament (UE) Nru 575/2013, obbligant jista’ jiġi kkunsidrat f’iktar minn grad wieħed.</w:t>
            </w:r>
          </w:p>
          <w:p w14:paraId="61D41F6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Billi din il-kolonna b’element tal-istruttura tal-iskali ta’ klassifikazzjoni, hija relatata mal-fattur ta’ qabel il-konverżjoni tal-iskoperturi oriġinali assenjat lil kull grad jew aggregazzjoni ta’ obbligant bla ma jitqies l-effett tat-tekniki tas-CRM (b’mod partikolari l-effetti ta’ ridistribuzzjoni).</w:t>
            </w:r>
          </w:p>
        </w:tc>
      </w:tr>
      <w:tr w:rsidR="00FB3D09" w:rsidRPr="002A677E" w14:paraId="387DE7F0" w14:textId="77777777" w:rsidTr="00822842">
        <w:tc>
          <w:tcPr>
            <w:tcW w:w="1188" w:type="dxa"/>
          </w:tcPr>
          <w:p w14:paraId="30554C29" w14:textId="77777777" w:rsidR="00FB3D09" w:rsidRPr="002A677E" w:rsidRDefault="00FB3D09" w:rsidP="00822842">
            <w:pPr>
              <w:ind w:right="-288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0310</w:t>
            </w:r>
          </w:p>
        </w:tc>
        <w:tc>
          <w:tcPr>
            <w:tcW w:w="8843" w:type="dxa"/>
          </w:tcPr>
          <w:p w14:paraId="53579B1B" w14:textId="77777777" w:rsidR="00FB3D09" w:rsidRPr="002A677E" w:rsidRDefault="00FB3D09" w:rsidP="00822842">
            <w:pPr>
              <w:ind w:right="-288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TA’ DERIVATTIVI TA’ QABEL IL-KREDITU</w:t>
            </w:r>
          </w:p>
          <w:p w14:paraId="62E64F52" w14:textId="77777777" w:rsidR="00FB3D09" w:rsidRPr="002A677E" w:rsidRDefault="00FB3D09" w:rsidP="00822842">
            <w:pPr>
              <w:ind w:right="6"/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L-istituzzjonijiet għandhom jirrapportaw l-ammont tal-iskopertura ponderat għar-riskju ipotetiku biex ikun ikkalkolat bħala RWEA mingħajr rikonoxximent tad-derivattiv ta’ kreditu eliġibbli bħala teknika tas-CRM</w:t>
            </w:r>
            <w:r>
              <w:rPr>
                <w:sz w:val="24"/>
                <w:rFonts w:ascii="Times New Roman" w:hAnsi="Times New Roman"/>
              </w:rPr>
              <w:t xml:space="preserve"> kif speċifikat fl-Artikolu 204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L-ammonti għandhom jiġu ppreżentati fil-klassijiet tal-iskoperturi rilevanti għall-iskoperturi għall-obbligant oriġinali.</w:t>
            </w:r>
          </w:p>
        </w:tc>
      </w:tr>
    </w:tbl>
    <w:p w14:paraId="5137B249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789"/>
      </w:tblGrid>
      <w:tr w:rsidR="00FB3D09" w:rsidRPr="002A677E" w14:paraId="182DA561" w14:textId="77777777" w:rsidTr="00822842">
        <w:tc>
          <w:tcPr>
            <w:tcW w:w="1242" w:type="dxa"/>
            <w:shd w:val="clear" w:color="auto" w:fill="CCCCCC"/>
          </w:tcPr>
          <w:p w14:paraId="60BF7B0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789" w:type="dxa"/>
            <w:shd w:val="clear" w:color="auto" w:fill="CCCCCC"/>
          </w:tcPr>
          <w:p w14:paraId="2CDF9396" w14:textId="77777777" w:rsidR="00FB3D09" w:rsidRPr="002A677E" w:rsidRDefault="00FB3D09" w:rsidP="00822842">
            <w:pPr>
              <w:ind w:left="72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262380DA" w14:textId="77777777" w:rsidTr="00822842">
        <w:tc>
          <w:tcPr>
            <w:tcW w:w="1242" w:type="dxa"/>
          </w:tcPr>
          <w:p w14:paraId="2A2E437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789" w:type="dxa"/>
          </w:tcPr>
          <w:p w14:paraId="4BDE31A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TOTALI</w:t>
            </w:r>
          </w:p>
        </w:tc>
      </w:tr>
      <w:tr w:rsidR="00FB3D09" w:rsidRPr="002A677E" w14:paraId="510EDBE9" w14:textId="77777777" w:rsidTr="00822842">
        <w:tc>
          <w:tcPr>
            <w:tcW w:w="1242" w:type="dxa"/>
          </w:tcPr>
          <w:p w14:paraId="3B12F2F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0015</w:t>
            </w:r>
          </w:p>
        </w:tc>
        <w:tc>
          <w:tcPr>
            <w:tcW w:w="8789" w:type="dxa"/>
          </w:tcPr>
          <w:p w14:paraId="61003B1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soġġetti għall-fattur ta’ appoġġ tal-SMEs</w:t>
            </w:r>
          </w:p>
          <w:p w14:paraId="60E8764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l-iskoperturi li jissodisfaw ir-rekwiżiti tal-Artikolu 501 tar-Regolament (UE) Nru 575/2013 li għandhom jiġu rapportati hawn.</w:t>
            </w:r>
          </w:p>
        </w:tc>
      </w:tr>
      <w:tr w:rsidR="00FB3D09" w:rsidRPr="002A677E" w14:paraId="5CCB93AD" w14:textId="77777777" w:rsidTr="00822842">
        <w:tc>
          <w:tcPr>
            <w:tcW w:w="1242" w:type="dxa"/>
          </w:tcPr>
          <w:p w14:paraId="42174A1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0016</w:t>
            </w:r>
          </w:p>
        </w:tc>
        <w:tc>
          <w:tcPr>
            <w:tcW w:w="8789" w:type="dxa"/>
          </w:tcPr>
          <w:p w14:paraId="12833DE3" w14:textId="77777777" w:rsidR="00FB3D09" w:rsidRPr="00891B34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soġġetti għall-fattur ta’ appoġġ tal-infrastruttura</w:t>
            </w:r>
          </w:p>
          <w:p w14:paraId="4FE9F0E6" w14:textId="77777777" w:rsidR="00FB3D09" w:rsidRPr="00B7761D" w:rsidRDefault="00FB3D09" w:rsidP="00822842">
            <w:pPr>
              <w:rPr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Huma biss l-iskoperturi li jissodisfaw ir-rekwiżiti tal-Artikolu 501a tar-Regolament (UE) Nru 575/2013 li għandhom jiġu rapportati hawn.</w:t>
            </w:r>
          </w:p>
        </w:tc>
      </w:tr>
      <w:tr w:rsidR="005E354B" w:rsidRPr="002A677E" w14:paraId="7311B76A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A309" w14:textId="7777777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659D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residenzjali - mhux IPRE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8370D9A" w14:textId="6DCA960A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huma ggarantiti bi proprjetà immobbli residenzjali kif definit fl-Artikolu 4(1), il-punt (75d) tar-Regolament (UE) Nru 575/2013 u li jissodisfaw ukoll id-definizzjoni tal-Artikolu 4(1), il-punt (75c) tar-Regolament (UE) Nru 575/2013.</w:t>
            </w:r>
          </w:p>
        </w:tc>
      </w:tr>
      <w:tr w:rsidR="005E354B" w:rsidRPr="002A677E" w14:paraId="7285D5CE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620F" w14:textId="54E0D353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995D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residenzjali – IPRE</w:t>
            </w:r>
          </w:p>
          <w:p w14:paraId="0DF45C4E" w14:textId="0F60BC77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huma ggarantiti bi proprjetà immobbli residenzjali kif definit fl-Artikolu 4(1), il-punt (75d) tar-Regolament (UE) Nru 575/2013 u li jissodisfaw ukoll id-definizzjoni tal-Artikolu 4(1), il-punt (75b) tar-Regolament (UE) Nru 575/2013.</w:t>
            </w:r>
          </w:p>
        </w:tc>
      </w:tr>
      <w:tr w:rsidR="005E354B" w:rsidRPr="002A677E" w14:paraId="5DC7A17D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25E4" w14:textId="6693C4F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0019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5E97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kummerċjali - mhux IPRE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6FFC8D0" w14:textId="77777777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huma ggarantiti bi proprjetà immobbli kummerċjali kif definit fl-Artikolu 4(1), il-punt (75e) tar-Regolament (UE) Nru 575/2013 u li jissodisfaw ukoll id-definizzjoni tal-Artikolu 4(1), il-punt (75c) tar-Regolament (UE) Nru 575/2013.</w:t>
            </w:r>
          </w:p>
        </w:tc>
      </w:tr>
      <w:tr w:rsidR="005E354B" w:rsidRPr="002A677E" w14:paraId="5E0D933C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0EA7" w14:textId="5DEB6BED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F921" w14:textId="77777777" w:rsidR="005E354B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Iggarantiti b’ipoteki fuq proprjetà immobbli kummerċjali – IPRE</w:t>
            </w:r>
          </w:p>
          <w:p w14:paraId="71978D1D" w14:textId="0B94616B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huma ggarantiti bi proprjetà immobbli kummerċjali kif definit fl-Artikolu 4(1), il-punt (75e) tar-Regolament (UE) Nru 575/2013 u li jissodisfaw ukoll id-definizzjoni tal-Artikolu 4(1), il-punt (75b) tar-Regolament (UE) Nru 575/2013.</w:t>
            </w:r>
          </w:p>
        </w:tc>
      </w:tr>
      <w:tr w:rsidR="005E354B" w:rsidRPr="002A677E" w14:paraId="2106BE7A" w14:textId="77777777" w:rsidTr="005E354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4ED2" w14:textId="58DFC3D7" w:rsidR="005E354B" w:rsidRPr="009161EF" w:rsidRDefault="005E354B" w:rsidP="0092576B">
            <w:pPr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0910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A8F4" w14:textId="77777777" w:rsidR="005E354B" w:rsidRPr="009161EF" w:rsidRDefault="005E354B" w:rsidP="0092576B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Akkwist, żvilupp u kostruzzjoni (ADC)</w:t>
            </w:r>
          </w:p>
          <w:p w14:paraId="35087895" w14:textId="03A7A920" w:rsidR="005E354B" w:rsidRPr="005E354B" w:rsidRDefault="005E354B" w:rsidP="0092576B">
            <w:pPr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għall-akkwist ta' art, għall-iżvilupp u għall-kostruzzjoni (“skoperturi ADC”) kif definiti fl-Artikolu 4(1), il-punt (78a) tar-Regolament (UE) Nru 575/2013.</w:t>
            </w:r>
          </w:p>
        </w:tc>
      </w:tr>
      <w:tr w:rsidR="00FB3D09" w:rsidRPr="002A677E" w14:paraId="14B5922C" w14:textId="77777777" w:rsidTr="00822842">
        <w:tc>
          <w:tcPr>
            <w:tcW w:w="1242" w:type="dxa"/>
          </w:tcPr>
          <w:p w14:paraId="50BD94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0020-0060</w:t>
            </w:r>
          </w:p>
        </w:tc>
        <w:tc>
          <w:tcPr>
            <w:tcW w:w="8789" w:type="dxa"/>
          </w:tcPr>
          <w:p w14:paraId="13F7639F" w14:textId="77777777" w:rsidR="00FB3D09" w:rsidRPr="00B7761D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TAL-ISKOPERTURI TOTALI SKONT IT-TIPI TA’ SKOPERTURI:</w:t>
            </w:r>
          </w:p>
        </w:tc>
      </w:tr>
      <w:tr w:rsidR="00FB3D09" w:rsidRPr="002A677E" w14:paraId="709208F4" w14:textId="77777777" w:rsidTr="00822842">
        <w:tc>
          <w:tcPr>
            <w:tcW w:w="1242" w:type="dxa"/>
          </w:tcPr>
          <w:p w14:paraId="14B559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789" w:type="dxa"/>
          </w:tcPr>
          <w:p w14:paraId="0C34BA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tal-karta bilanċjali soġġetti għal riskju ta’ kreditu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5DEAB0BA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Assi msemmijin fl-Artikolu 24</w:t>
            </w:r>
            <w:r>
              <w:rPr>
                <w:sz w:val="24"/>
                <w:rFonts w:ascii="Times New Roman" w:hAnsi="Times New Roman"/>
              </w:rPr>
              <w:t xml:space="preserve"> tar-Regolament (UE) Nru 575/2013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ma għandhom jiġu inklużi fl-ebda kategorija oħra.</w:t>
            </w:r>
          </w:p>
          <w:p w14:paraId="0F8AB1A8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Skoperturi li huma soġġetti għal riskju ta’ kreditu tal-kontroparti għandhom jiġu rapportati fir-ringieli 0040-0060 u, għalhekk, ma għandhomx ikunu rapportati f’din ir-ringiela.</w:t>
            </w:r>
          </w:p>
          <w:p w14:paraId="3D5E954A" w14:textId="180041B5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Konsenji bla ħlas kif imsemmi fl-Artikolu 379(1) </w:t>
            </w:r>
            <w:r>
              <w:rPr>
                <w:sz w:val="24"/>
                <w:rFonts w:ascii="Times New Roman" w:hAnsi="Times New Roman"/>
              </w:rPr>
              <w:t xml:space="preserve">tar-Regolament (UE) Nru 575/2013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(jekk ma jitnaqqsux) ma jikkostitwux entrata tal-karta bilanċjali, iżda xorta għandhom ikunu rapportati f’din ir-ringiela.</w:t>
            </w:r>
          </w:p>
        </w:tc>
      </w:tr>
      <w:tr w:rsidR="00FB3D09" w:rsidRPr="002A677E" w14:paraId="3FC1F87B" w14:textId="77777777" w:rsidTr="00822842">
        <w:tc>
          <w:tcPr>
            <w:tcW w:w="1242" w:type="dxa"/>
          </w:tcPr>
          <w:p w14:paraId="2D6E670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789" w:type="dxa"/>
          </w:tcPr>
          <w:p w14:paraId="7F72A6F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Entrati li ma jidhrux fil-karta bilanċjali soġġetti għar-riskju ta’ kreditu</w:t>
            </w:r>
          </w:p>
          <w:p w14:paraId="6C7D545C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Entrati li ma jidhrux fil-karta bilanċjali għandhom jinkludu entrati f’konformità mal-Artikolu 166(8)</w:t>
            </w:r>
            <w:r>
              <w:rPr>
                <w:sz w:val="24"/>
                <w:rFonts w:ascii="Times New Roman" w:hAnsi="Times New Roman"/>
              </w:rPr>
              <w:t xml:space="preserve"> tar-Regolament (UE) Nru 575/2013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, kif ukoll dawk l-entrati li huma elenkati fl-Anness I</w:t>
            </w:r>
            <w:r>
              <w:rPr>
                <w:sz w:val="24"/>
                <w:rFonts w:ascii="Times New Roman" w:hAnsi="Times New Roman"/>
              </w:rPr>
              <w:t xml:space="preserve"> ta’ dak ir-Regolament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.</w:t>
            </w:r>
          </w:p>
          <w:p w14:paraId="4AE7F57F" w14:textId="266D9AC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Skoperturi li huma soġġetti għal riskju ta’ kreditu tal-kontroparti għandhom jiġu rapportati fir-ringieli 0040-0060 u, għaldaqstant, ma għandhomx ikunu f’din ir-ringiela.</w:t>
            </w:r>
          </w:p>
        </w:tc>
      </w:tr>
      <w:tr w:rsidR="00FB3D09" w:rsidRPr="002A677E" w14:paraId="6A82A5B3" w14:textId="77777777" w:rsidTr="00822842">
        <w:tc>
          <w:tcPr>
            <w:tcW w:w="1242" w:type="dxa"/>
          </w:tcPr>
          <w:p w14:paraId="0F665D6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0040-0060</w:t>
            </w:r>
          </w:p>
        </w:tc>
        <w:tc>
          <w:tcPr>
            <w:tcW w:w="8789" w:type="dxa"/>
          </w:tcPr>
          <w:p w14:paraId="65190BC8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/ Tranżazzjonijiet soġġetti għal riskju ta’ kreditu tal-kontroparti</w:t>
            </w:r>
          </w:p>
          <w:p w14:paraId="0CE5E4A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 SA korrispondenti fil-kolonna 0090-0130.</w:t>
            </w:r>
          </w:p>
        </w:tc>
      </w:tr>
      <w:tr w:rsidR="00FB3D09" w:rsidRPr="002A677E" w14:paraId="4836D530" w14:textId="77777777" w:rsidTr="00822842">
        <w:tc>
          <w:tcPr>
            <w:tcW w:w="1242" w:type="dxa"/>
          </w:tcPr>
          <w:p w14:paraId="311BB09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789" w:type="dxa"/>
          </w:tcPr>
          <w:p w14:paraId="0E52BEFE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Settijiet tan-netting ta’ Tranżazzjonijiet ta’ Finanzjament tat-Titoli</w:t>
            </w:r>
          </w:p>
          <w:p w14:paraId="1D8D13A1" w14:textId="4C7B9569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 SA korrispondenti fir-ringiela 0090.</w:t>
            </w:r>
          </w:p>
        </w:tc>
      </w:tr>
      <w:tr w:rsidR="00FB3D09" w:rsidRPr="002A677E" w14:paraId="1E4C52D2" w14:textId="77777777" w:rsidTr="00822842">
        <w:tc>
          <w:tcPr>
            <w:tcW w:w="1242" w:type="dxa"/>
          </w:tcPr>
          <w:p w14:paraId="7A9D7A2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789" w:type="dxa"/>
          </w:tcPr>
          <w:p w14:paraId="0663798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b/>
                <w:bCs/>
                <w:u w:val="single"/>
                <w:u w:val="single"/>
                <w:rFonts w:ascii="Times New Roman" w:hAnsi="Times New Roman"/>
              </w:rPr>
              <w:t xml:space="preserve">Settijiet </w:t>
            </w:r>
            <w:r>
              <w:rPr>
                <w:sz w:val="24"/>
                <w:b/>
                <w:bCs/>
                <w:u w:val="single"/>
                <w:u w:val="single"/>
                <w:rStyle w:val="InstructionsTabelleberschrift"/>
                <w:u w:val="single"/>
                <w:u w:val="single"/>
                <w:rFonts w:ascii="Times New Roman" w:hAnsi="Times New Roman"/>
              </w:rPr>
              <w:t xml:space="preserve">tan-netting ta’ Derivattivi u Tranżazzjonijiet ta’ Saldu Twil</w:t>
            </w:r>
          </w:p>
          <w:p w14:paraId="2C85A65F" w14:textId="5742CCE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 SA korrispondenti fir-ringiela 0110.</w:t>
            </w:r>
          </w:p>
        </w:tc>
      </w:tr>
      <w:tr w:rsidR="00FB3D09" w:rsidRPr="002A677E" w14:paraId="325075B4" w14:textId="77777777" w:rsidTr="00822842">
        <w:tc>
          <w:tcPr>
            <w:tcW w:w="1242" w:type="dxa"/>
          </w:tcPr>
          <w:p w14:paraId="711200A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789" w:type="dxa"/>
          </w:tcPr>
          <w:p w14:paraId="5AAEFF1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Minn settijiet tan-netting Kuntrattwali Bejn Prodotti Differenti</w:t>
            </w:r>
          </w:p>
          <w:p w14:paraId="067E31F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 SA korrispondenti fir-ringiela 0130.</w:t>
            </w:r>
          </w:p>
        </w:tc>
      </w:tr>
      <w:tr w:rsidR="00FB3D09" w:rsidRPr="002A677E" w14:paraId="4497C028" w14:textId="77777777" w:rsidTr="00822842">
        <w:tc>
          <w:tcPr>
            <w:tcW w:w="1242" w:type="dxa"/>
          </w:tcPr>
          <w:p w14:paraId="53C0361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789" w:type="dxa"/>
          </w:tcPr>
          <w:p w14:paraId="0FE8A119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ASSENJATI LILL-GRADI JEW L-AGGREGAZZJONIJIET TAL-OBBLIGANTI: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</w:t>
            </w:r>
          </w:p>
          <w:p w14:paraId="6A78F62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għal impriżi, istituzzjonijiet u gvernijiet ċentrali u banek ċentrali, ara l-Artikolu 142(1), il-punt (6) u l-Artikolu 170(1), il-punt (c)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D88073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fil-livell tal-konsumatur ara l-Artikolu 170(3), il-punt (b)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li jirriżultaw minn riċevibbli mixtrija ara l-Artikolu 166(6)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68A9D8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għar-riskju ta’ dilwizzjoni ta’ riċevibbli mixtrija ma għandhomx jiġu rapportati skont il-gradi jew l-aggregazzjonijiet tal-obbliganti u għandhom jiġu rapportati fir-ringiela 0180.</w:t>
            </w:r>
          </w:p>
          <w:p w14:paraId="2ECA333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l-istituzzjoni tuża għadd kbir ta’ gradi jew aggregazzjonijiet, jista’ jintlaħaq qbil mal-awtoritajiet kompetenti dwar għadd imnaqqas ta’ gradi jew aggregazzjonijiet li għandhom jiġu rapportati.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1C73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Ma tintużax skala prinċipali superviżorja.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Minflok, l-istituzzjonijiet għandhom jiddeterminaw l-iskala li għandha tintuża huma stess.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1A5B7F57" w14:textId="77777777" w:rsidTr="00822842">
        <w:tc>
          <w:tcPr>
            <w:tcW w:w="1242" w:type="dxa"/>
          </w:tcPr>
          <w:p w14:paraId="0CB3AAC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789" w:type="dxa"/>
          </w:tcPr>
          <w:p w14:paraId="63AC665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TA’ KLASSIFIKAZZJONI TA’ SELF SPEĊJALIZZAT: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TOTAL</w:t>
            </w:r>
          </w:p>
          <w:p w14:paraId="67E0139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153(5)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japplika biss għall-klassi tal-iskoperturi impriżi – għoti ta’ self speċjalizzat.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6D99296" w14:textId="77777777" w:rsidTr="00822842">
        <w:tc>
          <w:tcPr>
            <w:tcW w:w="1242" w:type="dxa"/>
          </w:tcPr>
          <w:p w14:paraId="4330E20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789" w:type="dxa"/>
          </w:tcPr>
          <w:p w14:paraId="455C13F0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TRATTAMENT ALTERNATTIV: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GARANTIT BI PROPRJETÀ IMMOBBLI</w:t>
            </w:r>
          </w:p>
          <w:p w14:paraId="7875BF8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193, il-paragrafi 1 u 2, l-Artikolu 194, il-paragrafi minn 1 sa 7 u l-Artikolu 230(3) tar-Regolament (UE) Nru 575/2013.</w:t>
            </w:r>
          </w:p>
          <w:p w14:paraId="5841294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l-alternattiva hija disponibbli biss għal istituzzjonijiet li jużaw approċċ IRB ta’ Fondazzjoni.</w:t>
            </w:r>
          </w:p>
        </w:tc>
      </w:tr>
      <w:tr w:rsidR="00FB3D09" w:rsidRPr="002A677E" w14:paraId="65DA4F0E" w14:textId="77777777" w:rsidTr="00822842">
        <w:tc>
          <w:tcPr>
            <w:tcW w:w="1242" w:type="dxa"/>
          </w:tcPr>
          <w:p w14:paraId="73D95FC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789" w:type="dxa"/>
          </w:tcPr>
          <w:p w14:paraId="753B5217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SKOPERTURI MINN KONSENJI BLA ĦLAS LI JAPPLIKAW PONDERAZZJONIJIET TAR-RISKJU BIT-TRATTAMENT ALTERNATTIV JEW 100</w:t>
            </w:r>
            <w:r>
              <w:rPr>
                <w:rStyle w:val="InstructionsTabelleberschrift"/>
                <w:sz w:val="24"/>
                <w:rStyle w:val="InstructionsTabelleberschrift"/>
                <w:sz w:val="24"/>
                <w:rFonts w:ascii="Times New Roman" w:hAnsi="Times New Roman"/>
              </w:rPr>
              <w:t xml:space="preserve"> 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% U SKOPERTURI OĦRAJN SOĠĠETTI GĦAL PONDERAZZJONIJIET TAR-RISKJU</w:t>
            </w:r>
          </w:p>
          <w:p w14:paraId="7FC93A9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ġejjin minn konsenji bla ħlas li għalihom jintuża t-trattament alternattiv imsemmi fl-aħħar sentenza tal-Artikolu 379(2), l-ewwel subparagrafu tar-Regolament (UE) Nru 575/2013, jew li għalihom tiġi applikata ponderazzjoni tar-riskju ta’ 100 % f’konformità mal-aħħar subparagrafu tal-Artikolu 379(2)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Derivattivi ta’ kreditu n-eżmu inadempjenti f’konformità mal-Artikolu 153(8) tar-Regolament (UE) Nru 575/2013 u kwalunkwe skopertura oħra soġġetta għal ponderazzjonijiet tar-riskju mhux inkluża f’xi ringiela oħra għandhom jiġu rapportati f’din ir ringiela.</w:t>
            </w:r>
          </w:p>
        </w:tc>
      </w:tr>
      <w:tr w:rsidR="00FB3D09" w:rsidRPr="002A677E" w14:paraId="645730D7" w14:textId="77777777" w:rsidTr="00822842">
        <w:tc>
          <w:tcPr>
            <w:tcW w:w="1242" w:type="dxa"/>
          </w:tcPr>
          <w:p w14:paraId="0317CAF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789" w:type="dxa"/>
          </w:tcPr>
          <w:p w14:paraId="42D146E2" w14:textId="77777777" w:rsidR="00FB3D09" w:rsidRPr="002A677E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RISKJU TA’ DILWIZZJONI: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RIĊEVIBBLI MIXTRIJA TOTALI</w:t>
            </w:r>
          </w:p>
          <w:p w14:paraId="1ADE7C67" w14:textId="5F3B1E00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l-Artikolu 4(1), il-punt (53) tar-Regolament (UE) Nru 575/2013 għal definizzjoni ta’ riskju ta’ dilwizzjoni.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Għall-kalkolu tal-ammonti tal-iskopertura ponderati għar-riskju għal riskju ta’ dilwizzjoni ara l-Artikolu 157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Ir-riskju ta’ dilwizzjoni għandu jiġi rapportat għal riċevibbli mixtrija għall-impriżi u fil-livell tal-konsumatur.</w:t>
            </w:r>
          </w:p>
        </w:tc>
      </w:tr>
      <w:tr w:rsidR="00FB3D09" w:rsidRPr="002A677E" w14:paraId="2103336C" w14:textId="77777777" w:rsidTr="00822842">
        <w:trPr>
          <w:trHeight w:val="300"/>
        </w:trPr>
        <w:tc>
          <w:tcPr>
            <w:tcW w:w="1242" w:type="dxa"/>
          </w:tcPr>
          <w:p w14:paraId="7FF9957F" w14:textId="06F9FE7A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0190-0210</w:t>
            </w:r>
          </w:p>
        </w:tc>
        <w:tc>
          <w:tcPr>
            <w:tcW w:w="8789" w:type="dxa"/>
          </w:tcPr>
          <w:p w14:paraId="24E930D5" w14:textId="57FAC10C" w:rsidR="00FB3D09" w:rsidRPr="00B75318" w:rsidRDefault="00FB3D09" w:rsidP="00822842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DIŻAGGREGAZZJONI TAL-ISKOPERTURI TOTALI SKONT IT-TIP TA’ APPROĊĊ (CIU):</w:t>
            </w:r>
          </w:p>
        </w:tc>
      </w:tr>
      <w:tr w:rsidR="00FB3D09" w:rsidRPr="002A677E" w14:paraId="62E31418" w14:textId="77777777" w:rsidTr="00822842">
        <w:trPr>
          <w:trHeight w:val="300"/>
        </w:trPr>
        <w:tc>
          <w:tcPr>
            <w:tcW w:w="1242" w:type="dxa"/>
          </w:tcPr>
          <w:p w14:paraId="12D87A1F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789" w:type="dxa"/>
          </w:tcPr>
          <w:p w14:paraId="15D1C078" w14:textId="3090FC4B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Prinċipju taċ-ċar kristall</w:t>
            </w:r>
          </w:p>
          <w:p w14:paraId="2AD180D4" w14:textId="3719286C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152(1) tar-Regolament (UE) Nru 575/2013</w:t>
            </w:r>
          </w:p>
          <w:p w14:paraId="42481890" w14:textId="79FAD87D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tiġi rrapportata għall-klassi tal-iskoperturi “Impriżi ta’ investimenti kollettivi (CIU)” u fl-iskeda “Total”.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Barra minn hekk, għandu jiġi rrapportat bħala entrata ta’ memorandum fil-klassijiet tal-iskoperturi IRB l-oħra peress li l-iskoperturi sottostanti għandhom jiġu kklassifikati skont il-klassi tal-iskoperturi korrispondenti tagħhom jekk jintuża metodu IRB</w:t>
            </w:r>
          </w:p>
        </w:tc>
      </w:tr>
      <w:tr w:rsidR="00FB3D09" w:rsidRPr="002A677E" w14:paraId="66E7EEA8" w14:textId="77777777" w:rsidTr="00822842">
        <w:trPr>
          <w:trHeight w:val="300"/>
        </w:trPr>
        <w:tc>
          <w:tcPr>
            <w:tcW w:w="1242" w:type="dxa"/>
          </w:tcPr>
          <w:p w14:paraId="3C86B702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789" w:type="dxa"/>
          </w:tcPr>
          <w:p w14:paraId="17279CD9" w14:textId="57707F46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ibbażat fuq il-mandat</w:t>
            </w:r>
          </w:p>
          <w:p w14:paraId="65B8F17E" w14:textId="77777777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152(5) tar-Regolament (UE) Nru 575/2013</w:t>
            </w:r>
          </w:p>
          <w:p w14:paraId="0315659D" w14:textId="271145EC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tiġi rrapportata biss għall-klassi tal-iskoperturi “Impriżi ta’ investimenti kollettivi (CIU)” u fl-iskeda “Total”.</w:t>
            </w:r>
          </w:p>
        </w:tc>
      </w:tr>
      <w:tr w:rsidR="00FB3D09" w:rsidRPr="002A677E" w14:paraId="1E5A599B" w14:textId="77777777" w:rsidTr="00822842">
        <w:trPr>
          <w:trHeight w:val="300"/>
        </w:trPr>
        <w:tc>
          <w:tcPr>
            <w:tcW w:w="1242" w:type="dxa"/>
          </w:tcPr>
          <w:p w14:paraId="6ABB8CD4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789" w:type="dxa"/>
          </w:tcPr>
          <w:p w14:paraId="3816A424" w14:textId="13F62D85" w:rsidR="00FB3D09" w:rsidRPr="00B75318" w:rsidRDefault="00FB3D09" w:rsidP="00822842">
            <w:pPr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ta’ riżerva</w:t>
            </w:r>
          </w:p>
          <w:p w14:paraId="57A3CDF9" w14:textId="77777777" w:rsidR="00FB3D09" w:rsidRPr="00B75318" w:rsidRDefault="00FB3D09" w:rsidP="00822842">
            <w:pPr>
              <w:spacing w:after="160" w:line="257" w:lineRule="auto"/>
              <w:rPr>
                <w:color w:val="000000" w:themeColor="text1"/>
                <w:sz w:val="24"/>
                <w:rFonts w:ascii="Times New Roman" w:eastAsia="Calibri" w:hAnsi="Times New Roman"/>
              </w:rPr>
            </w:pPr>
            <w:r>
              <w:rPr>
                <w:color w:val="000000" w:themeColor="text1"/>
                <w:sz w:val="24"/>
                <w:rFonts w:ascii="Times New Roman" w:hAnsi="Times New Roman"/>
              </w:rPr>
              <w:t xml:space="preserve">L-Artikolu 152(6) tar-Regolament (UE) Nru 575/2013</w:t>
            </w:r>
          </w:p>
          <w:p w14:paraId="42219B94" w14:textId="77777777" w:rsidR="00FB3D09" w:rsidRPr="00B75318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għandha tiġi rrapportata biss għall-klassi tal-iskoperturi “Impriżi ta’ investimenti kollettivi (CIU)” u fl-iskeda “Total”.</w:t>
            </w:r>
          </w:p>
        </w:tc>
      </w:tr>
    </w:tbl>
    <w:p w14:paraId="0B2C44D0" w14:textId="77777777" w:rsidR="00FB3D09" w:rsidRPr="002A677E" w:rsidRDefault="00FB3D09" w:rsidP="00FB3D09">
      <w:pPr>
        <w:autoSpaceDE w:val="0"/>
        <w:autoSpaceDN w:val="0"/>
        <w:adjustRightInd w:val="0"/>
        <w:spacing w:before="0" w:after="0"/>
        <w:ind w:left="284"/>
        <w:jc w:val="left"/>
        <w:rPr>
          <w:sz w:val="24"/>
          <w:rFonts w:ascii="Times New Roman" w:hAnsi="Times New Roman"/>
        </w:rPr>
      </w:pPr>
      <w:bookmarkStart w:id="21" w:name="_Toc120327823"/>
      <w:bookmarkStart w:id="22" w:name="_Toc120072325"/>
      <w:bookmarkStart w:id="23" w:name="_Toc294280272"/>
      <w:bookmarkStart w:id="24" w:name="_Toc294281597"/>
      <w:bookmarkStart w:id="25" w:name="_Toc294281817"/>
      <w:bookmarkStart w:id="26" w:name="_Toc294282031"/>
      <w:bookmarkStart w:id="27" w:name="_Toc294282234"/>
      <w:bookmarkStart w:id="28" w:name="_Toc294714169"/>
      <w:bookmarkStart w:id="29" w:name="_Toc295314195"/>
      <w:bookmarkStart w:id="30" w:name="_Toc295829584"/>
      <w:bookmarkStart w:id="31" w:name="_Toc295829867"/>
      <w:bookmarkStart w:id="32" w:name="_Toc301772755"/>
      <w:bookmarkStart w:id="33" w:name="_Toc301772833"/>
      <w:bookmarkStart w:id="34" w:name="_Toc302657772"/>
      <w:bookmarkStart w:id="35" w:name="_Toc302657891"/>
      <w:bookmarkStart w:id="36" w:name="_Toc294280294"/>
      <w:bookmarkStart w:id="37" w:name="_Toc294281619"/>
      <w:bookmarkStart w:id="38" w:name="_Toc294281839"/>
      <w:bookmarkStart w:id="39" w:name="_Toc294282053"/>
      <w:bookmarkStart w:id="40" w:name="_Toc294282256"/>
      <w:bookmarkStart w:id="41" w:name="_Toc294714191"/>
      <w:bookmarkStart w:id="42" w:name="_Toc295314217"/>
      <w:bookmarkStart w:id="43" w:name="_Toc295829606"/>
      <w:bookmarkStart w:id="44" w:name="_Toc295829889"/>
      <w:bookmarkStart w:id="45" w:name="_Toc301772777"/>
      <w:bookmarkStart w:id="46" w:name="_Toc301772855"/>
      <w:bookmarkStart w:id="47" w:name="_Toc302657794"/>
      <w:bookmarkStart w:id="48" w:name="_Toc302657913"/>
      <w:bookmarkStart w:id="49" w:name="_Toc294280312"/>
      <w:bookmarkStart w:id="50" w:name="_Toc294281637"/>
      <w:bookmarkStart w:id="51" w:name="_Toc294281857"/>
      <w:bookmarkStart w:id="52" w:name="_Toc294282071"/>
      <w:bookmarkStart w:id="53" w:name="_Toc294282274"/>
      <w:bookmarkStart w:id="54" w:name="_Toc294714209"/>
      <w:bookmarkStart w:id="55" w:name="_Toc295314235"/>
      <w:bookmarkStart w:id="56" w:name="_Toc295829624"/>
      <w:bookmarkStart w:id="57" w:name="_Toc295829907"/>
      <w:bookmarkStart w:id="58" w:name="_Toc301772795"/>
      <w:bookmarkStart w:id="59" w:name="_Toc301772873"/>
      <w:bookmarkStart w:id="60" w:name="_Toc302657812"/>
      <w:bookmarkStart w:id="61" w:name="_Toc302657931"/>
      <w:bookmarkStart w:id="62" w:name="_Toc294280316"/>
      <w:bookmarkStart w:id="63" w:name="_Toc294281641"/>
      <w:bookmarkStart w:id="64" w:name="_Toc294281861"/>
      <w:bookmarkStart w:id="65" w:name="_Toc294282075"/>
      <w:bookmarkStart w:id="66" w:name="_Toc294282278"/>
      <w:bookmarkStart w:id="67" w:name="_Toc294714213"/>
      <w:bookmarkStart w:id="68" w:name="_Toc295314239"/>
      <w:bookmarkStart w:id="69" w:name="_Toc295829628"/>
      <w:bookmarkStart w:id="70" w:name="_Toc295829911"/>
      <w:bookmarkStart w:id="71" w:name="_Toc301772799"/>
      <w:bookmarkStart w:id="72" w:name="_Toc301772877"/>
      <w:bookmarkStart w:id="73" w:name="_Toc302657816"/>
      <w:bookmarkStart w:id="74" w:name="_Toc302657935"/>
      <w:bookmarkStart w:id="75" w:name="_Toc294280319"/>
      <w:bookmarkStart w:id="76" w:name="_Toc294281644"/>
      <w:bookmarkStart w:id="77" w:name="_Toc294281864"/>
      <w:bookmarkStart w:id="78" w:name="_Toc294282078"/>
      <w:bookmarkStart w:id="79" w:name="_Toc294282281"/>
      <w:bookmarkStart w:id="80" w:name="_Toc294714216"/>
      <w:bookmarkStart w:id="81" w:name="_Toc295314242"/>
      <w:bookmarkStart w:id="82" w:name="_Toc295829631"/>
      <w:bookmarkStart w:id="83" w:name="_Toc295829914"/>
      <w:bookmarkStart w:id="84" w:name="_Toc301772802"/>
      <w:bookmarkStart w:id="85" w:name="_Toc301772880"/>
      <w:bookmarkStart w:id="86" w:name="_Toc302657819"/>
      <w:bookmarkStart w:id="87" w:name="_Toc302657938"/>
      <w:bookmarkStart w:id="88" w:name="_Toc294280322"/>
      <w:bookmarkStart w:id="89" w:name="_Toc294281647"/>
      <w:bookmarkStart w:id="90" w:name="_Toc294281867"/>
      <w:bookmarkStart w:id="91" w:name="_Toc294282081"/>
      <w:bookmarkStart w:id="92" w:name="_Toc294282284"/>
      <w:bookmarkStart w:id="93" w:name="_Toc294714219"/>
      <w:bookmarkStart w:id="94" w:name="_Toc295314245"/>
      <w:bookmarkStart w:id="95" w:name="_Toc295829634"/>
      <w:bookmarkStart w:id="96" w:name="_Toc295829917"/>
      <w:bookmarkStart w:id="97" w:name="_Toc301772805"/>
      <w:bookmarkStart w:id="98" w:name="_Toc301772883"/>
      <w:bookmarkStart w:id="99" w:name="_Toc302657822"/>
      <w:bookmarkStart w:id="100" w:name="_Toc30265794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3C588733" w14:textId="77777777" w:rsidR="00FB3D09" w:rsidRPr="002A677E" w:rsidRDefault="00FB3D09" w:rsidP="00FB3D09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101" w:name="_Toc473560911"/>
      <w:bookmarkStart w:id="102" w:name="_Toc151714398"/>
      <w:r>
        <w:rPr>
          <w:sz w:val="24"/>
          <w:u w:val="none"/>
          <w:rFonts w:ascii="Times New Roman" w:hAnsi="Times New Roman"/>
        </w:rPr>
        <w:t xml:space="preserve">3.3.4.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08.02 - Riskji ta’ kreditu u ta’ kreditu tal-kontroparti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diżaggregazzjoni skont il-gradi jew il-gruppi tal-obbliganti (il-formola CR IRB 2)</w:t>
      </w:r>
      <w:bookmarkEnd w:id="101"/>
      <w:bookmarkEnd w:id="102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7804"/>
      </w:tblGrid>
      <w:tr w:rsidR="00FB3D09" w:rsidRPr="002A677E" w14:paraId="56EC6AC2" w14:textId="77777777" w:rsidTr="00822842">
        <w:tc>
          <w:tcPr>
            <w:tcW w:w="2024" w:type="dxa"/>
            <w:shd w:val="clear" w:color="auto" w:fill="BFBFBF"/>
          </w:tcPr>
          <w:p w14:paraId="2B478CB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7804" w:type="dxa"/>
            <w:shd w:val="clear" w:color="auto" w:fill="BFBFBF"/>
          </w:tcPr>
          <w:p w14:paraId="72EF06F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76358864" w14:textId="77777777" w:rsidTr="00822842">
        <w:tc>
          <w:tcPr>
            <w:tcW w:w="2024" w:type="dxa"/>
          </w:tcPr>
          <w:p w14:paraId="46C873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7804" w:type="dxa"/>
          </w:tcPr>
          <w:p w14:paraId="130BE1C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Grad tal-obbligant (identifikatur tar-ringiela)</w:t>
            </w:r>
          </w:p>
          <w:p w14:paraId="49E1BF9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Dan huwa identifikatur tar-ringiela u għandu jkun uniku għal kull ringiela f’folja partikolari tal-formola.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Għandu jsegwi l-ordni numeriku 1, 2, 3, eċċ.</w:t>
            </w:r>
          </w:p>
          <w:p w14:paraId="748039C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L-ewwel grad (jew aggregazzjoni) li għandu jiġi rapportat huwa l-aħjar, imbagħad it-tieni l-aħjar u l-bqija.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L-aħħar grad jew gradi (jew aggregazzjoni) irrapportat/i għandu jkun/għandhom ikunu dawk tal-iskoperturi f’inadempjenza.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2E9E255A" w14:textId="77777777" w:rsidTr="00822842">
        <w:tc>
          <w:tcPr>
            <w:tcW w:w="2024" w:type="dxa"/>
          </w:tcPr>
          <w:p w14:paraId="7EBE635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0010-0300</w:t>
            </w:r>
          </w:p>
        </w:tc>
        <w:tc>
          <w:tcPr>
            <w:tcW w:w="7804" w:type="dxa"/>
          </w:tcPr>
          <w:p w14:paraId="68F5893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L-istruzzjonijiet għal kull waħda minn dawn il-kolonni huma l-istess bħal dawk għall-kolonni numerati korrispondenti fil-formola CR IRB 1.</w:t>
            </w:r>
          </w:p>
        </w:tc>
      </w:tr>
    </w:tbl>
    <w:p w14:paraId="040BB8C7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4"/>
        <w:gridCol w:w="7804"/>
      </w:tblGrid>
      <w:tr w:rsidR="00FB3D09" w:rsidRPr="002A677E" w14:paraId="767C7154" w14:textId="77777777" w:rsidTr="00822842">
        <w:tc>
          <w:tcPr>
            <w:tcW w:w="2024" w:type="dxa"/>
            <w:shd w:val="pct25" w:color="auto" w:fill="auto"/>
          </w:tcPr>
          <w:p w14:paraId="50BC5DE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Ringiela</w:t>
            </w:r>
          </w:p>
        </w:tc>
        <w:tc>
          <w:tcPr>
            <w:tcW w:w="7804" w:type="dxa"/>
            <w:shd w:val="pct25" w:color="auto" w:fill="auto"/>
          </w:tcPr>
          <w:p w14:paraId="656BDFF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4253B5F0" w14:textId="77777777" w:rsidTr="00822842">
        <w:tc>
          <w:tcPr>
            <w:tcW w:w="2024" w:type="dxa"/>
          </w:tcPr>
          <w:p w14:paraId="1F1498D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0010-0001 – 0010-NNNN</w:t>
            </w:r>
          </w:p>
        </w:tc>
        <w:tc>
          <w:tcPr>
            <w:tcW w:w="7804" w:type="dxa"/>
          </w:tcPr>
          <w:p w14:paraId="7438CE6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Il-valuri rapportati f’dawn ir-ringieli jridu jkunu fl-ordni li tikkorrispondi għall-PD assenjata lill-grad jew l-aggregazzjoni tal-obbligant.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Il-PD tal-obbliganti f’inadempjenza għandha tkun ta’ 100 %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soġġetti għat-trattament alternattiv għal kollateral immobiljari (disponibbli biss meta ma jintużawx l-istimi proprji għal-LGD) ma għandhomx ikunu assenjati f’konformità mal-PD tal-obbligant u ma għandhomx jiġu rapportati f’din il-formola.</w:t>
            </w:r>
          </w:p>
        </w:tc>
      </w:tr>
    </w:tbl>
    <w:p w14:paraId="207794BA" w14:textId="77777777" w:rsidR="00FB3D09" w:rsidRPr="002A677E" w:rsidRDefault="00FB3D09" w:rsidP="00FB3D09">
      <w:pPr>
        <w:pStyle w:val="InstructionsText"/>
      </w:pPr>
    </w:p>
    <w:p w14:paraId="26916390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03" w:name="_Toc19715755"/>
      <w:bookmarkStart w:id="104" w:name="_Toc151714399"/>
      <w:r>
        <w:rPr>
          <w:sz w:val="24"/>
          <w:rFonts w:ascii="Times New Roman" w:hAnsi="Times New Roman"/>
        </w:rPr>
        <w:t xml:space="preserve">C 08.03 - Ir-riskji ta’ kreditu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 (diżaggregazzjoni skont il-firxiet tal-PD (CR IRB 3))</w:t>
      </w:r>
      <w:bookmarkEnd w:id="103"/>
      <w:bookmarkEnd w:id="104"/>
    </w:p>
    <w:p w14:paraId="32A5436F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rPr>
          <w:sz w:val="24"/>
          <w:rFonts w:ascii="Times New Roman" w:hAnsi="Times New Roman" w:cs="Times New Roman"/>
        </w:rPr>
      </w:pPr>
      <w:bookmarkStart w:id="105" w:name="_Toc19715756"/>
      <w:bookmarkStart w:id="106" w:name="_Toc151714400"/>
      <w:r>
        <w:rPr>
          <w:sz w:val="24"/>
          <w:rFonts w:ascii="Times New Roman" w:hAnsi="Times New Roman"/>
        </w:rPr>
        <w:t xml:space="preserve">Rimarki ġenerali</w:t>
      </w:r>
      <w:bookmarkEnd w:id="105"/>
      <w:bookmarkEnd w:id="106"/>
    </w:p>
    <w:p w14:paraId="0918D50A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77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l-informazzjoni inkluża f’din il-formola fl-applikazzjoni tal-Artikolu 452(g), il-punti minn (i) sa (v) tar-Regolament (UE) Nru 575/2013, sabiex jipprovdu informazzjoni dwar il-parametri ewlenin użati għall-kalkolu tar-rekwiżiti kapitali għall-approċċ IRB.</w:t>
      </w:r>
      <w:r>
        <w:t xml:space="preserve"> </w:t>
      </w:r>
      <w:r>
        <w:t xml:space="preserve">L-informazzjoni rapportata f’din il-formola ma għandhiex tinkludi data dwar self speċjalizzat imsemmi fl-Artikolu 153(5) tar-Regolament (UE) Nru 575/2013, li huwa inkluż fil-formola C 08.06.</w:t>
      </w:r>
      <w:r>
        <w:t xml:space="preserve"> </w:t>
      </w:r>
      <w:r>
        <w:t xml:space="preserve">Din il-formola teskludi l-iskoperturi għar-riskju ta’ kreditu tal-kontroparti (CCR) (il-Parti Tlieta, it-Titolu II, il-Kapitolu 6 tar-Regolament (UE) Nru 575/2013).</w:t>
      </w:r>
    </w:p>
    <w:p w14:paraId="18B1A0B3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07" w:name="_Toc19715757"/>
      <w:bookmarkStart w:id="108" w:name="_Toc151714401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07"/>
      <w:bookmarkEnd w:id="108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1A83A24A" w14:textId="77777777" w:rsidTr="00822842">
        <w:tc>
          <w:tcPr>
            <w:tcW w:w="1188" w:type="dxa"/>
            <w:shd w:val="clear" w:color="auto" w:fill="CCCCCC"/>
          </w:tcPr>
          <w:p w14:paraId="716EB21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shd w:val="clear" w:color="auto" w:fill="CCCCCC"/>
          </w:tcPr>
          <w:p w14:paraId="3EB4007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71C99AF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B36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  <w:p w14:paraId="5AF0F519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A92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FIL-KARTA BILANĊJALI</w:t>
            </w:r>
          </w:p>
          <w:p w14:paraId="00204A2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kkalkolat f’konformità mal-Artikolu 166 (1) sa (7) tar-Regolament (UE) Nru 575/2013 bla ma jitqies l-ebda aġġustament fir-riskju ta’ kreditu</w:t>
            </w:r>
          </w:p>
        </w:tc>
      </w:tr>
      <w:tr w:rsidR="00FB3D09" w:rsidRPr="002A677E" w14:paraId="22B6384B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365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C2B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LI MA JIDHRUX FIL-KARTA BILANĊJALI QABEL IL-FATTURI TA’ KONVERŻJONI</w:t>
            </w:r>
          </w:p>
          <w:p w14:paraId="55489989" w14:textId="483DFDC9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tal-iskopertura f’konformità mal-Artikolu 166, il-paragrafi (1) sa (7) tar-Regolament (UE) Nru 575/2013, mingħajr ma jitqies kwalunkwe aġġustament għar-riskju ta’ kreditu u kwalunkwe fattur ta’ konverżjoni, la l-istimi proprji u lanqas il-fatturi ta’ konverżjoni speċifikati fl-Artikolu 166(8) tar-Regolament (UE) Nru 575/2013.</w:t>
            </w:r>
          </w:p>
          <w:p w14:paraId="5D37048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li ma jidhrux fil-karta bilanċjali għandhom jinkludu l-ammonti impenjati iżda mhux miġbuda kollha u l-entrati kollha li ma jidhrux fil-karta bilanċjali, kif elenkati fl-Anness I tar-Regolament (UE) Nru 575/2013.</w:t>
            </w:r>
          </w:p>
        </w:tc>
      </w:tr>
      <w:tr w:rsidR="00FB3D09" w:rsidRPr="002A677E" w14:paraId="5AAD700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490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0325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FATTURI TA’ KONVERŻJONI MEDJI PONDERATI SKONT L-ISKOPERTURA</w:t>
            </w:r>
          </w:p>
          <w:p w14:paraId="69C8E2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taqsima tal-firxa tal-PD fissa, il-fattur ta’ konverżjoni medju użat mill-istituzzjonijiet fil-kalkolu tagħhom tal-ammonti ta’ skoperturi ponderati għar-riskju, ponderat skont l-iskopertura li ma tidhirx fil-karta bilanċjali qabel is-CCF kif irrapportat fil-kolonna 0020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30332FF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7A3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02FE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TAL-ISKOPERTURI WARA L-FATTURI TA’ KONVERŻJONI U WARA S-CRM</w:t>
            </w:r>
          </w:p>
          <w:p w14:paraId="416A72E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f’konformità mal-Artikolu 166 tar-Regolament (UE) Nru 575/2013</w:t>
            </w:r>
          </w:p>
          <w:p w14:paraId="2BC7EF47" w14:textId="0D3DE562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għandha tinkludi t-total tal-valur tal-iskopertura ta’ skoperturi fil-karta bilanċjali u skoperturi li ma jidhrux fil-karta bilanċjali wara l-fatturi ta’ konverżjoni f’konformità mal-Artikolu 166, il-paragrafi (8) u (9) tar-Regolament (UE) Nru 575/2013 u wara t-tekniki tas-CRM.</w:t>
            </w:r>
          </w:p>
        </w:tc>
      </w:tr>
      <w:tr w:rsidR="00FB3D09" w:rsidRPr="002A677E" w14:paraId="4E069FC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E0E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1DB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PD MEDJU PONDERAT GĦALL-ISKOPERTURA (%)</w:t>
            </w:r>
          </w:p>
          <w:p w14:paraId="4DB9C65C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taqsima tal-firxa ta’ PD fissa, l-istima medja tal-PD ta’ kull obbligant, ponderata bil-valur tal-iskopertura wara s-CCF u s-CRM kif irrapportat fil-kolonna 0040.</w:t>
            </w:r>
          </w:p>
          <w:p w14:paraId="6AFB841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għalfejn timtela għat-total tal-klassijiet tal-iskoperturi kollha.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2BC40F2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44D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05F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GĦADD TA’ OBBLIGANTI</w:t>
            </w:r>
          </w:p>
          <w:p w14:paraId="0F009E6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entitajiet legali jew obbliganti allokati għal kull taqsima tal-firxa tal-PD fissa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5C904A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obbliganti għandu jingħadd f’konformità mal-istruzzjonijiet fil-kolonna 0300 tal-formola C 08.01.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L-obbliganti konġunti għandhom jiġu ttrattati l-istess bħal għall-fini tal-kalibrar tal-PD.</w:t>
            </w:r>
          </w:p>
        </w:tc>
      </w:tr>
      <w:tr w:rsidR="00FB3D09" w:rsidRPr="002A677E" w14:paraId="1AFC6165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08A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DA3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LGD MEDJU PONDERAT SKONT L-ISKOPERTURA (%)</w:t>
            </w:r>
          </w:p>
          <w:p w14:paraId="6424566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taqsima tal-firxa ta’ PD fissa, il-medja tal-istimi ta’ LGD għal kull skopertura, ponderata bil-valur tal-iskopertura wara s-CCF u s-CRM kif irrapportat fil-kolonna 0040</w:t>
            </w:r>
          </w:p>
          <w:p w14:paraId="6112932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L-LGD irrapportat għandu jikkorrispondi għall-istima finali tal-LGD użata fil-kalkolu tal-ammonti ponderati għar-riskju miksuba wara kunsiderazzjoni ta’ kwalunkwe effett tas-CRM u kundizzjonijiet ta’ tnaqqis fir-ritmu ekonomiku fejn rilevanti.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fil-livell tal-konsumatur garantiti bi proprjetajiet immobbli, l-LGD irrapportat għandu jqis il-limiti minimi speċifikati fl-Artikolu 164(4) tar-Regolament (UE) Nru 575/2013.</w:t>
            </w:r>
          </w:p>
          <w:p w14:paraId="4123D9EA" w14:textId="7777777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inadempjenti skont l-approċċ A-IRB, għandhom jitqiesu d-dispożizzjonijiet stabbiliti fl-Artikolu 181(1), il-punt (h)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L-LGD irrapportat għandu jikkorrispondi għall-istima tal-LGD f’inadempjenza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f’konformità</w:t>
            </w:r>
            <w:r>
              <w:rPr>
                <w:sz w:val="24"/>
                <w:rFonts w:ascii="Times New Roman" w:hAnsi="Times New Roman"/>
              </w:rPr>
              <w:t xml:space="preserve"> mal-metodoloġiji ta’ stima applikabbli.</w:t>
            </w:r>
          </w:p>
          <w:p w14:paraId="176BBB4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il-kolonna ma għandhiex għalfejn timtela għat-total tal-klassijiet tal-iskoperturi kollha.</w:t>
            </w:r>
          </w:p>
        </w:tc>
      </w:tr>
      <w:tr w:rsidR="00FB3D09" w:rsidRPr="002A677E" w14:paraId="449A226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27E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667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MATURITÀ MEDJA PONDERATA SKONT L-ISKOPERTURA (SNIN)</w:t>
            </w:r>
          </w:p>
          <w:p w14:paraId="44C8EC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Għall-iskoperturi kollha inklużi f’kull taqsima tal-firxa ta’ PD fissa, il-maturità medja ta’ kull skopertura, ponderata bil-valur tal-iskopertura wara s-CCF kif irrapportat fil-kolonna 0040</w:t>
            </w:r>
          </w:p>
          <w:p w14:paraId="6B1FFBC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Il-valur rapportat għandu jiġi determinat f’konformità mal-Artikolu 162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50A0AC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Il-maturità medja għandha tiġi rapportata fi snin.</w:t>
            </w:r>
          </w:p>
          <w:p w14:paraId="2D4B80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id-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data</w:t>
            </w:r>
            <w:r>
              <w:rPr>
                <w:sz w:val="24"/>
                <w:rFonts w:ascii="Times New Roman" w:hAnsi="Times New Roman"/>
              </w:rPr>
              <w:t xml:space="preserve"> ma għandhiex tiġi rapportata għall-valuri tal-iskoperturi li għalihom il-maturità mhijiex element fil-kalkolu tal-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ammonti tal-iskoperturi ponderati għar-riskju</w:t>
            </w:r>
            <w:r>
              <w:rPr>
                <w:sz w:val="24"/>
                <w:rFonts w:ascii="Times New Roman" w:hAnsi="Times New Roman"/>
              </w:rPr>
              <w:t xml:space="preserve"> f’konformità mal-Parti Tlieta, it-Titolu II, il-Kapitolu 3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ifisser li din il-kolonna ma għandhiex timtela għall-klassi tal-iskoperturi ‘‘fil-livell tal-konsumatur’’.</w:t>
            </w:r>
          </w:p>
        </w:tc>
      </w:tr>
      <w:tr w:rsidR="00FB3D09" w:rsidRPr="002A677E" w14:paraId="6D53A25A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A326" w14:textId="77777777" w:rsidR="00FB3D09" w:rsidRPr="002A677E" w:rsidDel="00F079B2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E6B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WARA L-FATTURI TA’ APPOĠĠ</w:t>
            </w:r>
          </w:p>
          <w:p w14:paraId="62CEA76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għal gvernijiet ċentrali u għal banek ċentrali, istituzzjonijiet u impriżi, l-ammont tal-iskopertura ponderat għar-riskju kkalkolat f’konformità mal-Artikolu 153, il-paragrafi (1) sa (4);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fil-livell tal-konsumatur, l-ammont tal-iskopertura ponderat għar-riskju kkalkolat f’konformità mal-Artikolu 154 tar-Regolament (UE) Nru 575/2013</w:t>
            </w:r>
          </w:p>
          <w:p w14:paraId="2CF926D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Il-fatturi ta’ appoġġ tal-SMEs u l-infrastruttura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stipulati</w:t>
            </w:r>
            <w:r>
              <w:rPr>
                <w:sz w:val="24"/>
                <w:rFonts w:ascii="Times New Roman" w:hAnsi="Times New Roman"/>
              </w:rPr>
              <w:t xml:space="preserve"> fl-Artikoli 501 u 501a tar-Regolament (UE) Nru 575/2013 għandhom jitqiesu.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5C992AF3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842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B09C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TA’ TELF MISTENNI</w:t>
            </w:r>
          </w:p>
          <w:p w14:paraId="553224A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telf mistenni kkalkulat f’konformità mal-Artikolu 158 tar-Regolament (UE) Nru 575/2013</w:t>
            </w:r>
          </w:p>
          <w:p w14:paraId="7FB4F7F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ta’ telf mistenni li għandu jkun irrapportat ikun ibbażat fuq il-parametri tar-riskju attwali użati fl-iskala ta’ klassifikazzjoni interna approvata mill-awtorità kompetenti rispettiva.</w:t>
            </w:r>
          </w:p>
        </w:tc>
      </w:tr>
      <w:tr w:rsidR="00FB3D09" w:rsidRPr="002A677E" w14:paraId="41A60CF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87E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7FB7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AĠĠUSTAMENTI TAL-VALUR U DISPOŻIZZJONIJIET</w:t>
            </w:r>
          </w:p>
          <w:p w14:paraId="6396EDF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speċifiċi u ġenerali għar-riskju ta’ kreditu f’konformità mar-Regolament ta’ Delega tal-Kummissjoni (UE) Nru 183/2014, aġġustamenti fil-valur addizzjonali f’konformità mal-Artikoli 34 u 110 tar-Regolament (UE) Nru 575/2013, kif ukoll tnaqqis ieħor ta’ fondi proprji relatat ma’ skoperturi allokati għal kull taqsima fil-firxa tal-PD fissa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0338EC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l-aġġustamenti tal-valur u d-dispożizzjonijiet għandhom ikunu dawk ikkunsidrati għall-implimentazzjoni tal-Artikolu 159 tar-Regolament (UE) Nru 575/2013.</w:t>
            </w:r>
          </w:p>
          <w:p w14:paraId="44F9E3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Dispożizzjonijiet ġenerali għandhom ikunu rapportati billi jiġi assenjat l-ammont pro rata –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f’konformità</w:t>
            </w:r>
            <w:r>
              <w:rPr>
                <w:sz w:val="24"/>
                <w:rFonts w:ascii="Times New Roman" w:hAnsi="Times New Roman"/>
              </w:rPr>
              <w:t xml:space="preserve"> mat-telf mistenni tal-gradi differenti tal-obbliganti.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1A4B339F" w14:textId="77777777" w:rsidR="00FB3D09" w:rsidRPr="002A677E" w:rsidRDefault="00FB3D09" w:rsidP="00FB3D09">
      <w:pPr>
        <w:pStyle w:val="InstructionsText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57"/>
      </w:tblGrid>
      <w:tr w:rsidR="00FB3D09" w:rsidRPr="002A677E" w14:paraId="27D32695" w14:textId="77777777" w:rsidTr="00822842">
        <w:tc>
          <w:tcPr>
            <w:tcW w:w="1271" w:type="dxa"/>
            <w:shd w:val="clear" w:color="auto" w:fill="auto"/>
          </w:tcPr>
          <w:p w14:paraId="52082BD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557" w:type="dxa"/>
            <w:shd w:val="clear" w:color="auto" w:fill="auto"/>
          </w:tcPr>
          <w:p w14:paraId="1E8678C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45ADFC09" w14:textId="77777777" w:rsidTr="00822842">
        <w:tc>
          <w:tcPr>
            <w:tcW w:w="1271" w:type="dxa"/>
          </w:tcPr>
          <w:p w14:paraId="6A7BEAE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FIRXA TAL-PD</w:t>
            </w:r>
          </w:p>
        </w:tc>
        <w:tc>
          <w:tcPr>
            <w:tcW w:w="8557" w:type="dxa"/>
          </w:tcPr>
          <w:p w14:paraId="2EEEC841" w14:textId="21B277A7" w:rsidR="00FB3D09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għandhom ikunu allokati għal taqsima xierqa tal-firxa tal-PD fissa bbażata fuq il-PD stmata għal kull obbligant assenjat għal din il-klassi tal-iskoperturi (b’kunsiderazzjoni għal kwalunkwe effett ta’ sostituzzjoni minħabba s-CRM).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jikklassifikaw l-iskopertura skont l-iskopertura għall-firxa tal-PD ipprovduta fil-formola, filwaqt li jqisu wkoll l-iskali kontinwi.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L-iskoperturi inadempjenti kollha għandhom jiġu inklużi fil-bucket li tirrappreżenta PD ta’ 100</w:t>
            </w:r>
            <w:r>
              <w:t xml:space="preserve"> </w:t>
            </w:r>
            <w:r>
              <w:rPr>
                <w:sz w:val="24"/>
                <w:rFonts w:ascii="Times New Roman" w:hAnsi="Times New Roman"/>
              </w:rPr>
              <w:t xml:space="preserve">%.</w:t>
            </w:r>
          </w:p>
          <w:p w14:paraId="19852B86" w14:textId="77777777" w:rsidR="00FB3D09" w:rsidRDefault="00FB3D09" w:rsidP="00822842">
            <w:pPr>
              <w:rPr>
                <w:rFonts w:ascii="Times New Roman" w:hAnsi="Times New Roman"/>
                <w:sz w:val="24"/>
              </w:rPr>
            </w:pPr>
          </w:p>
          <w:p w14:paraId="24E3793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{r0170, c0050} u {r0170, c0070} għandhom jiġu rapportati għal kull klassi tal-iskoperturi, iżda mhux għat-total tal-klassijiet tal-iskoperturi kollha.</w:t>
            </w:r>
          </w:p>
        </w:tc>
      </w:tr>
    </w:tbl>
    <w:p w14:paraId="3EAAC2EE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09" w:name="_Toc19715758"/>
      <w:bookmarkStart w:id="110" w:name="_Toc151714402"/>
      <w:r>
        <w:rPr>
          <w:sz w:val="24"/>
          <w:rFonts w:ascii="Times New Roman" w:hAnsi="Times New Roman"/>
        </w:rPr>
        <w:t xml:space="preserve">C 08.04 - Ir-riskji ta’ kreditu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 (dikjarazzjonijiet tal-fluss tal-RWEA (CR IRB 4))</w:t>
      </w:r>
      <w:bookmarkEnd w:id="109"/>
      <w:bookmarkEnd w:id="110"/>
    </w:p>
    <w:p w14:paraId="3805004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1" w:name="_Toc19715759"/>
      <w:bookmarkStart w:id="112" w:name="_Toc151714403"/>
      <w:r>
        <w:rPr>
          <w:sz w:val="24"/>
          <w:rFonts w:ascii="Times New Roman" w:hAnsi="Times New Roman"/>
        </w:rPr>
        <w:t xml:space="preserve">Rimarki ġenerali</w:t>
      </w:r>
      <w:bookmarkEnd w:id="111"/>
      <w:bookmarkEnd w:id="112"/>
    </w:p>
    <w:p w14:paraId="32E75E48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78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l-informazzjoni inkluża f’din il-formola fl-applikazzjoni tal-Artikolu 438, il-punt (h), tar-Regolament (UE) Nru 575/2013.</w:t>
      </w:r>
      <w:r>
        <w:t xml:space="preserve"> </w:t>
      </w:r>
      <w:r>
        <w:t xml:space="preserve">Din il-formola teskludi l-iskoperturi għar-riskju ta’ kreditu tal-kontroparti (CCR) (il-Parti Tlieta, it-Titolu II, il-Kapitolu 6 tar-Regolament (UE) Nru 575/2013).</w:t>
      </w:r>
    </w:p>
    <w:p w14:paraId="7118D17C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 w:rsidRPr="00624117">
        <w:fldChar w:fldCharType="begin" w:dirty="true"/>
      </w:r>
      <w:r w:rsidRPr="002A677E">
        <w:instrText xml:space="preserve"> seq paragraphs </w:instrText>
      </w:r>
      <w:r w:rsidRPr="00624117">
        <w:fldChar w:fldCharType="separate"/>
      </w:r>
      <w:r>
        <w:t>79</w:t>
      </w:r>
      <w:r w:rsidRPr="00624117">
        <w:fldChar w:fldCharType="end"/>
      </w:r>
      <w:r>
        <w:t xml:space="preserve">.</w:t>
      </w:r>
      <w:r>
        <w:t xml:space="preserve"> </w:t>
      </w:r>
      <w:r>
        <w:t xml:space="preserve">L-istituzzjonijiet għandhom jirrapportaw il-flussi tal-RWEA bħala l-bidliet bejn l-ammonti ta’ skoperturi ponderati għar-riskju fid-data ta’ referenza u l-ammonti ta’ skoperturi ponderati għar-riskju fid-data ta’ referenza preċedenti.</w:t>
      </w:r>
      <w:r>
        <w:t xml:space="preserve"> </w:t>
      </w:r>
      <w:r>
        <w:t xml:space="preserve">Fil-każ ta’ rapportar trimestrali, għandu jiġi rapportat tmiem it-trimestru qabel it-trimestru tad-data ta’ referenza tar-rapportar.</w:t>
      </w:r>
      <w:r>
        <w:t xml:space="preserve"> </w:t>
      </w:r>
    </w:p>
    <w:p w14:paraId="6029806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3" w:name="_Toc19715760"/>
      <w:bookmarkStart w:id="114" w:name="_Toc151714404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13"/>
      <w:bookmarkEnd w:id="114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0997C591" w14:textId="77777777" w:rsidTr="00822842">
        <w:tc>
          <w:tcPr>
            <w:tcW w:w="1188" w:type="dxa"/>
            <w:tcBorders>
              <w:bottom w:val="single" w:sz="4" w:space="0" w:color="auto"/>
            </w:tcBorders>
            <w:shd w:val="clear" w:color="auto" w:fill="CCCCCC"/>
          </w:tcPr>
          <w:p w14:paraId="332EC64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Kolonna</w:t>
            </w:r>
          </w:p>
        </w:tc>
        <w:tc>
          <w:tcPr>
            <w:tcW w:w="8843" w:type="dxa"/>
            <w:tcBorders>
              <w:bottom w:val="single" w:sz="4" w:space="0" w:color="auto"/>
            </w:tcBorders>
            <w:shd w:val="clear" w:color="auto" w:fill="CCCCCC"/>
          </w:tcPr>
          <w:p w14:paraId="247A799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2B589794" w14:textId="77777777" w:rsidTr="00822842">
        <w:trPr>
          <w:trHeight w:val="97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FD2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  <w:p w14:paraId="2235B055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A827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</w:t>
            </w:r>
          </w:p>
          <w:p w14:paraId="0E2B39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totali tal-iskopertura ponderat għar-riskju għal riskju ta’ kreditu kkalkolat bl-approċċ IRB, filwaqt li jitqiesu l-fatturi ta’ appoġġ f’konformità mal-Artikolu 501 u 501a tar-Regolament (UE) Nru 575/2013.</w:t>
            </w:r>
          </w:p>
        </w:tc>
      </w:tr>
      <w:tr w:rsidR="00FB3D09" w:rsidRPr="002A677E" w14:paraId="4E7D65E6" w14:textId="77777777" w:rsidTr="00822842">
        <w:trPr>
          <w:trHeight w:val="338"/>
        </w:trPr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BBCD24" w14:textId="77777777" w:rsidR="00FB3D09" w:rsidRPr="002A677E" w:rsidRDefault="00FB3D09" w:rsidP="0082284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B99B08" w14:textId="77777777" w:rsidR="00FB3D09" w:rsidRPr="002A677E" w:rsidRDefault="00FB3D09" w:rsidP="00822842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B3D09" w:rsidRPr="002A677E" w14:paraId="7ED73005" w14:textId="77777777" w:rsidTr="00822842">
        <w:tc>
          <w:tcPr>
            <w:tcW w:w="1188" w:type="dxa"/>
            <w:shd w:val="clear" w:color="auto" w:fill="CCCCCC"/>
          </w:tcPr>
          <w:p w14:paraId="3BBB0A0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843" w:type="dxa"/>
            <w:shd w:val="clear" w:color="auto" w:fill="CCCCCC"/>
          </w:tcPr>
          <w:p w14:paraId="117CE12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1452B7A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A24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B5F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FIT-TMIEM TAL-PERJODU TA’ RAPPORTAR PREĊEDENTI</w:t>
            </w:r>
          </w:p>
          <w:p w14:paraId="1DA9C0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tal-iskopertura ponderat għar-riskju fi tmiem il-perjodu ta’ rapportar preċedenti wara l-applikazzjoni tal-fatturi ta’ appoġġ tal-SMEs u l-infrastruttura stabbiliti fl-Artikoli 501 u 501a tar-Regolament (UE) Nru 575/2013</w:t>
            </w:r>
          </w:p>
        </w:tc>
      </w:tr>
      <w:tr w:rsidR="00FB3D09" w:rsidRPr="002A677E" w14:paraId="512A9B2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114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BC1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DAQS TAL-ASSI (+/-)</w:t>
            </w:r>
          </w:p>
          <w:p w14:paraId="1F51764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Bidla fl-ammont tal-iskopertura ponderata għar-riskju bejn tmiem il-perjodu ta’ rapportar preċedenti u tmiem il-perjodu ta’ rapportar attwali, minħabba d-daqs tal-assi, jiġifieri bidliet organiċi fid-daqs u l-kompożizzjoni kontabilistiċi (inkluż l-oriġini ta’ negozji ġodda u self maturat) iżda esklużi bidliet fid-daqs kontabilistiku minħabba l-akkwiżizzjonijiet u d-disponiment ta’ entitajiet</w:t>
            </w:r>
          </w:p>
          <w:p w14:paraId="13341C3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tal-iskoperturi ponderati għar-riskju għandhom ikunu rapportati bħala ammont pożittiv u tnaqqis fl-ammonti tal-iskoperturi ponderati għar-riskju għandhom ikunu rapportati bħala ammont negattiv.</w:t>
            </w:r>
          </w:p>
        </w:tc>
      </w:tr>
      <w:tr w:rsidR="00FB3D09" w:rsidRPr="002A677E" w14:paraId="17C5A80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241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BEE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KWALITÀ TAL-ASSI (+/-)</w:t>
            </w:r>
          </w:p>
          <w:p w14:paraId="7712664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Bidla fl-ammont tal-iskopertura ponderata għar-riskju bejn tmiem il-perjodu ta’ rapportar preċedenti u tmiem il-perjodu ta’ rapportar attwali, minħabba l-kwalità tal-assi, jiġifieri bidliet fil-kwalità vvalutata tal-assi tal-istituzzjoni minħabba bidliet fir-riskju tal-mutwatarju, bħall-migrazzjoni tal-grad ta’ klassifikazzjoni jew effetti simili</w:t>
            </w:r>
          </w:p>
          <w:p w14:paraId="17EA6F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tal-iskoperturi ponderati għar-riskju għandhom ikunu rapportati bħala ammont pożittiv u tnaqqis fl-ammonti tal-iskoperturi ponderati għar-riskju għandhom ikunu rapportati bħala ammont negattiv.</w:t>
            </w:r>
          </w:p>
        </w:tc>
      </w:tr>
      <w:tr w:rsidR="00FB3D09" w:rsidRPr="002A677E" w14:paraId="6AF2D12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AC1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09B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AĠĠORNAMENTI TAL-MUDELL (+/-)</w:t>
            </w:r>
          </w:p>
          <w:p w14:paraId="44A3009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Bidla fl-ammont tal-iskopertura ponderata għar-riskju bejn tmiem il-perjodu ta’ rapportar preċedenti u tmiem il-perjodu ta’ rapportar attwali, minħabba l-aġġornamenti tal-mudell, jiġifieri bidliet minħabba l-implimentazzjoni ta’ mudelli ġodda, bidliet fil-mudelli, bidliet fil-kamp ta’ applikazzjoni tal-mudelli, jew kwalunkwe bidla oħra maħsuba biex tindirizza dgħufijiet fil-mudell.</w:t>
            </w:r>
          </w:p>
          <w:p w14:paraId="3C5A301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tal-iskoperturi ponderati għar-riskju għandhom ikunu rapportati bħala ammont pożittiv u tnaqqis fl-ammonti tal-iskoperturi ponderati għar-riskju għandhom ikunu rapportati bħala ammont negattiv.</w:t>
            </w:r>
          </w:p>
        </w:tc>
      </w:tr>
      <w:tr w:rsidR="00FB3D09" w:rsidRPr="002A677E" w14:paraId="538C412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E518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A7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METODOLOĠIJA U POLITIKA (+/-)</w:t>
            </w:r>
          </w:p>
          <w:p w14:paraId="630D0C5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Bidla fl-ammont tal-iskopertura ponderata għar-riskju bejn tmiem il-perjodu ta’ rapportar preċedenti u tmiem il-perjodu ta’ rapportar attwali, minħabba l-metodoloġija u l-politika, jiġifieri bidliet minħabba bidliet metodoloġiċi fil-kalkoli xprunati minn bidliet fil-politika regolatorja, inklużi kemm reviżjonijiet għar-regolamenti eżistenti kif ukoll regolamenti ġodda, minbarra bidliet fil-mudelli, li huma esklużi fir-ringiela 0040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6A06D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tal-iskoperturi ponderati għar-riskju għandhom ikunu rapportati bħala ammont pożittiv u tnaqqis fl-ammonti tal-iskoperturi ponderati għar-riskju għandhom ikunu rapportati bħala ammont negattiv.</w:t>
            </w:r>
          </w:p>
        </w:tc>
      </w:tr>
      <w:tr w:rsidR="00FB3D09" w:rsidRPr="002A677E" w14:paraId="1DA64889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CA6F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7991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AKKWIŻIZZJONIJIET U DISPONIMENTI (+/-)</w:t>
            </w:r>
          </w:p>
          <w:p w14:paraId="3CDAAB1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Bidla fl-ammont tal-iskopertura ponderata għar-riskju bejn tmiem il-perjodu ta’ rapportar preċedenti u tmiem il-perjodu ta’ rapportar attwali, minħabba l-akkwiżizzjonijiet u d-disponimenti, jiġifieri bidliet fid-daqsijiet kontabilistiċi minħabba l-akkwiżizzjonijiet u d-disponiment tal-entitajiet</w:t>
            </w:r>
          </w:p>
          <w:p w14:paraId="2BE224B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tal-iskoperturi ponderati għar-riskju għandhom ikunu rapportati bħala ammont pożittiv u tnaqqis fl-ammonti tal-iskoperturi ponderati għar-riskju għandhom ikunu rapportati bħala ammont negattiv.</w:t>
            </w:r>
          </w:p>
        </w:tc>
      </w:tr>
      <w:tr w:rsidR="00FB3D09" w:rsidRPr="002A677E" w14:paraId="09BBCECA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9660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94C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MOVIMENTI FIR-RATA TAL-KAMBJU (+/-)</w:t>
            </w:r>
          </w:p>
          <w:p w14:paraId="5F574A4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Bidla fl-ammont tal-iskopertura ponderata għar-riskju bejn tmiem il-perjodu ta’ rapportar preċedenti u tmiem il-perjodu ta’ rapportar attwali, minħabba movimenti fir-rata tal-kambju, jiġifieri bidliet li jirriżultaw minn movimenti fil-qlib tal-muniti barranija</w:t>
            </w:r>
          </w:p>
          <w:p w14:paraId="32C9FB5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tal-iskoperturi ponderati għar-riskju għandhom ikunu rapportati bħala ammont pożittiv u tnaqqis fl-ammonti tal-iskoperturi ponderati għar-riskju għandhom ikunu rapportati bħala ammont negattiv.</w:t>
            </w:r>
          </w:p>
        </w:tc>
      </w:tr>
      <w:tr w:rsidR="00FB3D09" w:rsidRPr="002A677E" w14:paraId="3535A9E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8C5D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BAF1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OĦRAJN (+/-)</w:t>
            </w:r>
          </w:p>
          <w:p w14:paraId="5F09C0B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Bidla fl-ammont tal-iskopertura ponderata għar-riskju bejn tmiem il-perjodu ta’ rapportar preċedenti u tmiem il-perjodu ta’ rapportar attwali, minħabba raġunijiet oħra</w:t>
            </w:r>
          </w:p>
          <w:p w14:paraId="14338D9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il-kategorija għandha tintuża sabiex tkopri tibdiliet li ma jistgħux jiġu attribwiti għal xi kategorija oħra.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8CAC00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Żidiet fl-ammonti tal-iskoperturi ponderati għar-riskju għandhom ikunu rapportati bħala ammont pożittiv u tnaqqis fl-ammonti tal-iskoperturi ponderati għar-riskju għandhom ikunu rapportati bħala ammont negattiv.</w:t>
            </w:r>
          </w:p>
        </w:tc>
      </w:tr>
      <w:tr w:rsidR="00FB3D09" w:rsidRPr="002A677E" w14:paraId="0BDA1D0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E93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FAA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FIT-TMIEM TAL-PERJODU TA’ RAPPORTAR</w:t>
            </w:r>
          </w:p>
          <w:p w14:paraId="1FFEC50C" w14:textId="77777777" w:rsidR="00FB3D09" w:rsidRPr="002A677E" w:rsidRDefault="00FB3D09" w:rsidP="00822842">
            <w:pPr>
              <w:pStyle w:val="CommentText"/>
            </w:pPr>
            <w:r>
              <w:rPr>
                <w:sz w:val="24"/>
                <w:rFonts w:ascii="Times New Roman" w:hAnsi="Times New Roman"/>
              </w:rPr>
              <w:t xml:space="preserve">L-ammont tal-iskopertura ponderat għar-riskju fi tmiem il-perjodu ta’ rapportar preċedenti wara l-applikazzjoni tal-fatturi ta’ appoġġ tal-SMEs u l-infrastruttura stabbiliti fl-Artikoli 501 u 501a tar-Regolament (UE) Nru 575/2013</w:t>
            </w:r>
          </w:p>
        </w:tc>
      </w:tr>
    </w:tbl>
    <w:p w14:paraId="49993E55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15" w:name="_Toc19715761"/>
      <w:bookmarkStart w:id="116" w:name="_Toc151714405"/>
      <w:r>
        <w:rPr>
          <w:sz w:val="24"/>
          <w:rFonts w:ascii="Times New Roman" w:hAnsi="Times New Roman"/>
        </w:rPr>
        <w:t xml:space="preserve">C 08.05 - Ir-riskji ta’ kreditu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 (Ittestjar retrospettiv tal-PD (CR IRB 5))</w:t>
      </w:r>
      <w:bookmarkEnd w:id="115"/>
      <w:bookmarkEnd w:id="116"/>
    </w:p>
    <w:p w14:paraId="16F92F14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7" w:name="_Toc19715762"/>
      <w:bookmarkStart w:id="118" w:name="_Toc151714406"/>
      <w:r>
        <w:rPr>
          <w:sz w:val="24"/>
          <w:rFonts w:ascii="Times New Roman" w:hAnsi="Times New Roman"/>
        </w:rPr>
        <w:t xml:space="preserve">Rimarki ġenerali</w:t>
      </w:r>
      <w:bookmarkEnd w:id="117"/>
      <w:bookmarkEnd w:id="118"/>
    </w:p>
    <w:p w14:paraId="708FD0D4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80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l-informazzjoni inkluża f’din il-formola skont l-Artikolu 452, il-punt (h) tar-Regolament (UE) Nru 575/2013.</w:t>
      </w:r>
      <w:r>
        <w:t xml:space="preserve"> </w:t>
      </w:r>
      <w:r>
        <w:t xml:space="preserve">L-istituzzjoni għandha tqis il-mudelli użati f’kull klassi tal-iskoperturi u għandha tispjega l-perċentwal tal-ammont tal-iskopertura ponderat għar-riskju tal-klassi tal-iskoperturi rilevanti koperta mill-mudelli li għalihom ir-riżultati tal-ittestjar retrospettiv huma rapportati hawnhekk.</w:t>
      </w:r>
      <w:r>
        <w:t xml:space="preserve"> </w:t>
      </w:r>
      <w:r>
        <w:t xml:space="preserve">Din il-formola teskludi l-iskoperturi għar-riskju ta’ kreditu tal-kontroparti (CCR) (il-Parti Tlieta, it-Titolu II, il-Kapitolu 6 tar-Regolament (UE) Nru 575/2013).</w:t>
      </w:r>
    </w:p>
    <w:p w14:paraId="584B488E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19" w:name="_Toc19715763"/>
      <w:bookmarkStart w:id="120" w:name="_Toc151714407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19"/>
      <w:bookmarkEnd w:id="12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768D8734" w14:textId="77777777" w:rsidTr="00822842">
        <w:tc>
          <w:tcPr>
            <w:tcW w:w="1188" w:type="dxa"/>
            <w:shd w:val="clear" w:color="auto" w:fill="CCCCCC"/>
          </w:tcPr>
          <w:p w14:paraId="5B2B4D0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shd w:val="clear" w:color="auto" w:fill="CCCCCC"/>
          </w:tcPr>
          <w:p w14:paraId="2736A61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543ACB4E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DC7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7D6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MEDJA ARITMETIKA TAL-PD (%)</w:t>
            </w:r>
          </w:p>
          <w:p w14:paraId="369D866D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Medja aritmetika tal-PD fil-bidu tal-perjodu ta’ rapportar tal-obbliganti li jikklassifikaw fit-taqsima tal-medda tal-PD fissa u magħduda fil-kolonna 0020 (medja ponderata skont l-għadd ta’ obbliganti)</w:t>
            </w:r>
          </w:p>
        </w:tc>
      </w:tr>
      <w:tr w:rsidR="00FB3D09" w:rsidRPr="002A677E" w14:paraId="2E5C530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42A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0046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GĦADD TA’ OBBLIGANTI FI TMIEM IS-SENA PREĊEDENTI</w:t>
            </w:r>
          </w:p>
          <w:p w14:paraId="1D7F3DC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Għadd ta’ obbliganti fi tmiem is-sena preċedenti soġġetti għar-rapportar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5726FB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L-obbliganti kollha li jkollhom obbligazzjoni ta’ kreditu fil-punt ta’ żmien rilevanti għandhom jiġu inklużi.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234603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L-għadd ta’ obbliganti għandu jingħadd f’konformità mal-istruzzjonijiet fil-kolonna 0300 tal-formola C 08.01.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L-obbliganti konġunti għandhom jiġu ttrattati l-istess bħal għall-fini tal-kalibrar tal-PD.</w:t>
            </w:r>
          </w:p>
        </w:tc>
      </w:tr>
      <w:tr w:rsidR="00FB3D09" w:rsidRPr="002A677E" w14:paraId="14CA9E03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479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BA6B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INADEMPJENTI MATUL IS-SENA</w:t>
            </w:r>
          </w:p>
          <w:p w14:paraId="62E6E1C3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Għadd ta’ obbliganti li saru inadempjenti matul is-sena (jiġifieri l-perjodu ta’ osservazzjoni tal-kalkolu tar-rata ta’ inadempjenza)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E6FF3A5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L-inadempjenzi għandhom jiġu determinati f’konformità mal-Artikolu 178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7E2D9C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Kull obbligant inadempjenti jingħadd darba biss fin-numeratur u d-denominatur tal-kalkolu tar-rata ta’ inadempjenza ta’ sena, anki jekk l-obbligant ikun sar inadempjenti aktar minn darba matul il-perjodu rilevanti ta’ sena.</w:t>
            </w:r>
          </w:p>
        </w:tc>
      </w:tr>
      <w:tr w:rsidR="00FB3D09" w:rsidRPr="002A677E" w14:paraId="5FAAFE7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9B5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AEDF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RATA MEDJA TA’ INADEMPJENZA OSSERVATA (%)</w:t>
            </w:r>
          </w:p>
          <w:p w14:paraId="2D64742F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Rata ta’ inadempjenza ta’ sena kif imsemmi fl-Artikolu 4(1), il-punt (78) tar-Regolament (UE) Nru 575/2013</w:t>
            </w:r>
          </w:p>
          <w:p w14:paraId="01C9FA62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jiżguraw:</w:t>
            </w:r>
          </w:p>
          <w:p w14:paraId="3C9723C5" w14:textId="77777777" w:rsidR="00FB3D09" w:rsidRPr="002A677E" w:rsidRDefault="00FB3D09" w:rsidP="00822842">
            <w:pPr>
              <w:autoSpaceDE w:val="0"/>
              <w:autoSpaceDN w:val="0"/>
              <w:adjustRightInd w:val="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(a) li d-denominatur jikkonsisti fl-għadd ta’ obbliganti mhux inadempjenti bi kwalunkwe obbligazzjoni ta’ kreditu osservata fil-bidu tal-perjodu ta’ osservazzjoni ta’ sena (jiġifieri l-bidu tas-sena ta’ qabel id-data ta’ referenza tar-rapportar);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f’dan il-kuntest, obbligazzjoni ta’ kreditu tirreferi għat-tnejn li ġejjin: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(i) kwalunkwe entrata fil-karta bilanċjali, inkluż kwalunkwe ammont ta’ kapital, ta’ mgħax u ta’ tariffi;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(ii) kwalunkwe entrata li ma tidhirx fil-karta bilanċjali, inklużi garanziji maħruġa mill-istituzzjoni bħala garanti.</w:t>
            </w:r>
          </w:p>
          <w:p w14:paraId="0D440FD1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(b) li n-numeratur jinkludi dawk l-obbliganti kollha kkunsidrati fid-denominatur li kellu mill-inqas event wieħed ta’ inadempjenza matul il-perjodu ta’ osservazzjoni ta’ sena (sena qabel id-data ta’ referenza tar-rapportar).</w:t>
            </w:r>
          </w:p>
          <w:p w14:paraId="071F87D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Rigward il-kalkolu tal-għadd ta’ obbliganti ara l-kolonna 0300 tal-formola C 08.01.</w:t>
            </w:r>
          </w:p>
        </w:tc>
      </w:tr>
      <w:tr w:rsidR="00FB3D09" w:rsidRPr="002A677E" w14:paraId="5135E71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563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9762" w14:textId="77777777" w:rsidR="00FB3D09" w:rsidRPr="002A677E" w:rsidRDefault="00FB3D09" w:rsidP="00822842">
            <w:pPr>
              <w:rPr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RATA INADEMPJENTI ANNWALI STORIKA MEDJA (%)</w:t>
            </w:r>
          </w:p>
          <w:p w14:paraId="584459C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Il-medja sempliċi tar-rata ta’ inadempjenza annwali tal-ħames snin l-aktar riċenti (obbliganti fil-bidu ta’ kull sena li saru inadempjenti matul dik is-sena/obbliganti totali fil-bidu tas-sena) hija l-minimu.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 tista’ tuża perjodu storiku itwal li jkun konsistenti mal-prattiki attwali ta’ ġestjoni tar-riskju tal-istituzzjoni.</w:t>
            </w:r>
          </w:p>
        </w:tc>
      </w:tr>
    </w:tbl>
    <w:p w14:paraId="1BEF1A2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57"/>
      </w:tblGrid>
      <w:tr w:rsidR="00FB3D09" w:rsidRPr="002A677E" w14:paraId="1B84D0E8" w14:textId="77777777" w:rsidTr="00822842">
        <w:tc>
          <w:tcPr>
            <w:tcW w:w="1271" w:type="dxa"/>
            <w:shd w:val="clear" w:color="auto" w:fill="auto"/>
          </w:tcPr>
          <w:p w14:paraId="3EC9FD0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557" w:type="dxa"/>
            <w:shd w:val="clear" w:color="auto" w:fill="auto"/>
          </w:tcPr>
          <w:p w14:paraId="65FC4F8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3C8ED033" w14:textId="77777777" w:rsidTr="00822842">
        <w:tc>
          <w:tcPr>
            <w:tcW w:w="1271" w:type="dxa"/>
          </w:tcPr>
          <w:p w14:paraId="514F115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FIRXA TAL-PD</w:t>
            </w:r>
          </w:p>
        </w:tc>
        <w:tc>
          <w:tcPr>
            <w:tcW w:w="8557" w:type="dxa"/>
          </w:tcPr>
          <w:p w14:paraId="61595E98" w14:textId="56A50A6C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għandhom ikunu allokati għal taqsima xierqa tal-firxa ta’ PD fissa bbażata fuq il-PD stmata fil-bidu tal-perjodu ta’ rapportar għal kull obbligant assenjat għal din il-klassi tal-iskoperturi (b’kunsiderazzjoni għal kwalunkwe effett ta’ sostituzzjoni minħabba s-CRM).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L-istituzzjonijiet għandhom jikklassifikaw l-iskopertura skont l-iskopertura għall-firxa tal-PD ipprovduta fil-formola, filwaqt li jqisu wkoll l-iskali kontinwi.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L-iskoperturi inadempjenti kollha għandhom jiġu inklużi fil-bucket li tirrappreżenta PD ta’ 100</w:t>
            </w:r>
            <w:r>
              <w:t xml:space="preserve"> </w:t>
            </w:r>
            <w:r>
              <w:rPr>
                <w:sz w:val="24"/>
                <w:rFonts w:ascii="Times New Roman" w:hAnsi="Times New Roman"/>
              </w:rPr>
              <w:t xml:space="preserve">%.</w:t>
            </w:r>
          </w:p>
        </w:tc>
      </w:tr>
    </w:tbl>
    <w:p w14:paraId="4DD60C58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21" w:name="_Toc19715764"/>
      <w:bookmarkStart w:id="122" w:name="_Toc151714408"/>
      <w:r>
        <w:rPr>
          <w:sz w:val="24"/>
          <w:rFonts w:ascii="Times New Roman" w:hAnsi="Times New Roman"/>
        </w:rPr>
        <w:t xml:space="preserve">C 08.05.1 - Riskju ta’ kreditu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Ittestjar retrospettiv tal-PD f’konformità mal-Artikolu 180(1), il-punt (f) tar-Regolament (UE) Nru 575/2013 (CR IRB 5B)</w:t>
      </w:r>
      <w:bookmarkEnd w:id="121"/>
      <w:bookmarkEnd w:id="122"/>
    </w:p>
    <w:p w14:paraId="27A46150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3" w:name="_Toc19715765"/>
      <w:bookmarkStart w:id="124" w:name="_Toc151714409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23"/>
      <w:bookmarkEnd w:id="124"/>
    </w:p>
    <w:p w14:paraId="68360FA1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81</w:t>
      </w:r>
      <w:r>
        <w:fldChar w:fldCharType="end"/>
      </w:r>
      <w:r>
        <w:t xml:space="preserve">.</w:t>
      </w:r>
      <w:r>
        <w:t xml:space="preserve"> </w:t>
      </w:r>
      <w:r>
        <w:t xml:space="preserve">Minbarra l-formola C 08.05, l-istituzzjonijiet għandhom jirrapportaw l-informazzjoni inkluża fil-formola C 08.05.1 f’każ li japplikaw l-Artikolu 180(1), il-punt (f) tar-Regolament (UE) Nru 575/2013 għall-istima tal-PD u għall-istimi tal-PD biss f’konformità mal-istess Artikolu.</w:t>
      </w:r>
      <w:r>
        <w:t xml:space="preserve"> </w:t>
      </w:r>
      <w:r>
        <w:t xml:space="preserve">L-istruzzjonijiet huma l-istess bħal għall-formola C 08.05, bl-eċċezzjonijiet li ġejjin: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1E2F3B8E" w14:textId="77777777" w:rsidTr="00822842">
        <w:tc>
          <w:tcPr>
            <w:tcW w:w="1188" w:type="dxa"/>
            <w:shd w:val="clear" w:color="auto" w:fill="CCCCCC"/>
          </w:tcPr>
          <w:p w14:paraId="7D027DF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shd w:val="clear" w:color="auto" w:fill="CCCCCC"/>
          </w:tcPr>
          <w:p w14:paraId="63A7247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528697BD" w14:textId="77777777" w:rsidTr="00822842">
        <w:tc>
          <w:tcPr>
            <w:tcW w:w="1188" w:type="dxa"/>
            <w:shd w:val="clear" w:color="auto" w:fill="auto"/>
          </w:tcPr>
          <w:p w14:paraId="150C8B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0005</w:t>
            </w:r>
          </w:p>
        </w:tc>
        <w:tc>
          <w:tcPr>
            <w:tcW w:w="8843" w:type="dxa"/>
            <w:shd w:val="clear" w:color="auto" w:fill="auto"/>
          </w:tcPr>
          <w:p w14:paraId="1D47203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FIRXA TAL-PD</w:t>
            </w:r>
          </w:p>
          <w:p w14:paraId="4CAAE10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il-firxiet tal-PD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f’konformità</w:t>
            </w:r>
            <w:r>
              <w:rPr>
                <w:sz w:val="24"/>
                <w:rFonts w:ascii="Times New Roman" w:hAnsi="Times New Roman"/>
              </w:rPr>
              <w:t xml:space="preserve"> mal-gradi interni tagħhom li huma jikklassifikaw għall-iskala użata mill-ECAI esterna, minflok firxa tal-PD esterna fissa.</w:t>
            </w:r>
          </w:p>
        </w:tc>
      </w:tr>
      <w:tr w:rsidR="00FB3D09" w:rsidRPr="002A677E" w14:paraId="64D00DA7" w14:textId="77777777" w:rsidTr="00822842">
        <w:tc>
          <w:tcPr>
            <w:tcW w:w="1188" w:type="dxa"/>
            <w:shd w:val="clear" w:color="auto" w:fill="auto"/>
          </w:tcPr>
          <w:p w14:paraId="1078063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0006</w:t>
            </w:r>
          </w:p>
        </w:tc>
        <w:tc>
          <w:tcPr>
            <w:tcW w:w="8843" w:type="dxa"/>
            <w:shd w:val="clear" w:color="auto" w:fill="auto"/>
          </w:tcPr>
          <w:p w14:paraId="6793AD5E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EKWIVALENTI GĦALL-KLASSIFIKAZZJONI ESTERNA</w:t>
            </w:r>
          </w:p>
          <w:p w14:paraId="276EE83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jirrapportaw kolonna waħda għal kull ECAI kkunsidrata skont l-Artikolu 180(1), il-punt (f)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F’dawn il-kolonni, l-istituzzjonijiet għandhom jinkludu l-klassifikazzjoni esterna li għaliha jiġu mmappjati l-meded interni tagħhom tal-PD.</w:t>
            </w:r>
          </w:p>
        </w:tc>
      </w:tr>
    </w:tbl>
    <w:p w14:paraId="1CA8A0ED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25" w:name="_Toc19715766"/>
      <w:bookmarkStart w:id="126" w:name="_Toc151714410"/>
      <w:r>
        <w:rPr>
          <w:sz w:val="24"/>
          <w:rFonts w:ascii="Times New Roman" w:hAnsi="Times New Roman"/>
        </w:rPr>
        <w:t xml:space="preserve">C 08.06 - Ir-riskji ta’ kreditu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 (Approċċ ta’ klassifikazzjoni ta’ self speċjalizzat (CR IRB 6))</w:t>
      </w:r>
      <w:bookmarkEnd w:id="125"/>
      <w:bookmarkEnd w:id="126"/>
    </w:p>
    <w:p w14:paraId="0C327519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7" w:name="_Toc19715767"/>
      <w:bookmarkStart w:id="128" w:name="_Toc151714411"/>
      <w:r>
        <w:rPr>
          <w:sz w:val="24"/>
          <w:rFonts w:ascii="Times New Roman" w:hAnsi="Times New Roman"/>
        </w:rPr>
        <w:t xml:space="preserve">Rimarki ġenerali</w:t>
      </w:r>
      <w:bookmarkEnd w:id="127"/>
      <w:bookmarkEnd w:id="128"/>
    </w:p>
    <w:p w14:paraId="06C30120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82</w:t>
      </w:r>
      <w:r>
        <w:fldChar w:fldCharType="end"/>
      </w:r>
      <w:r>
        <w:t xml:space="preserve">.</w:t>
      </w:r>
      <w:r>
        <w:t xml:space="preserve"> </w:t>
      </w:r>
      <w:r>
        <w:t xml:space="preserve">L-istituzzjonijiet għandhom jirrapportaw l-informazzjoni inkluża f’din il-formola skont l-Artikolu 438, il-punt (e) tar-Regolament (UE) Nru 575/2013.</w:t>
      </w:r>
      <w:r>
        <w:t xml:space="preserve"> </w:t>
      </w:r>
      <w:r>
        <w:t xml:space="preserve">L-istituzzjonijiet għandhom jirrapportaw informazzjoni dwar it-tipi li ġejjin ta’ skoperturi ta’ għoti ta’ self speċjalizzat imsemmija fit-Tabella 1 tal-Artikolu 153(5):</w:t>
      </w:r>
    </w:p>
    <w:p w14:paraId="020ECF38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Finanzjament ta’ proġetti</w:t>
      </w:r>
    </w:p>
    <w:p w14:paraId="0D30395D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Proprjetà immobbli li tipproduċi dħul u proprjetà immobbli kummerċjali b’volatilità għolja</w:t>
      </w:r>
    </w:p>
    <w:p w14:paraId="0E156A19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1080"/>
      </w:pPr>
      <w:r>
        <w:t xml:space="preserve">Finanzjament ta’ oġġetti</w:t>
      </w:r>
    </w:p>
    <w:p w14:paraId="66940C39" w14:textId="77777777" w:rsidR="00FB3D09" w:rsidRPr="002A677E" w:rsidRDefault="00FB3D09" w:rsidP="00FB3D09">
      <w:pPr>
        <w:pStyle w:val="InstructionsText2"/>
        <w:numPr>
          <w:ilvl w:val="1"/>
          <w:numId w:val="15"/>
        </w:numPr>
      </w:pPr>
      <w:r>
        <w:t xml:space="preserve">Finanzjament ta’ komoditajiet</w:t>
      </w:r>
    </w:p>
    <w:p w14:paraId="58A5DEC7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29" w:name="_Toc19715768"/>
      <w:bookmarkStart w:id="130" w:name="_Toc151714412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29"/>
      <w:bookmarkEnd w:id="13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7D26FD2B" w14:textId="77777777" w:rsidTr="00822842">
        <w:tc>
          <w:tcPr>
            <w:tcW w:w="1188" w:type="dxa"/>
            <w:shd w:val="clear" w:color="auto" w:fill="CCCCCC"/>
          </w:tcPr>
          <w:p w14:paraId="6E60686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shd w:val="clear" w:color="auto" w:fill="CCCCCC"/>
          </w:tcPr>
          <w:p w14:paraId="03916D9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27E1469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525B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35117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ORIĠINALI QABEL IL-FATTURI TA’ KONVERŻJONI</w:t>
            </w:r>
          </w:p>
          <w:p w14:paraId="3FEAA5A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tas-CR-IRB.</w:t>
            </w:r>
          </w:p>
        </w:tc>
      </w:tr>
      <w:tr w:rsidR="00FB3D09" w:rsidRPr="002A677E" w14:paraId="2B63E9B7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E9A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A24A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SKOPERTURA WARA L-EFFETTI TAS-SOSTITUZZJONI TAS-CRM QABEL IL-FATTURI TA’ KONVERŻJONI</w:t>
            </w:r>
          </w:p>
          <w:p w14:paraId="6CBD0B35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tas-CR-IRB.</w:t>
            </w:r>
          </w:p>
        </w:tc>
      </w:tr>
      <w:tr w:rsidR="00FB3D09" w:rsidRPr="002A677E" w14:paraId="328B4A3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D5E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0030, 0050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5F73" w14:textId="77777777" w:rsidR="00FB3D09" w:rsidRPr="002A677E" w:rsidRDefault="00FB3D09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ENTRATI MHUX FIL-KARTA BILANĊJALI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34DD8D8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tas-CR-SA.</w:t>
            </w:r>
          </w:p>
        </w:tc>
      </w:tr>
      <w:tr w:rsidR="00FB3D09" w:rsidRPr="002A677E" w14:paraId="08DB9921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ACF1D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8AD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4F68F71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tas-CR-IRB.</w:t>
            </w:r>
          </w:p>
        </w:tc>
      </w:tr>
      <w:tr w:rsidR="00FB3D09" w:rsidRPr="002A677E" w14:paraId="09277378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E38D0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7BBF" w14:textId="77777777" w:rsidR="00FB3D09" w:rsidRPr="002A677E" w:rsidRDefault="00FB3D09" w:rsidP="00822842">
            <w:pPr>
              <w:rPr>
                <w:rStyle w:val="InstructionsTabelleberschrift"/>
                <w:bCs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MINNU: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 JIRRIŻULTAW MINN RISKJU TA’ KREDITU TAL-KONTROPARTI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416635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tas-CR-SA.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383531B6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568B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FB93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PONDERAZZJONI TAR-RISKJU</w:t>
            </w:r>
          </w:p>
          <w:p w14:paraId="5C41EA7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153(5) tar-Regolament (UE) Nru 575/2013</w:t>
            </w:r>
          </w:p>
          <w:p w14:paraId="67CCD5D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hija kolonna fissa għal finijiet ta’ informazzjoni.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Ma għandhiex tinbidel.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FB3D09" w:rsidRPr="002A677E" w14:paraId="10464D9B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0F65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69482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 WARA L-FATTURI TA’ APPOĠĠ</w:t>
            </w:r>
          </w:p>
          <w:p w14:paraId="4B6C2EA5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tas-CR-IRB.</w:t>
            </w:r>
          </w:p>
        </w:tc>
      </w:tr>
      <w:tr w:rsidR="00FB3D09" w:rsidRPr="002A677E" w14:paraId="6070EADF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E8B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C3B54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TA’ TELF MISTENNI</w:t>
            </w:r>
          </w:p>
          <w:p w14:paraId="693CE6D8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tas-CR-IRB.</w:t>
            </w:r>
          </w:p>
        </w:tc>
      </w:tr>
      <w:tr w:rsidR="00FB3D09" w:rsidRPr="002A677E" w14:paraId="382A8A44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5742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36E8C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(-) AĠĠUSTAMENTI TAL-VALUR U DISPOŻIZZJONIJIET</w:t>
            </w:r>
          </w:p>
          <w:p w14:paraId="43E4B618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Ara l-istruzzjonijiet tas-CR-IRB.</w:t>
            </w:r>
          </w:p>
        </w:tc>
      </w:tr>
    </w:tbl>
    <w:p w14:paraId="53071A7C" w14:textId="77777777" w:rsidR="00FB3D09" w:rsidRPr="002A677E" w:rsidRDefault="00FB3D09" w:rsidP="00FB3D09">
      <w:pPr>
        <w:pStyle w:val="body"/>
      </w:pPr>
      <w:bookmarkStart w:id="131" w:name="_Toc19715769"/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931"/>
      </w:tblGrid>
      <w:tr w:rsidR="00FB3D09" w:rsidRPr="002A677E" w14:paraId="2FD73173" w14:textId="77777777" w:rsidTr="00822842">
        <w:tc>
          <w:tcPr>
            <w:tcW w:w="1129" w:type="dxa"/>
            <w:shd w:val="pct25" w:color="auto" w:fill="auto"/>
          </w:tcPr>
          <w:p w14:paraId="528FE156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931" w:type="dxa"/>
            <w:shd w:val="pct25" w:color="auto" w:fill="auto"/>
          </w:tcPr>
          <w:p w14:paraId="74C4755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13ABD6A4" w14:textId="77777777" w:rsidTr="00822842">
        <w:tc>
          <w:tcPr>
            <w:tcW w:w="1129" w:type="dxa"/>
          </w:tcPr>
          <w:p w14:paraId="6D90D95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0010-0120</w:t>
            </w:r>
          </w:p>
        </w:tc>
        <w:tc>
          <w:tcPr>
            <w:tcW w:w="8931" w:type="dxa"/>
          </w:tcPr>
          <w:p w14:paraId="68EE291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għandhom ikunu allokati għall-kategorija u l-maturità xierqa </w:t>
            </w: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f’konformità</w:t>
            </w:r>
            <w:r>
              <w:rPr>
                <w:sz w:val="24"/>
                <w:rFonts w:ascii="Times New Roman" w:hAnsi="Times New Roman"/>
              </w:rPr>
              <w:t xml:space="preserve"> mal-Artikolu 153(5), it-Tabella 1 tar-Regolament (UE) Nru 575/2013.</w:t>
            </w:r>
          </w:p>
        </w:tc>
      </w:tr>
    </w:tbl>
    <w:p w14:paraId="4255FF49" w14:textId="77777777" w:rsidR="00FB3D09" w:rsidRPr="002A677E" w:rsidRDefault="00FB3D09" w:rsidP="00FB3D09">
      <w:pPr>
        <w:pStyle w:val="body"/>
      </w:pPr>
    </w:p>
    <w:p w14:paraId="782F65B6" w14:textId="77777777" w:rsidR="00FB3D09" w:rsidRPr="002A677E" w:rsidRDefault="00FB3D09" w:rsidP="008C13A4">
      <w:pPr>
        <w:pStyle w:val="Instructionsberschrift2"/>
        <w:numPr>
          <w:ilvl w:val="2"/>
          <w:numId w:val="21"/>
        </w:numPr>
        <w:rPr>
          <w:sz w:val="24"/>
          <w:rFonts w:ascii="Times New Roman" w:hAnsi="Times New Roman" w:cs="Times New Roman"/>
        </w:rPr>
      </w:pPr>
      <w:bookmarkStart w:id="132" w:name="_Toc151714413"/>
      <w:r>
        <w:rPr>
          <w:sz w:val="24"/>
          <w:rFonts w:ascii="Times New Roman" w:hAnsi="Times New Roman"/>
        </w:rPr>
        <w:t xml:space="preserve">C 08.07 - Ir-riskji ta’ kreditu u konsenji bla ħlas: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Approċċ IRB għar-Rekwiżiti Kapitali (Kamp ta’ applikazzjoni tal-użu tal-approċċi IRB u SA (CR IRB 7))</w:t>
      </w:r>
      <w:bookmarkEnd w:id="131"/>
      <w:bookmarkEnd w:id="132"/>
    </w:p>
    <w:p w14:paraId="4D5E0149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33" w:name="_Toc19715770"/>
      <w:bookmarkStart w:id="134" w:name="_Toc151714414"/>
      <w:r>
        <w:rPr>
          <w:sz w:val="24"/>
          <w:rFonts w:ascii="Times New Roman" w:hAnsi="Times New Roman"/>
        </w:rPr>
        <w:t xml:space="preserve">Rimarki ġenerali</w:t>
      </w:r>
      <w:bookmarkEnd w:id="133"/>
      <w:bookmarkEnd w:id="134"/>
    </w:p>
    <w:p w14:paraId="2A642543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83</w:t>
      </w:r>
      <w:r>
        <w:fldChar w:fldCharType="end"/>
      </w:r>
      <w:r>
        <w:t xml:space="preserve">.</w:t>
      </w:r>
      <w:r>
        <w:t xml:space="preserve"> </w:t>
      </w:r>
      <w:r>
        <w:t xml:space="preserve">Għall-fini ta’ din il-formola, l-istituzzjonijiet li jikkalkolaw l-ammonti tal-iskopertura ponderati għar-riskju skont l-approċċ IRB għar-riskju ta’ kreditu għandhom jallokaw l-iskoperturi tagħhom soġġetti għall-Approċċ Standardizzat stabbilit fil-Parti Tlieta, it-Titolu II, il-Kapitolu 2 tar-Regolament (UE) Nru 575/2013 jew għall-approċċ IRB stabbilit fil-Parti Tlieta, it-Titolu II, il-Kapitolu 3 ta’ dak ir-Regolament, kif ukoll il-parti ta’ kull klassi tal-iskoperturi soġġetta għal pjan ta’ implimentazzjoni.</w:t>
      </w:r>
      <w:r>
        <w:t xml:space="preserve"> </w:t>
      </w:r>
      <w:r>
        <w:t xml:space="preserve">L-istituzzjonijiet għandhom jinkludu l-informazzjoni f’din il-formola mal-klassijiet tal-iskoperturi, f’konformità mad-diżaggregazzjoni tal-klassijiet tal-iskoperturi inklużi fir-ringieli tal-formola.</w:t>
      </w:r>
    </w:p>
    <w:p w14:paraId="5EF649B7" w14:textId="77777777" w:rsidR="00FB3D09" w:rsidRPr="002A677E" w:rsidRDefault="00FB3D09" w:rsidP="00FB3D09">
      <w:pPr>
        <w:pStyle w:val="InstructionsText2"/>
        <w:numPr>
          <w:ilvl w:val="0"/>
          <w:numId w:val="0"/>
        </w:numPr>
        <w:ind w:left="993"/>
      </w:pPr>
      <w:r>
        <w:fldChar w:fldCharType="begin" w:dirty="true"/>
      </w:r>
      <w:r>
        <w:instrText>seq paragraphs</w:instrText>
      </w:r>
      <w:r>
        <w:fldChar w:fldCharType="separate"/>
      </w:r>
      <w:r>
        <w:t>84</w:t>
      </w:r>
      <w:r>
        <w:fldChar w:fldCharType="end"/>
      </w:r>
      <w:r>
        <w:t xml:space="preserve">.</w:t>
      </w:r>
      <w:r>
        <w:t xml:space="preserve"> </w:t>
      </w:r>
      <w:r>
        <w:t xml:space="preserve">Il-kolonni minn 0030 sa 0050 għandhom ikopru l-ispettru sħiħ ta’ skoperturi, sabiex it-total ta’ kull ringiela għal dawk it-tliet kolonni jkun 100 % tal-klassijiet kollha tal-iskoperturi minbarra tal-pożizzjonijiet ta’ titolizzazzjoni u l-pożizzjonijiet imnaqqsa.</w:t>
      </w:r>
    </w:p>
    <w:p w14:paraId="2976CB2C" w14:textId="77777777" w:rsidR="00FB3D09" w:rsidRPr="002A677E" w:rsidRDefault="00FB3D09" w:rsidP="008C13A4">
      <w:pPr>
        <w:pStyle w:val="Instructionsberschrift2"/>
        <w:numPr>
          <w:ilvl w:val="3"/>
          <w:numId w:val="21"/>
        </w:numPr>
        <w:ind w:left="709"/>
        <w:rPr>
          <w:sz w:val="24"/>
          <w:rFonts w:ascii="Times New Roman" w:hAnsi="Times New Roman" w:cs="Times New Roman"/>
        </w:rPr>
      </w:pPr>
      <w:bookmarkStart w:id="135" w:name="_Toc19715771"/>
      <w:bookmarkStart w:id="136" w:name="_Toc151714415"/>
      <w:r>
        <w:rPr>
          <w:sz w:val="24"/>
          <w:rFonts w:ascii="Times New Roman" w:hAnsi="Times New Roman"/>
        </w:rPr>
        <w:t xml:space="preserve">Struzzjonijiet li jikkonċernaw pożizzjonijiet speċifiċi</w:t>
      </w:r>
      <w:bookmarkEnd w:id="135"/>
      <w:bookmarkEnd w:id="136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843"/>
      </w:tblGrid>
      <w:tr w:rsidR="00FB3D09" w:rsidRPr="002A677E" w14:paraId="5A54A3CB" w14:textId="77777777" w:rsidTr="00822842">
        <w:tc>
          <w:tcPr>
            <w:tcW w:w="1188" w:type="dxa"/>
            <w:shd w:val="clear" w:color="auto" w:fill="CCCCCC"/>
          </w:tcPr>
          <w:p w14:paraId="4D5D1AB8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</w:tc>
        <w:tc>
          <w:tcPr>
            <w:tcW w:w="8843" w:type="dxa"/>
            <w:shd w:val="clear" w:color="auto" w:fill="CCCCCC"/>
          </w:tcPr>
          <w:p w14:paraId="07D6E67B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1E4DCF5D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C9BE7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5E21A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 TOTALI KIF DEFINIT FL-ARTIKOLU 166 TAR-REGOLAMENT (UE) NRU 575/2013</w:t>
            </w:r>
          </w:p>
          <w:p w14:paraId="411002F2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jużaw il-valur tal-iskopertura qabel is-CRM f’konformità mal-Artikolu 166 tar-Regolament (UE) Nru 575/2013.</w:t>
            </w:r>
          </w:p>
        </w:tc>
      </w:tr>
      <w:tr w:rsidR="00FB3D09" w:rsidRPr="002A677E" w14:paraId="39F1E0F0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8E745" w14:textId="77777777" w:rsidR="00FB3D09" w:rsidRPr="002A677E" w:rsidRDefault="00FB3D09" w:rsidP="00822842">
            <w:pPr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D1CA8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TOTALI TAL-ISKOPERTURA TOTALI SOĠĠETT GĦAL SA U IRB</w:t>
            </w:r>
          </w:p>
          <w:p w14:paraId="2CF123A9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jużaw il-valur tal-iskopertura qabel is-CRM f’konformità mal-Artikolu 429(4) tar-Regolament (UE) Nru 575/2013 biex jirrapportaw il-valur tal-iskopertura totali, inkluż kemm l-iskoperturi skont l-approċċ standardizzat kif ukoll l-iskoperturi skont l-approċċ IRB.</w:t>
            </w:r>
          </w:p>
        </w:tc>
      </w:tr>
      <w:tr w:rsidR="00FB3D09" w:rsidRPr="002A677E" w14:paraId="637EC372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F292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AD8CB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PERĊENTWAL TAL-VALUR TOTALI TAL-ISKOPERTURA SOĠĠETT GĦAL UŻU PARZJALI PERMANENTI TAL-SA (%)</w:t>
            </w:r>
          </w:p>
          <w:p w14:paraId="4E8BC7DA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mill-iskopertura għal kull klassi tal-iskoperturi soġġetta għall-Approċċ Standardizzat (skopertura soġġetta għall-Approċċ Standardizzat qabel is-CRM fuq l-iskopertura totali f’dik il-klassi tal-iskoperturi fil-kolonna 0020), filwaqt li jiġi rispettat il-kamp ta’ applikazzjoni tal-permess għal użu parzjali permanenti tal-Approċċ Standardizzat minn awtorità kompetenti f’konformità mal-Artikolu 150 tar-Regolament (UE) Nru 575/2013.</w:t>
            </w:r>
          </w:p>
        </w:tc>
      </w:tr>
      <w:tr w:rsidR="00FB3D09" w:rsidRPr="002A677E" w14:paraId="6D7D640C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CD0AC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0B50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PERĊENTWAL TAL-VALUR TOTALI TAL-ISKOPERTURA SOĠĠETT GĦAL PJAN TA’ IMPLIMENTAZZJONI (%)</w:t>
            </w:r>
          </w:p>
          <w:p w14:paraId="1384B1B7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mill-iskopertura għal kull klassi tal-iskoperturi soġġetta għall-implimentazzjoni sekwenzjali tal-approċċ IRB skont l-Artikolu 148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jinkludi: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4A26F0D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iż-żewġ skoperturi fejn l-istituzzjonijiet jippjanaw li japplikaw approċċ IRB bl-istima proprja tal-LGD u/jew tal-fatturi ta’ konverżjoni (F-IRB u A-IRB);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8B410E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tal-ekwità immaterjali mhux inklużi fil-kolonni 0020 jew 0040;</w:t>
            </w:r>
          </w:p>
          <w:p w14:paraId="674B8F2C" w14:textId="77777777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diġà taħt F-IRB meta istituzzjoni tkun qed tippjana li tapplika A-IRB fil-futur;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C08A10" w14:textId="148DB963" w:rsidR="00FB3D09" w:rsidRPr="002A677E" w:rsidRDefault="00FB3D09" w:rsidP="008C13A4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pacing w:val="-2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ta’ għoti ta’ self speċjalizzat skont l-approċċ ta’ klassifikazzjoni superviżorja mhux inklużi fil-kolonna 0010.</w:t>
            </w:r>
          </w:p>
        </w:tc>
      </w:tr>
      <w:tr w:rsidR="00FB3D09" w:rsidRPr="002A677E" w14:paraId="5705D87F" w14:textId="77777777" w:rsidTr="0082284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1133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C0A5" w14:textId="77777777" w:rsidR="00FB3D09" w:rsidRPr="002A677E" w:rsidRDefault="00FB3D09" w:rsidP="00822842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PERĊENTWAL TAL-VALUR TOTALI TAL-ISKOPERTURA SOĠĠETT GĦAL APPROĊĊ IRB (%)</w:t>
            </w:r>
          </w:p>
          <w:p w14:paraId="281F622B" w14:textId="77777777" w:rsidR="00FB3D09" w:rsidRPr="002A677E" w:rsidRDefault="00FB3D09" w:rsidP="00822842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Parti mill-iskopertura għal kull klassi tal-iskoperturi soġġetta għall-approċċ IRB (skopertura soġġetta għall-approċċ IRB qabel is-CRM fuq l-iskopertura totali f’dik il-klassi tal-iskoperturi), filwaqt li jiġi rispettat il-kamp ta’ applikazzjoni tal-permess minn awtorità kompetenti biex jintuża l-Approċċ IRB f’konformità mal-Artikolu 143 tar-Regolament (UE) Nru 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Dan għandu jinkludi kemm skoperturi fejn l-istituzzjonijiet ikollhom il-permess li jużaw l-istima proprja tal-LGD u/jew tal-fatturi ta’ konverżjoni jew le (F-IRB u A-IRB), inkluż approċċ ta’ klassifikazzjoni superviżorja għal skoperturi ta’ self speċjalizzat u skoperturi tal-ekwità skont l-approċċ sempliċi tal-ponderazzjoni tar-riskju, kif ukoll dawk l-iskoperturi rrapportati fir-ringiela 0170 tal-formola C 08.01.</w:t>
            </w:r>
          </w:p>
        </w:tc>
      </w:tr>
    </w:tbl>
    <w:p w14:paraId="164F67EA" w14:textId="77777777" w:rsidR="00FB3D09" w:rsidRPr="002A677E" w:rsidRDefault="00FB3D09" w:rsidP="00FB3D09">
      <w:pPr>
        <w:rPr>
          <w:rFonts w:ascii="Times New Roman" w:hAnsi="Times New Roman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8371"/>
      </w:tblGrid>
      <w:tr w:rsidR="00FB3D09" w:rsidRPr="002A677E" w14:paraId="0A859347" w14:textId="77777777" w:rsidTr="00822842">
        <w:tc>
          <w:tcPr>
            <w:tcW w:w="1271" w:type="dxa"/>
            <w:shd w:val="pct25" w:color="auto" w:fill="auto"/>
          </w:tcPr>
          <w:p w14:paraId="7F52456F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557" w:type="dxa"/>
            <w:shd w:val="pct25" w:color="auto" w:fill="auto"/>
          </w:tcPr>
          <w:p w14:paraId="123EB3D4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FB3D09" w:rsidRPr="002A677E" w14:paraId="39EFDE98" w14:textId="77777777" w:rsidTr="00822842">
        <w:tc>
          <w:tcPr>
            <w:tcW w:w="1271" w:type="dxa"/>
          </w:tcPr>
          <w:p w14:paraId="416FB44E" w14:textId="77777777" w:rsidR="00FB3D09" w:rsidRPr="002A677E" w:rsidRDefault="00FB3D09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KLASSIJIET TAL-ISKOPERTURI</w:t>
            </w:r>
          </w:p>
        </w:tc>
        <w:tc>
          <w:tcPr>
            <w:tcW w:w="8557" w:type="dxa"/>
          </w:tcPr>
          <w:p w14:paraId="7564DFF0" w14:textId="77777777" w:rsidR="00FB3D09" w:rsidRPr="002A677E" w:rsidRDefault="00FB3D09" w:rsidP="00822842">
            <w:pPr>
              <w:rPr>
                <w:sz w:val="24"/>
                <w:rFonts w:ascii="Times New Roman" w:eastAsiaTheme="minorHAnsi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L-istituzzjonijiet għandhom jinkludu l-informazzjoni f’din il-formola mal-klassijiet tal-iskoperturi, f’konformità mad-diżaggregazzjoni tal-klassijiet tal-iskoperturi inklużi fir-ringieli tal-formola.</w:t>
            </w:r>
          </w:p>
        </w:tc>
      </w:tr>
    </w:tbl>
    <w:p w14:paraId="423B2FFB" w14:textId="77777777" w:rsidR="00FB3D09" w:rsidRPr="002A677E" w:rsidRDefault="00FB3D09" w:rsidP="00FB3D09">
      <w:pPr>
        <w:pStyle w:val="InstructionsText"/>
      </w:pPr>
    </w:p>
    <w:p w14:paraId="64301D29" w14:textId="5498A6A8" w:rsidR="00FB3D09" w:rsidRPr="002A677E" w:rsidRDefault="00FB3D09" w:rsidP="003C214D">
      <w:pPr>
        <w:pStyle w:val="Instructionsberschrift2"/>
        <w:numPr>
          <w:ilvl w:val="0"/>
          <w:numId w:val="0"/>
        </w:numPr>
        <w:ind w:left="357" w:hanging="357"/>
      </w:pPr>
    </w:p>
    <w:p w14:paraId="6A9DD699" w14:textId="77777777" w:rsidR="00210485" w:rsidRDefault="00210485"/>
    <w:p w14:paraId="108DB657" w14:textId="77777777" w:rsidR="00FB3D09" w:rsidRDefault="00FB3D09"/>
    <w:p w14:paraId="31203373" w14:textId="77777777" w:rsidR="00FB3D09" w:rsidRDefault="00FB3D09"/>
    <w:p w14:paraId="32797964" w14:textId="77777777" w:rsidR="00210485" w:rsidRDefault="00210485"/>
    <w:sectPr w:rsidR="00210485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03CBD" w14:textId="77777777" w:rsidR="00CF2E8B" w:rsidRDefault="00CF2E8B" w:rsidP="00E26A90">
      <w:pPr>
        <w:spacing w:after="0"/>
      </w:pPr>
      <w:r>
        <w:separator/>
      </w:r>
    </w:p>
  </w:endnote>
  <w:endnote w:type="continuationSeparator" w:id="0">
    <w:p w14:paraId="2A814F1F" w14:textId="77777777" w:rsidR="00CF2E8B" w:rsidRDefault="00CF2E8B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8E0D9" w14:textId="77777777" w:rsidR="00CF2E8B" w:rsidRDefault="00CF2E8B" w:rsidP="00E26A90">
      <w:pPr>
        <w:spacing w:after="0"/>
      </w:pPr>
      <w:r>
        <w:separator/>
      </w:r>
    </w:p>
  </w:footnote>
  <w:footnote w:type="continuationSeparator" w:id="0">
    <w:p w14:paraId="3D573060" w14:textId="77777777" w:rsidR="00CF2E8B" w:rsidRDefault="00CF2E8B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B5577"/>
    <w:multiLevelType w:val="multilevel"/>
    <w:tmpl w:val="1E16ACB4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7" w15:restartNumberingAfterBreak="0">
    <w:nsid w:val="1CD55968"/>
    <w:multiLevelType w:val="multilevel"/>
    <w:tmpl w:val="6C985BE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1D2B1F86"/>
    <w:multiLevelType w:val="hybridMultilevel"/>
    <w:tmpl w:val="51A461B8"/>
    <w:lvl w:ilvl="0" w:tplc="8EFA9B40">
      <w:start w:val="1"/>
      <w:numFmt w:val="decimal"/>
      <w:lvlText w:val="%1)"/>
      <w:lvlJc w:val="left"/>
      <w:pPr>
        <w:ind w:left="1440" w:hanging="732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2F7D7F02"/>
    <w:multiLevelType w:val="multilevel"/>
    <w:tmpl w:val="0407001D"/>
    <w:numStyleLink w:val="Formatvorlage3"/>
  </w:abstractNum>
  <w:abstractNum w:abstractNumId="13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8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9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776359">
    <w:abstractNumId w:val="4"/>
  </w:num>
  <w:num w:numId="2" w16cid:durableId="1733112609">
    <w:abstractNumId w:val="23"/>
  </w:num>
  <w:num w:numId="3" w16cid:durableId="286200695">
    <w:abstractNumId w:val="31"/>
  </w:num>
  <w:num w:numId="4" w16cid:durableId="487287975">
    <w:abstractNumId w:val="18"/>
  </w:num>
  <w:num w:numId="5" w16cid:durableId="1754350949">
    <w:abstractNumId w:val="26"/>
  </w:num>
  <w:num w:numId="6" w16cid:durableId="1507597667">
    <w:abstractNumId w:val="16"/>
  </w:num>
  <w:num w:numId="7" w16cid:durableId="139271283">
    <w:abstractNumId w:val="30"/>
  </w:num>
  <w:num w:numId="8" w16cid:durableId="763764270">
    <w:abstractNumId w:val="8"/>
  </w:num>
  <w:num w:numId="9" w16cid:durableId="1561986968">
    <w:abstractNumId w:val="24"/>
  </w:num>
  <w:num w:numId="10" w16cid:durableId="1349260748">
    <w:abstractNumId w:val="14"/>
  </w:num>
  <w:num w:numId="11" w16cid:durableId="1097991330">
    <w:abstractNumId w:val="20"/>
  </w:num>
  <w:num w:numId="12" w16cid:durableId="858469680">
    <w:abstractNumId w:val="10"/>
  </w:num>
  <w:num w:numId="13" w16cid:durableId="1485394352">
    <w:abstractNumId w:val="25"/>
  </w:num>
  <w:num w:numId="14" w16cid:durableId="881021889">
    <w:abstractNumId w:val="22"/>
  </w:num>
  <w:num w:numId="15" w16cid:durableId="1923681300">
    <w:abstractNumId w:val="13"/>
  </w:num>
  <w:num w:numId="16" w16cid:durableId="211188018">
    <w:abstractNumId w:val="19"/>
  </w:num>
  <w:num w:numId="17" w16cid:durableId="373817584">
    <w:abstractNumId w:val="12"/>
  </w:num>
  <w:num w:numId="18" w16cid:durableId="1615165847">
    <w:abstractNumId w:val="27"/>
  </w:num>
  <w:num w:numId="19" w16cid:durableId="429467310">
    <w:abstractNumId w:val="6"/>
  </w:num>
  <w:num w:numId="20" w16cid:durableId="430467532">
    <w:abstractNumId w:val="32"/>
  </w:num>
  <w:num w:numId="21" w16cid:durableId="1464036760">
    <w:abstractNumId w:val="5"/>
  </w:num>
  <w:num w:numId="22" w16cid:durableId="1079792157">
    <w:abstractNumId w:val="17"/>
  </w:num>
  <w:num w:numId="23" w16cid:durableId="1333265662">
    <w:abstractNumId w:val="3"/>
  </w:num>
  <w:num w:numId="24" w16cid:durableId="737484550">
    <w:abstractNumId w:val="15"/>
  </w:num>
  <w:num w:numId="25" w16cid:durableId="309210531">
    <w:abstractNumId w:val="29"/>
  </w:num>
  <w:num w:numId="26" w16cid:durableId="166527561">
    <w:abstractNumId w:val="1"/>
  </w:num>
  <w:num w:numId="27" w16cid:durableId="1544101633">
    <w:abstractNumId w:val="28"/>
  </w:num>
  <w:num w:numId="28" w16cid:durableId="44380249">
    <w:abstractNumId w:val="21"/>
  </w:num>
  <w:num w:numId="29" w16cid:durableId="1838038624">
    <w:abstractNumId w:val="0"/>
  </w:num>
  <w:num w:numId="30" w16cid:durableId="1856265522">
    <w:abstractNumId w:val="11"/>
  </w:num>
  <w:num w:numId="31" w16cid:durableId="29191537">
    <w:abstractNumId w:val="9"/>
  </w:num>
  <w:num w:numId="32" w16cid:durableId="142084302">
    <w:abstractNumId w:val="2"/>
  </w:num>
  <w:num w:numId="33" w16cid:durableId="2032368279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0682E"/>
    <w:rsid w:val="000467F0"/>
    <w:rsid w:val="000A5D83"/>
    <w:rsid w:val="000C3D68"/>
    <w:rsid w:val="000C6322"/>
    <w:rsid w:val="000D5912"/>
    <w:rsid w:val="00126E51"/>
    <w:rsid w:val="001E1834"/>
    <w:rsid w:val="001F45C7"/>
    <w:rsid w:val="00210485"/>
    <w:rsid w:val="002433A6"/>
    <w:rsid w:val="0029349B"/>
    <w:rsid w:val="00393F1E"/>
    <w:rsid w:val="003C214D"/>
    <w:rsid w:val="003E076B"/>
    <w:rsid w:val="003F0844"/>
    <w:rsid w:val="0042414E"/>
    <w:rsid w:val="0057678A"/>
    <w:rsid w:val="00582B0D"/>
    <w:rsid w:val="005E354B"/>
    <w:rsid w:val="006013AC"/>
    <w:rsid w:val="00621A3F"/>
    <w:rsid w:val="00626DD7"/>
    <w:rsid w:val="00631623"/>
    <w:rsid w:val="006B0F8A"/>
    <w:rsid w:val="0074573C"/>
    <w:rsid w:val="008A3C6B"/>
    <w:rsid w:val="008A5ABF"/>
    <w:rsid w:val="008C13A4"/>
    <w:rsid w:val="008C6BB9"/>
    <w:rsid w:val="009161EF"/>
    <w:rsid w:val="0094064F"/>
    <w:rsid w:val="0096584D"/>
    <w:rsid w:val="00974C97"/>
    <w:rsid w:val="009C098A"/>
    <w:rsid w:val="009D125A"/>
    <w:rsid w:val="00A53BD9"/>
    <w:rsid w:val="00A54B9F"/>
    <w:rsid w:val="00A6002C"/>
    <w:rsid w:val="00A77E8C"/>
    <w:rsid w:val="00A816FF"/>
    <w:rsid w:val="00AB3AA8"/>
    <w:rsid w:val="00B71F25"/>
    <w:rsid w:val="00B949C3"/>
    <w:rsid w:val="00B95971"/>
    <w:rsid w:val="00CC757F"/>
    <w:rsid w:val="00CD1BFF"/>
    <w:rsid w:val="00CF2E8B"/>
    <w:rsid w:val="00DB50AA"/>
    <w:rsid w:val="00E13BD0"/>
    <w:rsid w:val="00E26A90"/>
    <w:rsid w:val="00E3648D"/>
    <w:rsid w:val="00E87394"/>
    <w:rsid w:val="00EC2C42"/>
    <w:rsid w:val="00EF07A1"/>
    <w:rsid w:val="00EF2302"/>
    <w:rsid w:val="00F211BE"/>
    <w:rsid w:val="00F35049"/>
    <w:rsid w:val="00F37042"/>
    <w:rsid w:val="00F61AEB"/>
    <w:rsid w:val="00FB3D09"/>
    <w:rsid w:val="00FC2C95"/>
    <w:rsid w:val="00FC71D2"/>
    <w:rsid w:val="00FD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D09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FB3D09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B3D09"/>
    <w:pPr>
      <w:keepNext/>
      <w:spacing w:before="240"/>
      <w:outlineLvl w:val="1"/>
    </w:pPr>
    <w:rPr>
      <w:rFonts w:eastAsia="Arial"/>
      <w:b/>
      <w:sz w:val="24"/>
      <w:u w:val="single"/>
      <w:lang w:val="mt-MT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FB3D09"/>
    <w:pPr>
      <w:keepNext/>
      <w:spacing w:before="180"/>
      <w:outlineLvl w:val="2"/>
    </w:pPr>
    <w:rPr>
      <w:rFonts w:ascii="Arial" w:eastAsia="Arial" w:hAnsi="Arial"/>
      <w:b/>
      <w:szCs w:val="20"/>
      <w:lang w:val="mt-MT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B3D09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FB3D09"/>
    <w:pPr>
      <w:keepNext/>
      <w:spacing w:before="140"/>
      <w:outlineLvl w:val="4"/>
    </w:pPr>
    <w:rPr>
      <w:rFonts w:ascii="Arial" w:eastAsia="Arial" w:hAnsi="Arial"/>
      <w:b/>
      <w:i/>
      <w:szCs w:val="20"/>
      <w:lang w:val="mt-MT" w:eastAsia="de-DE"/>
    </w:rPr>
  </w:style>
  <w:style w:type="paragraph" w:styleId="Heading6">
    <w:name w:val="heading 6"/>
    <w:basedOn w:val="Normal"/>
    <w:next w:val="Normal"/>
    <w:link w:val="Heading6Char"/>
    <w:qFormat/>
    <w:rsid w:val="00FB3D09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mt-MT" w:eastAsia="de-DE"/>
    </w:rPr>
  </w:style>
  <w:style w:type="paragraph" w:styleId="Heading7">
    <w:name w:val="heading 7"/>
    <w:basedOn w:val="Normal"/>
    <w:next w:val="Normal"/>
    <w:link w:val="Heading7Char"/>
    <w:qFormat/>
    <w:rsid w:val="00FB3D09"/>
    <w:pPr>
      <w:spacing w:before="240" w:after="60"/>
      <w:outlineLvl w:val="6"/>
    </w:pPr>
    <w:rPr>
      <w:rFonts w:ascii="Times New Roman" w:eastAsia="Arial" w:hAnsi="Times New Roman"/>
      <w:szCs w:val="20"/>
      <w:lang w:val="mt-MT" w:eastAsia="de-DE"/>
    </w:rPr>
  </w:style>
  <w:style w:type="paragraph" w:styleId="Heading8">
    <w:name w:val="heading 8"/>
    <w:basedOn w:val="Normal"/>
    <w:next w:val="Normal"/>
    <w:link w:val="Heading8Char"/>
    <w:qFormat/>
    <w:rsid w:val="00FB3D09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mt-MT" w:eastAsia="de-DE"/>
    </w:rPr>
  </w:style>
  <w:style w:type="paragraph" w:styleId="Heading9">
    <w:name w:val="heading 9"/>
    <w:basedOn w:val="Normal"/>
    <w:next w:val="Normal"/>
    <w:link w:val="Heading9Char"/>
    <w:qFormat/>
    <w:rsid w:val="00FB3D09"/>
    <w:pPr>
      <w:spacing w:before="240" w:after="60"/>
      <w:outlineLvl w:val="8"/>
    </w:pPr>
    <w:rPr>
      <w:rFonts w:ascii="Arial" w:eastAsia="Arial" w:hAnsi="Arial"/>
      <w:szCs w:val="20"/>
      <w:lang w:val="mt-M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character" w:customStyle="1" w:styleId="Heading1Char">
    <w:name w:val="Heading 1 Char"/>
    <w:aliases w:val="Cover title white Char"/>
    <w:basedOn w:val="DefaultParagraphFont"/>
    <w:link w:val="Heading1"/>
    <w:rsid w:val="00FB3D09"/>
    <w:rPr>
      <w:rFonts w:ascii="Verdana" w:eastAsia="Arial" w:hAnsi="Verdana" w:cs="Times New Roman"/>
      <w:b/>
      <w:kern w:val="0"/>
      <w:sz w:val="20"/>
      <w:szCs w:val="20"/>
      <w:u w:val="single"/>
      <w:lang w:eastAsia="x-none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9"/>
    <w:rsid w:val="00FB3D09"/>
    <w:rPr>
      <w:rFonts w:ascii="Verdana" w:eastAsia="Arial" w:hAnsi="Verdana" w:cs="Times New Roman"/>
      <w:b/>
      <w:kern w:val="0"/>
      <w:sz w:val="24"/>
      <w:szCs w:val="24"/>
      <w:u w:val="single"/>
      <w:lang w:val="mt-MT" w:eastAsia="x-none"/>
      <w14:ligatures w14:val="none"/>
    </w:rPr>
  </w:style>
  <w:style w:type="character" w:customStyle="1" w:styleId="Heading3Char">
    <w:name w:val="Heading 3 Char"/>
    <w:aliases w:val="Title 2 Char"/>
    <w:basedOn w:val="DefaultParagraphFont"/>
    <w:uiPriority w:val="99"/>
    <w:rsid w:val="00FB3D0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9"/>
    <w:rsid w:val="00FB3D09"/>
    <w:rPr>
      <w:rFonts w:ascii="Verdana" w:eastAsia="Times New Roman" w:hAnsi="Verdana" w:cs="Times New Roman"/>
      <w:b/>
      <w:kern w:val="0"/>
      <w:sz w:val="20"/>
      <w:szCs w:val="24"/>
      <w:u w:val="single"/>
      <w14:ligatures w14:val="none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FB3D09"/>
    <w:rPr>
      <w:rFonts w:ascii="Arial" w:eastAsia="Arial" w:hAnsi="Arial" w:cs="Times New Roman"/>
      <w:b/>
      <w:i/>
      <w:kern w:val="0"/>
      <w:sz w:val="20"/>
      <w:szCs w:val="20"/>
      <w:lang w:val="mt-MT" w:eastAsia="de-DE"/>
      <w14:ligatures w14:val="none"/>
    </w:rPr>
  </w:style>
  <w:style w:type="character" w:customStyle="1" w:styleId="Heading6Char">
    <w:name w:val="Heading 6 Char"/>
    <w:basedOn w:val="DefaultParagraphFont"/>
    <w:link w:val="Heading6"/>
    <w:rsid w:val="00FB3D09"/>
    <w:rPr>
      <w:rFonts w:ascii="Times New Roman" w:eastAsia="Arial" w:hAnsi="Times New Roman" w:cs="Times New Roman"/>
      <w:b/>
      <w:bCs/>
      <w:kern w:val="0"/>
      <w:sz w:val="20"/>
      <w:szCs w:val="20"/>
      <w:lang w:val="mt-MT" w:eastAsia="de-DE"/>
      <w14:ligatures w14:val="none"/>
    </w:rPr>
  </w:style>
  <w:style w:type="character" w:customStyle="1" w:styleId="Heading7Char">
    <w:name w:val="Heading 7 Char"/>
    <w:basedOn w:val="DefaultParagraphFont"/>
    <w:link w:val="Heading7"/>
    <w:rsid w:val="00FB3D09"/>
    <w:rPr>
      <w:rFonts w:ascii="Times New Roman" w:eastAsia="Arial" w:hAnsi="Times New Roman" w:cs="Times New Roman"/>
      <w:kern w:val="0"/>
      <w:sz w:val="20"/>
      <w:szCs w:val="20"/>
      <w:lang w:val="mt-MT" w:eastAsia="de-DE"/>
      <w14:ligatures w14:val="none"/>
    </w:rPr>
  </w:style>
  <w:style w:type="character" w:customStyle="1" w:styleId="Heading8Char">
    <w:name w:val="Heading 8 Char"/>
    <w:basedOn w:val="DefaultParagraphFont"/>
    <w:link w:val="Heading8"/>
    <w:rsid w:val="00FB3D09"/>
    <w:rPr>
      <w:rFonts w:ascii="Times New Roman" w:eastAsia="Arial" w:hAnsi="Times New Roman" w:cs="Times New Roman"/>
      <w:i/>
      <w:iCs/>
      <w:kern w:val="0"/>
      <w:sz w:val="20"/>
      <w:szCs w:val="20"/>
      <w:lang w:val="mt-MT" w:eastAsia="de-DE"/>
      <w14:ligatures w14:val="none"/>
    </w:rPr>
  </w:style>
  <w:style w:type="character" w:customStyle="1" w:styleId="Heading9Char">
    <w:name w:val="Heading 9 Char"/>
    <w:basedOn w:val="DefaultParagraphFont"/>
    <w:link w:val="Heading9"/>
    <w:rsid w:val="00FB3D09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styleId="TableofFigures">
    <w:name w:val="table of figures"/>
    <w:basedOn w:val="Normal"/>
    <w:next w:val="Normal"/>
    <w:qFormat/>
    <w:rsid w:val="00FB3D09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FB3D09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FB3D09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FB3D09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FB3D09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FB3D09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basedOn w:val="DefaultParagraphFont"/>
    <w:link w:val="FootnoteText"/>
    <w:rsid w:val="00FB3D09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FB3D09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FB3D09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B3D09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FB3D09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FB3D09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FB3D09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FB3D09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FB3D09"/>
    <w:pPr>
      <w:spacing w:line="312" w:lineRule="auto"/>
      <w:ind w:left="1701" w:hanging="567"/>
    </w:pPr>
  </w:style>
  <w:style w:type="character" w:styleId="Hyperlink">
    <w:name w:val="Hyperlink"/>
    <w:uiPriority w:val="99"/>
    <w:rsid w:val="00FB3D09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FB3D09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FB3D09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FB3D09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FB3D09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FB3D09"/>
    <w:pPr>
      <w:numPr>
        <w:numId w:val="12"/>
      </w:numPr>
    </w:pPr>
  </w:style>
  <w:style w:type="character" w:styleId="PageNumber">
    <w:name w:val="page number"/>
    <w:uiPriority w:val="99"/>
    <w:rsid w:val="00FB3D09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FB3D09"/>
    <w:rPr>
      <w:rFonts w:ascii="Arial" w:eastAsia="Arial" w:hAnsi="Arial" w:cs="Times New Roman"/>
      <w:b/>
      <w:kern w:val="0"/>
      <w:sz w:val="20"/>
      <w:szCs w:val="20"/>
      <w:lang w:val="mt-MT" w:eastAsia="de-D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B3D09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FB3D09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FB3D09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FB3D09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FB3D09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FB3D09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FB3D09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FB3D09"/>
    <w:rPr>
      <w:rFonts w:ascii="Arial" w:eastAsia="Arial" w:hAnsi="Arial"/>
      <w:i/>
      <w:iCs/>
      <w:color w:val="000000"/>
      <w:szCs w:val="20"/>
      <w:lang w:val="mt-MT" w:eastAsia="de-DE"/>
    </w:rPr>
  </w:style>
  <w:style w:type="character" w:customStyle="1" w:styleId="QuoteChar">
    <w:name w:val="Quote Char"/>
    <w:basedOn w:val="DefaultParagraphFont"/>
    <w:link w:val="Quote"/>
    <w:uiPriority w:val="29"/>
    <w:rsid w:val="00FB3D09"/>
    <w:rPr>
      <w:rFonts w:ascii="Arial" w:eastAsia="Arial" w:hAnsi="Arial" w:cs="Times New Roman"/>
      <w:i/>
      <w:iCs/>
      <w:color w:val="000000"/>
      <w:kern w:val="0"/>
      <w:sz w:val="20"/>
      <w:szCs w:val="20"/>
      <w:lang w:val="mt-MT" w:eastAsia="de-DE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FB3D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FB3D09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FB3D09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FB3D09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FB3D09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FB3D0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B3D09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D09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FB3D09"/>
    <w:rPr>
      <w:b/>
      <w:bCs/>
    </w:rPr>
  </w:style>
  <w:style w:type="character" w:styleId="FollowedHyperlink">
    <w:name w:val="FollowedHyperlink"/>
    <w:uiPriority w:val="99"/>
    <w:rsid w:val="00FB3D09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FB3D09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3D09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3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B3D09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FB3D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mt-M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B3D09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FB3D09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FB3D09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FB3D09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FB3D09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mt-MT" w:eastAsia="en-US"/>
    </w:rPr>
  </w:style>
  <w:style w:type="character" w:customStyle="1" w:styleId="Instructionsberschrift3Zchn">
    <w:name w:val="Instructions Überschrift 3 Zchn"/>
    <w:link w:val="Instructionsberschrift3"/>
    <w:locked/>
    <w:rsid w:val="00FB3D09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B3D09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FB3D09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FB3D09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FB3D09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FB3D09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FB3D09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B3D09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FB3D09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FB3D09"/>
    <w:pPr>
      <w:ind w:left="720"/>
    </w:pPr>
  </w:style>
  <w:style w:type="paragraph" w:customStyle="1" w:styleId="Prrafodelista2">
    <w:name w:val="Párrafo de lista2"/>
    <w:basedOn w:val="Normal"/>
    <w:uiPriority w:val="99"/>
    <w:rsid w:val="00FB3D09"/>
    <w:pPr>
      <w:ind w:left="708"/>
    </w:pPr>
  </w:style>
  <w:style w:type="paragraph" w:styleId="PlainText">
    <w:name w:val="Plain Text"/>
    <w:basedOn w:val="Normal"/>
    <w:link w:val="PlainTextChar"/>
    <w:uiPriority w:val="99"/>
    <w:rsid w:val="00FB3D09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B3D09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FB3D09"/>
    <w:pPr>
      <w:ind w:left="708"/>
    </w:pPr>
  </w:style>
  <w:style w:type="character" w:customStyle="1" w:styleId="InstructionsTextChar">
    <w:name w:val="Instructions Text Char"/>
    <w:link w:val="InstructionsText"/>
    <w:locked/>
    <w:rsid w:val="00FB3D09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FB3D09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FB3D09"/>
    <w:pPr>
      <w:ind w:left="708"/>
    </w:pPr>
  </w:style>
  <w:style w:type="character" w:styleId="PlaceholderText">
    <w:name w:val="Placeholder Text"/>
    <w:uiPriority w:val="99"/>
    <w:semiHidden/>
    <w:rsid w:val="00FB3D09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FB3D09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FB3D09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B3D09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FB3D09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D09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FB3D09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B3D09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FB3D09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FB3D09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FB3D09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FB3D09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FB3D09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FB3D09"/>
    <w:pPr>
      <w:numPr>
        <w:numId w:val="6"/>
      </w:numPr>
    </w:pPr>
  </w:style>
  <w:style w:type="numbering" w:customStyle="1" w:styleId="Formatvorlage3">
    <w:name w:val="Formatvorlage3"/>
    <w:uiPriority w:val="99"/>
    <w:rsid w:val="00FB3D09"/>
    <w:pPr>
      <w:numPr>
        <w:numId w:val="16"/>
      </w:numPr>
    </w:pPr>
  </w:style>
  <w:style w:type="numbering" w:customStyle="1" w:styleId="Formatvorlage1">
    <w:name w:val="Formatvorlage1"/>
    <w:uiPriority w:val="99"/>
    <w:rsid w:val="00FB3D09"/>
    <w:pPr>
      <w:numPr>
        <w:numId w:val="5"/>
      </w:numPr>
    </w:pPr>
  </w:style>
  <w:style w:type="numbering" w:customStyle="1" w:styleId="Formatvorlage4">
    <w:name w:val="Formatvorlage4"/>
    <w:uiPriority w:val="99"/>
    <w:rsid w:val="00FB3D09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FB3D09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FB3D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FB3D09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FB3D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FB3D09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FB3D09"/>
    <w:pPr>
      <w:ind w:left="708"/>
    </w:pPr>
  </w:style>
  <w:style w:type="character" w:customStyle="1" w:styleId="Platzhaltertext1">
    <w:name w:val="Platzhaltertext1"/>
    <w:uiPriority w:val="99"/>
    <w:semiHidden/>
    <w:rsid w:val="00FB3D09"/>
    <w:rPr>
      <w:color w:val="808080"/>
    </w:rPr>
  </w:style>
  <w:style w:type="paragraph" w:customStyle="1" w:styleId="Default">
    <w:name w:val="Default"/>
    <w:rsid w:val="00FB3D09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FB3D09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B3D09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FB3D09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FB3D09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FB3D09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FB3D09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Applicationdirecte">
    <w:name w:val="Application directe"/>
    <w:basedOn w:val="Normal"/>
    <w:next w:val="Fait"/>
    <w:rsid w:val="00FB3D09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FB3D09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FB3D09"/>
    <w:pPr>
      <w:numPr>
        <w:numId w:val="27"/>
      </w:numPr>
    </w:pPr>
  </w:style>
  <w:style w:type="paragraph" w:customStyle="1" w:styleId="Numberedtitlelevel2">
    <w:name w:val="Numbered title level 2"/>
    <w:basedOn w:val="Titlelevel2"/>
    <w:next w:val="body"/>
    <w:qFormat/>
    <w:rsid w:val="00FB3D09"/>
    <w:pPr>
      <w:numPr>
        <w:ilvl w:val="1"/>
        <w:numId w:val="27"/>
      </w:numPr>
    </w:pPr>
  </w:style>
  <w:style w:type="paragraph" w:customStyle="1" w:styleId="Titlelevel2">
    <w:name w:val="Title level 2"/>
    <w:qFormat/>
    <w:rsid w:val="00FB3D09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44546A" w:themeColor="text2"/>
      <w:kern w:val="0"/>
      <w:sz w:val="32"/>
      <w:szCs w:val="24"/>
      <w:lang w:val="mt-MT"/>
      <w14:ligatures w14:val="none"/>
    </w:rPr>
  </w:style>
  <w:style w:type="paragraph" w:customStyle="1" w:styleId="Tableheader">
    <w:name w:val="Table header"/>
    <w:next w:val="Tabledata"/>
    <w:qFormat/>
    <w:rsid w:val="00FB3D09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mt-MT"/>
      <w14:ligatures w14:val="none"/>
    </w:rPr>
  </w:style>
  <w:style w:type="paragraph" w:customStyle="1" w:styleId="Tabledata">
    <w:name w:val="Table data"/>
    <w:basedOn w:val="body"/>
    <w:qFormat/>
    <w:rsid w:val="00FB3D09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FB3D09"/>
    <w:pPr>
      <w:numPr>
        <w:numId w:val="25"/>
      </w:numPr>
      <w:spacing w:after="0" w:line="240" w:lineRule="auto"/>
    </w:pPr>
    <w:rPr>
      <w:rFonts w:eastAsiaTheme="minorEastAsia"/>
      <w:kern w:val="0"/>
      <w:lang w:val="mt-M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FB3D09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FB3D09"/>
    <w:pPr>
      <w:numPr>
        <w:numId w:val="26"/>
      </w:numPr>
      <w:spacing w:before="240" w:after="12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Titlelevel1">
    <w:name w:val="Title level 1"/>
    <w:autoRedefine/>
    <w:qFormat/>
    <w:rsid w:val="00FB3D09"/>
    <w:pPr>
      <w:pBdr>
        <w:bottom w:val="single" w:sz="8" w:space="1" w:color="44546A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customStyle="1" w:styleId="Titlelevel3">
    <w:name w:val="Title level 3"/>
    <w:qFormat/>
    <w:rsid w:val="00FB3D09"/>
    <w:pPr>
      <w:spacing w:before="240" w:after="240" w:line="240" w:lineRule="auto"/>
    </w:pPr>
    <w:rPr>
      <w:rFonts w:eastAsiaTheme="minorEastAsia"/>
      <w:b/>
      <w:color w:val="44546A" w:themeColor="text2"/>
      <w:kern w:val="0"/>
      <w:sz w:val="24"/>
      <w:szCs w:val="24"/>
      <w:lang w:val="mt-MT"/>
      <w14:ligatures w14:val="none"/>
    </w:rPr>
  </w:style>
  <w:style w:type="paragraph" w:customStyle="1" w:styleId="Titlelevel4">
    <w:name w:val="Title level 4"/>
    <w:next w:val="body"/>
    <w:qFormat/>
    <w:rsid w:val="00FB3D09"/>
    <w:pPr>
      <w:spacing w:before="240" w:after="240" w:line="240" w:lineRule="auto"/>
    </w:pPr>
    <w:rPr>
      <w:rFonts w:eastAsiaTheme="minorEastAsia"/>
      <w:color w:val="E7E6E6" w:themeColor="background2"/>
      <w:kern w:val="0"/>
      <w:sz w:val="24"/>
      <w:szCs w:val="24"/>
      <w:lang w:val="mt-M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FB3D09"/>
    <w:pPr>
      <w:keepNext/>
      <w:spacing w:before="360" w:after="360"/>
    </w:pPr>
    <w:rPr>
      <w:rFonts w:eastAsia="Times New Roman" w:cs="Times New Roman"/>
      <w:bCs/>
      <w:noProof/>
      <w:color w:val="44546A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FB3D09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7E6E6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FB3D09"/>
    <w:pPr>
      <w:spacing w:after="0" w:line="240" w:lineRule="auto"/>
    </w:pPr>
    <w:rPr>
      <w:rFonts w:eastAsiaTheme="minorEastAsia"/>
      <w:caps/>
      <w:kern w:val="0"/>
      <w:sz w:val="16"/>
      <w:szCs w:val="18"/>
      <w:lang w:val="mt-MT"/>
      <w14:ligatures w14:val="none"/>
    </w:rPr>
  </w:style>
  <w:style w:type="paragraph" w:customStyle="1" w:styleId="bullet1">
    <w:name w:val="bullet 1"/>
    <w:basedOn w:val="body"/>
    <w:next w:val="body"/>
    <w:qFormat/>
    <w:rsid w:val="00FB3D09"/>
    <w:pPr>
      <w:numPr>
        <w:numId w:val="23"/>
      </w:numPr>
    </w:pPr>
    <w:rPr>
      <w:szCs w:val="22"/>
    </w:rPr>
  </w:style>
  <w:style w:type="paragraph" w:customStyle="1" w:styleId="bullet2">
    <w:name w:val="bullet 2"/>
    <w:basedOn w:val="body"/>
    <w:qFormat/>
    <w:rsid w:val="00FB3D09"/>
    <w:pPr>
      <w:numPr>
        <w:numId w:val="22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FB3D09"/>
    <w:pPr>
      <w:numPr>
        <w:ilvl w:val="2"/>
        <w:numId w:val="27"/>
      </w:numPr>
    </w:pPr>
  </w:style>
  <w:style w:type="table" w:styleId="LightShading">
    <w:name w:val="Light Shading"/>
    <w:basedOn w:val="TableNormal"/>
    <w:uiPriority w:val="60"/>
    <w:rsid w:val="00FB3D09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B3D09"/>
    <w:pPr>
      <w:spacing w:after="0" w:line="240" w:lineRule="auto"/>
    </w:pPr>
    <w:rPr>
      <w:rFonts w:eastAsiaTheme="minorEastAsia"/>
      <w:color w:val="2F5496" w:themeColor="accen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FB3D09"/>
  </w:style>
  <w:style w:type="paragraph" w:customStyle="1" w:styleId="Numberedtitlelevel4">
    <w:name w:val="Numbered title level 4"/>
    <w:basedOn w:val="Titlelevel4"/>
    <w:qFormat/>
    <w:rsid w:val="00FB3D09"/>
    <w:pPr>
      <w:numPr>
        <w:numId w:val="24"/>
      </w:numPr>
    </w:pPr>
  </w:style>
  <w:style w:type="paragraph" w:styleId="Title">
    <w:name w:val="Title"/>
    <w:basedOn w:val="Normal"/>
    <w:next w:val="Normal"/>
    <w:link w:val="TitleChar"/>
    <w:qFormat/>
    <w:rsid w:val="00FB3D09"/>
    <w:pPr>
      <w:pBdr>
        <w:bottom w:val="single" w:sz="8" w:space="4" w:color="4472C4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</w:rPr>
  </w:style>
  <w:style w:type="character" w:customStyle="1" w:styleId="TitleChar">
    <w:name w:val="Title Char"/>
    <w:basedOn w:val="DefaultParagraphFont"/>
    <w:link w:val="Title"/>
    <w:rsid w:val="00FB3D09"/>
    <w:rPr>
      <w:rFonts w:asciiTheme="majorHAnsi" w:eastAsiaTheme="majorEastAsia" w:hAnsiTheme="majorHAnsi" w:cstheme="majorBidi"/>
      <w:color w:val="44546A" w:themeColor="text2"/>
      <w:spacing w:val="5"/>
      <w:kern w:val="28"/>
      <w:sz w:val="52"/>
      <w:szCs w:val="52"/>
      <w:lang w:val="mt-MT"/>
      <w14:ligatures w14:val="none"/>
    </w:rPr>
  </w:style>
  <w:style w:type="paragraph" w:styleId="Subtitle">
    <w:name w:val="Subtitle"/>
    <w:next w:val="Normal"/>
    <w:link w:val="SubtitleChar"/>
    <w:autoRedefine/>
    <w:uiPriority w:val="11"/>
    <w:qFormat/>
    <w:rsid w:val="00FB3D09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FB3D09"/>
    <w:rPr>
      <w:rFonts w:asciiTheme="majorHAnsi" w:eastAsiaTheme="majorEastAsia" w:hAnsiTheme="majorHAnsi" w:cstheme="majorBidi"/>
      <w:color w:val="4472C4" w:themeColor="accent1"/>
      <w:kern w:val="0"/>
      <w:sz w:val="32"/>
      <w:szCs w:val="32"/>
      <w14:ligatures w14:val="none"/>
    </w:rPr>
  </w:style>
  <w:style w:type="character" w:styleId="BookTitle">
    <w:name w:val="Book Title"/>
    <w:basedOn w:val="DefaultParagraphFont"/>
    <w:uiPriority w:val="33"/>
    <w:qFormat/>
    <w:rsid w:val="00FB3D09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FB3D09"/>
    <w:rPr>
      <w:rFonts w:asciiTheme="minorHAnsi" w:hAnsiTheme="minorHAnsi"/>
      <w:b/>
      <w:bCs/>
      <w:caps w:val="0"/>
      <w:smallCaps w:val="0"/>
      <w:color w:val="E7E6E6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FB3D09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FB3D09"/>
    <w:pPr>
      <w:numPr>
        <w:numId w:val="29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FB3D09"/>
    <w:pPr>
      <w:numPr>
        <w:numId w:val="28"/>
      </w:numPr>
    </w:pPr>
  </w:style>
  <w:style w:type="character" w:customStyle="1" w:styleId="Marker">
    <w:name w:val="Marker"/>
    <w:rsid w:val="00FB3D09"/>
    <w:rPr>
      <w:color w:val="0000FF"/>
      <w:shd w:val="clear" w:color="auto" w:fill="auto"/>
    </w:rPr>
  </w:style>
  <w:style w:type="character" w:customStyle="1" w:styleId="Marker2">
    <w:name w:val="Marker2"/>
    <w:rsid w:val="00FB3D09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FB3D09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FB3D09"/>
    <w:pPr>
      <w:numPr>
        <w:numId w:val="30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FB3D09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FB3D09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FB3D09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FB3D09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FB3D09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FB3D09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FB3D09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FB3D09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FB3D09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472C4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FB3D09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FB3D09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B3D09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3D09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3D09"/>
    <w:rPr>
      <w:color w:val="2B579A"/>
      <w:shd w:val="clear" w:color="auto" w:fill="E1DFDD"/>
    </w:rPr>
  </w:style>
  <w:style w:type="paragraph" w:customStyle="1" w:styleId="pf0">
    <w:name w:val="pf0"/>
    <w:basedOn w:val="Normal"/>
    <w:rsid w:val="00FB3D09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FB3D09"/>
  </w:style>
  <w:style w:type="character" w:customStyle="1" w:styleId="cf01">
    <w:name w:val="cf01"/>
    <w:basedOn w:val="DefaultParagraphFont"/>
    <w:rsid w:val="00FB3D09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FB3D09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FB3D09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FB3D09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FB3D09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3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E5CD77-DE58-4F96-941D-C4B6DEC8A40A}"/>
</file>

<file path=customXml/itemProps2.xml><?xml version="1.0" encoding="utf-8"?>
<ds:datastoreItem xmlns:ds="http://schemas.openxmlformats.org/officeDocument/2006/customXml" ds:itemID="{CE515D26-D1AF-4358-A209-C917BC472C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EEAC2-429F-490C-9E25-655FD78C3A3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9193</Words>
  <Characters>52405</Characters>
  <Application>Microsoft Office Word</Application>
  <DocSecurity>0</DocSecurity>
  <Lines>436</Lines>
  <Paragraphs>122</Paragraphs>
  <ScaleCrop>false</ScaleCrop>
  <Company/>
  <LinksUpToDate>false</LinksUpToDate>
  <CharactersWithSpaces>61476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2024-06-19T17:58:00Z</dcterms:created>
  <dcterms:modified xsi:type="dcterms:W3CDTF">2024-06-21T12:19:00Z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