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SL</w:t>
      </w:r>
      <w:r>
        <w:t xml:space="preserve"> </w:t>
      </w:r>
      <w:r>
        <w:br/>
      </w:r>
      <w:r>
        <w:rPr>
          <w:rFonts w:ascii="Times New Roman" w:hAnsi="Times New Roman"/>
          <w:b/>
          <w:sz w:val="24"/>
        </w:rPr>
        <w:t>PRILOGA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„PRILOGA XIX</w:t>
      </w:r>
    </w:p>
    <w:p w14:paraId="1796FE74" w14:textId="29CC78AB" w:rsidR="007F5684" w:rsidRPr="00E37FBE" w:rsidRDefault="007F5684" w:rsidP="00F30436">
      <w:pPr>
        <w:jc w:val="center"/>
        <w:rPr>
          <w:b/>
          <w:szCs w:val="20"/>
        </w:rPr>
      </w:pPr>
      <w:r>
        <w:rPr>
          <w:b/>
        </w:rPr>
        <w:t>NAVODILA ZA IZPOLNJEVANJE PREDLOGE ZA DODATNA ORODJA ZA SPREMLJANJE IZ PRILOGE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Dodatna orodja za spremljanje</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Splošno </w:t>
      </w:r>
      <w:bookmarkEnd w:id="0"/>
      <w:bookmarkEnd w:id="1"/>
    </w:p>
    <w:p w14:paraId="28146638" w14:textId="572CEF49" w:rsidR="00A344AA" w:rsidRPr="00E37FBE" w:rsidRDefault="00F9747D" w:rsidP="009579C4">
      <w:pPr>
        <w:pStyle w:val="InstructionsText2"/>
        <w:numPr>
          <w:ilvl w:val="0"/>
          <w:numId w:val="4"/>
        </w:numPr>
      </w:pPr>
      <w:r>
        <w:t xml:space="preserve">[prazno] </w:t>
      </w:r>
    </w:p>
    <w:p w14:paraId="39998106" w14:textId="1169C0B2" w:rsidR="00A344AA" w:rsidRPr="00E37FBE" w:rsidRDefault="00A344AA" w:rsidP="009579C4">
      <w:pPr>
        <w:pStyle w:val="InstructionsText2"/>
        <w:numPr>
          <w:ilvl w:val="0"/>
          <w:numId w:val="4"/>
        </w:numPr>
      </w:pPr>
      <w:r>
        <w:t>Skupno financiranje so vse finančne obveznosti razen izvedenih finančnih instrumentov in kratkih pozicij.</w:t>
      </w:r>
    </w:p>
    <w:p w14:paraId="50F797C6" w14:textId="18A1D5E6" w:rsidR="00A344AA" w:rsidRPr="00E37FBE" w:rsidRDefault="00A344AA" w:rsidP="009579C4">
      <w:pPr>
        <w:pStyle w:val="InstructionsText2"/>
        <w:numPr>
          <w:ilvl w:val="0"/>
          <w:numId w:val="4"/>
        </w:numPr>
      </w:pPr>
      <w:r>
        <w:t xml:space="preserve">Za kakršno koli financiranje z odprto zapadlostjo, vključno z vpoglednimi vlogami, se šteje, da zapade čez noč. </w:t>
      </w:r>
    </w:p>
    <w:p w14:paraId="4586638B" w14:textId="7C96029D" w:rsidR="00A344AA" w:rsidRPr="00E37FBE" w:rsidRDefault="00A344AA" w:rsidP="009579C4">
      <w:pPr>
        <w:pStyle w:val="InstructionsText2"/>
        <w:numPr>
          <w:ilvl w:val="0"/>
          <w:numId w:val="4"/>
        </w:numPr>
      </w:pPr>
      <w:r>
        <w:t xml:space="preserve">Prvotna zapadlost predstavlja čas med datumom odobritve in datumom zapadlosti financiranja. Datum zapadlosti financiranja se določi v skladu s točko 12 Priloge XXIII. To pomeni, da je lahko v primeru izbirnosti, kot v primeru točke 12 Priloge XXIII, prvotna zapadlost postavke financiranja krajša kot čas, ki je potekel od njene odobritve. </w:t>
      </w:r>
    </w:p>
    <w:p w14:paraId="4FA59274" w14:textId="21EF3C98" w:rsidR="00A344AA" w:rsidRPr="00E37FBE" w:rsidRDefault="00A344AA" w:rsidP="009579C4">
      <w:pPr>
        <w:pStyle w:val="InstructionsText2"/>
        <w:numPr>
          <w:ilvl w:val="0"/>
          <w:numId w:val="4"/>
        </w:numPr>
      </w:pPr>
      <w:r>
        <w:t>Preostala zapadlost predstavlja čas med koncem obdobja poročanja in datumom zapadlosti financiranja. Datum zapadlosti financiranja se določi v skladu s točko 12 Priloge XXIII.</w:t>
      </w:r>
    </w:p>
    <w:p w14:paraId="1DF04682" w14:textId="743926F7" w:rsidR="007462FE" w:rsidRPr="00E37FBE" w:rsidRDefault="007462FE" w:rsidP="009579C4">
      <w:pPr>
        <w:pStyle w:val="InstructionsText2"/>
        <w:numPr>
          <w:ilvl w:val="0"/>
          <w:numId w:val="4"/>
        </w:numPr>
      </w:pPr>
      <w:r>
        <w:t>Za potrebe izračuna prvotne ali preostale tehtane povprečne zapadlosti se za vloge, ki zapadejo čez noč, ali kakršno koli financiranje z odprto zapadlostjo šteje, da je njihova zapadlost en dan.</w:t>
      </w:r>
    </w:p>
    <w:p w14:paraId="25CD9EF4" w14:textId="173EC59C" w:rsidR="007462FE" w:rsidRPr="00E37FBE" w:rsidRDefault="007462FE" w:rsidP="009579C4">
      <w:pPr>
        <w:pStyle w:val="InstructionsText2"/>
        <w:numPr>
          <w:ilvl w:val="0"/>
          <w:numId w:val="4"/>
        </w:numPr>
      </w:pPr>
      <w:r>
        <w:t>Za namene izračuna prvotne in preostale zapadlosti se v primeru financiranja z rokom za predhodno obvestilo ali s klavzulo o preklicu ali predčasnem dvigu, ki velja za nasprotno stranko institucije, predpostavlja dvig na prvi možen datum.</w:t>
      </w:r>
    </w:p>
    <w:p w14:paraId="2B81E2EC" w14:textId="4651096B" w:rsidR="00A344AA" w:rsidRPr="00E37FBE" w:rsidRDefault="00A344AA" w:rsidP="009579C4">
      <w:pPr>
        <w:pStyle w:val="InstructionsText2"/>
        <w:numPr>
          <w:ilvl w:val="0"/>
          <w:numId w:val="4"/>
        </w:numPr>
      </w:pPr>
      <w:r>
        <w:t>Za obveznosti brez zapadlosti, razen kadar so predmet izbirnosti, kot je navedeno v točki 12 Priloge XXIII, se predpostavlja fiksna dvajsetletna prvotna in preostala zapadlost.</w:t>
      </w:r>
    </w:p>
    <w:p w14:paraId="30EB5133" w14:textId="05E31F69" w:rsidR="00A344AA" w:rsidRPr="00E37FBE" w:rsidRDefault="00A344AA" w:rsidP="009579C4">
      <w:pPr>
        <w:pStyle w:val="InstructionsText2"/>
        <w:numPr>
          <w:ilvl w:val="0"/>
          <w:numId w:val="4"/>
        </w:numPr>
      </w:pPr>
      <w:r>
        <w:t>Za izračun odstotnih pragov iz predloge C 67.00 po pomembnih valutah institucije uporabijo prag, ki znaša 1 % skupnih obveznosti v vseh valutah.</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Koncentracija financiranja glede na nasprotno stranko (C 67.00)</w:t>
      </w:r>
    </w:p>
    <w:p w14:paraId="322C1A75" w14:textId="2DE3271D" w:rsidR="00A344AA" w:rsidRPr="00E37FBE" w:rsidRDefault="00490B62" w:rsidP="009579C4">
      <w:pPr>
        <w:pStyle w:val="InstructionsText2"/>
        <w:numPr>
          <w:ilvl w:val="0"/>
          <w:numId w:val="6"/>
        </w:numPr>
      </w:pPr>
      <w:r>
        <w:t>Za zbiranje informacij o koncentraciji financiranja institucije poročevalke glede na nasprotno stranko v predlogi C 67.00 institucije uporabijo navodila iz tega oddelka.</w:t>
      </w:r>
    </w:p>
    <w:p w14:paraId="52091F90" w14:textId="0B7A17FD" w:rsidR="00A344AA" w:rsidRPr="00E37FBE" w:rsidRDefault="00A344AA" w:rsidP="009579C4">
      <w:pPr>
        <w:pStyle w:val="InstructionsText2"/>
        <w:numPr>
          <w:ilvl w:val="0"/>
          <w:numId w:val="6"/>
        </w:numPr>
      </w:pPr>
      <w:r>
        <w:t>Institucije poročajo deset največjih nasprotnih strank ali skupino povezanih strank, ki je opredeljena v členu 4(1), točka 39, Uredbe (EU) št. 575/2013, če financiranje, pridobljeno od posamezne nasprotne stranke ali skupine povezanih strank, presega prag v višini 1 % skupnih obveznosti v vrsticah 020 do 110 oddelka 1 predloge. Nasprotna stranka, ki se poroča pod postavko 1.01, je nasprotna stranka, od katere institucija prejme največji znesek financiranja, ki prihaja od ene nasprotne stranke ali skupine povezanih strank in ki presega 1-odstotni prag na datum poročanja. Pod postavko 1.02 se poroča druga največja nasprotna stranka, ki presega 1-odstotni prag, in tako naprej v preostalih postavkah.</w:t>
      </w:r>
    </w:p>
    <w:p w14:paraId="430CAED4" w14:textId="505B6732" w:rsidR="00A344AA" w:rsidRPr="00E37FBE" w:rsidRDefault="00A344AA" w:rsidP="009579C4">
      <w:pPr>
        <w:pStyle w:val="InstructionsText2"/>
        <w:numPr>
          <w:ilvl w:val="0"/>
          <w:numId w:val="6"/>
        </w:numPr>
      </w:pPr>
      <w:r>
        <w:t xml:space="preserve">Kadar nasprotna stranka pripada več skupinam povezanih strank, se poroča samo enkrat v skupini z najvišjim zneskom financiranja. </w:t>
      </w:r>
    </w:p>
    <w:p w14:paraId="589BDAD9" w14:textId="65F70951" w:rsidR="00A344AA" w:rsidRPr="00E37FBE" w:rsidRDefault="00A344AA" w:rsidP="009579C4">
      <w:pPr>
        <w:pStyle w:val="InstructionsText2"/>
        <w:numPr>
          <w:ilvl w:val="0"/>
          <w:numId w:val="6"/>
        </w:numPr>
      </w:pPr>
      <w:r>
        <w:lastRenderedPageBreak/>
        <w:t>Institucije poročajo skupni znesek vsega drugega preostalega financiranja v oddelku 2.</w:t>
      </w:r>
    </w:p>
    <w:p w14:paraId="6E279CE2" w14:textId="1CC30DEB" w:rsidR="00A344AA" w:rsidRPr="00E37FBE" w:rsidRDefault="00A344AA" w:rsidP="009579C4">
      <w:pPr>
        <w:pStyle w:val="InstructionsText2"/>
        <w:numPr>
          <w:ilvl w:val="0"/>
          <w:numId w:val="6"/>
        </w:numPr>
      </w:pPr>
      <w:r>
        <w:t xml:space="preserve">Vsota oddelka 1 (Deset največjih nasprotnih strank) in oddelka 2 (Vse drugo financiranje) je enaka skupnemu financiranju institucije, kot je navedeno v njeni bilanci stanja, poročani v okviru računovodskega poročanja (FINREP – predstavlja finančne obveznosti, prilagojene za izključitev izvedenih finančnih instrumentov in kratkih pozicij, v skladu s točko 2 oddelka 1.1) za tista obdobja poročanja, v katerih sta na voljo obe poročili (npr. </w:t>
      </w:r>
      <w:proofErr w:type="spellStart"/>
      <w:r>
        <w:t>Finrep</w:t>
      </w:r>
      <w:proofErr w:type="spellEnd"/>
      <w:r>
        <w:t xml:space="preserve"> Q1 in C 67.00 marec/Q1).</w:t>
      </w:r>
    </w:p>
    <w:p w14:paraId="00BA7315" w14:textId="5EBAC99F" w:rsidR="00A344AA" w:rsidRPr="00E37FBE" w:rsidRDefault="00A344AA" w:rsidP="009579C4">
      <w:pPr>
        <w:pStyle w:val="InstructionsText2"/>
        <w:numPr>
          <w:ilvl w:val="0"/>
          <w:numId w:val="6"/>
        </w:numPr>
      </w:pPr>
      <w:r>
        <w:t>Institucije za vsako nasprotno stranko izpolnijo vse stolpce 0010 do 0080.</w:t>
      </w:r>
    </w:p>
    <w:p w14:paraId="3425ECF0" w14:textId="65ED6564" w:rsidR="00A344AA" w:rsidRPr="00E37FBE" w:rsidRDefault="00A344AA" w:rsidP="009579C4">
      <w:pPr>
        <w:pStyle w:val="InstructionsText2"/>
        <w:numPr>
          <w:ilvl w:val="0"/>
          <w:numId w:val="6"/>
        </w:numPr>
      </w:pPr>
      <w:r>
        <w:t>Kadar se financiranje pridobi v obliki več vrst produktov, se poroča vrsta produkta, v obliki katerega je bil pridobljen največji delež financiranja. Opredelitev osnovnega imetnika vrednostnih papirjev se lahko izvede po najboljših prizadevanjih. Kadar ima institucija informacije o imetniku vrednostnih papirjev na podlagi svoje vloge skrbniške banke, ta znesek upošteva pri poročanju o koncentraciji nasprotnih strank. Kadar informacije o imetniku vrednostnih papirjev niso na voljo, ustreznega zneska ni treba poročati.</w:t>
      </w:r>
    </w:p>
    <w:p w14:paraId="2DFF75CD" w14:textId="77777777" w:rsidR="00A344AA" w:rsidRPr="00E37FBE" w:rsidRDefault="00A344AA" w:rsidP="009579C4">
      <w:pPr>
        <w:pStyle w:val="InstructionsText2"/>
        <w:numPr>
          <w:ilvl w:val="0"/>
          <w:numId w:val="6"/>
        </w:numPr>
      </w:pPr>
      <w:r>
        <w:t>Navodila za posamezne stolpce: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Stolpec</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Pravna podlaga in navodila</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Ime nasprotne stranke</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Ime posamezne nasprotne stranke, ki je zagotovila financiranje, ki presega 1 % skupnih obveznosti, se navede v stolpcu 0010 v padajočem vrstnem redu, tj. v vrstnem redu glede na velikost pridobljenega financiranja.</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Poroča se ime nasprotne stranke, ne glede na to, ali je pravni subjekt ali fizična oseba. Če je nasprotna stranka pravni subjekt, je ime nasprotne stranke polno ime pravnega subjekta, ki zagotavlja financiranje, vključno z vsemi sklici na vrsto podjetja v skladu z nacionalnim pravom gospodarskih družb.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Če skupina povezanih strank nima nadrejene osebe, je nasprotna stranka, ki se poroča, posamezen subjekt, ki je po mnenju zadevne institucije najpomembnejši v skupini povezanih strank. V vseh drugih primerih ime ustreza posamezni nasprotni stranki.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9579C4">
            <w:pPr>
              <w:pStyle w:val="InstructionsText"/>
              <w:rPr>
                <w:rStyle w:val="InstructionsTabelleberschrift"/>
                <w:rFonts w:ascii="Times New Roman" w:hAnsi="Times New Roman"/>
                <w:szCs w:val="20"/>
              </w:rPr>
            </w:pPr>
            <w:r>
              <w:rPr>
                <w:rStyle w:val="InstructionsTabelleberschrift"/>
                <w:rFonts w:ascii="Times New Roman" w:hAnsi="Times New Roman"/>
              </w:rPr>
              <w:t>Koda</w:t>
            </w:r>
          </w:p>
          <w:p w14:paraId="484D7006" w14:textId="77777777" w:rsidR="00CC3091" w:rsidRPr="00E37FBE" w:rsidRDefault="00CC3091" w:rsidP="009579C4">
            <w:pPr>
              <w:pStyle w:val="InstructionsText"/>
              <w:rPr>
                <w:rStyle w:val="InstructionsTabelleberschrift"/>
                <w:rFonts w:ascii="Times New Roman" w:hAnsi="Times New Roman"/>
                <w:szCs w:val="20"/>
              </w:rPr>
            </w:pPr>
          </w:p>
          <w:p w14:paraId="384FB2AC" w14:textId="180414B4" w:rsidR="00CC3091" w:rsidRPr="00E37FBE" w:rsidRDefault="00CC3091" w:rsidP="009579C4">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Ta koda je identifikator vrstice in je enoznačna za vsako nasprotno stranko. Koda za institucije in zavarovalnice je koda identifikatorja pravnih subjektov (LEI). Za druge subjekte je koda </w:t>
            </w:r>
            <w:proofErr w:type="spellStart"/>
            <w:r>
              <w:rPr>
                <w:rStyle w:val="FormatvorlageInstructionsTabelleText"/>
                <w:rFonts w:ascii="Times New Roman" w:hAnsi="Times New Roman"/>
              </w:rPr>
              <w:t>koda</w:t>
            </w:r>
            <w:proofErr w:type="spellEnd"/>
            <w:r>
              <w:rPr>
                <w:rStyle w:val="FormatvorlageInstructionsTabelleText"/>
                <w:rFonts w:ascii="Times New Roman" w:hAnsi="Times New Roman"/>
              </w:rPr>
              <w:t xml:space="preserve"> LEI ali nacionalna koda, če koda LEI ni na voljo. Koda je enoznačna in se uporablja dosledno po vseh predlogah in skozi čas. Koda ima vedno določeno vrednost.</w:t>
            </w:r>
          </w:p>
          <w:p w14:paraId="0CD09054" w14:textId="77777777" w:rsidR="00CC3091" w:rsidRPr="00E37FBE" w:rsidRDefault="00CC3091" w:rsidP="009579C4">
            <w:pPr>
              <w:pStyle w:val="InstructionsText"/>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9579C4">
            <w:pPr>
              <w:pStyle w:val="InstructionsText"/>
              <w:rPr>
                <w:rStyle w:val="InstructionsTabelleberschrift"/>
                <w:rFonts w:ascii="Times New Roman" w:hAnsi="Times New Roman"/>
                <w:szCs w:val="20"/>
              </w:rPr>
            </w:pPr>
            <w:r>
              <w:rPr>
                <w:rStyle w:val="InstructionsTabelleberschrift"/>
                <w:rFonts w:ascii="Times New Roman" w:hAnsi="Times New Roman"/>
              </w:rPr>
              <w:t>Vrsta kode</w:t>
            </w:r>
          </w:p>
          <w:p w14:paraId="24850EC8" w14:textId="77777777" w:rsidR="00652C73" w:rsidRPr="00E37FBE" w:rsidRDefault="00652C73" w:rsidP="009579C4">
            <w:pPr>
              <w:pStyle w:val="InstructionsText"/>
              <w:rPr>
                <w:rStyle w:val="InstructionsTabelleberschrift"/>
                <w:rFonts w:ascii="Times New Roman" w:hAnsi="Times New Roman"/>
                <w:szCs w:val="20"/>
              </w:rPr>
            </w:pPr>
          </w:p>
          <w:p w14:paraId="0DA412A4" w14:textId="7B7B1168" w:rsidR="00AF49BE" w:rsidRPr="00E37FBE" w:rsidRDefault="00652C73" w:rsidP="009579C4">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Institucije določijo vrsto kode, ki se poroča v stolpcu 0015 kot „koda LEI“ ali „ni koda LEI“.</w:t>
            </w:r>
          </w:p>
          <w:p w14:paraId="47AC406F" w14:textId="20E7AC43" w:rsidR="00652C73" w:rsidRPr="00E37FBE" w:rsidRDefault="00AF49BE" w:rsidP="009579C4">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Vrsto kode je treba vedno poročati.</w:t>
            </w:r>
          </w:p>
          <w:p w14:paraId="663A1531" w14:textId="52CE1945" w:rsidR="00652C73" w:rsidRPr="00E37FBE" w:rsidRDefault="00652C73" w:rsidP="009579C4">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9579C4">
            <w:pPr>
              <w:pStyle w:val="InstructionsText"/>
              <w:rPr>
                <w:rStyle w:val="InstructionsTabelleberschrift"/>
                <w:rFonts w:ascii="Times New Roman" w:hAnsi="Times New Roman"/>
                <w:szCs w:val="20"/>
              </w:rPr>
            </w:pPr>
            <w:r>
              <w:rPr>
                <w:rStyle w:val="InstructionsTabelleberschrift"/>
                <w:rFonts w:ascii="Times New Roman" w:hAnsi="Times New Roman"/>
              </w:rPr>
              <w:t>Nacionalna koda</w:t>
            </w:r>
          </w:p>
          <w:p w14:paraId="299CAD77" w14:textId="77777777" w:rsidR="00652C73" w:rsidRPr="00E37FBE" w:rsidRDefault="00652C73" w:rsidP="009579C4">
            <w:pPr>
              <w:pStyle w:val="InstructionsText"/>
              <w:rPr>
                <w:rStyle w:val="InstructionsTabelleberschrift"/>
                <w:rFonts w:ascii="Times New Roman" w:hAnsi="Times New Roman"/>
                <w:szCs w:val="20"/>
              </w:rPr>
            </w:pPr>
          </w:p>
          <w:p w14:paraId="3D894992" w14:textId="77777777" w:rsidR="00652C73" w:rsidRPr="00E37FBE" w:rsidRDefault="00652C73" w:rsidP="009579C4">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Institucije lahko dodatno poročajo nacionalno kodo, kadar kot identifikator v stolpcu „koda“ poročajo kodo LEI.</w:t>
            </w:r>
          </w:p>
          <w:p w14:paraId="2DD0B123" w14:textId="59AC2EB9" w:rsidR="00652C73" w:rsidRPr="00E37FBE" w:rsidRDefault="00652C73" w:rsidP="009579C4">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Sektor nasprotne stranke</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9579C4">
            <w:pPr>
              <w:pStyle w:val="InstructionsText"/>
              <w:rPr>
                <w:rStyle w:val="FormatvorlageInstructionsTabelleText"/>
                <w:rFonts w:ascii="Times New Roman" w:hAnsi="Times New Roman"/>
                <w:szCs w:val="20"/>
              </w:rPr>
            </w:pPr>
            <w:r>
              <w:rPr>
                <w:rStyle w:val="FormatvorlageInstructionsTabelleText"/>
                <w:rFonts w:ascii="Times New Roman" w:hAnsi="Times New Roman"/>
              </w:rPr>
              <w:lastRenderedPageBreak/>
              <w:t>Vsaki nasprotni stranki se dodeli en sektor ob upoštevanju naslednjih razredov gospodarskega sektorja na podlagi FINREP (glej del 1, Priloga V, k tej izvedbeni uredbi):</w:t>
            </w:r>
          </w:p>
          <w:p w14:paraId="7C349277" w14:textId="77777777" w:rsidR="00A344AA" w:rsidRPr="00E37FBE" w:rsidRDefault="00A344AA" w:rsidP="009579C4">
            <w:pPr>
              <w:pStyle w:val="InstructionsText"/>
              <w:rPr>
                <w:rStyle w:val="FormatvorlageInstructionsTabelleText"/>
                <w:rFonts w:ascii="Times New Roman" w:hAnsi="Times New Roman"/>
                <w:szCs w:val="20"/>
              </w:rPr>
            </w:pPr>
          </w:p>
          <w:p w14:paraId="07E3E3C8" w14:textId="068EC55B" w:rsidR="00A344AA" w:rsidRPr="00E37FBE" w:rsidRDefault="00A344AA" w:rsidP="009579C4">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centralne banke; (ii) sektor država; (iii) kreditne institucije; (iv) druge finančne družbe; (v) nefinančne družbe; (vi) gospodinjstva. </w:t>
            </w:r>
          </w:p>
          <w:p w14:paraId="4CA62F92" w14:textId="77777777" w:rsidR="00A344AA" w:rsidRPr="00E37FBE" w:rsidRDefault="00A344AA" w:rsidP="009579C4">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9579C4">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Pri skupinah povezanih strank se sektor ne poroča.</w:t>
            </w:r>
          </w:p>
          <w:p w14:paraId="0E3CE66C" w14:textId="77777777" w:rsidR="00A344AA" w:rsidRPr="00E37FBE" w:rsidRDefault="00A344AA" w:rsidP="009579C4">
            <w:pPr>
              <w:pStyle w:val="InstructionsText2"/>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Sedež nasprotne stranke </w:t>
            </w:r>
          </w:p>
          <w:p w14:paraId="4CB6B035" w14:textId="77777777" w:rsidR="00A344AA" w:rsidRPr="00E37FBE" w:rsidRDefault="00A344AA" w:rsidP="009579C4">
            <w:pPr>
              <w:pStyle w:val="InstructionsText"/>
              <w:rPr>
                <w:rStyle w:val="FormatvorlageInstructionsTabelleText"/>
                <w:rFonts w:ascii="Times New Roman" w:hAnsi="Times New Roman"/>
                <w:b/>
                <w:szCs w:val="20"/>
              </w:rPr>
            </w:pPr>
          </w:p>
          <w:p w14:paraId="1792AE6F" w14:textId="2E35E73C" w:rsidR="00A344AA" w:rsidRPr="009579C4" w:rsidRDefault="00A344AA" w:rsidP="009579C4">
            <w:pPr>
              <w:pStyle w:val="InstructionsText"/>
              <w:rPr>
                <w:rStyle w:val="FormatvorlageInstructionsTabelleText"/>
                <w:rFonts w:ascii="Times New Roman" w:hAnsi="Times New Roman"/>
                <w:szCs w:val="20"/>
              </w:rPr>
            </w:pPr>
            <w:r w:rsidRPr="009579C4">
              <w:t xml:space="preserve">Uporabi se koda ISO 3166-1-alfa-2 države registracije nasprotne stranke, vključno s psevdo kodami ISO za mednarodne organizacije, ki so na voljo v najnovejši izdaji </w:t>
            </w:r>
            <w:proofErr w:type="spellStart"/>
            <w:r w:rsidRPr="009579C4">
              <w:t>Eurostatovega</w:t>
            </w:r>
            <w:proofErr w:type="spellEnd"/>
            <w:r w:rsidRPr="009579C4">
              <w:t xml:space="preserve"> priročnika za posredovanje podatkov o bilancah stanja (Balance </w:t>
            </w:r>
            <w:proofErr w:type="spellStart"/>
            <w:r w:rsidRPr="009579C4">
              <w:t>of</w:t>
            </w:r>
            <w:proofErr w:type="spellEnd"/>
            <w:r w:rsidRPr="009579C4">
              <w:t xml:space="preserve"> </w:t>
            </w:r>
            <w:proofErr w:type="spellStart"/>
            <w:r w:rsidRPr="009579C4">
              <w:t>Payments</w:t>
            </w:r>
            <w:proofErr w:type="spellEnd"/>
            <w:r w:rsidRPr="009579C4">
              <w:t xml:space="preserve"> </w:t>
            </w:r>
            <w:proofErr w:type="spellStart"/>
            <w:r w:rsidRPr="009579C4">
              <w:t>Vademecum</w:t>
            </w:r>
            <w:proofErr w:type="spellEnd"/>
            <w:r w:rsidRPr="009579C4">
              <w:t>).</w:t>
            </w:r>
            <w:r w:rsidRPr="009579C4">
              <w:rPr>
                <w:rStyle w:val="FormatvorlageInstructionsTabelleText"/>
                <w:rFonts w:ascii="Times New Roman" w:hAnsi="Times New Roman"/>
              </w:rPr>
              <w:t xml:space="preserve"> </w:t>
            </w:r>
          </w:p>
          <w:p w14:paraId="713A8F3E" w14:textId="77777777" w:rsidR="00A344AA" w:rsidRPr="00E37FBE" w:rsidRDefault="00A344AA" w:rsidP="009579C4">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Pri skupinah povezanih strank se država ne poroča.</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Vrsta produkta</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Nasprotnim strankam iz stolpca 0010 se dodeli vrsta produkta, ki ustreza izdanemu produktu, v obliki katerega je bilo prejeto financiranje ali v obliki katerega je bil zagotovljen največji delež financiranja pri mešanih vrstah produktov, pri čemer se uporabijo naslednje kode, ki so navedene v krepkem tisku:</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(nezavarovano grosistično financiranje, pridobljeno od finančnih strank, vključno z medbančnimi denarnimi sredstvi);</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(nezavarovano grosistično financiranje, pridobljeno od nefinančnih strank);</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(financiranje, pridobljeno prek pogodb o začasni prodaji, kot so opredeljene v členu 4(1), točka 82, Uredbe (EU) št.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(financiranje, pridobljeno prek izdaje kritih obveznic, kot so opredeljene v členu 129(4) ali (5) Uredbe (EU) št. 575/2013 ali členu 52(4) Direktive 2009/65/ES);</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(financiranje, pridobljeno prek izdaje vrednostnih papirjev s premoženjskim kritjem, vključno s komercialnim zapisom s premoženjskim kritjem);</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(financiranje s strani centralnih bank, povezano z operacijami monetarne politike);</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(nezavarovano grosistično financiranje, pridobljeno od nasprotnih strank znotraj skupine);</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(zavarovano grosistično financiranje, pridobljeno od nasprotnih strank znotraj skupine);</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(drugo zavarovano grosistično financiranje);</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(drugi produkti za financiranje, npr. financiranje na drobno).</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Prejeti znesek</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Skupni znesek financiranja, prejetega od nasprotnih strank iz stolpca 0010, se navede v stolpcu 0060, kjer institucije navedejo knjigovodske vrednosti.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Tehtana povprečna prvotna zapadlost</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Za znesek prejetega financiranja iz stolpca 0060, prejetega od nasprotne stranke iz stolpca 0010, se v stolpcu 0070 navede tehtana povprečna prvotna zapadlost (v dneh) tega financiranja.</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Tehtana povprečna prvotna zapadlost se izračuna kot povprečna prvotna zapadlost (v dneh) financiranja, prejetega od te nasprotne stranke. Povprečje se tehta glede na velikost, in sicer na podlagi velikosti različnih zneskov prejetega financiranja v primerjavi s skupnim financiranjem, prejetim od te nasprotne stranke.</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Institucije za obveznosti brez zapadlosti predpostavljajo fiksno dvajsetletno prvotno zapadlost in za vloge na vpogled enodnevno zapadlost.</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Tehtana povprečna preostala zapadlost</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Za znesek prejetega financiranja iz stolpca 0060, prejetega od nasprotne stranke iz stolpca 0010, se v stolpcu 0080 poroča tehtana povprečna preostala zapadlost (v dneh) tega financiranja.</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Tehtana povprečna preostala zapadlost se izračuna kot povprečna zapadlost (v preostalih dneh) financiranja, prejetega od te nasprotne stranke. Povprečje se tehta glede na velikost, in sicer na podlagi velikosti različnih zneskov prejetega financiranja v primerjavi s skupnim financiranjem, prejetim od te nasprotne stranke.</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Institucije za obveznosti brez zapadlosti predpostavljajo fiksno dvajsetletno prvotno zapadlost in za vloge na vpogled enodnevno zapadlost.</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Koncentracija financiranja glede na vrsto produkta (C 68.00)</w:t>
      </w:r>
    </w:p>
    <w:p w14:paraId="5B6DFC15" w14:textId="3E2FC327" w:rsidR="00A344AA" w:rsidRPr="00E37FBE" w:rsidRDefault="00A344AA" w:rsidP="009579C4">
      <w:pPr>
        <w:pStyle w:val="InstructionsText2"/>
        <w:numPr>
          <w:ilvl w:val="0"/>
          <w:numId w:val="13"/>
        </w:numPr>
      </w:pPr>
      <w:r>
        <w:t>Ta predloga zbira informacije o koncentraciji financiranja institucij poročevalk glede na vrsto produkta, razčlenjeni na vrste financiranja, kot je določeno v spodnjih navodilih v zvezi z vrsticami: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Vrstica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Pravna podlaga in navodila</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55E8CF35"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rsidR="009579C4" w:rsidRPr="009579C4">
              <w:rPr>
                <w:u w:val="single"/>
              </w:rPr>
              <w:tab/>
            </w:r>
            <w:r>
              <w:rPr>
                <w:rFonts w:ascii="Times New Roman" w:hAnsi="Times New Roman"/>
                <w:b/>
                <w:u w:val="single"/>
              </w:rPr>
              <w:t>Financiranje na drobno</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Vloge na drobno, kot so opredeljene v členu 411, točka 2, Uredbe (EU) št. 575/2013, in obveznice za male vlagatelje, kot so navedene v členu 28(6) Delegirane uredbe (EU)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537F0FC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rsidR="009579C4" w:rsidRPr="009579C4">
              <w:rPr>
                <w:u w:val="single"/>
              </w:rPr>
              <w:tab/>
            </w:r>
            <w:r>
              <w:rPr>
                <w:rFonts w:ascii="Times New Roman" w:hAnsi="Times New Roman"/>
                <w:b/>
                <w:u w:val="single"/>
              </w:rPr>
              <w:t>od tega vpogledne vloge</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Od financiranja na drobno v vrstici 0010 vloge, ki so vpogledne vloge.</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2169EC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rsidR="009579C4" w:rsidRPr="009579C4">
              <w:rPr>
                <w:u w:val="single"/>
              </w:rPr>
              <w:tab/>
            </w:r>
            <w:r>
              <w:rPr>
                <w:rFonts w:ascii="Times New Roman" w:hAnsi="Times New Roman"/>
                <w:b/>
                <w:u w:val="single"/>
              </w:rPr>
              <w:t>od tega vezane vloge, ki jih ni mogoče dvigniti v naslednjih 30 dneh</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Od financiranja na drobno v vrstici 0010 vloge, ki so vezane vloge, ki jih ni mogoče dvigniti v naslednjih 30 dneh.</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480CBD3D"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rsidR="009579C4" w:rsidRPr="009579C4">
              <w:rPr>
                <w:u w:val="single"/>
              </w:rPr>
              <w:tab/>
            </w:r>
            <w:r>
              <w:rPr>
                <w:rFonts w:ascii="Times New Roman" w:hAnsi="Times New Roman"/>
                <w:b/>
                <w:u w:val="single"/>
              </w:rPr>
              <w:t>od tega vezane vloge, ki jih je mogoče dvigniti v naslednjih 30 dneh</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Od financiranja na drobno v vrstici 0010 vloge, ki so vezane vloge, ki jih je mogoče dvigniti v naslednjih 30 dneh.</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307011E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rsidR="009579C4" w:rsidRPr="009579C4">
              <w:rPr>
                <w:u w:val="single"/>
              </w:rPr>
              <w:tab/>
            </w:r>
            <w:r>
              <w:rPr>
                <w:rFonts w:ascii="Times New Roman" w:hAnsi="Times New Roman"/>
                <w:b/>
                <w:u w:val="single"/>
              </w:rPr>
              <w:t>Varčevalni računi</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Od financiranja na drobno v vrstici 0010 tiste, ki so varčevalni računi s katero koli izmed spodnjih značilnosti:</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z rokom za predhodno obvestilo za dvig, daljšim od 30 dni;</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brez roka za predhodno obvestilo za dvig, daljšega od 30 dni.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lastRenderedPageBreak/>
              <w:t>Ta vrstica se ne poroča.</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0080</w:t>
            </w:r>
          </w:p>
        </w:tc>
        <w:tc>
          <w:tcPr>
            <w:tcW w:w="4271" w:type="pct"/>
            <w:shd w:val="clear" w:color="auto" w:fill="auto"/>
          </w:tcPr>
          <w:p w14:paraId="208924A1" w14:textId="5B991D58"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rsidR="009579C4" w:rsidRPr="009579C4">
              <w:rPr>
                <w:u w:val="single"/>
              </w:rPr>
              <w:tab/>
            </w:r>
            <w:r>
              <w:rPr>
                <w:rFonts w:ascii="Times New Roman" w:hAnsi="Times New Roman"/>
                <w:b/>
                <w:u w:val="single"/>
              </w:rPr>
              <w:t>z rokom za predhodno obvestilo za dvig, daljšim od 30 dni</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Od financiranja na drobno v vrstici 0010 tiste, ki so varčevalni računi z rokom za predhodno obvestilo za dvig, daljšim od 30 dni.</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6D8BB359"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rsidR="009579C4" w:rsidRPr="009579C4">
              <w:rPr>
                <w:u w:val="single"/>
              </w:rPr>
              <w:tab/>
            </w:r>
            <w:r>
              <w:rPr>
                <w:rFonts w:ascii="Times New Roman" w:hAnsi="Times New Roman"/>
                <w:b/>
                <w:u w:val="single"/>
              </w:rPr>
              <w:t>brez roka za predhodno obvestilo za dvig, daljšega od 30 dni</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Od financiranja na drobno v vrstici 0010 tiste, ki so varčevalni računi brez roka za predhodno obvestilo za dvig, daljšega od 30 dni.</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Grosistično financiranje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Vse nasprotne stranke razen vlog na drobno, kot so opredeljene v členu 411, točka 2, Uredbe (EU) št.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Ta vrstica se ne poroča.</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0A901918"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rsidR="009579C4" w:rsidRPr="009579C4">
              <w:rPr>
                <w:u w:val="single"/>
              </w:rPr>
              <w:tab/>
            </w:r>
            <w:r>
              <w:rPr>
                <w:rFonts w:ascii="Times New Roman" w:hAnsi="Times New Roman"/>
                <w:b/>
                <w:u w:val="single"/>
              </w:rPr>
              <w:t>Nezavarovano grosistično financiranje</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Vse nasprotne stranke razen vlog na drobno, kot so opredeljene v členu 411, točka 2, Uredbe (EU) št. 575/2013, kadar financiranje ni zavarovano.</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32C34B9A"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rsidR="009579C4" w:rsidRPr="009579C4">
              <w:rPr>
                <w:u w:val="single"/>
              </w:rPr>
              <w:tab/>
            </w:r>
            <w:r>
              <w:rPr>
                <w:rFonts w:ascii="Times New Roman" w:hAnsi="Times New Roman"/>
                <w:b/>
                <w:u w:val="single"/>
              </w:rPr>
              <w:t>od tega krediti in vloge finančnih strank</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Od financiranja v vrstici 0110 financiranje, ki ga sestavljajo krediti in vloge finančnih strank.</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Financiranje s strani centralnih bank se izključi iz te vrstice.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478BB5B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rsidR="009579C4" w:rsidRPr="009579C4">
              <w:rPr>
                <w:u w:val="single"/>
              </w:rPr>
              <w:tab/>
            </w:r>
            <w:r>
              <w:rPr>
                <w:rFonts w:ascii="Times New Roman" w:hAnsi="Times New Roman"/>
                <w:b/>
                <w:u w:val="single"/>
              </w:rPr>
              <w:t>od tega krediti in vloge nefinančnih strank</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Od financiranja v vrstici 0110 financiranje, ki ga sestavljajo krediti in vloge nefinančnih strank.</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Financiranje s strani centralnih bank se izključi iz te vrstice.</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276ED34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rsidR="009579C4" w:rsidRPr="009579C4">
              <w:rPr>
                <w:u w:val="single"/>
              </w:rPr>
              <w:tab/>
            </w:r>
            <w:r>
              <w:rPr>
                <w:rFonts w:ascii="Times New Roman" w:hAnsi="Times New Roman"/>
                <w:b/>
                <w:u w:val="single"/>
              </w:rPr>
              <w:t>od tega krediti in vloge subjektov znotraj skupine</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rFonts w:ascii="Times New Roman" w:hAnsi="Times New Roman"/>
                <w:szCs w:val="20"/>
              </w:rPr>
            </w:pPr>
            <w:r>
              <w:rPr>
                <w:rFonts w:ascii="Times New Roman" w:hAnsi="Times New Roman"/>
              </w:rPr>
              <w:t>Od financiranja v vrstici 0110 financiranje, ki ga sestavljajo krediti in vloge subjektov znotraj skupine, kadar je nasprotna stranka nadrejena oseba ali podrejena družba institucije ali druga podrejena družba iste nadrejene osebe ali je povezana s kreditno institucijo v smislu člena 22(7) Direktive 2013/34/EU.</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 xml:space="preserve">Grosistično financiranje s strani subjektov znotraj skupine se poroča zgolj na posamični ali </w:t>
            </w:r>
            <w:proofErr w:type="spellStart"/>
            <w:r>
              <w:rPr>
                <w:rFonts w:ascii="Times New Roman" w:hAnsi="Times New Roman"/>
              </w:rPr>
              <w:t>podkonsolidirani</w:t>
            </w:r>
            <w:proofErr w:type="spellEnd"/>
            <w:r>
              <w:rPr>
                <w:rFonts w:ascii="Times New Roman" w:hAnsi="Times New Roman"/>
              </w:rPr>
              <w:t xml:space="preserve"> podlagi.</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7A3E2DBE"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rsidR="009579C4" w:rsidRPr="009579C4">
              <w:rPr>
                <w:u w:val="single"/>
              </w:rPr>
              <w:tab/>
            </w:r>
            <w:r>
              <w:rPr>
                <w:rFonts w:ascii="Times New Roman" w:hAnsi="Times New Roman"/>
                <w:b/>
                <w:u w:val="single"/>
              </w:rPr>
              <w:t xml:space="preserve">Zavarovano grosistično financiranje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Vse nasprotne stranke razen vlog na drobno, kot so opredeljene v členu 411, točka 2, Uredbe (EU) št. 575/2013, kadar je financiranje zavarovano.</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1474C046"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rsidR="009579C4" w:rsidRPr="009579C4">
              <w:rPr>
                <w:u w:val="single"/>
              </w:rPr>
              <w:tab/>
            </w:r>
            <w:r>
              <w:rPr>
                <w:rFonts w:ascii="Times New Roman" w:hAnsi="Times New Roman"/>
                <w:b/>
                <w:u w:val="single"/>
              </w:rPr>
              <w:t>od tega posli financiranja z vrednostnimi papirji</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Od financiranja v vrstici 0150 financiranje, ki je pridobljeno iz naslova pogodb o začasni prodaji, kot so opredeljene v členu 4(1), točka 82, Uredbe (EU) št.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0170</w:t>
            </w:r>
          </w:p>
        </w:tc>
        <w:tc>
          <w:tcPr>
            <w:tcW w:w="4271" w:type="pct"/>
            <w:shd w:val="clear" w:color="auto" w:fill="auto"/>
          </w:tcPr>
          <w:p w14:paraId="3FE9A1CB" w14:textId="665A581D"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rsidR="009579C4" w:rsidRPr="009579C4">
              <w:rPr>
                <w:u w:val="single"/>
              </w:rPr>
              <w:tab/>
            </w:r>
            <w:r>
              <w:rPr>
                <w:rFonts w:ascii="Times New Roman" w:hAnsi="Times New Roman"/>
                <w:b/>
                <w:u w:val="single"/>
              </w:rPr>
              <w:t>od tega izdaje kritih obveznic</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Od financiranja v vrstici 0150 financiranje, ki je pridobljeno iz naslova izdaje kritih obveznic, kot so opredeljene v členu 129(4) ali (5) Uredbe (EU) št. 575/2013 ali navedene v členu 52(4) Direktive 2009/65/ES.</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3884B5D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rsidR="009579C4" w:rsidRPr="009579C4">
              <w:rPr>
                <w:u w:val="single"/>
              </w:rPr>
              <w:tab/>
            </w:r>
            <w:r>
              <w:rPr>
                <w:rFonts w:ascii="Times New Roman" w:hAnsi="Times New Roman"/>
                <w:b/>
                <w:u w:val="single"/>
              </w:rPr>
              <w:t>od tega izdaja vrednostnih papirjev s premoženjskim kritjem</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Od financiranja v vrstici 0150 financiranje, ki je pridobljeno iz naslova izdaje vrednostnih papirjev s premoženjskim kritjem, vključno s komercialnim zapisom s premoženjskim kritjem.</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7D9352C6"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rsidR="009579C4" w:rsidRPr="009579C4">
              <w:rPr>
                <w:u w:val="single"/>
              </w:rPr>
              <w:tab/>
            </w:r>
            <w:r>
              <w:rPr>
                <w:rFonts w:ascii="Times New Roman" w:hAnsi="Times New Roman"/>
                <w:b/>
                <w:u w:val="single"/>
              </w:rPr>
              <w:t>od tega finančne obveznosti razen izvedenih finančnih instrumentov in kratkih pozicij subjektov znotraj skupine</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Od financiranja v vrstici 0150 financiranje, pridobljeno od subjektov znotraj skupine, kadar je nasprotna stranka nadrejena oseba ali podrejena družba institucije ali druga podrejena družba iste nadrejene osebe ali je povezana s kreditno institucijo v smislu člena 22(7) Direktive 2013/34/EU.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 xml:space="preserve">Grosistično financiranje s strani subjektov znotraj skupine se poroča zgolj na posamični ali </w:t>
            </w:r>
            <w:proofErr w:type="spellStart"/>
            <w:r>
              <w:rPr>
                <w:rFonts w:ascii="Times New Roman" w:hAnsi="Times New Roman"/>
              </w:rPr>
              <w:t>podkonsolidirani</w:t>
            </w:r>
            <w:proofErr w:type="spellEnd"/>
            <w:r>
              <w:rPr>
                <w:rFonts w:ascii="Times New Roman" w:hAnsi="Times New Roman"/>
              </w:rPr>
              <w:t xml:space="preserve"> podlagi.</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579C4">
      <w:pPr>
        <w:pStyle w:val="InstructionsText2"/>
        <w:ind w:left="720"/>
      </w:pPr>
    </w:p>
    <w:p w14:paraId="4C97EC73" w14:textId="0F43F4E9" w:rsidR="00A344AA" w:rsidRPr="00E37FBE" w:rsidRDefault="00A344AA" w:rsidP="009579C4">
      <w:pPr>
        <w:pStyle w:val="InstructionsText2"/>
        <w:numPr>
          <w:ilvl w:val="0"/>
          <w:numId w:val="13"/>
        </w:numPr>
      </w:pPr>
      <w:r>
        <w:t>Institucije za vsako vrsto produkta izpolnijo vse stolpce 0010 do 0050.</w:t>
      </w:r>
    </w:p>
    <w:p w14:paraId="2935E76B" w14:textId="502C6FE3" w:rsidR="00792E65" w:rsidRPr="00E37FBE" w:rsidRDefault="00792E65" w:rsidP="009579C4">
      <w:pPr>
        <w:pStyle w:val="InstructionsText2"/>
        <w:numPr>
          <w:ilvl w:val="0"/>
          <w:numId w:val="13"/>
        </w:numPr>
      </w:pPr>
      <w:r>
        <w:t xml:space="preserve">Vrednosti, ki se poročajo v vrsticah 1 „Financiranje na drobno“, 2.1 „Nezavarovano grosistično financiranje“ in 2.2 „Zavarovano grosistično financiranje“, lahko vključujejo širše vrste produktov kot osnovne postavke „od tega“. </w:t>
      </w:r>
    </w:p>
    <w:p w14:paraId="5C94FB4A" w14:textId="649B48DC" w:rsidR="008E720B" w:rsidRPr="00E37FBE" w:rsidRDefault="008E720B" w:rsidP="009579C4">
      <w:pPr>
        <w:pStyle w:val="InstructionsText2"/>
        <w:numPr>
          <w:ilvl w:val="0"/>
          <w:numId w:val="13"/>
        </w:numPr>
      </w:pPr>
      <w:r>
        <w:t>V tej predlogi se ne poroča lastniški kapital.</w:t>
      </w:r>
    </w:p>
    <w:p w14:paraId="2FED639D" w14:textId="77777777" w:rsidR="00A344AA" w:rsidRPr="00E37FBE" w:rsidRDefault="00A344AA" w:rsidP="009579C4">
      <w:pPr>
        <w:pStyle w:val="InstructionsText2"/>
        <w:numPr>
          <w:ilvl w:val="0"/>
          <w:numId w:val="13"/>
        </w:numPr>
      </w:pPr>
      <w:r>
        <w:t>Navodila za posamezne stolpce: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Stolpec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Pravna podlaga in navodila</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Prejeti knjigovodski znesek</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V stolpcu 0010 predloge se poroča knjigovodski znesek prejetega financiranja za vsako vrsto produktov iz stolpca „Ime produkta“.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Znesek, ki ga krije sistem jamstva za vloge v skladu z Direktivo 2014/49/EU ali enakovreden sistem jamstva za vloge v tretji državi</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V tem stolpcu se od skupnega zneska prejetega financiranja za vsako vrsto produktov iz stolpca „Ime produkta“ in navedenega v stolpcu 0010 poroča znesek, ki ga krije sistem jamstva za vloge v skladu z Direktivo 2014/49/EU ali enakovreden sistem jamstva za vloge v tretji državi.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Opomba: zneski, ki se poročajo v stolpcih 0020 in 0030 za vsako vrsto produktov iz stolpca „Ime produkta“, so enaki skupnemu prejetemu znesku iz stolpca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Znesek, ki ga ne krije sistem jamstva za vloge v skladu z Direktivo 2014/49/EU ali enakovreden sistem jamstva za vloge v tretji državi</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V tem stolpcu se od skupnega zneska prejetega financiranja za vsako kategorijo produktov iz stolpca „Ime produkta“ in navedenega v stolpcu 0010 poroča znesek, ki ga </w:t>
            </w:r>
            <w:r>
              <w:rPr>
                <w:rFonts w:ascii="Times New Roman" w:hAnsi="Times New Roman"/>
                <w:u w:val="single"/>
              </w:rPr>
              <w:t>ne</w:t>
            </w:r>
            <w:r>
              <w:rPr>
                <w:rFonts w:ascii="Times New Roman" w:hAnsi="Times New Roman"/>
              </w:rPr>
              <w:t xml:space="preserve"> krije sistem jamstva za vloge v skladu z Direktivo 2014/49/EU ali enakovreden sistem jamstva za vloge v tretji državi.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lastRenderedPageBreak/>
              <w:t>Opomba: zneski, ki se poročajo v stolpcih 0020 in 0030 za vsako vrsto produktov iz stolpca „Ime produkta“, so enaki skupnemu prejetemu znesku iz stolpca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Tehtana povprečna prvotna zapadlost</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Za znesek prejetega financiranja, ki se poroča v stolpcu 0010, iz vrst produktov, navedenih v stolpcu „Ime produkta“, se v stolpcu 0040 navede tehtana povprečna prvotna zapadlost (v dneh) tega financiranja.</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Tehtana povprečna prvotna zapadlost se izračuna kot povprečna prvotna zapadlost (v dneh) prejetega financiranja za to vrsto produkta. Povprečje se tehta glede na velikost, in sicer na podlagi velikosti različnih zneskov prejetega financiranja v primerjavi s skupnim financiranjem, prejetim iz vseh izdaj te vrste produkta.</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Tehtana povprečna preostala zapadlost</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Za znesek prejetega financiranja iz stolpca 0010 iz vrst produktov, navedenih v stolpcu „Ime produkta“, se v stolpcu 0050 navede tehtana povprečna preostala zapadlost (v dneh) tega financiranja.</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Tehtana povprečna preostala zapadlost se izračuna kot povprečna zapadlost (v preostalih dneh) prejetega financiranja za to vrsto produkta. Povprečje se tehta glede na velikost, in sicer na podlagi velikosti različnih zneskov prejetega financiranja v primerjavi s skupnim financiranjem, prejetim iz vseh izdaj te vrste produkta.</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Cene za različna trajanja financiranja (C 69.00)</w:t>
      </w:r>
    </w:p>
    <w:p w14:paraId="691ACAEA" w14:textId="381B9664" w:rsidR="002C154A" w:rsidRPr="00E37FBE" w:rsidRDefault="00DD76F0" w:rsidP="009579C4">
      <w:pPr>
        <w:pStyle w:val="InstructionsText2"/>
        <w:numPr>
          <w:ilvl w:val="0"/>
          <w:numId w:val="7"/>
        </w:numPr>
      </w:pPr>
      <w:r>
        <w:t>Institucije informacije o obsegu posla in cenah, ki jih plačajo institucije za financiranje, pridobljeno med obdobjem poročanja in še vedno prisotno ob koncu obdobja poročanja, poročajo v predlogi C 69.00 v skladu z naslednjimi prvotnimi zapadlostmi:</w:t>
      </w:r>
    </w:p>
    <w:p w14:paraId="43E76F50" w14:textId="4AC64B2B" w:rsidR="0019013A" w:rsidRPr="009579C4" w:rsidRDefault="00C13077" w:rsidP="009579C4">
      <w:pPr>
        <w:pStyle w:val="InstructionsText2"/>
        <w:numPr>
          <w:ilvl w:val="1"/>
          <w:numId w:val="13"/>
        </w:numPr>
        <w:ind w:left="993" w:hanging="284"/>
        <w:rPr>
          <w:lang w:val="en-GB"/>
        </w:rPr>
      </w:pPr>
      <w:r w:rsidRPr="009579C4">
        <w:rPr>
          <w:lang w:val="en-GB"/>
        </w:rPr>
        <w:tab/>
        <w:t>čez noč v stolpcih 0010 in 0020;</w:t>
      </w:r>
    </w:p>
    <w:p w14:paraId="20A63704" w14:textId="32A5D31D" w:rsidR="0019013A" w:rsidRPr="009579C4" w:rsidRDefault="00325582" w:rsidP="009579C4">
      <w:pPr>
        <w:pStyle w:val="InstructionsText2"/>
        <w:numPr>
          <w:ilvl w:val="1"/>
          <w:numId w:val="13"/>
        </w:numPr>
        <w:ind w:left="993" w:hanging="284"/>
        <w:rPr>
          <w:lang w:val="en-GB"/>
        </w:rPr>
      </w:pPr>
      <w:r w:rsidRPr="009579C4">
        <w:rPr>
          <w:lang w:val="en-GB"/>
        </w:rPr>
        <w:tab/>
        <w:t>daljša kot čez noč in krajša ali enaka 1 tednu v stolpcih 0030 in 0040;</w:t>
      </w:r>
    </w:p>
    <w:p w14:paraId="23995DF6" w14:textId="376C39DE" w:rsidR="0019013A" w:rsidRPr="009579C4" w:rsidRDefault="00325582" w:rsidP="009579C4">
      <w:pPr>
        <w:pStyle w:val="InstructionsText2"/>
        <w:numPr>
          <w:ilvl w:val="1"/>
          <w:numId w:val="13"/>
        </w:numPr>
        <w:ind w:left="993" w:hanging="284"/>
        <w:rPr>
          <w:lang w:val="en-GB"/>
        </w:rPr>
      </w:pPr>
      <w:r w:rsidRPr="009579C4">
        <w:rPr>
          <w:lang w:val="en-GB"/>
        </w:rPr>
        <w:tab/>
        <w:t>daljša kot 1 teden in krajša ali enaka 1 mesecu v stolpcih 0050 in 0060;</w:t>
      </w:r>
    </w:p>
    <w:p w14:paraId="4DB6611C" w14:textId="7A6FF919" w:rsidR="0019013A" w:rsidRPr="009579C4" w:rsidRDefault="00325582" w:rsidP="009579C4">
      <w:pPr>
        <w:pStyle w:val="InstructionsText2"/>
        <w:numPr>
          <w:ilvl w:val="1"/>
          <w:numId w:val="13"/>
        </w:numPr>
        <w:ind w:left="993" w:hanging="284"/>
        <w:rPr>
          <w:lang w:val="en-GB"/>
        </w:rPr>
      </w:pPr>
      <w:r w:rsidRPr="009579C4">
        <w:rPr>
          <w:lang w:val="en-GB"/>
        </w:rPr>
        <w:tab/>
        <w:t>daljša kot 1 mesec in krajša ali enaka 3 mesecem v stolpcih 0070 in 0080;</w:t>
      </w:r>
    </w:p>
    <w:p w14:paraId="68B85898" w14:textId="23D6E867" w:rsidR="0019013A" w:rsidRPr="009579C4" w:rsidRDefault="00325582" w:rsidP="009579C4">
      <w:pPr>
        <w:pStyle w:val="InstructionsText2"/>
        <w:numPr>
          <w:ilvl w:val="1"/>
          <w:numId w:val="13"/>
        </w:numPr>
        <w:ind w:left="993" w:hanging="284"/>
        <w:rPr>
          <w:lang w:val="en-GB"/>
        </w:rPr>
      </w:pPr>
      <w:r w:rsidRPr="009579C4">
        <w:rPr>
          <w:lang w:val="en-GB"/>
        </w:rPr>
        <w:tab/>
        <w:t>daljša kot 3 mesece in krajša ali enaka 6 mesecem v stolpcih 0090 in 0100;</w:t>
      </w:r>
    </w:p>
    <w:p w14:paraId="032BAEDE" w14:textId="1718ED5F" w:rsidR="00172727" w:rsidRPr="009579C4" w:rsidRDefault="00325582" w:rsidP="009579C4">
      <w:pPr>
        <w:pStyle w:val="InstructionsText2"/>
        <w:numPr>
          <w:ilvl w:val="1"/>
          <w:numId w:val="13"/>
        </w:numPr>
        <w:ind w:left="993" w:hanging="284"/>
        <w:rPr>
          <w:lang w:val="en-GB"/>
        </w:rPr>
      </w:pPr>
      <w:r w:rsidRPr="009579C4">
        <w:rPr>
          <w:lang w:val="en-GB"/>
        </w:rPr>
        <w:tab/>
        <w:t>daljša kot 6 mesecev in krajša ali enaka 1 letu v stolpcih 0110 in 0120;</w:t>
      </w:r>
    </w:p>
    <w:p w14:paraId="3DE0207D" w14:textId="52A867EC" w:rsidR="0019013A" w:rsidRPr="009579C4" w:rsidRDefault="00325582" w:rsidP="009579C4">
      <w:pPr>
        <w:pStyle w:val="InstructionsText2"/>
        <w:numPr>
          <w:ilvl w:val="1"/>
          <w:numId w:val="13"/>
        </w:numPr>
        <w:ind w:left="993" w:hanging="284"/>
        <w:rPr>
          <w:lang w:val="en-GB"/>
        </w:rPr>
      </w:pPr>
      <w:r w:rsidRPr="009579C4">
        <w:rPr>
          <w:lang w:val="en-GB"/>
        </w:rPr>
        <w:tab/>
        <w:t>daljša kot 1 leto in krajša ali enaka 2 letoma v stolpcih 0130 in 0140;</w:t>
      </w:r>
    </w:p>
    <w:p w14:paraId="5A4B2AD6" w14:textId="10815534" w:rsidR="0019013A" w:rsidRPr="009579C4" w:rsidRDefault="00325582" w:rsidP="009579C4">
      <w:pPr>
        <w:pStyle w:val="InstructionsText2"/>
        <w:numPr>
          <w:ilvl w:val="1"/>
          <w:numId w:val="13"/>
        </w:numPr>
        <w:ind w:left="993" w:hanging="284"/>
        <w:rPr>
          <w:lang w:val="en-GB"/>
        </w:rPr>
      </w:pPr>
      <w:r w:rsidRPr="009579C4">
        <w:rPr>
          <w:lang w:val="en-GB"/>
        </w:rPr>
        <w:tab/>
        <w:t>daljša kot 2 leti in krajša ali enaka 5 letom v stolpcih 0150 in 0160;</w:t>
      </w:r>
    </w:p>
    <w:p w14:paraId="10B732E8" w14:textId="616AC22B" w:rsidR="0019013A" w:rsidRPr="009579C4" w:rsidRDefault="00325582" w:rsidP="009579C4">
      <w:pPr>
        <w:pStyle w:val="InstructionsText2"/>
        <w:numPr>
          <w:ilvl w:val="1"/>
          <w:numId w:val="13"/>
        </w:numPr>
        <w:ind w:left="993" w:hanging="284"/>
        <w:rPr>
          <w:lang w:val="en-GB"/>
        </w:rPr>
      </w:pPr>
      <w:r w:rsidRPr="009579C4">
        <w:rPr>
          <w:lang w:val="en-GB"/>
        </w:rPr>
        <w:tab/>
        <w:t>daljša kot 5 let in krajša ali enaka 10 letom v stolpcih 0170 in 0180.</w:t>
      </w:r>
    </w:p>
    <w:p w14:paraId="6F09AB94" w14:textId="32C85D80" w:rsidR="003B2555" w:rsidRPr="009579C4" w:rsidRDefault="003B2555" w:rsidP="009579C4">
      <w:pPr>
        <w:pStyle w:val="InstructionsText2"/>
        <w:ind w:left="714"/>
        <w:rPr>
          <w:lang w:val="en-GB"/>
        </w:rPr>
      </w:pPr>
      <w:r w:rsidRPr="009579C4">
        <w:rPr>
          <w:lang w:val="en-GB"/>
        </w:rPr>
        <w:t>V primeru prevrednotenja valut se ne pridobi nobeno novo financiranje v prvotni valuti in institucija poročevalka ni plačala nič več kot prvotno ceno ob začetnem pologu sredstev. Zato se pozitivno povečanje, ki ga povzroči prevrednotenje valut, ne poroča v tej predlogi.</w:t>
      </w:r>
    </w:p>
    <w:p w14:paraId="4BB7D4B6" w14:textId="0E2FDCDB" w:rsidR="00A156BF" w:rsidRPr="009579C4" w:rsidRDefault="00A156BF" w:rsidP="009579C4">
      <w:pPr>
        <w:pStyle w:val="InstructionsText2"/>
        <w:ind w:left="714"/>
        <w:rPr>
          <w:lang w:val="en-GB"/>
        </w:rPr>
      </w:pPr>
      <w:r w:rsidRPr="009579C4">
        <w:rPr>
          <w:lang w:val="en-GB"/>
        </w:rPr>
        <w:t>Viri financiranja s prvotno zapadlostjo več kot deset let se ne poročajo.</w:t>
      </w:r>
    </w:p>
    <w:p w14:paraId="5F28959E" w14:textId="0A765413" w:rsidR="0019013A" w:rsidRPr="00E37FBE" w:rsidRDefault="0019013A" w:rsidP="009579C4">
      <w:pPr>
        <w:pStyle w:val="InstructionsText2"/>
        <w:numPr>
          <w:ilvl w:val="0"/>
          <w:numId w:val="20"/>
        </w:numPr>
      </w:pPr>
      <w:r>
        <w:lastRenderedPageBreak/>
        <w:t>Institucije pri določanju zapadlosti pridobljenega financiranja ne upoštevajo obdobja med datumom sklenitve posla in datumom poravnave, npr. trimesečna obveznost, poravnana v dveh tednih, se poroča v stolpcu za trimesečno zapadlost (stolpca 0070 in 0080).</w:t>
      </w:r>
    </w:p>
    <w:p w14:paraId="3300B61A" w14:textId="6083998F" w:rsidR="00A211F3" w:rsidRPr="00E37FBE" w:rsidRDefault="002C154A" w:rsidP="009579C4">
      <w:pPr>
        <w:pStyle w:val="InstructionsText2"/>
        <w:numPr>
          <w:ilvl w:val="0"/>
          <w:numId w:val="20"/>
        </w:numPr>
      </w:pPr>
      <w:r>
        <w:t>Razmik, naveden v levem stolpcu posameznega časovnega intervala, je eden od naslednjih:</w:t>
      </w:r>
    </w:p>
    <w:p w14:paraId="3D56C5E8" w14:textId="20EB86DD" w:rsidR="0050708F" w:rsidRPr="00E37FBE" w:rsidRDefault="0050708F" w:rsidP="009579C4">
      <w:pPr>
        <w:pStyle w:val="InstructionsText2"/>
        <w:numPr>
          <w:ilvl w:val="0"/>
          <w:numId w:val="20"/>
        </w:numPr>
      </w:pPr>
      <w:r>
        <w:t xml:space="preserve">razmik, ki ga plača institucija za obveznosti z zapadlostjo največ enega leta, če bi prišlo do njihove zamenjave v referenčni indeks čez noč za ustrezno valuto najpozneje do zaključka poslovanja na dan izvedbe posla; </w:t>
      </w:r>
    </w:p>
    <w:p w14:paraId="44F3338B" w14:textId="6511E8C7" w:rsidR="0050708F" w:rsidRPr="00E37FBE" w:rsidRDefault="0050708F" w:rsidP="009579C4">
      <w:pPr>
        <w:pStyle w:val="InstructionsText2"/>
        <w:numPr>
          <w:ilvl w:val="0"/>
          <w:numId w:val="20"/>
        </w:numPr>
      </w:pPr>
      <w:r>
        <w:t xml:space="preserve">razmik, ki ga plača podjetje ob izdaji za obveznosti s prvotno zapadlostjo več kot eno leto, če bi prišlo do njihove zamenjave v relevantni trimesečni referenčni indeks za ustrezno valuto (npr. trimesečni </w:t>
      </w:r>
      <w:proofErr w:type="spellStart"/>
      <w:r>
        <w:t>Euribor</w:t>
      </w:r>
      <w:proofErr w:type="spellEnd"/>
      <w:r>
        <w:t xml:space="preserve"> za EUR), najpozneje do zaključka poslovanja na dan izvedbe posla.</w:t>
      </w:r>
    </w:p>
    <w:p w14:paraId="0C9A9801" w14:textId="00966EBC" w:rsidR="006661EC" w:rsidRPr="00E37FBE" w:rsidRDefault="006661EC" w:rsidP="009579C4">
      <w:pPr>
        <w:pStyle w:val="InstructionsText2"/>
        <w:numPr>
          <w:ilvl w:val="0"/>
          <w:numId w:val="20"/>
        </w:numPr>
      </w:pPr>
      <w:r>
        <w:t>Zgolj za namene izračuna razmika v točkah a) in b) zgoraj lahko institucija na podlagi preteklih izkušenj določi prvotno zapadlost ob upoštevanju izbirnosti ali brez, kot je primerno.</w:t>
      </w:r>
    </w:p>
    <w:p w14:paraId="5EBCC42F" w14:textId="5EFA09B4" w:rsidR="00A211F3" w:rsidRPr="00E37FBE" w:rsidRDefault="0019013A" w:rsidP="009579C4">
      <w:pPr>
        <w:pStyle w:val="InstructionsText2"/>
        <w:numPr>
          <w:ilvl w:val="0"/>
          <w:numId w:val="20"/>
        </w:numPr>
      </w:pPr>
      <w:r>
        <w:t xml:space="preserve">Razmiki se poročajo v bazičnih točkah z negativnim predznakom, če je novo financiranje cenejše kot na podlagi ustrezne </w:t>
      </w:r>
      <w:proofErr w:type="spellStart"/>
      <w:r>
        <w:t>normne</w:t>
      </w:r>
      <w:proofErr w:type="spellEnd"/>
      <w:r>
        <w:t xml:space="preserve"> obrestne mere. Izračunajo se na podlagi tehtanega povprečja. </w:t>
      </w:r>
    </w:p>
    <w:p w14:paraId="0ABF1B64" w14:textId="48812B4E" w:rsidR="0050708F" w:rsidRPr="00E37FBE" w:rsidRDefault="0050708F" w:rsidP="009579C4">
      <w:pPr>
        <w:pStyle w:val="InstructionsText2"/>
        <w:numPr>
          <w:ilvl w:val="0"/>
          <w:numId w:val="20"/>
        </w:numPr>
      </w:pPr>
      <w:r>
        <w:t>Institucije za namene izračuna povprečnega razmika, ki ga je treba plačati za več izdaj/vlog/kreditov, izračunajo skupni strošek v valuti izdaje, pri čemer ne upoštevajo morebitnih valutnih zamenjav, v izračun pa vključijo morebitno plačano ali prejeto premijo ali diskont in opravnine, pri čemer je osnova obdobje veljavnosti teoretične ali dejanske zamenjave obrestnih mer, ki ustreza obdobju veljavnosti obveznosti. Razmik je mera obveznosti, od katere se odšteje mera zamenjave.</w:t>
      </w:r>
    </w:p>
    <w:p w14:paraId="608A7669" w14:textId="7761DC23" w:rsidR="00DD5897" w:rsidRPr="00E37FBE" w:rsidRDefault="0019013A" w:rsidP="009579C4">
      <w:pPr>
        <w:pStyle w:val="InstructionsText2"/>
        <w:numPr>
          <w:ilvl w:val="0"/>
          <w:numId w:val="20"/>
        </w:numPr>
      </w:pPr>
      <w:r>
        <w:t xml:space="preserve">Znesek financiranja, prejetega za kategorije financiranja, navedene v stolpcu „Postavka“, se poroča v stolpcu „Znesek“ ustreznega časovnega intervala. </w:t>
      </w:r>
    </w:p>
    <w:p w14:paraId="3AED84FE" w14:textId="5EE87A4E" w:rsidR="004B3AC2" w:rsidRPr="00E37FBE" w:rsidRDefault="004B3AC2" w:rsidP="009579C4">
      <w:pPr>
        <w:pStyle w:val="InstructionsText2"/>
        <w:numPr>
          <w:ilvl w:val="0"/>
          <w:numId w:val="20"/>
        </w:numPr>
      </w:pPr>
      <w:r>
        <w:t>V stolpcu „Znesek“ institucije navedejo zneske, ki predstavljajo knjigovodski znesek pridobljenega novega financiranja, v veljavnem časovnem intervalu v skladu s prvotno zapadlostjo.</w:t>
      </w:r>
    </w:p>
    <w:p w14:paraId="4513DEDD" w14:textId="0E5B70C9" w:rsidR="004B3AC2" w:rsidRPr="00E37FBE" w:rsidRDefault="00144FB8" w:rsidP="009579C4">
      <w:pPr>
        <w:pStyle w:val="InstructionsText2"/>
        <w:numPr>
          <w:ilvl w:val="0"/>
          <w:numId w:val="20"/>
        </w:numPr>
      </w:pPr>
      <w:r>
        <w:t xml:space="preserve">Tako kot za vse postavke institucije tudi za zunajbilančne obveznosti poročajo samo povezane zneske iz bilance stanja. Zunajbilančna obveznost, zagotovljena instituciji, se poroča v predlogi C 69.00 šele potem, ko se začne črpati. V primeru postopnega črpanja sta znesek in razmik, ki se poročata, počrpani znesek in razmik, ki se uporablja ob koncu obdobja poročanja. Kadar postopnega črpanja ni mogoče obnoviti po presoji institucije, se poroča dejanska zapadlost postopnega črpanja. Kadar je institucija že črpala okvirni kredit ob koncu prejšnjega obdobja poročanja in kadar institucija naknadno poveča uporabo okvirnega kredita, se poroča samo dodatno črpani znesek. </w:t>
      </w:r>
    </w:p>
    <w:p w14:paraId="26598EEA" w14:textId="2CB5C3FB" w:rsidR="00473407" w:rsidRPr="00E37FBE" w:rsidRDefault="00473407" w:rsidP="009579C4">
      <w:pPr>
        <w:pStyle w:val="InstructionsText2"/>
        <w:numPr>
          <w:ilvl w:val="0"/>
          <w:numId w:val="20"/>
        </w:numPr>
      </w:pPr>
      <w:r>
        <w:t>Vloge, ki jih položijo stranke na drobno, sestavljajo vloge, kot so opredeljene v členu 411, točka 2, Uredbe (EU) št. 575/2013.</w:t>
      </w:r>
    </w:p>
    <w:p w14:paraId="54CC7D8D" w14:textId="0023FC80" w:rsidR="00B96CA8" w:rsidRPr="00E37FBE" w:rsidRDefault="00287BD7" w:rsidP="009579C4">
      <w:pPr>
        <w:pStyle w:val="InstructionsText2"/>
        <w:numPr>
          <w:ilvl w:val="0"/>
          <w:numId w:val="20"/>
        </w:numPr>
      </w:pPr>
      <w:r>
        <w:t>Za financiranje, ki je bilo obnovljeno med obdobjem poročanja in ob koncu obdobja poročanja še ni poravnano, se poroča povprečje razmikov, ki se uporabljajo takrat (tj. ob koncu obdobja poročanja). Za namene predloge C 69.00 se financiranje, ki je bilo obnovljeno in je še prisotno ob koncu obdobja poročanja, šteje kot novo financiranje.</w:t>
      </w:r>
    </w:p>
    <w:p w14:paraId="43F95C32" w14:textId="71E535F8" w:rsidR="00BB3757" w:rsidRPr="00E37FBE" w:rsidRDefault="00CD20D9" w:rsidP="009579C4">
      <w:pPr>
        <w:pStyle w:val="InstructionsText2"/>
        <w:numPr>
          <w:ilvl w:val="0"/>
          <w:numId w:val="20"/>
        </w:numPr>
      </w:pPr>
      <w:r>
        <w:t xml:space="preserve">Z odstopanjem od preostalega dela Oddelka 1.4 se znesek in razmik vpoglednih vlog poročata le, kadar vlagatelj v prejšnjem obdobju poročanja ni imel vpoglednih vlog ali kadar se znesek vlog poveča v primerjavi s prejšnjim referenčnim datumom, pri čemer se v tem primeru povečanje obravnava kot novo financiranje. Razmik je razmik ob koncu obdobja. </w:t>
      </w:r>
    </w:p>
    <w:p w14:paraId="10927EEB" w14:textId="01546635" w:rsidR="00270986" w:rsidRPr="00E37FBE" w:rsidRDefault="00270986" w:rsidP="009579C4">
      <w:pPr>
        <w:pStyle w:val="InstructionsText2"/>
        <w:numPr>
          <w:ilvl w:val="0"/>
          <w:numId w:val="20"/>
        </w:numPr>
      </w:pPr>
      <w:r>
        <w:t>Če ni ničesar za poročati, se celice v zvezi z razmiki pustijo prazne.</w:t>
      </w:r>
    </w:p>
    <w:p w14:paraId="5031E50C" w14:textId="2A8C8C44" w:rsidR="00A156BF" w:rsidRPr="00E37FBE" w:rsidRDefault="00A156BF" w:rsidP="009579C4">
      <w:pPr>
        <w:pStyle w:val="InstructionsText2"/>
        <w:numPr>
          <w:ilvl w:val="0"/>
          <w:numId w:val="20"/>
        </w:numPr>
      </w:pPr>
      <w:r>
        <w:t xml:space="preserve">V tej predlogi se ne poroča lastniški kapital. </w:t>
      </w:r>
    </w:p>
    <w:p w14:paraId="5F1BCA9F" w14:textId="77777777" w:rsidR="002C154A" w:rsidRPr="00E37FBE" w:rsidRDefault="002C154A" w:rsidP="009579C4">
      <w:pPr>
        <w:pStyle w:val="InstructionsText2"/>
        <w:numPr>
          <w:ilvl w:val="0"/>
          <w:numId w:val="20"/>
        </w:numPr>
      </w:pPr>
      <w:r>
        <w:lastRenderedPageBreak/>
        <w:t>Navodila za posamezne vrstice:</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Vrstica</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Pravna podlaga in navodila</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Skupno financiranje</w:t>
            </w:r>
          </w:p>
          <w:p w14:paraId="25D6D292" w14:textId="1DE19D27" w:rsidR="002C154A" w:rsidRPr="00E37FBE" w:rsidRDefault="00E42487" w:rsidP="008E1558">
            <w:pPr>
              <w:rPr>
                <w:rFonts w:ascii="Times New Roman" w:hAnsi="Times New Roman"/>
                <w:szCs w:val="20"/>
              </w:rPr>
            </w:pPr>
            <w:r>
              <w:rPr>
                <w:rFonts w:ascii="Times New Roman" w:hAnsi="Times New Roman"/>
              </w:rPr>
              <w:t>Skupni znesek in tehtan povprečni razmik celotnega financiranja se pridobita za vsa naslednja trajanja skladno z naslednjim:</w:t>
            </w:r>
          </w:p>
          <w:p w14:paraId="3D5903C1" w14:textId="71E515AA" w:rsidR="007778A0" w:rsidRPr="00E37FBE" w:rsidRDefault="00CD20D9" w:rsidP="009579C4">
            <w:pPr>
              <w:pStyle w:val="InstructionsText2"/>
              <w:numPr>
                <w:ilvl w:val="1"/>
                <w:numId w:val="12"/>
              </w:numPr>
            </w:pPr>
            <w:r>
              <w:t>čez noč v stolpcih 0010 in 0020;</w:t>
            </w:r>
          </w:p>
          <w:p w14:paraId="1AF1DF5A" w14:textId="197B262D" w:rsidR="007778A0" w:rsidRPr="00E37FBE" w:rsidRDefault="00CD20D9" w:rsidP="009579C4">
            <w:pPr>
              <w:pStyle w:val="InstructionsText2"/>
              <w:numPr>
                <w:ilvl w:val="1"/>
                <w:numId w:val="12"/>
              </w:numPr>
            </w:pPr>
            <w:r>
              <w:t>daljša kot čez noč in krajša ali enaka 1 tednu v stolpcih 0030 in 0040;</w:t>
            </w:r>
          </w:p>
          <w:p w14:paraId="4C124A2C" w14:textId="40AAE739" w:rsidR="007778A0" w:rsidRPr="00E37FBE" w:rsidRDefault="00CD20D9" w:rsidP="009579C4">
            <w:pPr>
              <w:pStyle w:val="InstructionsText2"/>
              <w:numPr>
                <w:ilvl w:val="1"/>
                <w:numId w:val="12"/>
              </w:numPr>
            </w:pPr>
            <w:r>
              <w:t>daljša kot 1 teden in krajša ali enaka 1 mesecu v stolpcih 0050 in 0060;</w:t>
            </w:r>
          </w:p>
          <w:p w14:paraId="74B468F3" w14:textId="3C21BB5E" w:rsidR="007778A0" w:rsidRPr="00E37FBE" w:rsidRDefault="00CD20D9" w:rsidP="009579C4">
            <w:pPr>
              <w:pStyle w:val="InstructionsText2"/>
              <w:numPr>
                <w:ilvl w:val="1"/>
                <w:numId w:val="12"/>
              </w:numPr>
            </w:pPr>
            <w:r>
              <w:t>daljša kot 1 mesec in krajša ali enaka 3 mesecem v stolpcih 0070 in 0080;</w:t>
            </w:r>
          </w:p>
          <w:p w14:paraId="482B32DB" w14:textId="0BE23448" w:rsidR="007778A0" w:rsidRPr="00E37FBE" w:rsidRDefault="00CD20D9" w:rsidP="009579C4">
            <w:pPr>
              <w:pStyle w:val="InstructionsText2"/>
              <w:numPr>
                <w:ilvl w:val="1"/>
                <w:numId w:val="12"/>
              </w:numPr>
            </w:pPr>
            <w:r>
              <w:t>daljša kot 3 mesece in krajša ali enaka 6 mesecem v stolpcih 0090 in 0100;</w:t>
            </w:r>
          </w:p>
          <w:p w14:paraId="3C4AC9B6" w14:textId="7E09F360" w:rsidR="007778A0" w:rsidRPr="00E37FBE" w:rsidRDefault="00CD20D9" w:rsidP="009579C4">
            <w:pPr>
              <w:pStyle w:val="InstructionsText2"/>
              <w:numPr>
                <w:ilvl w:val="1"/>
                <w:numId w:val="12"/>
              </w:numPr>
            </w:pPr>
            <w:r>
              <w:t>daljša kot 6 mesecev in krajša ali enaka 1 letu v stolpcih 0110 in 0120;</w:t>
            </w:r>
          </w:p>
          <w:p w14:paraId="1C290FE7" w14:textId="4E5B0810" w:rsidR="007778A0" w:rsidRPr="00E37FBE" w:rsidRDefault="00CD20D9" w:rsidP="009579C4">
            <w:pPr>
              <w:pStyle w:val="InstructionsText2"/>
              <w:numPr>
                <w:ilvl w:val="1"/>
                <w:numId w:val="12"/>
              </w:numPr>
            </w:pPr>
            <w:r>
              <w:t>daljša kot 1 leto in krajša ali enaka 2 letoma v stolpcih 0130 in 0140;</w:t>
            </w:r>
          </w:p>
          <w:p w14:paraId="6E53E104" w14:textId="03252B84" w:rsidR="007778A0" w:rsidRPr="00E37FBE" w:rsidRDefault="00CD20D9" w:rsidP="009579C4">
            <w:pPr>
              <w:pStyle w:val="InstructionsText2"/>
              <w:numPr>
                <w:ilvl w:val="1"/>
                <w:numId w:val="12"/>
              </w:numPr>
            </w:pPr>
            <w:r>
              <w:t>daljša kot 2 leti in krajša ali enaka 5 letom v stolpcih 0150 in 0160;</w:t>
            </w:r>
          </w:p>
          <w:p w14:paraId="22EC36F6" w14:textId="5EE6B232" w:rsidR="00CE333E" w:rsidRPr="00E37FBE" w:rsidRDefault="00CD20D9" w:rsidP="009579C4">
            <w:pPr>
              <w:pStyle w:val="InstructionsText2"/>
              <w:numPr>
                <w:ilvl w:val="1"/>
                <w:numId w:val="12"/>
              </w:numPr>
            </w:pPr>
            <w:r>
              <w:t>daljša kot 5 let in krajša ali enaka 10 letom v stolpcih 0170 in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Financiranje na drobno</w:t>
            </w:r>
          </w:p>
          <w:p w14:paraId="2F60C8D8" w14:textId="1F37D31E" w:rsidR="002C154A" w:rsidRPr="00E37FBE" w:rsidRDefault="00CE333E" w:rsidP="005E4F4B">
            <w:pPr>
              <w:rPr>
                <w:rFonts w:ascii="Times New Roman" w:hAnsi="Times New Roman"/>
                <w:szCs w:val="20"/>
              </w:rPr>
            </w:pPr>
            <w:r>
              <w:rPr>
                <w:rFonts w:ascii="Times New Roman" w:hAnsi="Times New Roman"/>
              </w:rPr>
              <w:t>Skupni znesek in tehtani povprečni razmik pridobljenega financiranja na drobno glede na skupno financiranje iz postavke 1.</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Nezavarovano grosistično financiranje</w:t>
            </w:r>
          </w:p>
          <w:p w14:paraId="49C52367" w14:textId="3BAAFA1E" w:rsidR="00AF1439" w:rsidRPr="00E37FBE" w:rsidRDefault="00AF1439" w:rsidP="001C1BA1">
            <w:pPr>
              <w:rPr>
                <w:rFonts w:ascii="Times New Roman" w:hAnsi="Times New Roman"/>
                <w:szCs w:val="20"/>
              </w:rPr>
            </w:pPr>
            <w:r>
              <w:rPr>
                <w:rFonts w:ascii="Times New Roman" w:hAnsi="Times New Roman"/>
              </w:rPr>
              <w:t>Skupni znesek in tehtani povprečni razmik pridobljenega nezavarovanega grosističnega financiranja glede na skupno financiranje iz postavke 1.</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od tega: nadrejeni nezavarovani vrednostni papirji</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Skupni znesek in tehtani povprečni razmik pridobljenih nadrejenih nezavarovanih vrednostnih papirjev glede na nezavarovano grosistično financiranje iz postavke 1.2.</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zavarovano financiranje (ne od centralne banke)</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Skupni znesek in tehtani povprečni razmik zavarovanega financiranja, pridobljenega od nasprotne stranke, ki ni centralna banka, glede na skupno financiranje iz postavke 1.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od tega: krite obveznice</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Skupni znesek in tehtani povprečni razmik celotne izdaje kritih obveznic, ki bremenijo lastna sredstva institucij, glede na zavarovano financiranje iz postavke 1.3.</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od tega: vrednostni papirji s premoženjskim kritjem, vključno z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Skupni znesek in tehtani povprečni razmik izdanih vrednostnih papirjev s premoženjskim kritjem, vključno s komercialnimi zapisi s premoženjskim kritjem, glede na zavarovano financiranje iz postavke 1.3.</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Drugo financiranje</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lastRenderedPageBreak/>
              <w:t>Skupni znesek in tehtani povprečni razmik financiranja, ki ni vključeno v postavke od 1.1 do 1.3, vključno z zavarovanim financiranjem od centralnih bank, glede na skupno financiranje iz postavke 1.</w:t>
            </w:r>
          </w:p>
        </w:tc>
      </w:tr>
    </w:tbl>
    <w:p w14:paraId="5029EEE5" w14:textId="77777777" w:rsidR="00953ED6" w:rsidRPr="00E37FBE" w:rsidRDefault="00953ED6" w:rsidP="009579C4">
      <w:pPr>
        <w:pStyle w:val="InstructionsText"/>
        <w:rPr>
          <w:rStyle w:val="InstructionsTabelleText"/>
          <w:rFonts w:ascii="Times New Roman" w:hAnsi="Times New Roman"/>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Obnavljanje financiranja (C 70.00)</w:t>
      </w:r>
    </w:p>
    <w:p w14:paraId="5ACA258A" w14:textId="2E5A9D32" w:rsidR="00DD5897" w:rsidRPr="00E37FBE" w:rsidRDefault="00DD5897" w:rsidP="009579C4">
      <w:pPr>
        <w:pStyle w:val="InstructionsText2"/>
        <w:numPr>
          <w:ilvl w:val="0"/>
          <w:numId w:val="8"/>
        </w:numPr>
      </w:pPr>
      <w:bookmarkStart w:id="2" w:name="_Toc308175821"/>
      <w:bookmarkStart w:id="3" w:name="_Toc310414968"/>
      <w:r>
        <w:t>Ta predloga zbira informacije o znesku zapadajočih sredstev in novih pridobljenih sredstev, tj. „obnavljanju financiranja“ na dnevni ravni v mesecu pred datumom poročanja.</w:t>
      </w:r>
    </w:p>
    <w:p w14:paraId="180EF408" w14:textId="4710199E" w:rsidR="00DB3C37" w:rsidRPr="00E37FBE" w:rsidRDefault="00DB3C37" w:rsidP="009579C4">
      <w:pPr>
        <w:pStyle w:val="InstructionsText2"/>
        <w:numPr>
          <w:ilvl w:val="0"/>
          <w:numId w:val="8"/>
        </w:numPr>
      </w:pPr>
      <w:r>
        <w:t>Institucije po koledarskih dneh poročajo financiranje, ki zapade v skladu z naslednjimi časovnimi intervali, glede na prvotno zapadlost:</w:t>
      </w:r>
    </w:p>
    <w:p w14:paraId="10B482AB" w14:textId="35902522" w:rsidR="00DB3C37" w:rsidRPr="009579C4" w:rsidRDefault="00237D15" w:rsidP="009579C4">
      <w:pPr>
        <w:pStyle w:val="InstructionsText2"/>
        <w:numPr>
          <w:ilvl w:val="1"/>
          <w:numId w:val="5"/>
        </w:numPr>
        <w:ind w:left="1276" w:hanging="283"/>
        <w:rPr>
          <w:lang w:val="en-GB"/>
        </w:rPr>
      </w:pPr>
      <w:r w:rsidRPr="009579C4">
        <w:rPr>
          <w:lang w:val="en-GB"/>
        </w:rPr>
        <w:t>čez noč v stolpcih 0010 do 0040;</w:t>
      </w:r>
    </w:p>
    <w:p w14:paraId="78059097" w14:textId="75ED6B94" w:rsidR="00DB3C37" w:rsidRPr="009579C4" w:rsidRDefault="00237D15" w:rsidP="009579C4">
      <w:pPr>
        <w:pStyle w:val="InstructionsText2"/>
        <w:numPr>
          <w:ilvl w:val="1"/>
          <w:numId w:val="5"/>
        </w:numPr>
        <w:ind w:left="1276" w:hanging="283"/>
        <w:rPr>
          <w:lang w:val="en-GB"/>
        </w:rPr>
      </w:pPr>
      <w:r w:rsidRPr="009579C4">
        <w:rPr>
          <w:lang w:val="en-GB"/>
        </w:rPr>
        <w:t>med 1 in 7 dnevi v stolpcih 0050 do 0080;</w:t>
      </w:r>
    </w:p>
    <w:p w14:paraId="0888F316" w14:textId="304511FD" w:rsidR="00DB3C37" w:rsidRPr="009579C4" w:rsidRDefault="00237D15" w:rsidP="009579C4">
      <w:pPr>
        <w:pStyle w:val="InstructionsText2"/>
        <w:numPr>
          <w:ilvl w:val="1"/>
          <w:numId w:val="5"/>
        </w:numPr>
        <w:ind w:left="1276" w:hanging="283"/>
        <w:rPr>
          <w:lang w:val="en-GB"/>
        </w:rPr>
      </w:pPr>
      <w:r w:rsidRPr="009579C4">
        <w:rPr>
          <w:lang w:val="en-GB"/>
        </w:rPr>
        <w:t>med 7 in 14 dnevi v stolpcih 0090 do 0120;</w:t>
      </w:r>
    </w:p>
    <w:p w14:paraId="08E23AA2" w14:textId="64CFEF40" w:rsidR="00DB3C37" w:rsidRPr="009579C4" w:rsidRDefault="00237D15" w:rsidP="009579C4">
      <w:pPr>
        <w:pStyle w:val="InstructionsText2"/>
        <w:numPr>
          <w:ilvl w:val="1"/>
          <w:numId w:val="5"/>
        </w:numPr>
        <w:ind w:left="1276" w:hanging="283"/>
        <w:rPr>
          <w:lang w:val="en-GB"/>
        </w:rPr>
      </w:pPr>
      <w:r w:rsidRPr="009579C4">
        <w:rPr>
          <w:lang w:val="en-GB"/>
        </w:rPr>
        <w:t>med 14 dnevi in 1 mesecem v stolpcih 0130 do 0160;</w:t>
      </w:r>
    </w:p>
    <w:p w14:paraId="69F00FB2" w14:textId="181A4A03" w:rsidR="00DB3C37" w:rsidRPr="009579C4" w:rsidRDefault="00237D15" w:rsidP="009579C4">
      <w:pPr>
        <w:pStyle w:val="InstructionsText2"/>
        <w:numPr>
          <w:ilvl w:val="1"/>
          <w:numId w:val="5"/>
        </w:numPr>
        <w:ind w:left="1276" w:hanging="283"/>
        <w:rPr>
          <w:lang w:val="en-GB"/>
        </w:rPr>
      </w:pPr>
      <w:r w:rsidRPr="009579C4">
        <w:rPr>
          <w:lang w:val="en-GB"/>
        </w:rPr>
        <w:t>med 1 in 3 meseci v stolpcih 0170 do 0200;</w:t>
      </w:r>
    </w:p>
    <w:p w14:paraId="39971E5E" w14:textId="43960DD0" w:rsidR="00DB3C37" w:rsidRPr="009579C4" w:rsidRDefault="00237D15" w:rsidP="009579C4">
      <w:pPr>
        <w:pStyle w:val="InstructionsText2"/>
        <w:numPr>
          <w:ilvl w:val="1"/>
          <w:numId w:val="5"/>
        </w:numPr>
        <w:ind w:left="1276" w:hanging="283"/>
        <w:rPr>
          <w:lang w:val="en-GB"/>
        </w:rPr>
      </w:pPr>
      <w:r w:rsidRPr="009579C4">
        <w:rPr>
          <w:lang w:val="en-GB"/>
        </w:rPr>
        <w:t>med 3 in 6 meseci v stolpcih 0210 do 0240;</w:t>
      </w:r>
    </w:p>
    <w:p w14:paraId="7574DBE7" w14:textId="6E9CAB4B" w:rsidR="009A329A" w:rsidRPr="009579C4" w:rsidRDefault="00144FB8" w:rsidP="009579C4">
      <w:pPr>
        <w:pStyle w:val="InstructionsText2"/>
        <w:numPr>
          <w:ilvl w:val="1"/>
          <w:numId w:val="5"/>
        </w:numPr>
        <w:ind w:left="1276" w:hanging="283"/>
        <w:rPr>
          <w:lang w:val="en-GB"/>
        </w:rPr>
      </w:pPr>
      <w:r w:rsidRPr="009579C4">
        <w:rPr>
          <w:lang w:val="en-GB"/>
        </w:rPr>
        <w:t>v več kot 6 mesecih v stolpcih 0250 do 0280.</w:t>
      </w:r>
    </w:p>
    <w:p w14:paraId="1F25325E" w14:textId="62618E1F" w:rsidR="00DB3C37" w:rsidRPr="00E37FBE" w:rsidRDefault="00DB3C37" w:rsidP="009579C4">
      <w:pPr>
        <w:pStyle w:val="InstructionsText2"/>
        <w:numPr>
          <w:ilvl w:val="0"/>
          <w:numId w:val="8"/>
        </w:numPr>
      </w:pPr>
      <w:r>
        <w:t>Za vsak časovni interval iz točke 2 se zapadajoči znesek navede v levem stolpcu, znesek sredstev, ki se obnovijo, se navede v stolpcu „Obnovljeno“, nova pridobljena sredstva se navedejo v stolpcu „Nova sredstva“, neto razlika med novimi sredstvi na eni strani in obnovljenimi sredstvi, od katerih se odštejejo zapadajoča sredstva, na drugi strani pa v desnem stolpcu.</w:t>
      </w:r>
      <w:r>
        <w:rPr>
          <w:rFonts w:ascii="Verdana" w:hAnsi="Verdana"/>
        </w:rPr>
        <w:t xml:space="preserve"> </w:t>
      </w:r>
    </w:p>
    <w:p w14:paraId="710A06F4" w14:textId="240473AE" w:rsidR="00DB3C37" w:rsidRPr="00E37FBE" w:rsidRDefault="00DB3C37" w:rsidP="009579C4">
      <w:pPr>
        <w:pStyle w:val="InstructionsText2"/>
        <w:numPr>
          <w:ilvl w:val="0"/>
          <w:numId w:val="8"/>
        </w:numPr>
      </w:pPr>
      <w:r>
        <w:t>Skupni neto denarni tokovi se navedejo v stolpcu 290 in so enaki vsoti vseh naslednjih stolpcev „Neto“: 0040, 0080, 0120, 0160, 0200, 0240 in 0280.</w:t>
      </w:r>
    </w:p>
    <w:p w14:paraId="28B9B16F" w14:textId="7EEE4811" w:rsidR="00BD24C1" w:rsidRPr="00E37FBE" w:rsidRDefault="00DB3C37" w:rsidP="009579C4">
      <w:pPr>
        <w:pStyle w:val="InstructionsText2"/>
        <w:numPr>
          <w:ilvl w:val="0"/>
          <w:numId w:val="8"/>
        </w:numPr>
      </w:pPr>
      <w:r>
        <w:t>Povprečno trajanje financiranja (v dneh) za zapadajoča terminska sredstva se poroča v stolpcu 0300.</w:t>
      </w:r>
    </w:p>
    <w:p w14:paraId="76D8AD49" w14:textId="73AC67C3" w:rsidR="003E371A" w:rsidRPr="00E37FBE" w:rsidRDefault="003E371A" w:rsidP="009579C4">
      <w:pPr>
        <w:pStyle w:val="InstructionsText2"/>
        <w:numPr>
          <w:ilvl w:val="0"/>
          <w:numId w:val="8"/>
        </w:numPr>
      </w:pPr>
      <w:r>
        <w:t>Povprečno trajanje financiranja (v dneh) sredstev, ki se obnovijo, se poroča v stolpcu 0310.</w:t>
      </w:r>
    </w:p>
    <w:p w14:paraId="717CD209" w14:textId="41C8DEE3" w:rsidR="00BD24C1" w:rsidRPr="00E37FBE" w:rsidRDefault="00DB3C37" w:rsidP="009579C4">
      <w:pPr>
        <w:pStyle w:val="InstructionsText2"/>
        <w:numPr>
          <w:ilvl w:val="0"/>
          <w:numId w:val="8"/>
        </w:numPr>
      </w:pPr>
      <w:r>
        <w:t xml:space="preserve"> Povprečno trajanje financiranja (v dneh) za nova terminska sredstva se poroča v stolpcu 0320.</w:t>
      </w:r>
    </w:p>
    <w:p w14:paraId="5C92A186" w14:textId="6F4BC0FE" w:rsidR="00A7751A" w:rsidRPr="00E37FBE" w:rsidRDefault="00A7751A" w:rsidP="009579C4">
      <w:pPr>
        <w:pStyle w:val="InstructionsText2"/>
        <w:numPr>
          <w:ilvl w:val="0"/>
          <w:numId w:val="8"/>
        </w:numPr>
      </w:pPr>
      <w:r>
        <w:t>„Zapadajoči“ znesek vsebuje vse obveznosti, ki jih je ponudnik financiranja po pogodbi lahko dvignil ali so zapadle na zadevni dan v obdobju poročanja. Vedno se poroča s pozitivnim predznakom.</w:t>
      </w:r>
    </w:p>
    <w:p w14:paraId="004B6E12" w14:textId="539634DF" w:rsidR="00A7751A" w:rsidRPr="00E37FBE" w:rsidRDefault="00A7751A" w:rsidP="009579C4">
      <w:pPr>
        <w:pStyle w:val="InstructionsText2"/>
        <w:numPr>
          <w:ilvl w:val="0"/>
          <w:numId w:val="8"/>
        </w:numPr>
      </w:pPr>
      <w:r>
        <w:t>„Obnovljeni“ znesek vsebuje zapadajoči znesek, kot je opredeljen v točkah 2 in 3, ki ostane v instituciji na zadevni dan obdobja poročanja. Vedno se poroča s pozitivnim predznakom. Kadar se zapadlost financiranja spremeni zaradi obnovitve, se „obnovljeni“ znesek poroča v časovnem intervalu v skladu z novo zapadlostjo.</w:t>
      </w:r>
    </w:p>
    <w:p w14:paraId="68CA5A97" w14:textId="694BA31F" w:rsidR="00A7751A" w:rsidRPr="00E37FBE" w:rsidRDefault="00A7751A" w:rsidP="009579C4">
      <w:pPr>
        <w:pStyle w:val="InstructionsText2"/>
        <w:numPr>
          <w:ilvl w:val="0"/>
          <w:numId w:val="8"/>
        </w:numPr>
      </w:pPr>
      <w:r>
        <w:t>Znesek „novih sredstev“ vsebuje dejanske prilive financiranja na zadevni dan obdobja poročanja. Vedno se poroča s pozitivnim predznakom.</w:t>
      </w:r>
    </w:p>
    <w:p w14:paraId="36023996" w14:textId="11556421" w:rsidR="00A7751A" w:rsidRPr="00E37FBE" w:rsidRDefault="00A7751A" w:rsidP="009579C4">
      <w:pPr>
        <w:pStyle w:val="InstructionsText2"/>
        <w:numPr>
          <w:ilvl w:val="0"/>
          <w:numId w:val="8"/>
        </w:numPr>
      </w:pPr>
      <w:r>
        <w:t xml:space="preserve">„Neto“ znesek se obravnava kot sprememba financiranja znotraj določenega prvotnega časovnega pasu zapadlosti na zadevni dan obdobja poročanja ter se izračuna tako, da se v stolpec „Neto“ dodajo nova sredstva, ki se jim prištejejo obnovljena sredstva in odštejejo zapadajoča sredstva. </w:t>
      </w:r>
    </w:p>
    <w:bookmarkEnd w:id="2"/>
    <w:bookmarkEnd w:id="3"/>
    <w:p w14:paraId="0E67F27B" w14:textId="64F4C758" w:rsidR="00ED41A4" w:rsidRPr="00E37FBE" w:rsidRDefault="00ED41A4" w:rsidP="009579C4">
      <w:pPr>
        <w:pStyle w:val="InstructionsText2"/>
        <w:numPr>
          <w:ilvl w:val="0"/>
          <w:numId w:val="8"/>
        </w:numPr>
      </w:pPr>
      <w:r>
        <w:lastRenderedPageBreak/>
        <w:t>Navodila za posamezne stolpce: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6"/>
        <w:gridCol w:w="6980"/>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Stolpec</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Pravna podlaga in navodila</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do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Čez noč</w:t>
            </w:r>
          </w:p>
          <w:p w14:paraId="0D011271" w14:textId="46252F0C" w:rsidR="00B83BF9" w:rsidRPr="00E37FBE" w:rsidRDefault="00ED41A4" w:rsidP="00193B6D">
            <w:pPr>
              <w:rPr>
                <w:rFonts w:ascii="Times New Roman" w:hAnsi="Times New Roman"/>
                <w:szCs w:val="20"/>
              </w:rPr>
            </w:pPr>
            <w:r>
              <w:rPr>
                <w:rFonts w:ascii="Times New Roman" w:hAnsi="Times New Roman"/>
              </w:rPr>
              <w:t>Skupni znesek financiranja, ki zapade na zadevni dan obdobja poročanja, s prvotno zapadlostjo čez noč se poroča v stolpcu 0010 vrstične postavke 1.1–1.31. Pri mesecih, ki imajo manj kot 31 dni, kot tudi za konce tedna, se odvečne vrstice pustijo prazne.</w:t>
            </w:r>
          </w:p>
          <w:p w14:paraId="7D2D26D4" w14:textId="79E1BEFF"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čez noč se poroča v stolpcu 0020 vrstične postavke 1.1–1.31.</w:t>
            </w:r>
          </w:p>
          <w:p w14:paraId="4837928B" w14:textId="6B449134" w:rsidR="00ED41A4" w:rsidRPr="00E37FBE" w:rsidRDefault="00ED41A4" w:rsidP="00193B6D">
            <w:pPr>
              <w:rPr>
                <w:rFonts w:ascii="Times New Roman" w:hAnsi="Times New Roman"/>
                <w:szCs w:val="20"/>
              </w:rPr>
            </w:pPr>
            <w:r>
              <w:rPr>
                <w:rFonts w:ascii="Times New Roman" w:hAnsi="Times New Roman"/>
              </w:rPr>
              <w:t>Skupni znesek novega financiranja, pridobljenega na zadevni dan obdobja poročanja, s prvotno zapadlostjo čez noč se poroča v stolpcu 0030 vrstične postavke 1.1–1.31.</w:t>
            </w:r>
          </w:p>
          <w:p w14:paraId="16FDBE2F" w14:textId="01510436" w:rsidR="00ED41A4" w:rsidRPr="00E37FBE" w:rsidRDefault="00ED41A4" w:rsidP="00193B6D">
            <w:pPr>
              <w:rPr>
                <w:rFonts w:ascii="Times New Roman" w:hAnsi="Times New Roman"/>
                <w:szCs w:val="20"/>
              </w:rPr>
            </w:pPr>
            <w:r>
              <w:rPr>
                <w:rFonts w:ascii="Times New Roman" w:hAnsi="Times New Roman"/>
              </w:rPr>
              <w:t>Neto razlika med financiranjem, ki zapade dnevno, na eni strani in obnovljenim financiranjem, ki se mu prišteje novo dnevno pridobljeno financiranje, na drugi strani se poroča v stolpcu 0040 vrstičnih postavk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 do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dan ≤ 7 dni</w:t>
            </w:r>
          </w:p>
          <w:p w14:paraId="456405B1" w14:textId="7B9BDFAD" w:rsidR="00ED41A4" w:rsidRPr="00E37FBE" w:rsidRDefault="00ED41A4" w:rsidP="00193B6D">
            <w:pPr>
              <w:rPr>
                <w:rFonts w:ascii="Times New Roman" w:hAnsi="Times New Roman"/>
                <w:szCs w:val="20"/>
              </w:rPr>
            </w:pPr>
            <w:r>
              <w:rPr>
                <w:rFonts w:ascii="Times New Roman" w:hAnsi="Times New Roman"/>
              </w:rPr>
              <w:t>Skupni znesek financiranja, ki zapade na zadevni dan obdobja poročanja, s prvotno zapadlostjo med enim dnem in enim tednom se poroča v stolpcu 0050 vrstične postavke 1.1–1.31. Pri mesecih, ki imajo manj kot 31 dni, kot tudi za konce tedna, se odvečne vrstice pustijo prazne.</w:t>
            </w:r>
          </w:p>
          <w:p w14:paraId="293B2767" w14:textId="378670DE"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med enim dnem in enim tednom se poroča v stolpcu 0060 vrstične postavke 1.1–1.31.</w:t>
            </w:r>
          </w:p>
          <w:p w14:paraId="5D635490" w14:textId="2D826550" w:rsidR="00ED41A4" w:rsidRPr="00E37FBE" w:rsidRDefault="00ED41A4" w:rsidP="00193B6D">
            <w:pPr>
              <w:rPr>
                <w:rFonts w:ascii="Times New Roman" w:hAnsi="Times New Roman"/>
                <w:szCs w:val="20"/>
              </w:rPr>
            </w:pPr>
            <w:r>
              <w:rPr>
                <w:rFonts w:ascii="Times New Roman" w:hAnsi="Times New Roman"/>
              </w:rPr>
              <w:t>Skupni znesek novega financiranja, pridobljenega na zadevni dan obdobja poročanja, s prvotno zapadlostjo med enim dnem in enim tednom se poroča v stolpcu 0070 vrstične postavke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0080 vrstičnih postavk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 do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dni ≤ 14 dni</w:t>
            </w:r>
          </w:p>
          <w:p w14:paraId="01B280B0" w14:textId="5023F473" w:rsidR="007C6B89" w:rsidRPr="00E37FBE" w:rsidRDefault="007C6B89" w:rsidP="00193B6D">
            <w:pPr>
              <w:rPr>
                <w:rFonts w:ascii="Times New Roman" w:hAnsi="Times New Roman"/>
                <w:szCs w:val="20"/>
              </w:rPr>
            </w:pPr>
            <w:r>
              <w:rPr>
                <w:rFonts w:ascii="Times New Roman" w:hAnsi="Times New Roman"/>
              </w:rPr>
              <w:t>Skupni znesek financiranja, ki zapade na zadevni dan obdobja poročanja, s prvotno zapadlostjo med enim in dvema tednoma se poroča v stolpcu 0090 vrstične postavke 1.1–1.31. Pri mesecih, ki imajo manj kot 31 dni, kot tudi za konce tedna, se odvečne vrstice pustijo prazne.</w:t>
            </w:r>
          </w:p>
          <w:p w14:paraId="37FF815B" w14:textId="5B38CB82"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med enim in dvema tednoma se poroča v stolpcu 0100 vrstične postavke 1.1–1.31.</w:t>
            </w:r>
          </w:p>
          <w:p w14:paraId="60125A59" w14:textId="19085EB9" w:rsidR="007C6B89" w:rsidRPr="00E37FBE" w:rsidRDefault="007C6B89" w:rsidP="00193B6D">
            <w:pPr>
              <w:rPr>
                <w:rFonts w:ascii="Times New Roman" w:hAnsi="Times New Roman"/>
                <w:szCs w:val="20"/>
              </w:rPr>
            </w:pPr>
            <w:r>
              <w:rPr>
                <w:rFonts w:ascii="Times New Roman" w:hAnsi="Times New Roman"/>
              </w:rPr>
              <w:t>Skupni znesek novega financiranja, pridobljenega na zadevni dan obdobja poročanja, s prvotno zapadlostjo med enim in dvema tednoma se poroča v stolpcu 0110 vrstične postavke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0120 vrstičnih postavk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0130 do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dni ≤ 1 mesec</w:t>
            </w:r>
          </w:p>
          <w:p w14:paraId="6DFCCE86" w14:textId="3B483DEE" w:rsidR="007C6B89" w:rsidRPr="00E37FBE" w:rsidRDefault="007C6B89" w:rsidP="00193B6D">
            <w:pPr>
              <w:rPr>
                <w:rFonts w:ascii="Times New Roman" w:hAnsi="Times New Roman"/>
                <w:szCs w:val="20"/>
              </w:rPr>
            </w:pPr>
            <w:r>
              <w:rPr>
                <w:rFonts w:ascii="Times New Roman" w:hAnsi="Times New Roman"/>
              </w:rPr>
              <w:t>Skupni znesek financiranja, ki zapade na zadevni dan obdobja poročanja, s prvotno zapadlostjo med dvema tednoma in enim mesecem se poroča v stolpcu 0130 vrstične postavke 1.1–1.31. Pri mesecih, ki imajo manj kot 31 dni, kot tudi za konce tedna, se odvečne vrstice pustijo prazne.</w:t>
            </w:r>
          </w:p>
          <w:p w14:paraId="168BD6CE" w14:textId="7007C9B1" w:rsidR="003E371A" w:rsidRPr="00E37FBE" w:rsidRDefault="003E371A" w:rsidP="00193B6D">
            <w:pPr>
              <w:rPr>
                <w:rFonts w:ascii="Times New Roman" w:hAnsi="Times New Roman"/>
                <w:szCs w:val="20"/>
              </w:rPr>
            </w:pPr>
            <w:r>
              <w:rPr>
                <w:rFonts w:ascii="Times New Roman" w:hAnsi="Times New Roman"/>
              </w:rPr>
              <w:lastRenderedPageBreak/>
              <w:t>Skupni znesek financiranja, ki se obnovi na zadevni dan obdobja poročanja, s prvotno zapadlostjo med dvema tednoma in enim mesecem se poroča v stolpcu 0140 vrstične postavke 1.1–1.31.</w:t>
            </w:r>
          </w:p>
          <w:p w14:paraId="0DBC5483" w14:textId="6B45A083" w:rsidR="007C6B89" w:rsidRPr="00E37FBE" w:rsidRDefault="007C6B89" w:rsidP="00193B6D">
            <w:pPr>
              <w:rPr>
                <w:rFonts w:ascii="Times New Roman" w:hAnsi="Times New Roman"/>
                <w:szCs w:val="20"/>
              </w:rPr>
            </w:pPr>
            <w:r>
              <w:rPr>
                <w:rFonts w:ascii="Times New Roman" w:hAnsi="Times New Roman"/>
              </w:rPr>
              <w:t>Skupni znesek novega financiranja, pridobljenega na zadevni dan obdobja poročanja, s prvotno zapadlostjo med dvema tednoma in enim mesecem se poroča v stolpcu 0150 vrstične postavke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0160 vrstičnih postavk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0170 do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mesec ≤ 3 meseci</w:t>
            </w:r>
          </w:p>
          <w:p w14:paraId="1C6BB1D5" w14:textId="757F683B" w:rsidR="007C6B89" w:rsidRPr="00E37FBE" w:rsidRDefault="007C6B89" w:rsidP="00193B6D">
            <w:pPr>
              <w:rPr>
                <w:rFonts w:ascii="Times New Roman" w:hAnsi="Times New Roman"/>
                <w:szCs w:val="20"/>
              </w:rPr>
            </w:pPr>
            <w:r>
              <w:rPr>
                <w:rFonts w:ascii="Times New Roman" w:hAnsi="Times New Roman"/>
              </w:rPr>
              <w:t>Skupni znesek financiranja, ki zapade na zadevni dan obdobja poročanja, s prvotno zapadlostjo med enim in tremi meseci se poroča v stolpcu 0170 vrstične postavke 1.1–1.31. Pri mesecih, ki imajo manj kot 31 dni, kot tudi za konce tedna, se odvečne vrstice pustijo prazne.</w:t>
            </w:r>
          </w:p>
          <w:p w14:paraId="6A91E8B5" w14:textId="5A7B6811"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med enim in tremi meseci se poroča v stolpcu 0180 vrstične postavke 1.1–1.31.</w:t>
            </w:r>
          </w:p>
          <w:p w14:paraId="7A9947A9" w14:textId="1B33C53B" w:rsidR="007C6B89" w:rsidRPr="00E37FBE" w:rsidRDefault="007C6B89" w:rsidP="00193B6D">
            <w:pPr>
              <w:rPr>
                <w:rFonts w:ascii="Times New Roman" w:hAnsi="Times New Roman"/>
                <w:szCs w:val="20"/>
              </w:rPr>
            </w:pPr>
            <w:r>
              <w:rPr>
                <w:rFonts w:ascii="Times New Roman" w:hAnsi="Times New Roman"/>
              </w:rPr>
              <w:t>Skupni znesek novega financiranja, pridobljenega na zadevni dan obdobja poročanja, s prvotno zapadlostjo med enim in tremi meseci se poroča v stolpcu 0190 vrstične postavke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0200 vrstičnih postavk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do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meseci ≤ 6 mesecev</w:t>
            </w:r>
          </w:p>
          <w:p w14:paraId="0260CA5A" w14:textId="01087905" w:rsidR="006044FF" w:rsidRPr="00E37FBE" w:rsidRDefault="005A40BE" w:rsidP="00193B6D">
            <w:pPr>
              <w:rPr>
                <w:rFonts w:ascii="Times New Roman" w:hAnsi="Times New Roman"/>
                <w:szCs w:val="20"/>
              </w:rPr>
            </w:pPr>
            <w:r>
              <w:rPr>
                <w:rFonts w:ascii="Times New Roman" w:hAnsi="Times New Roman"/>
              </w:rPr>
              <w:t>Skupni znesek financiranja, ki zapade na zadevni dan obdobja poročanja, s prvotno zapadlostjo med tremi in šestimi meseci se poroča v stolpcu 0210 vrstične postavke 1.1–1.31. Pri mesecih, ki imajo manj kot 31 dni, kot tudi za konce tedna, se odvečne vrstice pustijo prazne.</w:t>
            </w:r>
          </w:p>
          <w:p w14:paraId="563F93F8" w14:textId="263DC9E2"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med tremi in šestimi meseci se poroča v stolpcu 0220 vrstične postavke 1.1–1.31.</w:t>
            </w:r>
          </w:p>
          <w:p w14:paraId="601C708E" w14:textId="48140626" w:rsidR="005A40BE" w:rsidRPr="00E37FBE" w:rsidRDefault="005A40BE" w:rsidP="00193B6D">
            <w:pPr>
              <w:rPr>
                <w:rFonts w:ascii="Times New Roman" w:hAnsi="Times New Roman"/>
                <w:szCs w:val="20"/>
              </w:rPr>
            </w:pPr>
            <w:r>
              <w:rPr>
                <w:rFonts w:ascii="Times New Roman" w:hAnsi="Times New Roman"/>
              </w:rPr>
              <w:t>Skupni znesek novega financiranja, pridobljenega na zadevni dan obdobja poročanja, s prvotno zapadlostjo med tremi in šestimi meseci se poroča v stolpcu 0230 vrstične postavke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Neto razlika med zapadajočim financiranjem na eni strani in obnovljenim financiranjem, ki se mu prišteje novo pridobljeno financiranje, na drugi strani se poroča v stolpcu 0240 vrstičnih postavk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do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mesecev</w:t>
            </w:r>
          </w:p>
          <w:p w14:paraId="3C7C589B" w14:textId="433DBEBB" w:rsidR="007C6B89" w:rsidRPr="00E37FBE" w:rsidRDefault="007C6B89" w:rsidP="00193B6D">
            <w:pPr>
              <w:rPr>
                <w:rFonts w:ascii="Times New Roman" w:hAnsi="Times New Roman"/>
                <w:szCs w:val="20"/>
              </w:rPr>
            </w:pPr>
            <w:r>
              <w:rPr>
                <w:rFonts w:ascii="Times New Roman" w:hAnsi="Times New Roman"/>
              </w:rPr>
              <w:t>Skupni znesek financiranja, ki zapade na zadevni dan obdobja poročanja, s prvotno zapadlostjo več kot šest mesecev se poroča v stolpcu 0250 vrstične postavke 1.1–1.31. Pri mesecih, ki imajo manj kot 31 dni, kot tudi za konce tedna, se odvečne vrstice pustijo prazne.</w:t>
            </w:r>
          </w:p>
          <w:p w14:paraId="09601152" w14:textId="25476A9D" w:rsidR="003E371A" w:rsidRPr="00E37FBE" w:rsidRDefault="003E371A" w:rsidP="00193B6D">
            <w:pPr>
              <w:rPr>
                <w:rFonts w:ascii="Times New Roman" w:hAnsi="Times New Roman"/>
                <w:szCs w:val="20"/>
              </w:rPr>
            </w:pPr>
            <w:r>
              <w:rPr>
                <w:rFonts w:ascii="Times New Roman" w:hAnsi="Times New Roman"/>
              </w:rPr>
              <w:t>Skupni znesek financiranja, ki se obnovi na zadevni dan obdobja poročanja, s prvotno zapadlostjo več kot šest mesecev se poroča v stolpcu 0260 vrstične postavke 1.1–1.31.</w:t>
            </w:r>
          </w:p>
          <w:p w14:paraId="4585368E" w14:textId="58DDCB2B" w:rsidR="007C6B89" w:rsidRPr="00E37FBE" w:rsidRDefault="007C6B89" w:rsidP="00193B6D">
            <w:pPr>
              <w:rPr>
                <w:rFonts w:ascii="Times New Roman" w:hAnsi="Times New Roman"/>
                <w:szCs w:val="20"/>
              </w:rPr>
            </w:pPr>
            <w:r>
              <w:rPr>
                <w:rFonts w:ascii="Times New Roman" w:hAnsi="Times New Roman"/>
              </w:rPr>
              <w:t>Skupni znesek novega financiranja, pridobljenega na zadevni dan obdobja poročanja, s prvotno zapadlostjo več kot šest mesecev se poroča v stolpcu 0270 vrstične postavke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lastRenderedPageBreak/>
              <w:t>Neto razlika med zapadajočim financiranjem na eni strani in obnovljenim financiranjem, ki se mu prišteje novo pridobljeno financiranje, na drugi strani se poroča v stolpcu 0280 vrstičnih postavk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Skupaj neto denarni tokovi</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Skupaj neto denarni tokovi, enaki vsoti vseh naslednjih stolpcih „Neto“: 0040, 0080, 0120, 0160, 0200, 0240 in 0280, se poročajo v stolpcu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do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Povprečno trajanje (v dneh)</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Tehtano povprečno trajanje (v dneh) vseh zapadajočih sredstev se poroča v stolpcu 0300. Tehtano povprečno trajanje (v dneh) vseh sredstev, ki se obnovijo, se poroča v stolpcu 0310, tehtano povprečno trajanje (v dneh) vseh novih sredstev pa se poroča v stolpcu 0320.</w:t>
            </w:r>
          </w:p>
        </w:tc>
      </w:tr>
    </w:tbl>
    <w:p w14:paraId="1471D337" w14:textId="02B89222" w:rsidR="00ED41A4" w:rsidRPr="005B086D" w:rsidRDefault="008E1DE8" w:rsidP="009579C4">
      <w:pPr>
        <w:pStyle w:val="InstructionsText2"/>
      </w:pPr>
      <w: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235235391">
    <w:abstractNumId w:val="31"/>
  </w:num>
  <w:num w:numId="2" w16cid:durableId="92748461">
    <w:abstractNumId w:val="30"/>
  </w:num>
  <w:num w:numId="3" w16cid:durableId="263850049">
    <w:abstractNumId w:val="23"/>
  </w:num>
  <w:num w:numId="4" w16cid:durableId="248078325">
    <w:abstractNumId w:val="39"/>
  </w:num>
  <w:num w:numId="5" w16cid:durableId="857624075">
    <w:abstractNumId w:val="37"/>
  </w:num>
  <w:num w:numId="6" w16cid:durableId="231431731">
    <w:abstractNumId w:val="26"/>
  </w:num>
  <w:num w:numId="7" w16cid:durableId="634988055">
    <w:abstractNumId w:val="13"/>
  </w:num>
  <w:num w:numId="8" w16cid:durableId="1317689590">
    <w:abstractNumId w:val="24"/>
  </w:num>
  <w:num w:numId="9" w16cid:durableId="1610426792">
    <w:abstractNumId w:val="20"/>
  </w:num>
  <w:num w:numId="10" w16cid:durableId="1019351286">
    <w:abstractNumId w:val="35"/>
  </w:num>
  <w:num w:numId="11" w16cid:durableId="573784287">
    <w:abstractNumId w:val="27"/>
  </w:num>
  <w:num w:numId="12" w16cid:durableId="1045905919">
    <w:abstractNumId w:val="18"/>
  </w:num>
  <w:num w:numId="13" w16cid:durableId="445390729">
    <w:abstractNumId w:val="21"/>
  </w:num>
  <w:num w:numId="14" w16cid:durableId="1645043942">
    <w:abstractNumId w:val="34"/>
  </w:num>
  <w:num w:numId="15" w16cid:durableId="926886028">
    <w:abstractNumId w:val="12"/>
  </w:num>
  <w:num w:numId="16" w16cid:durableId="859704598">
    <w:abstractNumId w:val="17"/>
  </w:num>
  <w:num w:numId="17" w16cid:durableId="520827380">
    <w:abstractNumId w:val="29"/>
  </w:num>
  <w:num w:numId="18" w16cid:durableId="21060159">
    <w:abstractNumId w:val="36"/>
  </w:num>
  <w:num w:numId="19" w16cid:durableId="934286664">
    <w:abstractNumId w:val="38"/>
  </w:num>
  <w:num w:numId="20" w16cid:durableId="1574513347">
    <w:abstractNumId w:val="32"/>
  </w:num>
  <w:num w:numId="21" w16cid:durableId="1200897239">
    <w:abstractNumId w:val="33"/>
  </w:num>
  <w:num w:numId="22" w16cid:durableId="1531407647">
    <w:abstractNumId w:val="14"/>
  </w:num>
  <w:num w:numId="23" w16cid:durableId="769159516">
    <w:abstractNumId w:val="22"/>
  </w:num>
  <w:num w:numId="24" w16cid:durableId="565141313">
    <w:abstractNumId w:val="25"/>
  </w:num>
  <w:num w:numId="25" w16cid:durableId="1642538018">
    <w:abstractNumId w:val="23"/>
  </w:num>
  <w:num w:numId="26" w16cid:durableId="2056852902">
    <w:abstractNumId w:val="23"/>
  </w:num>
  <w:num w:numId="27" w16cid:durableId="313532799">
    <w:abstractNumId w:val="23"/>
  </w:num>
  <w:num w:numId="28" w16cid:durableId="1280839949">
    <w:abstractNumId w:val="19"/>
  </w:num>
  <w:num w:numId="29" w16cid:durableId="274213925">
    <w:abstractNumId w:val="28"/>
  </w:num>
  <w:num w:numId="30" w16cid:durableId="833184962">
    <w:abstractNumId w:val="23"/>
  </w:num>
  <w:num w:numId="31" w16cid:durableId="1838841050">
    <w:abstractNumId w:val="11"/>
  </w:num>
  <w:num w:numId="32" w16cid:durableId="320894834">
    <w:abstractNumId w:val="10"/>
  </w:num>
  <w:num w:numId="33" w16cid:durableId="2006860869">
    <w:abstractNumId w:val="16"/>
  </w:num>
  <w:num w:numId="34" w16cid:durableId="742920532">
    <w:abstractNumId w:val="15"/>
  </w:num>
  <w:num w:numId="35" w16cid:durableId="19923629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6711790">
    <w:abstractNumId w:val="9"/>
  </w:num>
  <w:num w:numId="37" w16cid:durableId="1274364723">
    <w:abstractNumId w:val="7"/>
  </w:num>
  <w:num w:numId="38" w16cid:durableId="449856582">
    <w:abstractNumId w:val="6"/>
  </w:num>
  <w:num w:numId="39" w16cid:durableId="860125788">
    <w:abstractNumId w:val="5"/>
  </w:num>
  <w:num w:numId="40" w16cid:durableId="404378591">
    <w:abstractNumId w:val="4"/>
  </w:num>
  <w:num w:numId="41" w16cid:durableId="1512253546">
    <w:abstractNumId w:val="8"/>
  </w:num>
  <w:num w:numId="42" w16cid:durableId="672149775">
    <w:abstractNumId w:val="3"/>
  </w:num>
  <w:num w:numId="43" w16cid:durableId="514851369">
    <w:abstractNumId w:val="2"/>
  </w:num>
  <w:num w:numId="44" w16cid:durableId="691537928">
    <w:abstractNumId w:val="1"/>
  </w:num>
  <w:num w:numId="45" w16cid:durableId="631667758">
    <w:abstractNumId w:val="0"/>
  </w:num>
  <w:num w:numId="46" w16cid:durableId="1164273729">
    <w:abstractNumId w:val="23"/>
  </w:num>
  <w:num w:numId="47" w16cid:durableId="1065685763">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579C4"/>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l-SI"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l-S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579C4"/>
    <w:pPr>
      <w:spacing w:before="0" w:after="0"/>
      <w:ind w:left="33"/>
    </w:pPr>
    <w:rPr>
      <w:rFonts w:ascii="Times New Roman" w:hAnsi="Times New Roman"/>
      <w:szCs w:val="17"/>
      <w:lang w:eastAsia="de-DE"/>
    </w:rPr>
  </w:style>
  <w:style w:type="character" w:customStyle="1" w:styleId="InstructionsTextChar">
    <w:name w:val="Instructions Text Char"/>
    <w:link w:val="InstructionsText"/>
    <w:locked/>
    <w:rsid w:val="009579C4"/>
    <w:rPr>
      <w:szCs w:val="17"/>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l-SI" w:eastAsia="en-US" w:bidi="ar-SA"/>
    </w:rPr>
  </w:style>
  <w:style w:type="character" w:customStyle="1" w:styleId="FunoteChar">
    <w:name w:val="Fußnote Char"/>
    <w:aliases w:val=" Char Char Char"/>
    <w:semiHidden/>
    <w:rsid w:val="009D253B"/>
    <w:rPr>
      <w:rFonts w:ascii="Arial" w:hAnsi="Arial"/>
      <w:sz w:val="18"/>
      <w:lang w:val="sl-S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l-S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l-S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l-SI"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l-SI"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sl-SI" w:eastAsia="de-AT"/>
    </w:rPr>
  </w:style>
  <w:style w:type="character" w:customStyle="1" w:styleId="BalloonTextChar">
    <w:name w:val="Balloon Text Char"/>
    <w:link w:val="BalloonText"/>
    <w:semiHidden/>
    <w:rsid w:val="00167536"/>
    <w:rPr>
      <w:rFonts w:ascii="Tahoma" w:hAnsi="Tahoma" w:cs="Tahoma"/>
      <w:sz w:val="16"/>
      <w:szCs w:val="16"/>
      <w:lang w:val="sl-SI" w:eastAsia="en-US"/>
    </w:rPr>
  </w:style>
  <w:style w:type="character" w:customStyle="1" w:styleId="PlainTextChar">
    <w:name w:val="Plain Text Char"/>
    <w:link w:val="PlainText"/>
    <w:semiHidden/>
    <w:rsid w:val="00167536"/>
    <w:rPr>
      <w:rFonts w:ascii="Consolas" w:hAnsi="Consolas"/>
      <w:sz w:val="21"/>
      <w:szCs w:val="21"/>
      <w:lang w:val="sl-SI"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l-SI" w:eastAsia="en-US"/>
    </w:rPr>
  </w:style>
  <w:style w:type="character" w:customStyle="1" w:styleId="FooterCoverPageChar">
    <w:name w:val="Footer Cover Page Char"/>
    <w:link w:val="FooterCoverPage"/>
    <w:rsid w:val="00167536"/>
    <w:rPr>
      <w:color w:val="4F81BD"/>
      <w:sz w:val="24"/>
      <w:szCs w:val="24"/>
      <w:lang w:val="sl-SI"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l-SI"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7BF4EBEA-D8FE-4D7A-868C-EEBD4EBAE0C6}"/>
</file>

<file path=customXml/itemProps3.xml><?xml version="1.0" encoding="utf-8"?>
<ds:datastoreItem xmlns:ds="http://schemas.openxmlformats.org/officeDocument/2006/customXml" ds:itemID="{17499948-C842-4BE2-B00A-0680FA457920}"/>
</file>

<file path=customXml/itemProps4.xml><?xml version="1.0" encoding="utf-8"?>
<ds:datastoreItem xmlns:ds="http://schemas.openxmlformats.org/officeDocument/2006/customXml" ds:itemID="{A495C752-0B5A-4C42-AD00-8A6ABA1401BB}"/>
</file>

<file path=docProps/app.xml><?xml version="1.0" encoding="utf-8"?>
<Properties xmlns="http://schemas.openxmlformats.org/officeDocument/2006/extended-properties" xmlns:vt="http://schemas.openxmlformats.org/officeDocument/2006/docPropsVTypes">
  <Template>Normal</Template>
  <TotalTime>0</TotalTime>
  <Pages>13</Pages>
  <Words>4999</Words>
  <Characters>27767</Characters>
  <Application>Microsoft Office Word</Application>
  <DocSecurity>0</DocSecurity>
  <Lines>631</Lines>
  <Paragraphs>344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2025-01-24T11:28:00Z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2025-01-24T11:28:44Z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483f1f5f-b4ea-4a5d-b949-4455499b15ba</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