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color w:val="auto"/>
          <w:sz w:val="24"/>
          <w:rFonts w:ascii="Times New Roman" w:hAnsi="Times New Roman"/>
        </w:rPr>
      </w:pPr>
      <w:r>
        <w:rPr>
          <w:sz w:val="24"/>
          <w:rFonts w:ascii="Times New Roman" w:hAnsi="Times New Roman"/>
        </w:rPr>
        <w:t xml:space="preserve">ES</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sz w:val="24"/>
          <w:szCs w:val="24"/>
          <w:rFonts w:ascii="Times New Roman" w:hAnsi="Times New Roman"/>
        </w:rPr>
      </w:pPr>
      <w:r>
        <w:rPr>
          <w:sz w:val="24"/>
          <w:rFonts w:ascii="Times New Roman" w:hAnsi="Times New Roman"/>
        </w:rPr>
        <w:t xml:space="preserve">ANEXO XI</w:t>
      </w:r>
    </w:p>
    <w:p w14:paraId="4A8A4559" w14:textId="0A064FD8" w:rsidR="00A15D28" w:rsidRPr="000B66BC" w:rsidRDefault="00A84D67" w:rsidP="000B66BC">
      <w:pPr>
        <w:spacing w:after="240"/>
        <w:jc w:val="center"/>
        <w:rPr>
          <w:sz w:val="24"/>
          <w:szCs w:val="24"/>
          <w:rFonts w:ascii="Times New Roman" w:hAnsi="Times New Roman"/>
        </w:rPr>
      </w:pPr>
      <w:r>
        <w:rPr>
          <w:b/>
          <w:sz w:val="24"/>
          <w:rFonts w:ascii="Times New Roman" w:hAnsi="Times New Roman"/>
        </w:rPr>
        <w:t xml:space="preserve">INSTRUCCIONES PARA LA PRESENTACIÓN DE INFORMACIÓN SOBRE APALANCAMIENTO</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062C4CCE" w:rsidR="00A84D67" w:rsidRDefault="00391EF9">
      <w:pPr>
        <w:pStyle w:val="TOC1"/>
        <w:rPr>
          <w:color w:val="auto"/>
          <w:sz w:val="22"/>
          <w:szCs w:val="22"/>
          <w:rFonts w:asciiTheme="minorHAnsi" w:eastAsiaTheme="minorEastAsia" w:hAnsiTheme="minorHAnsi" w:cstheme="minorBidi"/>
        </w:rPr>
      </w:pPr>
      <w:r w:rsidRPr="000B66BC">
        <w:rPr>
          <w:b/>
          <w:sz w:val="24"/>
          <w:rFonts w:ascii="Times New Roman" w:hAnsi="Times New Roman"/>
        </w:rPr>
        <w:fldChar w:fldCharType="begin" w:dirty="true"/>
      </w:r>
      <w:r w:rsidR="00F4754B" w:rsidRPr="000B66BC">
        <w:rPr>
          <w:b/>
          <w:sz w:val="24"/>
          <w:rFonts w:ascii="Times New Roman" w:hAnsi="Times New Roman"/>
        </w:rPr>
        <w:instrText xml:space="preserve"> TOC \o "1-3" \h \z \u </w:instrText>
      </w:r>
      <w:r w:rsidRPr="000B66BC">
        <w:rPr>
          <w:b/>
          <w:sz w:val="24"/>
          <w:rFonts w:ascii="Times New Roman" w:hAnsi="Times New Roman"/>
        </w:rPr>
        <w:fldChar w:fldCharType="separate"/>
      </w:r>
      <w:hyperlink w:anchor="_Toc52461743" w:history="1">
        <w:r w:rsidR="00A84D67" w:rsidRPr="000C67D9">
          <w:rPr>
            <w:rStyle w:val="Hyperlink"/>
            <w:b/>
            <w:rFonts w:ascii="Times New Roman" w:hAnsi="Times New Roman"/>
          </w:rPr>
          <w:t>PART I: GENERAL INSTRUCTIONS</w:t>
        </w:r>
        <w:r w:rsidR="00A84D67">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3DAF8A8B" w:rsidR="00A84D67" w:rsidRDefault="00D0488C">
      <w:pPr>
        <w:pStyle w:val="TOC2"/>
        <w:rPr>
          <w:b w:val="0"/>
          <w:smallCaps w:val="0"/>
          <w:sz w:val="22"/>
          <w:rFonts w:asciiTheme="minorHAnsi" w:eastAsiaTheme="minorEastAsia" w:hAnsiTheme="minorHAnsi" w:cstheme="minorBidi"/>
        </w:rPr>
      </w:pPr>
      <w:hyperlink w:anchor="_Toc52461744" w:history="1">
        <w:r w:rsidR="00A84D67" w:rsidRPr="000C67D9">
          <w:rPr>
            <w:rStyle w:val="Hyperlink"/>
            <w:rFonts w:ascii="Times New Roman" w:hAnsi="Times New Roman"/>
          </w:rPr>
          <w:t>1.</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Structure and other conventions</w:t>
        </w:r>
        <w:r w:rsidR="00A84D67">
          <w:rPr>
            <w:webHidden/>
          </w:rPr>
          <w:tab/>
        </w:r>
        <w:r w:rsidR="00A84D67">
          <w:rPr>
            <w:webHidden/>
          </w:rPr>
          <w:fldChar w:fldCharType="begin"/>
        </w:r>
        <w:r w:rsidR="00A84D67">
          <w:rPr>
            <w:webHidden/>
          </w:rPr>
          <w:instrText xml:space="preserve"> PAGEREF _Toc52461744 \h </w:instrText>
        </w:r>
        <w:r w:rsidR="00A84D67">
          <w:rPr>
            <w:webHidden/>
          </w:rPr>
        </w:r>
        <w:r w:rsidR="00A84D67">
          <w:rPr>
            <w:webHidden/>
          </w:rPr>
          <w:fldChar w:fldCharType="separate"/>
        </w:r>
        <w:r w:rsidR="00A84D67">
          <w:rPr>
            <w:webHidden/>
          </w:rPr>
          <w:t>2</w:t>
        </w:r>
        <w:r w:rsidR="00A84D67">
          <w:rPr>
            <w:webHidden/>
          </w:rPr>
          <w:fldChar w:fldCharType="end"/>
        </w:r>
      </w:hyperlink>
    </w:p>
    <w:p w14:paraId="18E83BD9" w14:textId="009CD990" w:rsidR="00A84D67" w:rsidRDefault="00D0488C">
      <w:pPr>
        <w:pStyle w:val="TOC3"/>
        <w:rPr>
          <w:smallCaps w:val="0"/>
          <w:sz w:val="22"/>
          <w:rFonts w:asciiTheme="minorHAnsi" w:eastAsiaTheme="minorEastAsia" w:hAnsiTheme="minorHAnsi" w:cstheme="minorBidi"/>
        </w:rPr>
      </w:pPr>
      <w:hyperlink w:anchor="_Toc52461745" w:history="1">
        <w:r w:rsidR="00A84D67" w:rsidRPr="000C67D9">
          <w:rPr>
            <w:rStyle w:val="Hyperlink"/>
            <w:b/>
            <w:rFonts w:ascii="Times New Roman" w:hAnsi="Times New Roman"/>
          </w:rPr>
          <w:t>1.1.</w:t>
        </w:r>
        <w:r w:rsidR="00A84D67">
          <w:rPr>
            <w:smallCaps w:val="0"/>
            <w:sz w:val="22"/>
            <w:rFonts w:asciiTheme="minorHAnsi" w:eastAsiaTheme="minorEastAsia" w:hAnsiTheme="minorHAnsi" w:cstheme="minorBidi"/>
          </w:rPr>
          <w:tab/>
        </w:r>
        <w:r w:rsidR="00A84D67" w:rsidRPr="000C67D9">
          <w:rPr>
            <w:rStyle w:val="Hyperlink"/>
            <w:b/>
            <w:rFonts w:ascii="Times New Roman" w:hAnsi="Times New Roman"/>
          </w:rPr>
          <w:t>Structure</w:t>
        </w:r>
        <w:r w:rsidR="00A84D67">
          <w:rPr>
            <w:webHidden/>
          </w:rPr>
          <w:tab/>
        </w:r>
        <w:r w:rsidR="00A84D67">
          <w:rPr>
            <w:webHidden/>
          </w:rPr>
          <w:fldChar w:fldCharType="begin"/>
        </w:r>
        <w:r w:rsidR="00A84D67">
          <w:rPr>
            <w:webHidden/>
          </w:rPr>
          <w:instrText xml:space="preserve"> PAGEREF _Toc52461745 \h </w:instrText>
        </w:r>
        <w:r w:rsidR="00A84D67">
          <w:rPr>
            <w:webHidden/>
          </w:rPr>
        </w:r>
        <w:r w:rsidR="00A84D67">
          <w:rPr>
            <w:webHidden/>
          </w:rPr>
          <w:fldChar w:fldCharType="separate"/>
        </w:r>
        <w:r w:rsidR="00A84D67">
          <w:rPr>
            <w:webHidden/>
          </w:rPr>
          <w:t>2</w:t>
        </w:r>
        <w:r w:rsidR="00A84D67">
          <w:rPr>
            <w:webHidden/>
          </w:rPr>
          <w:fldChar w:fldCharType="end"/>
        </w:r>
      </w:hyperlink>
    </w:p>
    <w:p w14:paraId="204CBB04" w14:textId="526D6041" w:rsidR="00A84D67" w:rsidRDefault="00D0488C">
      <w:pPr>
        <w:pStyle w:val="TOC3"/>
        <w:rPr>
          <w:smallCaps w:val="0"/>
          <w:sz w:val="22"/>
          <w:rFonts w:asciiTheme="minorHAnsi" w:eastAsiaTheme="minorEastAsia" w:hAnsiTheme="minorHAnsi" w:cstheme="minorBidi"/>
        </w:rPr>
      </w:pPr>
      <w:hyperlink w:anchor="_Toc52461746" w:history="1">
        <w:r w:rsidR="00A84D67" w:rsidRPr="000C67D9">
          <w:rPr>
            <w:rStyle w:val="Hyperlink"/>
            <w:b/>
            <w:rFonts w:ascii="Times New Roman" w:hAnsi="Times New Roman"/>
          </w:rPr>
          <w:t>1.2.</w:t>
        </w:r>
        <w:r w:rsidR="00A84D67">
          <w:rPr>
            <w:smallCaps w:val="0"/>
            <w:sz w:val="22"/>
            <w:rFonts w:asciiTheme="minorHAnsi" w:eastAsiaTheme="minorEastAsia" w:hAnsiTheme="minorHAnsi" w:cstheme="minorBidi"/>
          </w:rPr>
          <w:tab/>
        </w:r>
        <w:r w:rsidR="00A84D67" w:rsidRPr="000C67D9">
          <w:rPr>
            <w:rStyle w:val="Hyperlink"/>
            <w:b/>
            <w:rFonts w:ascii="Times New Roman" w:hAnsi="Times New Roman"/>
          </w:rPr>
          <w:t>Numbering convention</w:t>
        </w:r>
        <w:r w:rsidR="00A84D67">
          <w:rPr>
            <w:webHidden/>
          </w:rPr>
          <w:tab/>
        </w:r>
        <w:r w:rsidR="00A84D67">
          <w:rPr>
            <w:webHidden/>
          </w:rPr>
          <w:fldChar w:fldCharType="begin"/>
        </w:r>
        <w:r w:rsidR="00A84D67">
          <w:rPr>
            <w:webHidden/>
          </w:rPr>
          <w:instrText xml:space="preserve"> PAGEREF _Toc52461746 \h </w:instrText>
        </w:r>
        <w:r w:rsidR="00A84D67">
          <w:rPr>
            <w:webHidden/>
          </w:rPr>
        </w:r>
        <w:r w:rsidR="00A84D67">
          <w:rPr>
            <w:webHidden/>
          </w:rPr>
          <w:fldChar w:fldCharType="separate"/>
        </w:r>
        <w:r w:rsidR="00A84D67">
          <w:rPr>
            <w:webHidden/>
          </w:rPr>
          <w:t>2</w:t>
        </w:r>
        <w:r w:rsidR="00A84D67">
          <w:rPr>
            <w:webHidden/>
          </w:rPr>
          <w:fldChar w:fldCharType="end"/>
        </w:r>
      </w:hyperlink>
    </w:p>
    <w:p w14:paraId="3AAF515C" w14:textId="6C7BCD2E" w:rsidR="00A84D67" w:rsidRDefault="00D0488C">
      <w:pPr>
        <w:pStyle w:val="TOC3"/>
        <w:rPr>
          <w:smallCaps w:val="0"/>
          <w:sz w:val="22"/>
          <w:rFonts w:asciiTheme="minorHAnsi" w:eastAsiaTheme="minorEastAsia" w:hAnsiTheme="minorHAnsi" w:cstheme="minorBidi"/>
        </w:rPr>
      </w:pPr>
      <w:hyperlink w:anchor="_Toc52461747" w:history="1">
        <w:r w:rsidR="00A84D67" w:rsidRPr="000C67D9">
          <w:rPr>
            <w:rStyle w:val="Hyperlink"/>
            <w:b/>
            <w:rFonts w:ascii="Times New Roman" w:hAnsi="Times New Roman"/>
          </w:rPr>
          <w:t>1.3.</w:t>
        </w:r>
        <w:r w:rsidR="00A84D67">
          <w:rPr>
            <w:smallCaps w:val="0"/>
            <w:sz w:val="22"/>
            <w:rFonts w:asciiTheme="minorHAnsi" w:eastAsiaTheme="minorEastAsia" w:hAnsiTheme="minorHAnsi" w:cstheme="minorBidi"/>
          </w:rPr>
          <w:tab/>
        </w:r>
        <w:r w:rsidR="00A84D67" w:rsidRPr="000C67D9">
          <w:rPr>
            <w:rStyle w:val="Hyperlink"/>
            <w:b/>
            <w:rFonts w:ascii="Times New Roman" w:hAnsi="Times New Roman"/>
          </w:rPr>
          <w:t>Abbreviations</w:t>
        </w:r>
        <w:r w:rsidR="00A84D67">
          <w:rPr>
            <w:webHidden/>
          </w:rPr>
          <w:tab/>
        </w:r>
        <w:r w:rsidR="00A84D67">
          <w:rPr>
            <w:webHidden/>
          </w:rPr>
          <w:fldChar w:fldCharType="begin"/>
        </w:r>
        <w:r w:rsidR="00A84D67">
          <w:rPr>
            <w:webHidden/>
          </w:rPr>
          <w:instrText xml:space="preserve"> PAGEREF _Toc52461747 \h </w:instrText>
        </w:r>
        <w:r w:rsidR="00A84D67">
          <w:rPr>
            <w:webHidden/>
          </w:rPr>
        </w:r>
        <w:r w:rsidR="00A84D67">
          <w:rPr>
            <w:webHidden/>
          </w:rPr>
          <w:fldChar w:fldCharType="separate"/>
        </w:r>
        <w:r w:rsidR="00A84D67">
          <w:rPr>
            <w:webHidden/>
          </w:rPr>
          <w:t>2</w:t>
        </w:r>
        <w:r w:rsidR="00A84D67">
          <w:rPr>
            <w:webHidden/>
          </w:rPr>
          <w:fldChar w:fldCharType="end"/>
        </w:r>
      </w:hyperlink>
    </w:p>
    <w:p w14:paraId="72D10625" w14:textId="1EC1C8B4" w:rsidR="00A84D67" w:rsidRDefault="00D0488C">
      <w:pPr>
        <w:pStyle w:val="TOC3"/>
        <w:rPr>
          <w:smallCaps w:val="0"/>
          <w:sz w:val="22"/>
          <w:rFonts w:asciiTheme="minorHAnsi" w:eastAsiaTheme="minorEastAsia" w:hAnsiTheme="minorHAnsi" w:cstheme="minorBidi"/>
        </w:rPr>
      </w:pPr>
      <w:hyperlink w:anchor="_Toc52461748" w:history="1">
        <w:r w:rsidR="00A84D67" w:rsidRPr="000C67D9">
          <w:rPr>
            <w:rStyle w:val="Hyperlink"/>
            <w:b/>
            <w:rFonts w:ascii="Times New Roman" w:hAnsi="Times New Roman"/>
          </w:rPr>
          <w:t>1.4.</w:t>
        </w:r>
        <w:r w:rsidR="00A84D67">
          <w:rPr>
            <w:smallCaps w:val="0"/>
            <w:sz w:val="22"/>
            <w:rFonts w:asciiTheme="minorHAnsi" w:eastAsiaTheme="minorEastAsia" w:hAnsiTheme="minorHAnsi" w:cstheme="minorBidi"/>
          </w:rPr>
          <w:tab/>
        </w:r>
        <w:r w:rsidR="00A84D67" w:rsidRPr="000C67D9">
          <w:rPr>
            <w:rStyle w:val="Hyperlink"/>
            <w:b/>
            <w:rFonts w:ascii="Times New Roman" w:hAnsi="Times New Roman"/>
          </w:rPr>
          <w:t>Sign convention</w:t>
        </w:r>
        <w:r w:rsidR="00A84D67">
          <w:rPr>
            <w:webHidden/>
          </w:rPr>
          <w:tab/>
        </w:r>
        <w:r w:rsidR="00A84D67">
          <w:rPr>
            <w:webHidden/>
          </w:rPr>
          <w:fldChar w:fldCharType="begin"/>
        </w:r>
        <w:r w:rsidR="00A84D67">
          <w:rPr>
            <w:webHidden/>
          </w:rPr>
          <w:instrText xml:space="preserve"> PAGEREF _Toc52461748 \h </w:instrText>
        </w:r>
        <w:r w:rsidR="00A84D67">
          <w:rPr>
            <w:webHidden/>
          </w:rPr>
        </w:r>
        <w:r w:rsidR="00A84D67">
          <w:rPr>
            <w:webHidden/>
          </w:rPr>
          <w:fldChar w:fldCharType="separate"/>
        </w:r>
        <w:r w:rsidR="00A84D67">
          <w:rPr>
            <w:webHidden/>
          </w:rPr>
          <w:t>3</w:t>
        </w:r>
        <w:r w:rsidR="00A84D67">
          <w:rPr>
            <w:webHidden/>
          </w:rPr>
          <w:fldChar w:fldCharType="end"/>
        </w:r>
      </w:hyperlink>
    </w:p>
    <w:p w14:paraId="57E59D78" w14:textId="1C252703" w:rsidR="00A84D67" w:rsidRDefault="00D0488C">
      <w:pPr>
        <w:pStyle w:val="TOC1"/>
        <w:rPr>
          <w:color w:val="auto"/>
          <w:sz w:val="22"/>
          <w:rFonts w:asciiTheme="minorHAnsi" w:eastAsiaTheme="minorEastAsia" w:hAnsiTheme="minorHAnsi" w:cstheme="minorBidi"/>
        </w:rPr>
      </w:pPr>
      <w:hyperlink w:anchor="_Toc52461749" w:history="1">
        <w:r w:rsidR="00A84D67" w:rsidRPr="000C67D9">
          <w:rPr>
            <w:rStyle w:val="Hyperlink"/>
            <w:b/>
            <w:rFonts w:ascii="Times New Roman" w:hAnsi="Times New Roman"/>
          </w:rPr>
          <w:t>PART II: TEMPLATE RELATED INSTRUCTIONS</w:t>
        </w:r>
        <w:r w:rsidR="00A84D67">
          <w:rPr>
            <w:webHidden/>
          </w:rPr>
          <w:tab/>
        </w:r>
        <w:r w:rsidR="00A84D67">
          <w:rPr>
            <w:webHidden/>
          </w:rPr>
          <w:fldChar w:fldCharType="begin"/>
        </w:r>
        <w:r w:rsidR="00A84D67">
          <w:rPr>
            <w:webHidden/>
          </w:rPr>
          <w:instrText xml:space="preserve"> PAGEREF _Toc52461749 \h </w:instrText>
        </w:r>
        <w:r w:rsidR="00A84D67">
          <w:rPr>
            <w:webHidden/>
          </w:rPr>
        </w:r>
        <w:r w:rsidR="00A84D67">
          <w:rPr>
            <w:webHidden/>
          </w:rPr>
          <w:fldChar w:fldCharType="separate"/>
        </w:r>
        <w:r w:rsidR="00A84D67">
          <w:rPr>
            <w:webHidden/>
          </w:rPr>
          <w:t>4</w:t>
        </w:r>
        <w:r w:rsidR="00A84D67">
          <w:rPr>
            <w:webHidden/>
          </w:rPr>
          <w:fldChar w:fldCharType="end"/>
        </w:r>
      </w:hyperlink>
    </w:p>
    <w:p w14:paraId="1ED6F151" w14:textId="03408B6A" w:rsidR="00A84D67" w:rsidRDefault="00D0488C">
      <w:pPr>
        <w:pStyle w:val="TOC2"/>
        <w:rPr>
          <w:b w:val="0"/>
          <w:smallCaps w:val="0"/>
          <w:sz w:val="22"/>
          <w:rFonts w:asciiTheme="minorHAnsi" w:eastAsiaTheme="minorEastAsia" w:hAnsiTheme="minorHAnsi" w:cstheme="minorBidi"/>
        </w:rPr>
      </w:pPr>
      <w:hyperlink w:anchor="_Toc52461750" w:history="1">
        <w:r w:rsidR="00A84D67" w:rsidRPr="000C67D9">
          <w:rPr>
            <w:rStyle w:val="Hyperlink"/>
            <w:rFonts w:ascii="Times New Roman" w:hAnsi="Times New Roman"/>
          </w:rPr>
          <w:t>1.</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Formulas for leverage ratio calculation</w:t>
        </w:r>
        <w:r w:rsidR="00A84D67">
          <w:rPr>
            <w:webHidden/>
          </w:rPr>
          <w:tab/>
        </w:r>
        <w:r w:rsidR="00A84D67">
          <w:rPr>
            <w:webHidden/>
          </w:rPr>
          <w:fldChar w:fldCharType="begin"/>
        </w:r>
        <w:r w:rsidR="00A84D67">
          <w:rPr>
            <w:webHidden/>
          </w:rPr>
          <w:instrText xml:space="preserve"> PAGEREF _Toc52461750 \h </w:instrText>
        </w:r>
        <w:r w:rsidR="00A84D67">
          <w:rPr>
            <w:webHidden/>
          </w:rPr>
        </w:r>
        <w:r w:rsidR="00A84D67">
          <w:rPr>
            <w:webHidden/>
          </w:rPr>
          <w:fldChar w:fldCharType="separate"/>
        </w:r>
        <w:r w:rsidR="00A84D67">
          <w:rPr>
            <w:webHidden/>
          </w:rPr>
          <w:t>4</w:t>
        </w:r>
        <w:r w:rsidR="00A84D67">
          <w:rPr>
            <w:webHidden/>
          </w:rPr>
          <w:fldChar w:fldCharType="end"/>
        </w:r>
      </w:hyperlink>
    </w:p>
    <w:p w14:paraId="36F47968" w14:textId="431B3312" w:rsidR="00A84D67" w:rsidRDefault="00D0488C">
      <w:pPr>
        <w:pStyle w:val="TOC2"/>
        <w:rPr>
          <w:b w:val="0"/>
          <w:smallCaps w:val="0"/>
          <w:sz w:val="22"/>
          <w:rFonts w:asciiTheme="minorHAnsi" w:eastAsiaTheme="minorEastAsia" w:hAnsiTheme="minorHAnsi" w:cstheme="minorBidi"/>
        </w:rPr>
      </w:pPr>
      <w:hyperlink w:anchor="_Toc52461751" w:history="1">
        <w:r w:rsidR="00A84D67" w:rsidRPr="000C67D9">
          <w:rPr>
            <w:rStyle w:val="Hyperlink"/>
            <w:rFonts w:ascii="Times New Roman" w:hAnsi="Times New Roman"/>
          </w:rPr>
          <w:t>2.</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Materiality thresholds for derivatives</w:t>
        </w:r>
        <w:r w:rsidR="00A84D67">
          <w:rPr>
            <w:webHidden/>
          </w:rPr>
          <w:tab/>
        </w:r>
        <w:r w:rsidR="00A84D67">
          <w:rPr>
            <w:webHidden/>
          </w:rPr>
          <w:fldChar w:fldCharType="begin"/>
        </w:r>
        <w:r w:rsidR="00A84D67">
          <w:rPr>
            <w:webHidden/>
          </w:rPr>
          <w:instrText xml:space="preserve"> PAGEREF _Toc52461751 \h </w:instrText>
        </w:r>
        <w:r w:rsidR="00A84D67">
          <w:rPr>
            <w:webHidden/>
          </w:rPr>
        </w:r>
        <w:r w:rsidR="00A84D67">
          <w:rPr>
            <w:webHidden/>
          </w:rPr>
          <w:fldChar w:fldCharType="separate"/>
        </w:r>
        <w:r w:rsidR="00A84D67">
          <w:rPr>
            <w:webHidden/>
          </w:rPr>
          <w:t>4</w:t>
        </w:r>
        <w:r w:rsidR="00A84D67">
          <w:rPr>
            <w:webHidden/>
          </w:rPr>
          <w:fldChar w:fldCharType="end"/>
        </w:r>
      </w:hyperlink>
    </w:p>
    <w:p w14:paraId="5BE26179" w14:textId="73908DD6" w:rsidR="00A84D67" w:rsidRDefault="00D0488C">
      <w:pPr>
        <w:pStyle w:val="TOC2"/>
        <w:rPr>
          <w:b w:val="0"/>
          <w:smallCaps w:val="0"/>
          <w:sz w:val="22"/>
          <w:rFonts w:asciiTheme="minorHAnsi" w:eastAsiaTheme="minorEastAsia" w:hAnsiTheme="minorHAnsi" w:cstheme="minorBidi"/>
        </w:rPr>
      </w:pPr>
      <w:hyperlink w:anchor="_Toc52461752" w:history="1">
        <w:r w:rsidR="00A84D67" w:rsidRPr="000C67D9">
          <w:rPr>
            <w:rStyle w:val="Hyperlink"/>
            <w:rFonts w:ascii="Times New Roman" w:hAnsi="Times New Roman"/>
          </w:rPr>
          <w:t>3.</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C 47.00 – Leverage ratio calculation (LRCalc)</w:t>
        </w:r>
        <w:r w:rsidR="00A84D67">
          <w:rPr>
            <w:webHidden/>
          </w:rPr>
          <w:tab/>
        </w:r>
        <w:r w:rsidR="00A84D67">
          <w:rPr>
            <w:webHidden/>
          </w:rPr>
          <w:fldChar w:fldCharType="begin"/>
        </w:r>
        <w:r w:rsidR="00A84D67">
          <w:rPr>
            <w:webHidden/>
          </w:rPr>
          <w:instrText xml:space="preserve"> PAGEREF _Toc52461752 \h </w:instrText>
        </w:r>
        <w:r w:rsidR="00A84D67">
          <w:rPr>
            <w:webHidden/>
          </w:rPr>
        </w:r>
        <w:r w:rsidR="00A84D67">
          <w:rPr>
            <w:webHidden/>
          </w:rPr>
          <w:fldChar w:fldCharType="separate"/>
        </w:r>
        <w:r w:rsidR="00A84D67">
          <w:rPr>
            <w:webHidden/>
          </w:rPr>
          <w:t>5</w:t>
        </w:r>
        <w:r w:rsidR="00A84D67">
          <w:rPr>
            <w:webHidden/>
          </w:rPr>
          <w:fldChar w:fldCharType="end"/>
        </w:r>
      </w:hyperlink>
    </w:p>
    <w:p w14:paraId="16C23EDE" w14:textId="13217F43" w:rsidR="00A84D67" w:rsidRDefault="00D0488C">
      <w:pPr>
        <w:pStyle w:val="TOC2"/>
        <w:rPr>
          <w:b w:val="0"/>
          <w:smallCaps w:val="0"/>
          <w:sz w:val="22"/>
          <w:rFonts w:asciiTheme="minorHAnsi" w:eastAsiaTheme="minorEastAsia" w:hAnsiTheme="minorHAnsi" w:cstheme="minorBidi"/>
        </w:rPr>
      </w:pPr>
      <w:hyperlink w:anchor="_Toc52461753" w:history="1">
        <w:r w:rsidR="00A84D67" w:rsidRPr="000C67D9">
          <w:rPr>
            <w:rStyle w:val="Hyperlink"/>
            <w:rFonts w:ascii="Times New Roman" w:hAnsi="Times New Roman"/>
          </w:rPr>
          <w:t>4.</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C 40.00 – Alternative treatment of the Exposure Measure (LR1)</w:t>
        </w:r>
        <w:r w:rsidR="00A84D67">
          <w:rPr>
            <w:webHidden/>
          </w:rPr>
          <w:tab/>
        </w:r>
        <w:r w:rsidR="00A84D67">
          <w:rPr>
            <w:webHidden/>
          </w:rPr>
          <w:fldChar w:fldCharType="begin"/>
        </w:r>
        <w:r w:rsidR="00A84D67">
          <w:rPr>
            <w:webHidden/>
          </w:rPr>
          <w:instrText xml:space="preserve"> PAGEREF _Toc52461753 \h </w:instrText>
        </w:r>
        <w:r w:rsidR="00A84D67">
          <w:rPr>
            <w:webHidden/>
          </w:rPr>
        </w:r>
        <w:r w:rsidR="00A84D67">
          <w:rPr>
            <w:webHidden/>
          </w:rPr>
          <w:fldChar w:fldCharType="separate"/>
        </w:r>
        <w:r w:rsidR="00A84D67">
          <w:rPr>
            <w:webHidden/>
          </w:rPr>
          <w:t>29</w:t>
        </w:r>
        <w:r w:rsidR="00A84D67">
          <w:rPr>
            <w:webHidden/>
          </w:rPr>
          <w:fldChar w:fldCharType="end"/>
        </w:r>
      </w:hyperlink>
    </w:p>
    <w:p w14:paraId="34F2914F" w14:textId="041292AF" w:rsidR="00A84D67" w:rsidRDefault="00D0488C">
      <w:pPr>
        <w:pStyle w:val="TOC2"/>
        <w:rPr>
          <w:b w:val="0"/>
          <w:smallCaps w:val="0"/>
          <w:sz w:val="22"/>
          <w:rFonts w:asciiTheme="minorHAnsi" w:eastAsiaTheme="minorEastAsia" w:hAnsiTheme="minorHAnsi" w:cstheme="minorBidi"/>
        </w:rPr>
      </w:pPr>
      <w:hyperlink w:anchor="_Toc52461754" w:history="1">
        <w:r w:rsidR="00A84D67" w:rsidRPr="000C67D9">
          <w:rPr>
            <w:rStyle w:val="Hyperlink"/>
            <w:rFonts w:ascii="Times New Roman" w:hAnsi="Times New Roman"/>
          </w:rPr>
          <w:t>5.</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C 43.00 – Alternative breakdown of leverage ratio exposure measure components (LR4)</w:t>
        </w:r>
        <w:r w:rsidR="00A84D67">
          <w:rPr>
            <w:webHidden/>
          </w:rPr>
          <w:tab/>
        </w:r>
        <w:r w:rsidR="00A84D67">
          <w:rPr>
            <w:webHidden/>
          </w:rPr>
          <w:fldChar w:fldCharType="begin"/>
        </w:r>
        <w:r w:rsidR="00A84D67">
          <w:rPr>
            <w:webHidden/>
          </w:rPr>
          <w:instrText xml:space="preserve"> PAGEREF _Toc52461754 \h </w:instrText>
        </w:r>
        <w:r w:rsidR="00A84D67">
          <w:rPr>
            <w:webHidden/>
          </w:rPr>
        </w:r>
        <w:r w:rsidR="00A84D67">
          <w:rPr>
            <w:webHidden/>
          </w:rPr>
          <w:fldChar w:fldCharType="separate"/>
        </w:r>
        <w:r w:rsidR="00A84D67">
          <w:rPr>
            <w:webHidden/>
          </w:rPr>
          <w:t>40</w:t>
        </w:r>
        <w:r w:rsidR="00A84D67">
          <w:rPr>
            <w:webHidden/>
          </w:rPr>
          <w:fldChar w:fldCharType="end"/>
        </w:r>
      </w:hyperlink>
    </w:p>
    <w:p w14:paraId="58BD4230" w14:textId="6F72C926" w:rsidR="00A84D67" w:rsidRDefault="00D0488C">
      <w:pPr>
        <w:pStyle w:val="TOC2"/>
        <w:rPr>
          <w:b w:val="0"/>
          <w:smallCaps w:val="0"/>
          <w:sz w:val="22"/>
          <w:rFonts w:asciiTheme="minorHAnsi" w:eastAsiaTheme="minorEastAsia" w:hAnsiTheme="minorHAnsi" w:cstheme="minorBidi"/>
        </w:rPr>
      </w:pPr>
      <w:hyperlink w:anchor="_Toc52461755" w:history="1">
        <w:r w:rsidR="00A84D67" w:rsidRPr="000C67D9">
          <w:rPr>
            <w:rStyle w:val="Hyperlink"/>
            <w:rFonts w:ascii="Times New Roman" w:hAnsi="Times New Roman"/>
          </w:rPr>
          <w:t>6.</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C 44.00 – General information (LR5)</w:t>
        </w:r>
        <w:r w:rsidR="00A84D67">
          <w:rPr>
            <w:webHidden/>
          </w:rPr>
          <w:tab/>
        </w:r>
        <w:r w:rsidR="00A84D67">
          <w:rPr>
            <w:webHidden/>
          </w:rPr>
          <w:fldChar w:fldCharType="begin"/>
        </w:r>
        <w:r w:rsidR="00A84D67">
          <w:rPr>
            <w:webHidden/>
          </w:rPr>
          <w:instrText xml:space="preserve"> PAGEREF _Toc52461755 \h </w:instrText>
        </w:r>
        <w:r w:rsidR="00A84D67">
          <w:rPr>
            <w:webHidden/>
          </w:rPr>
        </w:r>
        <w:r w:rsidR="00A84D67">
          <w:rPr>
            <w:webHidden/>
          </w:rPr>
          <w:fldChar w:fldCharType="separate"/>
        </w:r>
        <w:r w:rsidR="00A84D67">
          <w:rPr>
            <w:webHidden/>
          </w:rPr>
          <w:t>61</w:t>
        </w:r>
        <w:r w:rsidR="00A84D67">
          <w:rPr>
            <w:webHidden/>
          </w:rPr>
          <w:fldChar w:fldCharType="end"/>
        </w:r>
      </w:hyperlink>
    </w:p>
    <w:p w14:paraId="6FA11802" w14:textId="2D3E6782" w:rsidR="00A84D67" w:rsidRDefault="00D0488C">
      <w:pPr>
        <w:pStyle w:val="TOC2"/>
        <w:rPr>
          <w:b w:val="0"/>
          <w:smallCaps w:val="0"/>
          <w:sz w:val="22"/>
          <w:rFonts w:asciiTheme="minorHAnsi" w:eastAsiaTheme="minorEastAsia" w:hAnsiTheme="minorHAnsi" w:cstheme="minorBidi"/>
        </w:rPr>
      </w:pPr>
      <w:hyperlink w:anchor="_Toc52461756" w:history="1">
        <w:r w:rsidR="00A84D67" w:rsidRPr="000C67D9">
          <w:rPr>
            <w:rStyle w:val="Hyperlink"/>
            <w:rFonts w:ascii="Times New Roman" w:hAnsi="Times New Roman"/>
          </w:rPr>
          <w:t>7.</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C 48.00 Leverage ratio volatility (LR6)</w:t>
        </w:r>
        <w:r w:rsidR="00A84D67">
          <w:rPr>
            <w:webHidden/>
          </w:rPr>
          <w:tab/>
        </w:r>
        <w:r w:rsidR="00A84D67">
          <w:rPr>
            <w:webHidden/>
          </w:rPr>
          <w:fldChar w:fldCharType="begin"/>
        </w:r>
        <w:r w:rsidR="00A84D67">
          <w:rPr>
            <w:webHidden/>
          </w:rPr>
          <w:instrText xml:space="preserve"> PAGEREF _Toc52461756 \h </w:instrText>
        </w:r>
        <w:r w:rsidR="00A84D67">
          <w:rPr>
            <w:webHidden/>
          </w:rPr>
        </w:r>
        <w:r w:rsidR="00A84D67">
          <w:rPr>
            <w:webHidden/>
          </w:rPr>
          <w:fldChar w:fldCharType="separate"/>
        </w:r>
        <w:r w:rsidR="00A84D67">
          <w:rPr>
            <w:webHidden/>
          </w:rPr>
          <w:t>63</w:t>
        </w:r>
        <w:r w:rsidR="00A84D67">
          <w:rPr>
            <w:webHidden/>
          </w:rPr>
          <w:fldChar w:fldCharType="end"/>
        </w:r>
      </w:hyperlink>
    </w:p>
    <w:p w14:paraId="1222E623" w14:textId="6D42CF2E" w:rsidR="00A84D67" w:rsidRDefault="00D0488C">
      <w:pPr>
        <w:pStyle w:val="TOC2"/>
        <w:rPr>
          <w:b w:val="0"/>
          <w:smallCaps w:val="0"/>
          <w:sz w:val="22"/>
          <w:rFonts w:asciiTheme="minorHAnsi" w:eastAsiaTheme="minorEastAsia" w:hAnsiTheme="minorHAnsi" w:cstheme="minorBidi"/>
        </w:rPr>
      </w:pPr>
      <w:hyperlink w:anchor="_Toc52461757" w:history="1">
        <w:r w:rsidR="00A84D67" w:rsidRPr="000C67D9">
          <w:rPr>
            <w:rStyle w:val="Hyperlink"/>
            <w:rFonts w:ascii="Times New Roman" w:hAnsi="Times New Roman"/>
          </w:rPr>
          <w:t>8.</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C 48.01 Leverage ratio volatility: Mean value for the reporting period</w:t>
        </w:r>
        <w:r w:rsidR="00A84D67">
          <w:rPr>
            <w:webHidden/>
          </w:rPr>
          <w:tab/>
        </w:r>
        <w:r w:rsidR="00A84D67">
          <w:rPr>
            <w:webHidden/>
          </w:rPr>
          <w:fldChar w:fldCharType="begin"/>
        </w:r>
        <w:r w:rsidR="00A84D67">
          <w:rPr>
            <w:webHidden/>
          </w:rPr>
          <w:instrText xml:space="preserve"> PAGEREF _Toc52461757 \h </w:instrText>
        </w:r>
        <w:r w:rsidR="00A84D67">
          <w:rPr>
            <w:webHidden/>
          </w:rPr>
        </w:r>
        <w:r w:rsidR="00A84D67">
          <w:rPr>
            <w:webHidden/>
          </w:rPr>
          <w:fldChar w:fldCharType="separate"/>
        </w:r>
        <w:r w:rsidR="00A84D67">
          <w:rPr>
            <w:webHidden/>
          </w:rPr>
          <w:t>63</w:t>
        </w:r>
        <w:r w:rsidR="00A84D67">
          <w:rPr>
            <w:webHidden/>
          </w:rPr>
          <w:fldChar w:fldCharType="end"/>
        </w:r>
      </w:hyperlink>
    </w:p>
    <w:p w14:paraId="5FE38549" w14:textId="20373664" w:rsidR="00A84D67" w:rsidRDefault="00D0488C">
      <w:pPr>
        <w:pStyle w:val="TOC2"/>
        <w:rPr>
          <w:b w:val="0"/>
          <w:smallCaps w:val="0"/>
          <w:sz w:val="22"/>
          <w:rFonts w:asciiTheme="minorHAnsi" w:eastAsiaTheme="minorEastAsia" w:hAnsiTheme="minorHAnsi" w:cstheme="minorBidi"/>
        </w:rPr>
      </w:pPr>
      <w:hyperlink w:anchor="_Toc52461758" w:history="1">
        <w:r w:rsidR="00A84D67" w:rsidRPr="000C67D9">
          <w:rPr>
            <w:rStyle w:val="Hyperlink"/>
            <w:rFonts w:ascii="Times New Roman" w:hAnsi="Times New Roman"/>
          </w:rPr>
          <w:t>9.</w:t>
        </w:r>
        <w:r w:rsidR="00A84D67">
          <w:rPr>
            <w:b w:val="0"/>
            <w:smallCaps w:val="0"/>
            <w:sz w:val="22"/>
            <w:rFonts w:asciiTheme="minorHAnsi" w:eastAsiaTheme="minorEastAsia" w:hAnsiTheme="minorHAnsi" w:cstheme="minorBidi"/>
          </w:rPr>
          <w:tab/>
        </w:r>
        <w:r w:rsidR="00A84D67" w:rsidRPr="000C67D9">
          <w:rPr>
            <w:rStyle w:val="Hyperlink"/>
            <w:rFonts w:ascii="Times New Roman" w:hAnsi="Times New Roman"/>
          </w:rPr>
          <w:t>C 48.02 Leverage ratio volatility: Daily values for the reporting period</w:t>
        </w:r>
        <w:r w:rsidR="00A84D67">
          <w:rPr>
            <w:webHidden/>
          </w:rPr>
          <w:tab/>
        </w:r>
        <w:r w:rsidR="00A84D67">
          <w:rPr>
            <w:webHidden/>
          </w:rPr>
          <w:fldChar w:fldCharType="begin"/>
        </w:r>
        <w:r w:rsidR="00A84D67">
          <w:rPr>
            <w:webHidden/>
          </w:rPr>
          <w:instrText xml:space="preserve"> PAGEREF _Toc52461758 \h </w:instrText>
        </w:r>
        <w:r w:rsidR="00A84D67">
          <w:rPr>
            <w:webHidden/>
          </w:rPr>
        </w:r>
        <w:r w:rsidR="00A84D67">
          <w:rPr>
            <w:webHidden/>
          </w:rPr>
          <w:fldChar w:fldCharType="separate"/>
        </w:r>
        <w:r w:rsidR="00A84D67">
          <w:rPr>
            <w:webHidden/>
          </w:rPr>
          <w:t>63</w:t>
        </w:r>
        <w:r w:rsidR="00A84D67">
          <w:rPr>
            <w:webHidden/>
          </w:rPr>
          <w:fldChar w:fldCharType="end"/>
        </w:r>
      </w:hyperlink>
    </w:p>
    <w:p w14:paraId="43D747E1" w14:textId="1D697D95" w:rsidR="00AC3257" w:rsidRPr="000B66BC" w:rsidRDefault="00391EF9" w:rsidP="000B66BC">
      <w:pPr>
        <w:pStyle w:val="BodyText1"/>
        <w:rPr>
          <w:sz w:val="24"/>
          <w:rFonts w:ascii="Times New Roman" w:hAnsi="Times New Roman"/>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sz w:val="24"/>
          <w:rFonts w:ascii="Times New Roman" w:hAnsi="Times New Roman"/>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b/>
          <w:sz w:val="24"/>
          <w:szCs w:val="24"/>
          <w:rFonts w:ascii="Times New Roman" w:hAnsi="Times New Roman"/>
        </w:rPr>
      </w:pPr>
      <w:bookmarkStart w:id="0" w:name="_Toc264038394"/>
      <w:bookmarkStart w:id="1" w:name="_Toc322687864"/>
      <w:bookmarkStart w:id="2" w:name="_Toc351048499"/>
      <w:bookmarkStart w:id="3" w:name="_Toc359414273"/>
      <w:bookmarkStart w:id="4" w:name="_Toc423089060"/>
      <w:bookmarkStart w:id="5" w:name="_Toc52461743"/>
      <w:r>
        <w:rPr>
          <w:b/>
          <w:sz w:val="24"/>
          <w:rFonts w:ascii="Times New Roman" w:hAnsi="Times New Roman"/>
        </w:rPr>
        <w:t xml:space="preserve">PARTE I:</w:t>
      </w:r>
      <w:bookmarkEnd w:id="0"/>
      <w:r>
        <w:rPr>
          <w:b/>
          <w:sz w:val="24"/>
          <w:rFonts w:ascii="Times New Roman" w:hAnsi="Times New Roman"/>
        </w:rPr>
        <w:t xml:space="preserve"> </w:t>
      </w:r>
      <w:r>
        <w:rPr>
          <w:b/>
          <w:sz w:val="24"/>
          <w:rFonts w:ascii="Times New Roman" w:hAnsi="Times New Roman"/>
        </w:rPr>
        <w:t xml:space="preserve">INSTRUCCIONES GENERALES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b/>
          <w:sz w:val="24"/>
          <w:szCs w:val="24"/>
          <w:rFonts w:ascii="Times New Roman" w:hAnsi="Times New Roman"/>
        </w:rPr>
      </w:pPr>
      <w:bookmarkStart w:id="6" w:name="_Toc351048500"/>
      <w:bookmarkStart w:id="7" w:name="_Toc322687865"/>
      <w:bookmarkStart w:id="8" w:name="_Toc359414274"/>
      <w:bookmarkStart w:id="9" w:name="_Toc423089061"/>
      <w:bookmarkStart w:id="10" w:name="_Toc52461744"/>
      <w:r>
        <w:rPr>
          <w:b/>
          <w:sz w:val="24"/>
          <w:rFonts w:ascii="Times New Roman" w:hAnsi="Times New Roman"/>
        </w:rPr>
        <w:t xml:space="preserve">1.</w:t>
      </w:r>
      <w:r>
        <w:rPr>
          <w:b/>
          <w:sz w:val="24"/>
          <w:rFonts w:ascii="Times New Roman" w:hAnsi="Times New Roman"/>
        </w:rPr>
        <w:tab/>
      </w:r>
      <w:r>
        <w:rPr>
          <w:b/>
          <w:sz w:val="24"/>
          <w:rFonts w:ascii="Times New Roman" w:hAnsi="Times New Roman"/>
        </w:rPr>
        <w:t xml:space="preserve">Estructura y otras convenciones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b/>
          <w:sz w:val="24"/>
          <w:szCs w:val="24"/>
          <w:rFonts w:ascii="Times New Roman" w:hAnsi="Times New Roman"/>
        </w:rPr>
      </w:pPr>
      <w:bookmarkStart w:id="11" w:name="_Toc322687866"/>
      <w:bookmarkStart w:id="12" w:name="_Toc359414275"/>
      <w:bookmarkStart w:id="13" w:name="_Toc423089062"/>
      <w:bookmarkStart w:id="14" w:name="_Toc52461745"/>
      <w:bookmarkStart w:id="15" w:name="_Toc264038399"/>
      <w:bookmarkStart w:id="16" w:name="_Toc294018834"/>
      <w:r>
        <w:rPr>
          <w:b/>
          <w:sz w:val="24"/>
          <w:rFonts w:ascii="Times New Roman" w:hAnsi="Times New Roman"/>
        </w:rPr>
        <w:t xml:space="preserve">1.1.</w:t>
      </w:r>
      <w:r>
        <w:rPr>
          <w:b/>
          <w:sz w:val="24"/>
          <w:rFonts w:ascii="Times New Roman" w:hAnsi="Times New Roman"/>
        </w:rPr>
        <w:tab/>
      </w:r>
      <w:bookmarkEnd w:id="11"/>
      <w:bookmarkEnd w:id="12"/>
      <w:bookmarkEnd w:id="13"/>
      <w:r>
        <w:rPr>
          <w:b/>
          <w:sz w:val="24"/>
          <w:rFonts w:ascii="Times New Roman" w:hAnsi="Times New Roman"/>
        </w:rPr>
        <w:t xml:space="preserve">Estructura</w:t>
      </w:r>
      <w:bookmarkEnd w:id="14"/>
    </w:p>
    <w:p w14:paraId="050538F0" w14:textId="50037B39" w:rsidR="00E22856" w:rsidRPr="000B66BC" w:rsidRDefault="00500508" w:rsidP="000B66BC">
      <w:pPr>
        <w:pStyle w:val="BodyText1"/>
        <w:spacing w:after="240"/>
        <w:ind w:left="720" w:hanging="360"/>
        <w:rPr>
          <w:sz w:val="24"/>
          <w:szCs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El presente anexo contiene instrucciones adicionales para las plantillas de la ratio de apalancamiento (</w:t>
      </w:r>
      <w:r>
        <w:rPr>
          <w:sz w:val="24"/>
          <w:rFonts w:ascii="Times New Roman" w:hAnsi="Times New Roman"/>
        </w:rPr>
        <w:t xml:space="preserve">Leverage Ratio</w:t>
      </w:r>
      <w:r>
        <w:rPr>
          <w:sz w:val="24"/>
          <w:rFonts w:ascii="Times New Roman" w:hAnsi="Times New Roman"/>
        </w:rPr>
        <w:t xml:space="preserve">, en lo sucesivo «LR») incluidas en el anexo X del presente Reglamento.</w:t>
      </w:r>
      <w:r>
        <w:rPr>
          <w:sz w:val="24"/>
          <w:rFonts w:ascii="Times New Roman" w:hAnsi="Times New Roman"/>
        </w:rPr>
        <w:t xml:space="preserve"> </w:t>
      </w:r>
    </w:p>
    <w:p w14:paraId="4B2766E9" w14:textId="78B19E69" w:rsidR="00F4754B" w:rsidRPr="000B66BC" w:rsidRDefault="00500508" w:rsidP="009339D1">
      <w:pPr>
        <w:pStyle w:val="InstructionsText2"/>
        <w:numPr>
          <w:ilvl w:val="0"/>
          <w:numId w:val="0"/>
        </w:numPr>
        <w:ind w:left="720" w:hanging="360"/>
        <w:rPr>
          <w:bCs/>
          <w:sz w:val="24"/>
          <w:rFonts w:eastAsia="Times New Roman"/>
        </w:rPr>
      </w:pPr>
      <w:r>
        <w:rPr>
          <w:sz w:val="24"/>
        </w:rPr>
        <w:t xml:space="preserve">2.</w:t>
      </w:r>
      <w:r>
        <w:rPr>
          <w:sz w:val="24"/>
        </w:rPr>
        <w:tab/>
      </w:r>
      <w:r>
        <w:rPr>
          <w:sz w:val="24"/>
        </w:rPr>
        <w:t xml:space="preserve">En total, el marco consta de cinco plantillas:</w:t>
      </w:r>
    </w:p>
    <w:p w14:paraId="41A3C48C" w14:textId="77777777" w:rsidR="00675587" w:rsidRPr="000B66BC" w:rsidRDefault="00500508" w:rsidP="009339D1">
      <w:pPr>
        <w:pStyle w:val="InstructionsText2"/>
        <w:numPr>
          <w:ilvl w:val="0"/>
          <w:numId w:val="0"/>
        </w:numPr>
        <w:ind w:left="1080" w:hanging="360"/>
        <w:rPr>
          <w:bCs/>
          <w:sz w:val="24"/>
          <w:rFonts w:eastAsia="Times New Roman"/>
        </w:rPr>
      </w:pPr>
      <w:r>
        <w:rPr>
          <w:sz w:val="24"/>
          <w:rFonts w:ascii="Symbol" w:hAnsi="Symbol"/>
        </w:rPr>
        <w:t xml:space="preserve"></w:t>
      </w:r>
      <w:r>
        <w:rPr>
          <w:sz w:val="24"/>
          <w:rFonts w:ascii="Symbol" w:hAnsi="Symbol"/>
        </w:rPr>
        <w:tab/>
      </w:r>
      <w:r>
        <w:rPr>
          <w:sz w:val="24"/>
        </w:rPr>
        <w:t xml:space="preserve">C47.00:</w:t>
      </w:r>
      <w:r>
        <w:rPr>
          <w:sz w:val="24"/>
        </w:rPr>
        <w:t xml:space="preserve"> </w:t>
      </w:r>
      <w:r>
        <w:rPr>
          <w:sz w:val="24"/>
        </w:rPr>
        <w:t xml:space="preserve">Cálculo de la ratio de apalancamiento (LRCalc):</w:t>
      </w:r>
      <w:r>
        <w:rPr>
          <w:sz w:val="24"/>
        </w:rPr>
        <w:t xml:space="preserve"> </w:t>
      </w:r>
      <w:r>
        <w:rPr>
          <w:sz w:val="24"/>
        </w:rPr>
        <w:t xml:space="preserve">Cálculo de la ratio de apalancamiento</w:t>
      </w:r>
    </w:p>
    <w:p w14:paraId="42B808C6" w14:textId="77777777" w:rsidR="00675587" w:rsidRPr="000B66BC" w:rsidRDefault="00500508" w:rsidP="009339D1">
      <w:pPr>
        <w:pStyle w:val="InstructionsText2"/>
        <w:numPr>
          <w:ilvl w:val="0"/>
          <w:numId w:val="0"/>
        </w:numPr>
        <w:ind w:left="1080" w:hanging="360"/>
        <w:rPr>
          <w:bCs/>
          <w:sz w:val="24"/>
          <w:rFonts w:eastAsia="Times New Roman"/>
        </w:rPr>
      </w:pPr>
      <w:r>
        <w:rPr>
          <w:sz w:val="24"/>
          <w:rFonts w:ascii="Symbol" w:hAnsi="Symbol"/>
        </w:rPr>
        <w:t xml:space="preserve"></w:t>
      </w:r>
      <w:r>
        <w:rPr>
          <w:sz w:val="24"/>
          <w:rFonts w:ascii="Symbol" w:hAnsi="Symbol"/>
        </w:rPr>
        <w:tab/>
      </w:r>
      <w:r>
        <w:rPr>
          <w:sz w:val="24"/>
        </w:rPr>
        <w:t xml:space="preserve">C40.00:</w:t>
      </w:r>
      <w:r>
        <w:rPr>
          <w:sz w:val="24"/>
        </w:rPr>
        <w:t xml:space="preserve"> </w:t>
      </w:r>
      <w:r>
        <w:rPr>
          <w:sz w:val="24"/>
        </w:rPr>
        <w:t xml:space="preserve">Plantilla de la ratio de apalancamiento 1 (LR1):</w:t>
      </w:r>
      <w:r>
        <w:rPr>
          <w:sz w:val="24"/>
        </w:rPr>
        <w:t xml:space="preserve"> </w:t>
      </w:r>
      <w:r>
        <w:rPr>
          <w:sz w:val="24"/>
        </w:rPr>
        <w:t xml:space="preserve">Tratamiento alternativo de la medida de la exposición</w:t>
      </w:r>
    </w:p>
    <w:p w14:paraId="29356C92" w14:textId="650F5016" w:rsidR="00675587" w:rsidRPr="000B66BC" w:rsidRDefault="00500508" w:rsidP="009339D1">
      <w:pPr>
        <w:pStyle w:val="InstructionsText2"/>
        <w:numPr>
          <w:ilvl w:val="0"/>
          <w:numId w:val="0"/>
        </w:numPr>
        <w:ind w:left="1080" w:hanging="360"/>
        <w:rPr>
          <w:bCs/>
          <w:sz w:val="24"/>
          <w:rFonts w:eastAsia="Times New Roman"/>
        </w:rPr>
      </w:pPr>
      <w:r>
        <w:rPr>
          <w:sz w:val="24"/>
          <w:rFonts w:ascii="Symbol" w:hAnsi="Symbol"/>
        </w:rPr>
        <w:t xml:space="preserve"></w:t>
      </w:r>
      <w:r>
        <w:rPr>
          <w:sz w:val="24"/>
          <w:rFonts w:ascii="Symbol" w:hAnsi="Symbol"/>
        </w:rPr>
        <w:tab/>
      </w:r>
      <w:r>
        <w:rPr>
          <w:sz w:val="24"/>
        </w:rPr>
        <w:t xml:space="preserve">C43.00:</w:t>
      </w:r>
      <w:r>
        <w:rPr>
          <w:sz w:val="24"/>
        </w:rPr>
        <w:t xml:space="preserve"> </w:t>
      </w:r>
      <w:r>
        <w:rPr>
          <w:sz w:val="24"/>
        </w:rPr>
        <w:t xml:space="preserve">Plantilla de la ratio de apalancamiento 4 (LR4):</w:t>
      </w:r>
      <w:r>
        <w:rPr>
          <w:sz w:val="24"/>
        </w:rPr>
        <w:t xml:space="preserve"> </w:t>
      </w:r>
      <w:r>
        <w:rPr>
          <w:sz w:val="24"/>
        </w:rPr>
        <w:t xml:space="preserve">Desglose alternativo de los componentes de la medida de la exposición correspondiente a la ratio de apalancamiento;</w:t>
      </w:r>
    </w:p>
    <w:p w14:paraId="0192F250" w14:textId="1780456B" w:rsidR="00675587" w:rsidRPr="000B66BC" w:rsidRDefault="00500508" w:rsidP="009339D1">
      <w:pPr>
        <w:pStyle w:val="InstructionsText2"/>
        <w:numPr>
          <w:ilvl w:val="0"/>
          <w:numId w:val="0"/>
        </w:numPr>
        <w:ind w:left="1080" w:hanging="360"/>
        <w:rPr>
          <w:bCs/>
          <w:sz w:val="24"/>
          <w:rFonts w:eastAsia="Times New Roman"/>
        </w:rPr>
      </w:pPr>
      <w:r>
        <w:rPr>
          <w:sz w:val="24"/>
          <w:rFonts w:ascii="Symbol" w:hAnsi="Symbol"/>
        </w:rPr>
        <w:t xml:space="preserve"></w:t>
      </w:r>
      <w:r>
        <w:rPr>
          <w:sz w:val="24"/>
          <w:rFonts w:ascii="Symbol" w:hAnsi="Symbol"/>
        </w:rPr>
        <w:tab/>
      </w:r>
      <w:r>
        <w:rPr>
          <w:sz w:val="24"/>
        </w:rPr>
        <w:t xml:space="preserve">C44.00:</w:t>
      </w:r>
      <w:r>
        <w:rPr>
          <w:sz w:val="24"/>
        </w:rPr>
        <w:t xml:space="preserve"> </w:t>
      </w:r>
      <w:r>
        <w:rPr>
          <w:sz w:val="24"/>
        </w:rPr>
        <w:t xml:space="preserve">Plantilla de la ratio de apalancamiento 5 (LR5):</w:t>
      </w:r>
      <w:r>
        <w:rPr>
          <w:sz w:val="24"/>
        </w:rPr>
        <w:t xml:space="preserve"> </w:t>
      </w:r>
      <w:r>
        <w:rPr>
          <w:sz w:val="24"/>
        </w:rPr>
        <w:t xml:space="preserve">Información general;</w:t>
      </w:r>
    </w:p>
    <w:p w14:paraId="7D668F4C" w14:textId="2EF3E327" w:rsidR="00BE473C" w:rsidRPr="000B66BC" w:rsidRDefault="00BE473C" w:rsidP="009339D1">
      <w:pPr>
        <w:pStyle w:val="InstructionsText2"/>
        <w:numPr>
          <w:ilvl w:val="0"/>
          <w:numId w:val="35"/>
        </w:numPr>
        <w:rPr>
          <w:bCs/>
          <w:sz w:val="24"/>
          <w:rFonts w:eastAsia="Times New Roman"/>
        </w:rPr>
      </w:pPr>
      <w:r>
        <w:rPr>
          <w:sz w:val="24"/>
        </w:rPr>
        <w:t xml:space="preserve">C48.00:</w:t>
      </w:r>
      <w:r>
        <w:rPr>
          <w:sz w:val="24"/>
        </w:rPr>
        <w:t xml:space="preserve"> </w:t>
      </w:r>
      <w:r>
        <w:rPr>
          <w:sz w:val="24"/>
        </w:rPr>
        <w:t xml:space="preserve">Volatilidad de la ratio de apalancamiento (LR6).</w:t>
      </w:r>
    </w:p>
    <w:p w14:paraId="6D2FC52A" w14:textId="5D5E1B5E" w:rsidR="00FC2664" w:rsidRPr="000B66BC" w:rsidRDefault="00500508" w:rsidP="000B66BC">
      <w:pPr>
        <w:pStyle w:val="InstructionsText2"/>
        <w:numPr>
          <w:ilvl w:val="0"/>
          <w:numId w:val="0"/>
        </w:numPr>
        <w:ind w:left="720" w:hanging="360"/>
        <w:rPr>
          <w:sz w:val="24"/>
        </w:rPr>
      </w:pPr>
      <w:r>
        <w:rPr>
          <w:sz w:val="24"/>
        </w:rPr>
        <w:t xml:space="preserve">3.</w:t>
      </w:r>
      <w:r>
        <w:rPr>
          <w:sz w:val="24"/>
        </w:rPr>
        <w:tab/>
      </w:r>
      <w:r>
        <w:rPr>
          <w:sz w:val="24"/>
        </w:rPr>
        <w:t xml:space="preserve">Para cada plantilla se facilitan las referencias legales, así como información detallada adicional sobre los aspectos más generales del suministro de información.</w:t>
      </w:r>
    </w:p>
    <w:p w14:paraId="5CABBDF6" w14:textId="77777777" w:rsidR="00217D1F" w:rsidRPr="000B66BC" w:rsidRDefault="00500508" w:rsidP="000B66BC">
      <w:pPr>
        <w:pStyle w:val="BodyText1"/>
        <w:spacing w:after="240"/>
        <w:ind w:left="357" w:hanging="357"/>
        <w:outlineLvl w:val="2"/>
        <w:rPr>
          <w:b/>
          <w:sz w:val="24"/>
          <w:szCs w:val="24"/>
          <w:rFonts w:ascii="Times New Roman" w:hAnsi="Times New Roman"/>
        </w:rPr>
      </w:pPr>
      <w:bookmarkStart w:id="17" w:name="_Toc359414277"/>
      <w:bookmarkStart w:id="18" w:name="_Toc322687867"/>
      <w:bookmarkStart w:id="19" w:name="_Toc351048502"/>
      <w:bookmarkStart w:id="20" w:name="_Toc359414278"/>
      <w:bookmarkStart w:id="21" w:name="_Toc423089063"/>
      <w:bookmarkStart w:id="22" w:name="_Toc52461746"/>
      <w:bookmarkEnd w:id="17"/>
      <w:r>
        <w:rPr>
          <w:b/>
          <w:sz w:val="24"/>
          <w:rFonts w:ascii="Times New Roman" w:hAnsi="Times New Roman"/>
        </w:rPr>
        <w:t xml:space="preserve">1.2.</w:t>
      </w:r>
      <w:r>
        <w:rPr>
          <w:b/>
          <w:sz w:val="24"/>
          <w:rFonts w:ascii="Times New Roman" w:hAnsi="Times New Roman"/>
        </w:rPr>
        <w:tab/>
      </w:r>
      <w:r>
        <w:rPr>
          <w:b/>
          <w:sz w:val="24"/>
          <w:rFonts w:ascii="Times New Roman" w:hAnsi="Times New Roman"/>
        </w:rPr>
        <w:t xml:space="preserve">Convención sobre la numeración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bCs/>
          <w:sz w:val="24"/>
          <w:rFonts w:eastAsia="Times New Roman"/>
        </w:rPr>
      </w:pPr>
      <w:r>
        <w:rPr>
          <w:sz w:val="24"/>
        </w:rPr>
        <w:t xml:space="preserve">4.</w:t>
      </w:r>
      <w:r>
        <w:rPr>
          <w:sz w:val="24"/>
        </w:rPr>
        <w:tab/>
      </w:r>
      <w:r>
        <w:rPr>
          <w:sz w:val="24"/>
        </w:rPr>
        <w:t xml:space="preserve">El documento sigue la convención sobre designación que se detalla en los puntos siguientes en lo que se refiere a las columnas, las filas y las celdas de las plantillas.</w:t>
      </w:r>
      <w:r>
        <w:rPr>
          <w:sz w:val="24"/>
        </w:rPr>
        <w:t xml:space="preserve"> </w:t>
      </w:r>
      <w:r>
        <w:rPr>
          <w:sz w:val="24"/>
        </w:rPr>
        <w:t xml:space="preserve">Estos códigos numéricos se utilizan ampliamente en las normas de validación.</w:t>
      </w:r>
    </w:p>
    <w:p w14:paraId="68B33760" w14:textId="77777777" w:rsidR="00F4754B" w:rsidRPr="000B66BC" w:rsidRDefault="00500508" w:rsidP="009339D1">
      <w:pPr>
        <w:pStyle w:val="InstructionsText2"/>
        <w:numPr>
          <w:ilvl w:val="0"/>
          <w:numId w:val="0"/>
        </w:numPr>
        <w:ind w:left="720" w:hanging="360"/>
        <w:rPr>
          <w:bCs/>
          <w:sz w:val="24"/>
          <w:rFonts w:eastAsia="Times New Roman"/>
        </w:rPr>
      </w:pPr>
      <w:r>
        <w:rPr>
          <w:sz w:val="24"/>
        </w:rPr>
        <w:t xml:space="preserve">5.</w:t>
      </w:r>
      <w:r>
        <w:rPr>
          <w:sz w:val="24"/>
        </w:rPr>
        <w:tab/>
      </w:r>
      <w:r>
        <w:rPr>
          <w:sz w:val="24"/>
        </w:rPr>
        <w:t xml:space="preserve">En las instrucciones se utiliza la notación general que sigue:</w:t>
      </w:r>
      <w:r>
        <w:rPr>
          <w:sz w:val="24"/>
        </w:rPr>
        <w:t xml:space="preserve"> </w:t>
      </w:r>
      <w:r>
        <w:rPr>
          <w:sz w:val="24"/>
        </w:rPr>
        <w:t xml:space="preserve">{plantilla;fila;columna}.</w:t>
      </w:r>
      <w:r>
        <w:rPr>
          <w:sz w:val="24"/>
        </w:rPr>
        <w:t xml:space="preserve"> </w:t>
      </w:r>
      <w:r>
        <w:rPr>
          <w:sz w:val="24"/>
        </w:rPr>
        <w:t xml:space="preserve">Se utiliza un asterisco para hacer referencia a toda la fila o columna.</w:t>
      </w:r>
    </w:p>
    <w:p w14:paraId="3E605DEE" w14:textId="77777777" w:rsidR="00F4754B" w:rsidRPr="000B66BC" w:rsidRDefault="00500508" w:rsidP="009339D1">
      <w:pPr>
        <w:pStyle w:val="InstructionsText2"/>
        <w:numPr>
          <w:ilvl w:val="0"/>
          <w:numId w:val="0"/>
        </w:numPr>
        <w:ind w:left="720" w:hanging="360"/>
        <w:rPr>
          <w:bCs/>
          <w:sz w:val="24"/>
          <w:rFonts w:eastAsia="Times New Roman"/>
        </w:rPr>
      </w:pPr>
      <w:r>
        <w:rPr>
          <w:sz w:val="24"/>
        </w:rPr>
        <w:t xml:space="preserve">6.</w:t>
      </w:r>
      <w:r>
        <w:rPr>
          <w:sz w:val="24"/>
        </w:rPr>
        <w:tab/>
      </w:r>
      <w:r>
        <w:rPr>
          <w:sz w:val="24"/>
        </w:rPr>
        <w:t xml:space="preserve">En las validaciones dentro de una plantilla en la que solo se utilizan puntos de datos de esa plantilla, las notaciones no hacen referencia a la plantilla:</w:t>
      </w:r>
      <w:r>
        <w:rPr>
          <w:sz w:val="24"/>
        </w:rPr>
        <w:t xml:space="preserve"> </w:t>
      </w:r>
      <w:r>
        <w:rPr>
          <w:sz w:val="24"/>
        </w:rPr>
        <w:t xml:space="preserve">{fila;columna}.</w:t>
      </w:r>
    </w:p>
    <w:p w14:paraId="12003733" w14:textId="77777777" w:rsidR="00F4754B" w:rsidRPr="000B66BC" w:rsidRDefault="00500508" w:rsidP="009339D1">
      <w:pPr>
        <w:pStyle w:val="InstructionsText2"/>
        <w:numPr>
          <w:ilvl w:val="0"/>
          <w:numId w:val="0"/>
        </w:numPr>
        <w:ind w:left="720" w:hanging="360"/>
        <w:rPr>
          <w:bCs/>
          <w:sz w:val="24"/>
          <w:rFonts w:eastAsia="Times New Roman"/>
        </w:rPr>
      </w:pPr>
      <w:r>
        <w:rPr>
          <w:sz w:val="24"/>
        </w:rPr>
        <w:t xml:space="preserve">7.</w:t>
      </w:r>
      <w:r>
        <w:rPr>
          <w:sz w:val="24"/>
        </w:rPr>
        <w:tab/>
      </w:r>
      <w:r>
        <w:rPr>
          <w:sz w:val="24"/>
        </w:rPr>
        <w:t xml:space="preserve">A los efectos del suministro de información sobre el apalancamiento, «de la cual/de las cuales» hace referencia a una partida que constituye un subconjunto de una categoría de exposición de nivel superior, mientras que «pro memoria» hace referencia a una partida independiente que no constituye un subconjunto de una categoría de exposición.</w:t>
      </w:r>
      <w:r>
        <w:rPr>
          <w:sz w:val="24"/>
        </w:rPr>
        <w:t xml:space="preserve"> </w:t>
      </w:r>
      <w:r>
        <w:rPr>
          <w:sz w:val="24"/>
        </w:rPr>
        <w:t xml:space="preserve">La cumplimentación de ambos tipos de celdas es obligatoria salvo indicación en contrario.</w:t>
      </w:r>
      <w:r>
        <w:rPr>
          <w:sz w:val="24"/>
        </w:rPr>
        <w:t xml:space="preserve"> </w:t>
      </w:r>
    </w:p>
    <w:p w14:paraId="2D525ACC" w14:textId="77777777" w:rsidR="001D6F2F" w:rsidRPr="000B66BC" w:rsidRDefault="00500508" w:rsidP="000B66BC">
      <w:pPr>
        <w:pStyle w:val="BodyText1"/>
        <w:spacing w:after="240"/>
        <w:ind w:left="357" w:hanging="357"/>
        <w:outlineLvl w:val="2"/>
        <w:rPr>
          <w:b/>
          <w:sz w:val="24"/>
          <w:szCs w:val="24"/>
          <w:rFonts w:ascii="Times New Roman" w:hAnsi="Times New Roman"/>
        </w:rPr>
      </w:pPr>
      <w:bookmarkStart w:id="23" w:name="_Toc423089064"/>
      <w:bookmarkStart w:id="24" w:name="_Toc52461747"/>
      <w:r>
        <w:rPr>
          <w:b/>
          <w:sz w:val="24"/>
          <w:rFonts w:ascii="Times New Roman" w:hAnsi="Times New Roman"/>
        </w:rPr>
        <w:t xml:space="preserve">1.3.</w:t>
      </w:r>
      <w:r>
        <w:rPr>
          <w:b/>
          <w:sz w:val="24"/>
          <w:rFonts w:ascii="Times New Roman" w:hAnsi="Times New Roman"/>
        </w:rPr>
        <w:tab/>
      </w:r>
      <w:r>
        <w:rPr>
          <w:b/>
          <w:sz w:val="24"/>
          <w:rFonts w:ascii="Times New Roman" w:hAnsi="Times New Roman"/>
        </w:rPr>
        <w:t xml:space="preserve">Abreviaturas</w:t>
      </w:r>
      <w:bookmarkEnd w:id="23"/>
      <w:bookmarkEnd w:id="24"/>
    </w:p>
    <w:p w14:paraId="72197A49" w14:textId="4CE8CABE" w:rsidR="00627E07" w:rsidRPr="000B66BC" w:rsidRDefault="00500508" w:rsidP="009339D1">
      <w:pPr>
        <w:pStyle w:val="InstructionsText2"/>
        <w:numPr>
          <w:ilvl w:val="0"/>
          <w:numId w:val="0"/>
        </w:numPr>
        <w:ind w:left="720" w:hanging="360"/>
        <w:rPr>
          <w:bCs/>
          <w:sz w:val="24"/>
          <w:rFonts w:eastAsia="Times New Roman"/>
        </w:rPr>
      </w:pPr>
      <w:bookmarkStart w:id="25" w:name="_Toc359414279"/>
      <w:bookmarkStart w:id="26" w:name="_Toc322687868"/>
      <w:bookmarkStart w:id="27" w:name="_Toc351048503"/>
      <w:bookmarkStart w:id="28" w:name="_Toc359414280"/>
      <w:bookmarkEnd w:id="25"/>
      <w:r>
        <w:rPr>
          <w:sz w:val="24"/>
        </w:rPr>
        <w:t xml:space="preserve">8.</w:t>
      </w:r>
      <w:r>
        <w:rPr>
          <w:sz w:val="24"/>
        </w:rPr>
        <w:tab/>
      </w:r>
      <w:r>
        <w:rPr>
          <w:sz w:val="24"/>
        </w:rPr>
        <w:t xml:space="preserve">A efectos del presente anexo y las plantillas correspondientes se utilizan las abreviaturas siguientes:</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bCs/>
          <w:sz w:val="24"/>
          <w:rFonts w:eastAsia="Times New Roman"/>
        </w:rPr>
      </w:pPr>
      <w:r>
        <w:rPr>
          <w:sz w:val="24"/>
        </w:rPr>
        <w:t xml:space="preserve">c.</w:t>
      </w:r>
      <w:r>
        <w:rPr>
          <w:sz w:val="24"/>
        </w:rPr>
        <w:tab/>
      </w:r>
      <w:r>
        <w:rPr>
          <w:sz w:val="24"/>
        </w:rPr>
        <w:t xml:space="preserve">SFT, que es la abreviatura de </w:t>
      </w:r>
      <w:r>
        <w:rPr>
          <w:sz w:val="24"/>
          <w:i/>
          <w:iCs/>
        </w:rPr>
        <w:t xml:space="preserve">securities financing transactions</w:t>
      </w:r>
      <w:r>
        <w:rPr>
          <w:sz w:val="24"/>
        </w:rPr>
        <w:t xml:space="preserve">, esto es, SFT, por lo que se entiende «una operación de recompra, una operación de préstamo o toma en préstamo de valores o materias primas, o una operación de préstamo con reposición del margen» según artículo 4, apartado 1, punto 139) del Reglamento (UE) n.º 575/2013;</w:t>
      </w:r>
    </w:p>
    <w:p w14:paraId="68410368" w14:textId="7E4CDAEF" w:rsidR="008E7068" w:rsidRPr="000B66BC" w:rsidRDefault="007E2989" w:rsidP="009339D1">
      <w:pPr>
        <w:pStyle w:val="InstructionsText2"/>
        <w:numPr>
          <w:ilvl w:val="0"/>
          <w:numId w:val="0"/>
        </w:numPr>
        <w:ind w:left="1440" w:hanging="360"/>
        <w:rPr>
          <w:bCs/>
          <w:sz w:val="24"/>
          <w:rFonts w:eastAsia="Times New Roman"/>
        </w:rPr>
      </w:pPr>
      <w:r>
        <w:rPr>
          <w:sz w:val="24"/>
        </w:rPr>
        <w:t xml:space="preserve">d.</w:t>
      </w:r>
      <w:r>
        <w:rPr>
          <w:sz w:val="24"/>
        </w:rPr>
        <w:tab/>
      </w:r>
      <w:r>
        <w:rPr>
          <w:sz w:val="24"/>
        </w:rPr>
        <w:t xml:space="preserve">CRM, que es la abreviatura de </w:t>
      </w:r>
      <w:r>
        <w:rPr>
          <w:sz w:val="24"/>
          <w:i/>
          <w:iCs/>
        </w:rPr>
        <w:t xml:space="preserve">credit risk mitigation</w:t>
      </w:r>
      <w:r>
        <w:rPr>
          <w:sz w:val="24"/>
        </w:rPr>
        <w:t xml:space="preserve">, esto es, reducción del riesgo de crédito;</w:t>
      </w:r>
    </w:p>
    <w:p w14:paraId="212C8B7E" w14:textId="6577F157" w:rsidR="007E2989" w:rsidRPr="000B66BC" w:rsidRDefault="007E2989" w:rsidP="009339D1">
      <w:pPr>
        <w:pStyle w:val="InstructionsText2"/>
        <w:numPr>
          <w:ilvl w:val="0"/>
          <w:numId w:val="0"/>
        </w:numPr>
        <w:ind w:left="1440" w:hanging="360"/>
        <w:rPr>
          <w:bCs/>
          <w:sz w:val="24"/>
          <w:rFonts w:eastAsia="Times New Roman"/>
        </w:rPr>
      </w:pPr>
      <w:r>
        <w:rPr>
          <w:sz w:val="24"/>
        </w:rPr>
        <w:t xml:space="preserve">e.</w:t>
      </w:r>
      <w:r>
        <w:rPr>
          <w:sz w:val="24"/>
        </w:rPr>
        <w:tab/>
      </w:r>
      <w:r>
        <w:rPr>
          <w:sz w:val="24"/>
        </w:rPr>
        <w:t xml:space="preserve">CSD, que es la abreviatura de </w:t>
      </w:r>
      <w:r>
        <w:rPr>
          <w:sz w:val="24"/>
          <w:i/>
          <w:iCs/>
        </w:rPr>
        <w:t xml:space="preserve">central securities depository</w:t>
      </w:r>
      <w:r>
        <w:rPr>
          <w:sz w:val="24"/>
        </w:rPr>
        <w:t xml:space="preserve">, esto es, depositario central de valores;</w:t>
      </w:r>
    </w:p>
    <w:p w14:paraId="44F02B07" w14:textId="457293D0" w:rsidR="007E2989" w:rsidRPr="000B66BC" w:rsidRDefault="007E2989" w:rsidP="009339D1">
      <w:pPr>
        <w:pStyle w:val="InstructionsText2"/>
        <w:numPr>
          <w:ilvl w:val="0"/>
          <w:numId w:val="0"/>
        </w:numPr>
        <w:ind w:left="1440" w:hanging="360"/>
        <w:rPr>
          <w:bCs/>
          <w:sz w:val="24"/>
          <w:rFonts w:eastAsia="Times New Roman"/>
        </w:rPr>
      </w:pPr>
      <w:r>
        <w:rPr>
          <w:sz w:val="24"/>
        </w:rPr>
        <w:t xml:space="preserve">f.</w:t>
      </w:r>
      <w:r>
        <w:rPr>
          <w:sz w:val="24"/>
        </w:rPr>
        <w:t xml:space="preserve"> </w:t>
      </w:r>
      <w:r>
        <w:rPr>
          <w:sz w:val="24"/>
        </w:rPr>
        <w:tab/>
      </w:r>
      <w:r>
        <w:rPr>
          <w:sz w:val="24"/>
        </w:rPr>
        <w:t xml:space="preserve">ECCC, que es la abreviatura de entidad de contrapartida central cualificada;</w:t>
      </w:r>
    </w:p>
    <w:p w14:paraId="4CAF859B" w14:textId="77777777" w:rsidR="007E2989" w:rsidRPr="000B66BC" w:rsidRDefault="007E2989" w:rsidP="009339D1">
      <w:pPr>
        <w:pStyle w:val="InstructionsText2"/>
        <w:numPr>
          <w:ilvl w:val="0"/>
          <w:numId w:val="0"/>
        </w:numPr>
        <w:ind w:left="1440" w:hanging="360"/>
        <w:rPr>
          <w:bCs/>
          <w:sz w:val="24"/>
          <w:rFonts w:eastAsia="Times New Roman"/>
        </w:rPr>
      </w:pPr>
      <w:r>
        <w:rPr>
          <w:sz w:val="24"/>
        </w:rPr>
        <w:t xml:space="preserve">g.</w:t>
      </w:r>
      <w:r>
        <w:rPr>
          <w:sz w:val="24"/>
        </w:rPr>
        <w:t xml:space="preserve"> </w:t>
      </w:r>
      <w:r>
        <w:rPr>
          <w:sz w:val="24"/>
        </w:rPr>
        <w:tab/>
      </w:r>
      <w:r>
        <w:rPr>
          <w:sz w:val="24"/>
        </w:rPr>
        <w:t xml:space="preserve">PFE, que es la abreviatura de </w:t>
      </w:r>
      <w:r>
        <w:rPr>
          <w:sz w:val="24"/>
          <w:i/>
          <w:iCs/>
        </w:rPr>
        <w:t xml:space="preserve">potential future exposure</w:t>
      </w:r>
      <w:r>
        <w:rPr>
          <w:sz w:val="24"/>
        </w:rPr>
        <w:t xml:space="preserve">, esto es, exposición futura potencial.</w:t>
      </w:r>
    </w:p>
    <w:p w14:paraId="04A571E4" w14:textId="77777777" w:rsidR="00217D1F" w:rsidRPr="000B66BC" w:rsidRDefault="00500508" w:rsidP="000B66BC">
      <w:pPr>
        <w:pStyle w:val="BodyText1"/>
        <w:spacing w:after="240"/>
        <w:ind w:left="357" w:hanging="357"/>
        <w:outlineLvl w:val="2"/>
        <w:rPr>
          <w:b/>
          <w:sz w:val="24"/>
          <w:szCs w:val="24"/>
          <w:rFonts w:ascii="Times New Roman" w:hAnsi="Times New Roman"/>
        </w:rPr>
      </w:pPr>
      <w:bookmarkStart w:id="29" w:name="_Toc423089065"/>
      <w:bookmarkStart w:id="30" w:name="_Toc52461748"/>
      <w:r>
        <w:rPr>
          <w:b/>
          <w:sz w:val="24"/>
          <w:rFonts w:ascii="Times New Roman" w:hAnsi="Times New Roman"/>
        </w:rPr>
        <w:t xml:space="preserve">1.4.</w:t>
      </w:r>
      <w:r>
        <w:rPr>
          <w:b/>
          <w:sz w:val="24"/>
          <w:rFonts w:ascii="Times New Roman" w:hAnsi="Times New Roman"/>
        </w:rPr>
        <w:tab/>
      </w:r>
      <w:r>
        <w:rPr>
          <w:b/>
          <w:sz w:val="24"/>
          <w:rFonts w:ascii="Times New Roman" w:hAnsi="Times New Roman"/>
        </w:rPr>
        <w:t xml:space="preserve">Convención sobre los signos</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bCs/>
          <w:sz w:val="24"/>
          <w:rFonts w:eastAsia="Times New Roman"/>
        </w:rPr>
      </w:pPr>
      <w:bookmarkStart w:id="31" w:name="_Toc322687869"/>
      <w:r>
        <w:rPr>
          <w:sz w:val="24"/>
        </w:rPr>
        <w:t xml:space="preserve">9.</w:t>
      </w:r>
      <w:r>
        <w:rPr>
          <w:sz w:val="24"/>
        </w:rPr>
        <w:tab/>
      </w:r>
      <w:r>
        <w:rPr>
          <w:sz w:val="24"/>
        </w:rPr>
        <w:t xml:space="preserve">Todos los importes se expresarán en cifras positivas.</w:t>
      </w:r>
      <w:bookmarkStart w:id="32" w:name="_Toc264033192"/>
      <w:bookmarkEnd w:id="32"/>
      <w:r>
        <w:rPr>
          <w:sz w:val="24"/>
        </w:rPr>
        <w:t xml:space="preserve"> </w:t>
      </w:r>
      <w:r>
        <w:rPr>
          <w:sz w:val="24"/>
        </w:rPr>
        <w:t xml:space="preserve">Con la excepción de:</w:t>
      </w:r>
    </w:p>
    <w:p w14:paraId="7B6D27CF" w14:textId="222C2E2D" w:rsidR="0058289F" w:rsidRPr="000B66BC" w:rsidRDefault="00A5392D" w:rsidP="009339D1">
      <w:pPr>
        <w:pStyle w:val="InstructionsText2"/>
        <w:numPr>
          <w:ilvl w:val="0"/>
          <w:numId w:val="25"/>
        </w:numPr>
        <w:rPr>
          <w:bCs/>
          <w:sz w:val="24"/>
          <w:rFonts w:eastAsia="Times New Roman"/>
        </w:rPr>
      </w:pPr>
      <w:r>
        <w:rPr>
          <w:sz w:val="24"/>
        </w:rPr>
        <w:t xml:space="preserve">los elementos cuya designación vaya precedida por un signo negativo (-), siempre que no se espere la notificación de una cifra positiva para esa partida;</w:t>
      </w:r>
    </w:p>
    <w:p w14:paraId="259D3174" w14:textId="186210E9" w:rsidR="00E40D66" w:rsidRPr="000B66BC" w:rsidRDefault="00E40D66" w:rsidP="009339D1">
      <w:pPr>
        <w:pStyle w:val="InstructionsText2"/>
        <w:numPr>
          <w:ilvl w:val="0"/>
          <w:numId w:val="25"/>
        </w:numPr>
        <w:rPr>
          <w:bCs/>
          <w:sz w:val="24"/>
          <w:rFonts w:eastAsia="Times New Roman"/>
        </w:rPr>
      </w:pPr>
      <w:r>
        <w:rPr>
          <w:sz w:val="24"/>
        </w:rPr>
        <w:t xml:space="preserve">{LRCalc;0310;0010}, {LRCalc;0320;0010}, {LRCalc;0330;0010}, {LRCalc;0340;0010}, que podrían tener valores positivos en casos extremos; de lo contrario, tendrán valores positivos;</w:t>
      </w:r>
    </w:p>
    <w:p w14:paraId="1A7EEF5B" w14:textId="10CFE72E" w:rsidR="0060741B" w:rsidRPr="000B66BC" w:rsidRDefault="00C62C1B" w:rsidP="00AB2B09">
      <w:pPr>
        <w:pStyle w:val="InstructionsText2"/>
        <w:numPr>
          <w:ilvl w:val="0"/>
          <w:numId w:val="0"/>
        </w:numPr>
        <w:ind w:left="1080"/>
        <w:rPr>
          <w:bCs/>
          <w:sz w:val="24"/>
          <w:rFonts w:eastAsia="Times New Roman"/>
        </w:rPr>
      </w:pPr>
      <w:r>
        <w:rPr>
          <w:sz w:val="24"/>
        </w:rPr>
        <w:t xml:space="preserve"> </w:t>
      </w:r>
    </w:p>
    <w:p w14:paraId="12B14317" w14:textId="77777777" w:rsidR="001F28C3" w:rsidRPr="000B66BC" w:rsidRDefault="00360A3D" w:rsidP="009339D1">
      <w:pPr>
        <w:pStyle w:val="InstructionsText2"/>
        <w:numPr>
          <w:ilvl w:val="0"/>
          <w:numId w:val="0"/>
        </w:numPr>
        <w:ind w:left="720"/>
        <w:rPr>
          <w:bCs/>
          <w:sz w:val="24"/>
          <w:rFonts w:eastAsia="Times New Roman"/>
        </w:rPr>
      </w:pPr>
      <w:r>
        <w:rPr>
          <w:sz w:val="24"/>
        </w:rPr>
        <w:t xml:space="preserve"> </w:t>
      </w:r>
    </w:p>
    <w:p w14:paraId="35677258" w14:textId="77777777" w:rsidR="00217D1F" w:rsidRPr="00864866" w:rsidRDefault="00F4754B" w:rsidP="000B66BC">
      <w:pPr>
        <w:pStyle w:val="BodyText1"/>
        <w:spacing w:after="240"/>
        <w:outlineLvl w:val="0"/>
        <w:rPr>
          <w:b/>
          <w:sz w:val="24"/>
          <w:szCs w:val="24"/>
          <w:rFonts w:ascii="Times New Roman" w:hAnsi="Times New Roman"/>
        </w:rPr>
      </w:pPr>
      <w:r>
        <w:br w:type="page"/>
      </w:r>
      <w:bookmarkStart w:id="33" w:name="_Toc351048504"/>
      <w:bookmarkStart w:id="34" w:name="_Toc359414281"/>
      <w:bookmarkStart w:id="35" w:name="_Toc423089066"/>
      <w:bookmarkStart w:id="36" w:name="_Toc52461749"/>
      <w:r>
        <w:rPr>
          <w:b/>
          <w:sz w:val="24"/>
          <w:rFonts w:ascii="Times New Roman" w:hAnsi="Times New Roman"/>
        </w:rPr>
        <w:t xml:space="preserve">PARTE II:</w:t>
      </w:r>
      <w:r>
        <w:rPr>
          <w:b/>
          <w:sz w:val="24"/>
          <w:rFonts w:ascii="Times New Roman" w:hAnsi="Times New Roman"/>
        </w:rPr>
        <w:t xml:space="preserve"> </w:t>
      </w:r>
      <w:r>
        <w:rPr>
          <w:b/>
          <w:sz w:val="24"/>
          <w:rFonts w:ascii="Times New Roman" w:hAnsi="Times New Roman"/>
        </w:rPr>
        <w:t xml:space="preserve">INSTRUCCIONES RELATIVAS A LAS PLANTILLAS</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b/>
          <w:sz w:val="24"/>
          <w:szCs w:val="24"/>
          <w:rFonts w:ascii="Times New Roman" w:hAnsi="Times New Roman"/>
        </w:rPr>
      </w:pPr>
      <w:bookmarkStart w:id="37" w:name="_Toc423089068"/>
      <w:bookmarkStart w:id="38" w:name="_Toc359414283"/>
      <w:bookmarkStart w:id="39" w:name="_Toc52461750"/>
      <w:bookmarkStart w:id="40" w:name="_Toc322533849"/>
      <w:r>
        <w:rPr>
          <w:b/>
          <w:sz w:val="24"/>
          <w:rFonts w:ascii="Times New Roman" w:hAnsi="Times New Roman"/>
        </w:rPr>
        <w:t xml:space="preserve">1.</w:t>
      </w:r>
      <w:r>
        <w:rPr>
          <w:b/>
          <w:sz w:val="24"/>
          <w:rFonts w:ascii="Times New Roman" w:hAnsi="Times New Roman"/>
        </w:rPr>
        <w:tab/>
      </w:r>
      <w:r>
        <w:rPr>
          <w:b/>
          <w:sz w:val="24"/>
          <w:rFonts w:ascii="Times New Roman" w:hAnsi="Times New Roman"/>
        </w:rPr>
        <w:t xml:space="preserve">Fórmulas para el cálculo de la ratio de apalancamiento</w:t>
      </w:r>
      <w:bookmarkEnd w:id="37"/>
      <w:bookmarkEnd w:id="38"/>
      <w:bookmarkEnd w:id="39"/>
    </w:p>
    <w:p w14:paraId="23B05B4C" w14:textId="08E66F21" w:rsidR="00505096"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La ratio de apalancamiento se basa en una medida del capital y una medida de la exposición total, que pueden calcularse a partir de las celdas de LRCalc.</w:t>
      </w:r>
      <w:r>
        <w:rPr>
          <w:sz w:val="24"/>
          <w:rFonts w:ascii="Times New Roman" w:hAnsi="Times New Roman"/>
        </w:rPr>
        <w:t xml:space="preserve"> </w:t>
      </w:r>
    </w:p>
    <w:p w14:paraId="25E094A5" w14:textId="09CDBDB2" w:rsidR="00F4754B"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Ratio de apalancamiento – definición una vez completado el proceso de introducción gradual = {LRCalc;0310;0010}/{LRCalc;0290;0010}.</w:t>
      </w:r>
    </w:p>
    <w:p w14:paraId="0177EE20" w14:textId="51F58570" w:rsidR="00B8400B"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3.</w:t>
      </w:r>
      <w:r>
        <w:rPr>
          <w:sz w:val="24"/>
          <w:rFonts w:ascii="Times New Roman" w:hAnsi="Times New Roman"/>
        </w:rPr>
        <w:tab/>
      </w:r>
      <w:r>
        <w:rPr>
          <w:sz w:val="24"/>
          <w:rFonts w:ascii="Times New Roman" w:hAnsi="Times New Roman"/>
        </w:rPr>
        <w:t xml:space="preserve">Ratio de apalancamiento – definición transitoria = {LRCalc;0320;0010}/{LRCalc;0300;0010}.</w:t>
      </w:r>
    </w:p>
    <w:p w14:paraId="5857476D" w14:textId="11118B79" w:rsidR="00505096" w:rsidRPr="000B66BC" w:rsidRDefault="005F4574" w:rsidP="000B66BC">
      <w:pPr>
        <w:pStyle w:val="BodyText1"/>
        <w:spacing w:after="240"/>
        <w:ind w:left="357" w:hanging="357"/>
        <w:outlineLvl w:val="1"/>
        <w:rPr>
          <w:b/>
          <w:sz w:val="24"/>
          <w:szCs w:val="24"/>
          <w:rFonts w:ascii="Times New Roman" w:hAnsi="Times New Roman"/>
        </w:rPr>
      </w:pPr>
      <w:bookmarkStart w:id="41" w:name="_Toc359414284"/>
      <w:bookmarkStart w:id="42" w:name="_Toc423089069"/>
      <w:bookmarkStart w:id="43" w:name="_Toc52461751"/>
      <w:bookmarkStart w:id="44" w:name="_Toc322533852"/>
      <w:bookmarkEnd w:id="40"/>
      <w:r>
        <w:rPr>
          <w:b/>
          <w:sz w:val="24"/>
          <w:rFonts w:ascii="Times New Roman" w:hAnsi="Times New Roman"/>
        </w:rPr>
        <w:t xml:space="preserve">2.</w:t>
      </w:r>
      <w:r>
        <w:rPr>
          <w:b/>
          <w:sz w:val="24"/>
          <w:rFonts w:ascii="Times New Roman" w:hAnsi="Times New Roman"/>
        </w:rPr>
        <w:tab/>
      </w:r>
      <w:r>
        <w:rPr>
          <w:b/>
          <w:sz w:val="24"/>
          <w:rFonts w:ascii="Times New Roman" w:hAnsi="Times New Roman"/>
        </w:rPr>
        <w:t xml:space="preserve">Umbrales de importancia relativa para los derivados</w:t>
      </w:r>
      <w:bookmarkEnd w:id="41"/>
      <w:bookmarkEnd w:id="42"/>
      <w:bookmarkEnd w:id="43"/>
    </w:p>
    <w:p w14:paraId="677B6944" w14:textId="3E22E31F" w:rsidR="00F4754B"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A fin de reducir la carga de información de las entidades que tengan exposiciones limitadas frente a derivados, se utilizarán las medidas que se indican a continuación para medir la importancia relativa de esas exposiciones respecto a la exposición total correspondiente a la ratio de apalancamiento.</w:t>
      </w:r>
      <w:r>
        <w:rPr>
          <w:sz w:val="24"/>
          <w:rFonts w:ascii="Times New Roman" w:hAnsi="Times New Roman"/>
        </w:rPr>
        <w:t xml:space="preserve"> </w:t>
      </w:r>
      <w:r>
        <w:rPr>
          <w:sz w:val="24"/>
          <w:rFonts w:ascii="Times New Roman" w:hAnsi="Times New Roman"/>
        </w:rPr>
        <w:t xml:space="preserve">Las entidades efectuarán el cálculo de las medidas como sigue</w:t>
      </w:r>
      <w:bookmarkStart w:id="45" w:name="_Toc322533853"/>
      <w:bookmarkEnd w:id="44"/>
      <w:r>
        <w:rPr>
          <w:sz w:val="24"/>
          <w:rFonts w:ascii="Times New Roman" w:hAnsi="Times New Roman"/>
        </w:rPr>
        <w:t xml:space="preserve">:</w:t>
      </w:r>
    </w:p>
    <w:p w14:paraId="1388E099" w14:textId="7B0D8BD8" w:rsidR="00354188" w:rsidRPr="000B66BC" w:rsidRDefault="006F588E" w:rsidP="000B66BC">
      <w:pPr>
        <w:pStyle w:val="BodyText1"/>
        <w:spacing w:after="240" w:line="240" w:lineRule="auto"/>
        <w:ind w:left="720" w:hanging="360"/>
        <w:rPr>
          <w:sz w:val="24"/>
          <w:szCs w:val="24"/>
          <w:rFonts w:ascii="Times New Roman" w:hAnsi="Times New Roman"/>
        </w:rPr>
      </w:pPr>
      <w:bookmarkStart w:id="46" w:name="_Toc322533854"/>
      <w:bookmarkEnd w:id="45"/>
      <w:r>
        <w:rPr>
          <w:sz w:val="24"/>
          <w:rFonts w:ascii="Times New Roman" w:hAnsi="Times New Roman"/>
        </w:rPr>
        <w:t xml:space="preserve">5.</w:t>
      </w:r>
      <w:r>
        <w:rPr>
          <w:sz w:val="24"/>
          <w:rFonts w:ascii="Times New Roman" w:hAnsi="Times New Roman"/>
        </w:rPr>
        <w:tab/>
      </w:r>
      <w:r>
        <w:rPr>
          <w:sz w:val="24"/>
          <w:rFonts w:ascii="Times New Roman" w:hAnsi="Times New Roman"/>
        </w:rPr>
        <w:t xml:space="preserve">Cuota de derivados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sz w:val="24"/>
          <w:rFonts w:ascii="Times New Roman" w:hAnsi="Times New Roman"/>
        </w:rPr>
        <w:t xml:space="preserve">.</w:t>
      </w:r>
    </w:p>
    <w:p w14:paraId="59FDE449" w14:textId="7D30F780" w:rsidR="00FC2664"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6.</w:t>
      </w:r>
      <w:r>
        <w:rPr>
          <w:sz w:val="24"/>
          <w:rFonts w:ascii="Times New Roman" w:hAnsi="Times New Roman"/>
        </w:rPr>
        <w:tab/>
      </w:r>
      <w:r>
        <w:rPr>
          <w:sz w:val="24"/>
          <w:rFonts w:ascii="Times New Roman" w:hAnsi="Times New Roman"/>
        </w:rPr>
        <w:t xml:space="preserve">Donde la medida de la exposición por derivados es igual a:</w:t>
      </w:r>
      <w:r>
        <w:rPr>
          <w:sz w:val="24"/>
          <w:rFonts w:ascii="Times New Roman" w:hAnsi="Times New Roman"/>
        </w:rPr>
        <w:t xml:space="preserve"> </w:t>
      </w:r>
      <w:r>
        <w:rPr>
          <w:sz w:val="24"/>
          <w:rFonts w:ascii="Times New Roman" w:hAnsi="Times New Roman"/>
        </w:rPr>
        <w:t xml:space="preserve">{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7.</w:t>
      </w:r>
      <w:r>
        <w:rPr>
          <w:sz w:val="24"/>
          <w:rFonts w:ascii="Times New Roman" w:hAnsi="Times New Roman"/>
        </w:rPr>
        <w:tab/>
      </w:r>
      <w:r>
        <w:rPr>
          <w:sz w:val="24"/>
          <w:rFonts w:ascii="Times New Roman" w:hAnsi="Times New Roman"/>
        </w:rPr>
        <w:t xml:space="preserve">Donde la medida de la exposición total es igual a:</w:t>
      </w:r>
      <w:r>
        <w:rPr>
          <w:sz w:val="24"/>
          <w:rFonts w:ascii="Times New Roman" w:hAnsi="Times New Roman"/>
        </w:rPr>
        <w:t xml:space="preserve"> </w:t>
      </w:r>
      <w:r>
        <w:rPr>
          <w:sz w:val="24"/>
          <w:rFonts w:ascii="Times New Roman" w:hAnsi="Times New Roman"/>
        </w:rPr>
        <w:t xml:space="preserve">{LRCalc;0290;0010}.</w:t>
      </w:r>
    </w:p>
    <w:p w14:paraId="236C5046" w14:textId="3D6A3933" w:rsidR="00F4754B"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8.</w:t>
      </w:r>
      <w:r>
        <w:rPr>
          <w:sz w:val="24"/>
          <w:rFonts w:ascii="Times New Roman" w:hAnsi="Times New Roman"/>
        </w:rPr>
        <w:tab/>
      </w:r>
      <w:r>
        <w:rPr>
          <w:sz w:val="24"/>
          <w:rFonts w:ascii="Times New Roman" w:hAnsi="Times New Roman"/>
        </w:rPr>
        <w:t xml:space="preserve">Importe nocional total referenciado por los derivados = {LR1;0010;0070}.</w:t>
      </w:r>
      <w:r>
        <w:rPr>
          <w:sz w:val="24"/>
          <w:rFonts w:ascii="Times New Roman" w:hAnsi="Times New Roman"/>
        </w:rPr>
        <w:t xml:space="preserve"> </w:t>
      </w:r>
      <w:r>
        <w:rPr>
          <w:sz w:val="24"/>
          <w:rFonts w:ascii="Times New Roman" w:hAnsi="Times New Roman"/>
        </w:rPr>
        <w:t xml:space="preserve">Las entidades deben cumplimentar siempre esta celda.</w:t>
      </w:r>
    </w:p>
    <w:p w14:paraId="5F8B3FC4" w14:textId="32C9016A" w:rsidR="00F4754B"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9.</w:t>
      </w:r>
      <w:r>
        <w:rPr>
          <w:sz w:val="24"/>
          <w:rFonts w:ascii="Times New Roman" w:hAnsi="Times New Roman"/>
        </w:rPr>
        <w:tab/>
      </w:r>
      <w:r>
        <w:rPr>
          <w:sz w:val="24"/>
          <w:rFonts w:ascii="Times New Roman" w:hAnsi="Times New Roman"/>
        </w:rPr>
        <w:t xml:space="preserve">Volumen de derivados de crédito = {LR1;0020;0070} + {LR1;0050;0070}.</w:t>
      </w:r>
      <w:r>
        <w:rPr>
          <w:sz w:val="24"/>
          <w:rFonts w:ascii="Times New Roman" w:hAnsi="Times New Roman"/>
        </w:rPr>
        <w:t xml:space="preserve"> </w:t>
      </w:r>
      <w:r>
        <w:rPr>
          <w:sz w:val="24"/>
          <w:rFonts w:ascii="Times New Roman" w:hAnsi="Times New Roman"/>
        </w:rPr>
        <w:t xml:space="preserve">Las entidades deben cumplimentar siempre estas celdas.</w:t>
      </w:r>
    </w:p>
    <w:p w14:paraId="10930518" w14:textId="07ED25AD" w:rsidR="00F4754B" w:rsidRPr="000B66BC" w:rsidRDefault="006F588E"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10.</w:t>
      </w:r>
      <w:r>
        <w:rPr>
          <w:sz w:val="24"/>
          <w:rFonts w:ascii="Times New Roman" w:hAnsi="Times New Roman"/>
        </w:rPr>
        <w:tab/>
      </w:r>
      <w:r>
        <w:rPr>
          <w:sz w:val="24"/>
          <w:rFonts w:ascii="Times New Roman" w:hAnsi="Times New Roman"/>
        </w:rPr>
        <w:t xml:space="preserve">Las entidades deben cumplimentar las celdas mencionadas en el punto 13 si se cumple una de las condiciones siguientes:</w:t>
      </w:r>
    </w:p>
    <w:p w14:paraId="2564CD75" w14:textId="1B9B37E1" w:rsidR="00F4754B" w:rsidRPr="000B66BC" w:rsidRDefault="007A001B" w:rsidP="009339D1">
      <w:pPr>
        <w:pStyle w:val="InstructionsText2"/>
        <w:numPr>
          <w:ilvl w:val="0"/>
          <w:numId w:val="39"/>
        </w:numPr>
        <w:rPr>
          <w:bCs/>
          <w:sz w:val="24"/>
          <w:rFonts w:eastAsia="Times New Roman"/>
        </w:rPr>
      </w:pPr>
      <w:r>
        <w:rPr>
          <w:sz w:val="24"/>
        </w:rPr>
        <w:t xml:space="preserve">que la cuota de derivados mencionada en el punto 5 sea superior al 1,5 %;</w:t>
      </w:r>
    </w:p>
    <w:p w14:paraId="272AC9A9" w14:textId="6954E060" w:rsidR="00675587" w:rsidRPr="000B66BC" w:rsidRDefault="007A001B" w:rsidP="009339D1">
      <w:pPr>
        <w:pStyle w:val="InstructionsText2"/>
        <w:numPr>
          <w:ilvl w:val="0"/>
          <w:numId w:val="39"/>
        </w:numPr>
        <w:rPr>
          <w:bCs/>
          <w:sz w:val="24"/>
          <w:rFonts w:eastAsia="Times New Roman"/>
        </w:rPr>
      </w:pPr>
      <w:r>
        <w:rPr>
          <w:sz w:val="24"/>
        </w:rPr>
        <w:t xml:space="preserve">que la cuota de derivados mencionada en el punto 5 sea superior al 2,0 %.</w:t>
      </w:r>
    </w:p>
    <w:p w14:paraId="2F872F2A" w14:textId="7830BBF5" w:rsidR="00242493" w:rsidRPr="000B66BC" w:rsidRDefault="00242493" w:rsidP="009339D1">
      <w:pPr>
        <w:pStyle w:val="InstructionsText2"/>
        <w:numPr>
          <w:ilvl w:val="0"/>
          <w:numId w:val="0"/>
        </w:numPr>
        <w:ind w:left="709" w:firstLine="11"/>
        <w:rPr>
          <w:bCs/>
          <w:sz w:val="24"/>
          <w:rFonts w:eastAsia="Times New Roman"/>
        </w:rPr>
      </w:pPr>
      <w:r>
        <w:rPr>
          <w:sz w:val="24"/>
        </w:rPr>
        <w:t xml:space="preserve">Los criterios de entrada y de salida del artículo 4 del presente Reglamento se aplicarán salvo en el caso de la letra b), en que las entidades empezarán a comunicar información a partir de la fecha de referencia siguiente a la superación del umbral en una fecha de referencia.</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11.</w:t>
      </w:r>
      <w:r>
        <w:rPr>
          <w:sz w:val="24"/>
          <w:rFonts w:ascii="Times New Roman" w:hAnsi="Times New Roman"/>
        </w:rPr>
        <w:tab/>
      </w:r>
      <w:r>
        <w:rPr>
          <w:sz w:val="24"/>
          <w:rFonts w:ascii="Times New Roman" w:hAnsi="Times New Roman"/>
        </w:rPr>
        <w:t xml:space="preserve">Las entidades en las que el importe nocional total referenciado por los derivados, tal como se define en el punto 8, supere los 10 000 millones EUR deben cumplimentar las celdas mencionadas en el punto 13, aunque la cuota de derivados no cumpla las condiciones indicadas en el punto 10.</w:t>
      </w:r>
    </w:p>
    <w:p w14:paraId="48A7F7A1" w14:textId="709E0327" w:rsidR="00242493" w:rsidRPr="000B66BC" w:rsidRDefault="00242493"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ab/>
      </w:r>
      <w:r>
        <w:rPr>
          <w:sz w:val="24"/>
          <w:rFonts w:ascii="Times New Roman" w:hAnsi="Times New Roman"/>
        </w:rPr>
        <w:t xml:space="preserve">No se aplicarán los criterios de entrada del artículo 4 del presente Reglamento.</w:t>
      </w:r>
      <w:r>
        <w:rPr>
          <w:sz w:val="24"/>
          <w:rFonts w:ascii="Times New Roman" w:hAnsi="Times New Roman"/>
        </w:rPr>
        <w:t xml:space="preserve"> </w:t>
      </w:r>
      <w:r>
        <w:rPr>
          <w:sz w:val="24"/>
          <w:rFonts w:ascii="Times New Roman" w:hAnsi="Times New Roman"/>
        </w:rPr>
        <w:t xml:space="preserve">Las entidades empezarán a comunicar información a partir de la fecha de referencia siguiente a la superación del umbral en una fecha de referencia.</w:t>
      </w:r>
    </w:p>
    <w:p w14:paraId="49F753AA" w14:textId="0D7F1C4D" w:rsidR="00F4754B"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12.</w:t>
      </w:r>
      <w:r>
        <w:rPr>
          <w:sz w:val="24"/>
          <w:rFonts w:ascii="Times New Roman" w:hAnsi="Times New Roman"/>
        </w:rPr>
        <w:tab/>
      </w:r>
      <w:r>
        <w:rPr>
          <w:sz w:val="24"/>
          <w:rFonts w:ascii="Times New Roman" w:hAnsi="Times New Roman"/>
        </w:rPr>
        <w:t xml:space="preserve">Las entidades deben cumplimentar las celdas mencionadas en el punto 14 si se cumple una de las condiciones siguientes:</w:t>
      </w:r>
    </w:p>
    <w:p w14:paraId="3F12E5B0" w14:textId="61844629" w:rsidR="00F4754B" w:rsidRPr="000B66BC" w:rsidRDefault="007A001B" w:rsidP="009339D1">
      <w:pPr>
        <w:pStyle w:val="InstructionsText2"/>
        <w:numPr>
          <w:ilvl w:val="0"/>
          <w:numId w:val="40"/>
        </w:numPr>
        <w:rPr>
          <w:bCs/>
          <w:sz w:val="24"/>
          <w:rFonts w:eastAsia="Times New Roman"/>
        </w:rPr>
      </w:pPr>
      <w:r>
        <w:rPr>
          <w:sz w:val="24"/>
        </w:rPr>
        <w:t xml:space="preserve">que el volumen de los derivados de crédito mencionado en el punto 9 sea superior a 300 millones EUR</w:t>
      </w:r>
      <w:r>
        <w:rPr>
          <w:sz w:val="24"/>
        </w:rPr>
        <w:t xml:space="preserve">;</w:t>
      </w:r>
    </w:p>
    <w:p w14:paraId="53026947" w14:textId="5B38C368" w:rsidR="00675587" w:rsidRPr="000B66BC" w:rsidRDefault="007A001B" w:rsidP="009339D1">
      <w:pPr>
        <w:pStyle w:val="InstructionsText2"/>
        <w:numPr>
          <w:ilvl w:val="0"/>
          <w:numId w:val="40"/>
        </w:numPr>
        <w:rPr>
          <w:bCs/>
          <w:sz w:val="24"/>
          <w:rFonts w:eastAsia="Times New Roman"/>
        </w:rPr>
      </w:pPr>
      <w:r>
        <w:rPr>
          <w:sz w:val="24"/>
        </w:rPr>
        <w:t xml:space="preserve">que el volumen de los derivados de crédito mencionado en el punto 9 sea superior a 500 millones EUR.</w:t>
      </w:r>
    </w:p>
    <w:p w14:paraId="3B88084F" w14:textId="34241752" w:rsidR="00F4754B" w:rsidRPr="000B66BC" w:rsidRDefault="00242493" w:rsidP="000B66BC">
      <w:pPr>
        <w:pStyle w:val="InstructionsText2"/>
        <w:numPr>
          <w:ilvl w:val="0"/>
          <w:numId w:val="0"/>
        </w:numPr>
        <w:ind w:left="709" w:firstLine="11"/>
        <w:rPr>
          <w:sz w:val="24"/>
        </w:rPr>
      </w:pPr>
      <w:r>
        <w:rPr>
          <w:sz w:val="24"/>
        </w:rPr>
        <w:t xml:space="preserve">Los criterios de entrada y de salida del artículo 4 del presente Reglamento se aplicarán salvo en el caso de la letra b), en que las entidades empezarán a comunicar información a partir de la fecha de referencia siguiente a la superación del umbral en una fecha de referencia.</w:t>
      </w:r>
    </w:p>
    <w:p w14:paraId="6CB3856E" w14:textId="36C7913E" w:rsidR="00F4754B"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13.</w:t>
      </w:r>
      <w:r>
        <w:rPr>
          <w:sz w:val="24"/>
          <w:rFonts w:ascii="Times New Roman" w:hAnsi="Times New Roman"/>
        </w:rPr>
        <w:tab/>
      </w:r>
      <w:r>
        <w:rPr>
          <w:sz w:val="24"/>
          <w:rFonts w:ascii="Times New Roman" w:hAnsi="Times New Roman"/>
        </w:rPr>
        <w:t xml:space="preserve">Las celdas que deben cumplimentar las entidades de acuerdo con los puntos 10 y 11 son las siguientes:</w:t>
      </w:r>
      <w:r>
        <w:rPr>
          <w:sz w:val="24"/>
          <w:rFonts w:ascii="Times New Roman" w:hAnsi="Times New Roman"/>
        </w:rPr>
        <w:t xml:space="preserve"> </w:t>
      </w:r>
      <w:r>
        <w:rPr>
          <w:sz w:val="24"/>
          <w:rFonts w:ascii="Times New Roman" w:hAnsi="Times New Roman"/>
        </w:rPr>
        <w:t xml:space="preserve">{LR1;0010;0010}, {LR1;0010;0020}, {LR1;0020;0010}, {LR1;0020;0020}, {LR1;0030;0070}, {LR1;0040;0070}, {LR1;0050;0010}, {LR1;0050;0020}, {LR1;0060;0010}, {LR1;0060;0020} y {LR1;0060;0070}.</w:t>
      </w:r>
    </w:p>
    <w:p w14:paraId="6F47B92E" w14:textId="36B5B5EF" w:rsidR="00F4754B"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14.</w:t>
      </w:r>
      <w:r>
        <w:rPr>
          <w:sz w:val="24"/>
          <w:rFonts w:ascii="Times New Roman" w:hAnsi="Times New Roman"/>
        </w:rPr>
        <w:tab/>
      </w:r>
      <w:r>
        <w:rPr>
          <w:sz w:val="24"/>
          <w:rFonts w:ascii="Times New Roman" w:hAnsi="Times New Roman"/>
        </w:rPr>
        <w:t xml:space="preserve">Las celdas que deben cumplimentar las entidades de acuerdo con el punto 12 son las siguientes:</w:t>
      </w:r>
      <w:r>
        <w:rPr>
          <w:sz w:val="24"/>
          <w:rFonts w:ascii="Times New Roman" w:hAnsi="Times New Roman"/>
        </w:rPr>
        <w:t xml:space="preserve"> </w:t>
      </w:r>
      <w:r>
        <w:rPr>
          <w:sz w:val="24"/>
          <w:rFonts w:ascii="Times New Roman" w:hAnsi="Times New Roman"/>
        </w:rPr>
        <w:t xml:space="preserve">{LR1;0020;0075}, {LR1;0050;0075} y {LR1;0050;0085}.</w:t>
      </w:r>
    </w:p>
    <w:p w14:paraId="00E6EF91" w14:textId="4226172D" w:rsidR="00217D1F" w:rsidRPr="000B66BC" w:rsidRDefault="005F4574" w:rsidP="000B66BC">
      <w:pPr>
        <w:pStyle w:val="BodyText1"/>
        <w:spacing w:after="240"/>
        <w:ind w:left="357" w:hanging="357"/>
        <w:outlineLvl w:val="1"/>
        <w:rPr>
          <w:b/>
          <w:sz w:val="24"/>
          <w:szCs w:val="24"/>
          <w:rFonts w:ascii="Times New Roman" w:hAnsi="Times New Roman"/>
        </w:rPr>
      </w:pPr>
      <w:bookmarkStart w:id="47" w:name="_Toc351048506"/>
      <w:bookmarkStart w:id="48" w:name="_Toc359414285"/>
      <w:bookmarkStart w:id="49" w:name="_Toc423089070"/>
      <w:bookmarkStart w:id="50" w:name="_Toc52461752"/>
      <w:bookmarkStart w:id="51" w:name="_Toc322687879"/>
      <w:bookmarkStart w:id="52" w:name="_Toc315961853"/>
      <w:bookmarkEnd w:id="46"/>
      <w:r>
        <w:rPr>
          <w:b/>
          <w:sz w:val="24"/>
          <w:rFonts w:ascii="Times New Roman" w:hAnsi="Times New Roman"/>
        </w:rPr>
        <w:t xml:space="preserve">3.</w:t>
      </w:r>
      <w:r>
        <w:rPr>
          <w:b/>
          <w:sz w:val="24"/>
          <w:rFonts w:ascii="Times New Roman" w:hAnsi="Times New Roman"/>
        </w:rPr>
        <w:tab/>
      </w:r>
      <w:r>
        <w:rPr>
          <w:b/>
          <w:sz w:val="24"/>
          <w:rFonts w:ascii="Times New Roman" w:hAnsi="Times New Roman"/>
        </w:rPr>
        <w:t xml:space="preserve">C 47.00 — Cálculo de la ratio de apalancamiento</w:t>
      </w:r>
      <w:bookmarkEnd w:id="47"/>
      <w:bookmarkEnd w:id="48"/>
      <w:r>
        <w:rPr>
          <w:b/>
          <w:sz w:val="24"/>
          <w:rFonts w:ascii="Times New Roman" w:hAnsi="Times New Roman"/>
        </w:rPr>
        <w:t xml:space="preserve"> (LRCalc)</w:t>
      </w:r>
      <w:bookmarkEnd w:id="49"/>
      <w:bookmarkEnd w:id="50"/>
    </w:p>
    <w:p w14:paraId="5579B71F" w14:textId="78EBED7E" w:rsidR="00AE2798"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15.</w:t>
      </w:r>
      <w:r>
        <w:rPr>
          <w:sz w:val="24"/>
          <w:rFonts w:ascii="Times New Roman" w:hAnsi="Times New Roman"/>
        </w:rPr>
        <w:tab/>
      </w:r>
      <w:r>
        <w:rPr>
          <w:sz w:val="24"/>
          <w:rFonts w:ascii="Times New Roman" w:hAnsi="Times New Roman"/>
        </w:rPr>
        <w:t xml:space="preserve">Esta plantilla recoge los datos necesarios para calcular la ratio de apalancamiento tal como se define en la parte séptima del Reglamento (UE) n.º 575/2013.</w:t>
      </w:r>
      <w:r>
        <w:rPr>
          <w:sz w:val="24"/>
          <w:rFonts w:ascii="Times New Roman" w:hAnsi="Times New Roman"/>
        </w:rPr>
        <w:t xml:space="preserve"> </w:t>
      </w:r>
    </w:p>
    <w:p w14:paraId="0E7DE041" w14:textId="23463C95" w:rsidR="00AE2798"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16.</w:t>
      </w:r>
      <w:r>
        <w:rPr>
          <w:sz w:val="24"/>
          <w:rFonts w:ascii="Times New Roman" w:hAnsi="Times New Roman"/>
        </w:rPr>
        <w:tab/>
      </w:r>
      <w:r>
        <w:rPr>
          <w:sz w:val="24"/>
          <w:rFonts w:ascii="Times New Roman" w:hAnsi="Times New Roman"/>
        </w:rPr>
        <w:t xml:space="preserve">Las entidades comunicarán la ratio de apalancamiento trimestralmente.</w:t>
      </w:r>
      <w:r>
        <w:rPr>
          <w:sz w:val="24"/>
          <w:rFonts w:ascii="Times New Roman" w:hAnsi="Times New Roman"/>
        </w:rPr>
        <w:t xml:space="preserve"> </w:t>
      </w:r>
      <w:r>
        <w:rPr>
          <w:sz w:val="24"/>
          <w:rFonts w:ascii="Times New Roman" w:hAnsi="Times New Roman"/>
        </w:rPr>
        <w:t xml:space="preserve">En cada trimestre, el valor «fecha de referencia» será el valor del último día natural del tercer mes del trimestre correspondiente.</w:t>
      </w:r>
    </w:p>
    <w:p w14:paraId="36716E2F" w14:textId="501E6CBB" w:rsidR="00941862" w:rsidRPr="000B66BC" w:rsidRDefault="008B4710"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17.</w:t>
      </w:r>
      <w:r>
        <w:rPr>
          <w:sz w:val="24"/>
          <w:rFonts w:ascii="Times New Roman" w:hAnsi="Times New Roman"/>
        </w:rPr>
        <w:tab/>
      </w:r>
      <w:r>
        <w:rPr>
          <w:sz w:val="24"/>
          <w:rFonts w:ascii="Times New Roman" w:hAnsi="Times New Roman"/>
        </w:rPr>
        <w:t xml:space="preserve">Las entidades comunicarán las partidas de la sección «Valores de exposición» con signo positivo de acuerdo con la convención sobre los signos recogida en la parte I, punto 9, del presente anexo (con la excepción de {LRCalc;0270;0010} y {LRCalc;0280;0010}), como si no se aplicasen las partidas con signo negativo (por ejemplo, exenciones/deducciones) de conformidad con las convención sobre los signos de la parte I, punto 9, del presente anexo.</w:t>
      </w:r>
    </w:p>
    <w:p w14:paraId="725F2D82" w14:textId="2BEB62D8" w:rsidR="00720503" w:rsidRPr="000B66BC" w:rsidRDefault="006F588E" w:rsidP="009339D1">
      <w:pPr>
        <w:pStyle w:val="InstructionsText2"/>
        <w:numPr>
          <w:ilvl w:val="0"/>
          <w:numId w:val="0"/>
        </w:numPr>
        <w:ind w:left="720" w:hanging="360"/>
        <w:rPr>
          <w:sz w:val="24"/>
        </w:rPr>
      </w:pPr>
      <w:r>
        <w:rPr>
          <w:sz w:val="24"/>
        </w:rPr>
        <w:t xml:space="preserve">18.</w:t>
      </w:r>
      <w:r>
        <w:rPr>
          <w:sz w:val="24"/>
        </w:rPr>
        <w:tab/>
      </w:r>
      <w:r>
        <w:rPr>
          <w:sz w:val="24"/>
        </w:rPr>
        <w:t xml:space="preserve">Todo importe que eleve los fondos propios o la exposición correspondiente a la ratio de apalancamiento debe expresarse como cifra positiva.</w:t>
      </w:r>
      <w:r>
        <w:rPr>
          <w:sz w:val="24"/>
        </w:rPr>
        <w:t xml:space="preserve"> </w:t>
      </w:r>
      <w:r>
        <w:rPr>
          <w:sz w:val="24"/>
        </w:rPr>
        <w:t xml:space="preserve">Por el contrario, todo importe que reduzca el total de los fondos propios o la exposición correspondiente a la ratio de apalancamiento se expresará como cifra negativa.</w:t>
      </w:r>
      <w:r>
        <w:rPr>
          <w:sz w:val="24"/>
        </w:rPr>
        <w:t xml:space="preserve"> </w:t>
      </w:r>
      <w:r>
        <w:rPr>
          <w:sz w:val="24"/>
        </w:rPr>
        <w:t xml:space="preserve">Cuando un signo negativo (-) preceda a la designación de una partida, no se comunicará ninguna cifra positiva para esa partida.</w:t>
      </w:r>
    </w:p>
    <w:p w14:paraId="69E62B50" w14:textId="0E030492" w:rsidR="00EC3422" w:rsidRPr="000B66BC" w:rsidRDefault="006A4991" w:rsidP="009339D1">
      <w:pPr>
        <w:pStyle w:val="InstructionsText2"/>
        <w:numPr>
          <w:ilvl w:val="0"/>
          <w:numId w:val="0"/>
        </w:numPr>
        <w:ind w:left="720" w:hanging="360"/>
        <w:rPr>
          <w:sz w:val="24"/>
        </w:rPr>
      </w:pPr>
      <w:r>
        <w:rPr>
          <w:sz w:val="24"/>
        </w:rPr>
        <w:t xml:space="preserve">19.</w:t>
      </w:r>
      <w:r>
        <w:rPr>
          <w:sz w:val="24"/>
        </w:rPr>
        <w:t xml:space="preserve"> </w:t>
      </w:r>
      <w:r>
        <w:rPr>
          <w:sz w:val="24"/>
        </w:rPr>
        <w:t xml:space="preserve">Cuando un importe pueda ser susceptible de deducción por múltiples motivos, el importe solo se deducirá de la exposición en una de las filas de la plantilla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bCs/>
                <w:sz w:val="24"/>
                <w:szCs w:val="24"/>
                <w:u w:val="single"/>
                <w:rFonts w:ascii="Times New Roman" w:hAnsi="Times New Roman"/>
              </w:rPr>
            </w:pPr>
            <w:r>
              <w:rPr>
                <w:sz w:val="24"/>
                <w:rFonts w:ascii="Times New Roman" w:hAnsi="Times New Roman"/>
              </w:rPr>
              <w:t xml:space="preserve">Referencias legales e instrucciones</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b/>
                <w:sz w:val="24"/>
                <w:szCs w:val="24"/>
                <w:rFonts w:ascii="Times New Roman" w:hAnsi="Times New Roman"/>
              </w:rPr>
            </w:pPr>
            <w:r>
              <w:rPr>
                <w:b/>
                <w:sz w:val="24"/>
                <w:rFonts w:ascii="Times New Roman" w:hAnsi="Times New Roman"/>
              </w:rPr>
              <w:t xml:space="preserve">Fila y columna</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b/>
                <w:bCs/>
                <w:sz w:val="24"/>
                <w:szCs w:val="24"/>
                <w:rFonts w:ascii="Times New Roman" w:hAnsi="Times New Roman"/>
              </w:rPr>
            </w:pPr>
            <w:r>
              <w:rPr>
                <w:b/>
                <w:sz w:val="24"/>
                <w:rFonts w:ascii="Times New Roman" w:hAnsi="Times New Roman"/>
              </w:rPr>
              <w:t xml:space="preserve">Valores de exposición</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bCs/>
                <w:sz w:val="24"/>
                <w:szCs w:val="24"/>
                <w:rFonts w:ascii="Times New Roman" w:hAnsi="Times New Roman"/>
              </w:rPr>
            </w:pPr>
            <w:r>
              <w:rPr>
                <w:sz w:val="24"/>
                <w:rFonts w:ascii="Times New Roman" w:hAnsi="Times New Roman"/>
              </w:rPr>
              <w:t xml:space="preserve">{0010;0010}</w:t>
            </w:r>
          </w:p>
        </w:tc>
        <w:tc>
          <w:tcPr>
            <w:tcW w:w="7566" w:type="dxa"/>
            <w:shd w:val="clear" w:color="auto" w:fill="auto"/>
          </w:tcPr>
          <w:p w14:paraId="776CC56F" w14:textId="3D6EA3A4" w:rsidR="00AE2798" w:rsidRPr="000B66BC" w:rsidRDefault="00AE2798" w:rsidP="000B66BC">
            <w:pPr>
              <w:pStyle w:val="BodyText1"/>
              <w:spacing w:after="240" w:line="240" w:lineRule="auto"/>
              <w:rPr>
                <w:b/>
                <w:bCs/>
                <w:sz w:val="24"/>
                <w:szCs w:val="24"/>
                <w:u w:val="single"/>
                <w:rFonts w:ascii="Times New Roman" w:hAnsi="Times New Roman"/>
              </w:rPr>
            </w:pPr>
            <w:r>
              <w:rPr>
                <w:b/>
                <w:sz w:val="24"/>
                <w:rFonts w:ascii="Times New Roman" w:hAnsi="Times New Roman"/>
              </w:rPr>
              <w:t xml:space="preserve">SFT:</w:t>
            </w:r>
            <w:r>
              <w:rPr>
                <w:b/>
                <w:sz w:val="24"/>
                <w:rFonts w:ascii="Times New Roman" w:hAnsi="Times New Roman"/>
              </w:rPr>
              <w:t xml:space="preserve"> </w:t>
            </w:r>
            <w:r>
              <w:rPr>
                <w:b/>
                <w:sz w:val="24"/>
                <w:rFonts w:ascii="Times New Roman" w:hAnsi="Times New Roman"/>
              </w:rPr>
              <w:t xml:space="preserve">valor de exposición</w:t>
            </w:r>
            <w:r>
              <w:rPr>
                <w:b/>
                <w:sz w:val="24"/>
                <w:rFonts w:ascii="Times New Roman" w:hAnsi="Times New Roman"/>
              </w:rPr>
              <w:t xml:space="preserve"> </w:t>
            </w:r>
          </w:p>
          <w:p w14:paraId="24BF7807" w14:textId="24D30A04" w:rsidR="00962812" w:rsidRPr="000B66BC" w:rsidRDefault="00962812" w:rsidP="000B66BC">
            <w:pPr>
              <w:pStyle w:val="BodyText1"/>
              <w:spacing w:after="240" w:line="240" w:lineRule="auto"/>
              <w:rPr>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ter</w:t>
            </w:r>
            <w:r>
              <w:rPr>
                <w:sz w:val="24"/>
                <w:rFonts w:ascii="Times New Roman" w:hAnsi="Times New Roman"/>
              </w:rPr>
              <w:t xml:space="preserve">, </w:t>
            </w:r>
            <w:r>
              <w:rPr>
                <w:sz w:val="24"/>
                <w:rFonts w:ascii="Times New Roman" w:hAnsi="Times New Roman"/>
              </w:rPr>
              <w:t xml:space="preserve">apartado 1, letra b), y apartados 4 y 5, del</w:t>
            </w:r>
            <w:r>
              <w:rPr>
                <w:sz w:val="24"/>
                <w:rFonts w:ascii="Times New Roman" w:hAnsi="Times New Roman"/>
              </w:rPr>
              <w:t xml:space="preserve"> Reglamento (UE) n.º 575/2013.</w:t>
            </w:r>
          </w:p>
          <w:p w14:paraId="4DADBAA1" w14:textId="4F33FF0A"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la exposición en las SFT, calculado de conformidad con el artículo 429 </w:t>
            </w:r>
            <w:r>
              <w:rPr>
                <w:sz w:val="24"/>
                <w:i/>
                <w:iCs/>
                <w:rFonts w:ascii="Times New Roman" w:hAnsi="Times New Roman"/>
              </w:rPr>
              <w:t xml:space="preserve">ter</w:t>
            </w:r>
            <w:r>
              <w:rPr>
                <w:sz w:val="24"/>
                <w:rFonts w:ascii="Times New Roman" w:hAnsi="Times New Roman"/>
              </w:rPr>
              <w:t xml:space="preserve">, apartado 1, letra b), y apartados 4 y 5, del Reglamento (UE) n.º 575/2013.</w:t>
            </w:r>
          </w:p>
          <w:p w14:paraId="7B519931" w14:textId="18CBF655"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considerarán en esta celda las operaciones contempladas en artículo 429 </w:t>
            </w:r>
            <w:r>
              <w:rPr>
                <w:sz w:val="24"/>
                <w:i/>
                <w:iCs/>
                <w:rFonts w:ascii="Times New Roman" w:hAnsi="Times New Roman"/>
              </w:rPr>
              <w:t xml:space="preserve">sexies</w:t>
            </w:r>
            <w:r>
              <w:rPr>
                <w:sz w:val="24"/>
                <w:rFonts w:ascii="Times New Roman" w:hAnsi="Times New Roman"/>
              </w:rPr>
              <w:t xml:space="preserve">, apartado 7, letra c), del Reglamento (UE) n.º 575/2013.</w:t>
            </w:r>
          </w:p>
          <w:p w14:paraId="2DB53AA1" w14:textId="46DA276A"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w:t>
            </w:r>
            <w:r>
              <w:rPr>
                <w:sz w:val="24"/>
                <w:rFonts w:ascii="Times New Roman" w:hAnsi="Times New Roman"/>
              </w:rPr>
              <w:t xml:space="preserve"> </w:t>
            </w:r>
            <w:r>
              <w:rPr>
                <w:sz w:val="24"/>
                <w:rFonts w:ascii="Times New Roman" w:hAnsi="Times New Roman"/>
              </w:rPr>
              <w:t xml:space="preserve">Las entidades incluirán esas partidas en {0190;0010}.</w:t>
            </w:r>
          </w:p>
          <w:p w14:paraId="3B9A69FC" w14:textId="63B5CA3B" w:rsidR="00AE2798" w:rsidRPr="000B66BC" w:rsidRDefault="00AE2798" w:rsidP="000B66BC">
            <w:pPr>
              <w:pStyle w:val="BodyText1"/>
              <w:spacing w:after="240" w:line="240" w:lineRule="auto"/>
              <w:rPr>
                <w:bCs/>
                <w:sz w:val="24"/>
                <w:szCs w:val="24"/>
                <w:u w:val="single"/>
                <w:rFonts w:ascii="Times New Roman" w:hAnsi="Times New Roman"/>
              </w:rPr>
            </w:pPr>
            <w:r>
              <w:rPr>
                <w:sz w:val="24"/>
                <w:rFonts w:ascii="Times New Roman" w:hAnsi="Times New Roman"/>
              </w:rPr>
              <w:t xml:space="preserve">Las entidades no incluirán en esta celda las SFT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sz w:val="24"/>
                <w:i/>
                <w:iCs/>
                <w:rFonts w:ascii="Times New Roman" w:hAnsi="Times New Roman"/>
              </w:rPr>
              <w:t xml:space="preserve">sexies</w:t>
            </w:r>
            <w:r>
              <w:rPr>
                <w:sz w:val="24"/>
                <w:rFonts w:ascii="Times New Roman" w:hAnsi="Times New Roman"/>
              </w:rPr>
              <w:t xml:space="preserve">, apartado 7, letra a), del Reglamento (UE) n.º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bCs/>
                <w:sz w:val="24"/>
                <w:szCs w:val="24"/>
                <w:rFonts w:ascii="Times New Roman" w:hAnsi="Times New Roman"/>
              </w:rPr>
            </w:pPr>
            <w:r>
              <w:rPr>
                <w:sz w:val="24"/>
                <w:rFonts w:ascii="Times New Roman" w:hAnsi="Times New Roman"/>
              </w:rPr>
              <w:t xml:space="preserve">{0020;0010}</w:t>
            </w:r>
          </w:p>
        </w:tc>
        <w:tc>
          <w:tcPr>
            <w:tcW w:w="7566" w:type="dxa"/>
          </w:tcPr>
          <w:p w14:paraId="2A5E1E69" w14:textId="77777777" w:rsidR="00AE2798" w:rsidRPr="000B66BC" w:rsidRDefault="00AE2798"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SFT:</w:t>
            </w:r>
            <w:r>
              <w:rPr>
                <w:b/>
                <w:sz w:val="24"/>
                <w:rFonts w:ascii="Times New Roman" w:hAnsi="Times New Roman"/>
              </w:rPr>
              <w:t xml:space="preserve"> </w:t>
            </w:r>
            <w:r>
              <w:rPr>
                <w:b/>
                <w:sz w:val="24"/>
                <w:rFonts w:ascii="Times New Roman" w:hAnsi="Times New Roman"/>
              </w:rPr>
              <w:t xml:space="preserve">adición por riesgo de contraparte</w:t>
            </w:r>
          </w:p>
          <w:p w14:paraId="54D8230E" w14:textId="501C31D8" w:rsidR="00AE2798" w:rsidRPr="005A5E25"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sexies</w:t>
            </w:r>
            <w:r>
              <w:rPr>
                <w:sz w:val="24"/>
                <w:rFonts w:ascii="Times New Roman" w:hAnsi="Times New Roman"/>
              </w:rPr>
              <w:t xml:space="preserve">, apartado 1, del Reglamento (UE) n.º 575/2013.</w:t>
            </w:r>
          </w:p>
          <w:p w14:paraId="74373937" w14:textId="64B10156"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Adición por riesgo de contraparte en las SFT, incluidas las fuera de balance, determinado con arreglo al artículo 429 </w:t>
            </w:r>
            <w:r>
              <w:rPr>
                <w:sz w:val="24"/>
                <w:i/>
                <w:iCs/>
                <w:rFonts w:ascii="Times New Roman" w:hAnsi="Times New Roman"/>
              </w:rPr>
              <w:t xml:space="preserve">sexies</w:t>
            </w:r>
            <w:r>
              <w:rPr>
                <w:sz w:val="24"/>
                <w:rFonts w:ascii="Times New Roman" w:hAnsi="Times New Roman"/>
              </w:rPr>
              <w:t xml:space="preserve">, apartados 2 o 3 y apartado 4 del Reglamento (UE) n.º 575/2013, según proceda.</w:t>
            </w:r>
          </w:p>
          <w:p w14:paraId="22B58EAB" w14:textId="758D2039"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considerarán en esta celda las operaciones contempladas en artículo 429 </w:t>
            </w:r>
            <w:r>
              <w:rPr>
                <w:sz w:val="24"/>
                <w:i/>
                <w:iCs/>
                <w:rFonts w:ascii="Times New Roman" w:hAnsi="Times New Roman"/>
              </w:rPr>
              <w:t xml:space="preserve">sexies</w:t>
            </w:r>
            <w:r>
              <w:rPr>
                <w:sz w:val="24"/>
                <w:rFonts w:ascii="Times New Roman" w:hAnsi="Times New Roman"/>
              </w:rPr>
              <w:t xml:space="preserve">, apartado 7, letra c), del Reglamento (UE) n.º 575/2013.</w:t>
            </w:r>
          </w:p>
          <w:p w14:paraId="68CF607E" w14:textId="421A1EB2"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no incluirán en esta celda las SFT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sz w:val="24"/>
                <w:i/>
                <w:iCs/>
                <w:rFonts w:ascii="Times New Roman" w:hAnsi="Times New Roman"/>
              </w:rPr>
              <w:t xml:space="preserve">sexies</w:t>
            </w:r>
            <w:r>
              <w:rPr>
                <w:sz w:val="24"/>
                <w:rFonts w:ascii="Times New Roman" w:hAnsi="Times New Roman"/>
              </w:rPr>
              <w:t xml:space="preserve">, apartado 7, letra a), del Reglamento (UE) n.º 575/2013.</w:t>
            </w:r>
            <w:r>
              <w:rPr>
                <w:sz w:val="24"/>
                <w:rFonts w:ascii="Times New Roman" w:hAnsi="Times New Roman"/>
              </w:rPr>
              <w:t xml:space="preserve"> </w:t>
            </w:r>
            <w:r>
              <w:rPr>
                <w:sz w:val="24"/>
                <w:rFonts w:ascii="Times New Roman" w:hAnsi="Times New Roman"/>
              </w:rPr>
              <w:t xml:space="preserve">Las entidades incluirán esas partidas en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bCs/>
                <w:sz w:val="24"/>
                <w:szCs w:val="24"/>
                <w:rFonts w:ascii="Times New Roman" w:hAnsi="Times New Roman"/>
              </w:rPr>
            </w:pPr>
            <w:r>
              <w:rPr>
                <w:sz w:val="24"/>
                <w:rFonts w:ascii="Times New Roman" w:hAnsi="Times New Roman"/>
              </w:rPr>
              <w:t xml:space="preserve">{0030;0010}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Excepción en las SFT:</w:t>
            </w:r>
            <w:r>
              <w:rPr>
                <w:b/>
                <w:sz w:val="24"/>
                <w:rFonts w:ascii="Times New Roman" w:hAnsi="Times New Roman"/>
              </w:rPr>
              <w:t xml:space="preserve"> </w:t>
            </w:r>
            <w:r>
              <w:rPr>
                <w:b/>
                <w:sz w:val="24"/>
                <w:rFonts w:ascii="Times New Roman" w:hAnsi="Times New Roman"/>
              </w:rPr>
              <w:t xml:space="preserve">adición según el artículo 429 </w:t>
            </w:r>
            <w:r>
              <w:rPr>
                <w:b/>
                <w:sz w:val="24"/>
                <w:i/>
                <w:rFonts w:ascii="Times New Roman" w:hAnsi="Times New Roman"/>
              </w:rPr>
              <w:t xml:space="preserve">sexies</w:t>
            </w:r>
            <w:r>
              <w:rPr>
                <w:b/>
                <w:sz w:val="24"/>
                <w:rFonts w:ascii="Times New Roman" w:hAnsi="Times New Roman"/>
              </w:rPr>
              <w:t xml:space="preserve">, apartado 5, y el artículo 222 del RRC</w:t>
            </w:r>
          </w:p>
          <w:p w14:paraId="2D39F187" w14:textId="7F187365"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sexies</w:t>
            </w:r>
            <w:r>
              <w:rPr>
                <w:sz w:val="24"/>
                <w:rFonts w:ascii="Times New Roman" w:hAnsi="Times New Roman"/>
              </w:rPr>
              <w:t xml:space="preserve">, apartado 5, y artículo 222 del Reglamento (UE) n.º 575/2013.</w:t>
            </w:r>
          </w:p>
          <w:p w14:paraId="738B5B54" w14:textId="680FD6A3"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El valor de exposición de las SFT, incluidas las fuera de balance, calculado conforme al artículo 222 del Reglamento (UE) n.º 575/2013, con sujeción a un límite mínimo del 20 % para la ponderación de riesgo aplicable.</w:t>
            </w:r>
            <w:r>
              <w:rPr>
                <w:sz w:val="24"/>
                <w:rFonts w:ascii="Times New Roman" w:hAnsi="Times New Roman"/>
              </w:rPr>
              <w:t xml:space="preserve"> </w:t>
            </w:r>
          </w:p>
          <w:p w14:paraId="3D5D2C18" w14:textId="42AA0940"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considerarán en esta celda las operaciones contempladas en artículo 429 </w:t>
            </w:r>
            <w:r>
              <w:rPr>
                <w:sz w:val="24"/>
                <w:i/>
                <w:iCs/>
                <w:rFonts w:ascii="Times New Roman" w:hAnsi="Times New Roman"/>
              </w:rPr>
              <w:t xml:space="preserve">sexies</w:t>
            </w:r>
            <w:r>
              <w:rPr>
                <w:sz w:val="24"/>
                <w:rFonts w:ascii="Times New Roman" w:hAnsi="Times New Roman"/>
              </w:rPr>
              <w:t xml:space="preserve">, apartado 7, letra c), del Reglamento (UE) n.º 575/2013.</w:t>
            </w:r>
          </w:p>
          <w:p w14:paraId="29AD8FEA" w14:textId="1031B485"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no considerarán en esta celda las operaciones en las que la parte que la adición representa en la exposición correspondiente a la ratio de apalancamiento se haya determinado por el método mencionado en el artículo 429 </w:t>
            </w:r>
            <w:r>
              <w:rPr>
                <w:sz w:val="24"/>
                <w:i/>
                <w:iCs/>
                <w:rFonts w:ascii="Times New Roman" w:hAnsi="Times New Roman"/>
              </w:rPr>
              <w:t xml:space="preserve">sexies</w:t>
            </w:r>
            <w:r>
              <w:rPr>
                <w:sz w:val="24"/>
                <w:rFonts w:ascii="Times New Roman" w:hAnsi="Times New Roman"/>
              </w:rPr>
              <w:t xml:space="preserve">, apartado 1, del Reglamento (UE) n.º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bCs/>
                <w:sz w:val="24"/>
                <w:szCs w:val="24"/>
                <w:rFonts w:ascii="Times New Roman" w:hAnsi="Times New Roman"/>
              </w:rPr>
            </w:pPr>
            <w:r>
              <w:rPr>
                <w:sz w:val="24"/>
                <w:rFonts w:ascii="Times New Roman" w:hAnsi="Times New Roman"/>
              </w:rPr>
              <w:t xml:space="preserve">{0040;0010}</w:t>
            </w:r>
          </w:p>
        </w:tc>
        <w:tc>
          <w:tcPr>
            <w:tcW w:w="7566" w:type="dxa"/>
          </w:tcPr>
          <w:p w14:paraId="2565C50A" w14:textId="2E53ED69" w:rsidR="00AE2798" w:rsidRPr="000B66BC" w:rsidRDefault="00AE2798" w:rsidP="000B66BC">
            <w:pPr>
              <w:pStyle w:val="BodyText1"/>
              <w:spacing w:after="240" w:line="240" w:lineRule="auto"/>
              <w:rPr>
                <w:bCs/>
                <w:sz w:val="24"/>
                <w:szCs w:val="24"/>
                <w:rFonts w:ascii="Times New Roman" w:hAnsi="Times New Roman"/>
              </w:rPr>
            </w:pPr>
            <w:r>
              <w:rPr>
                <w:b/>
                <w:sz w:val="24"/>
                <w:rFonts w:ascii="Times New Roman" w:hAnsi="Times New Roman"/>
              </w:rPr>
              <w:t xml:space="preserve">Riesgo de contraparte de las SFT realizadas en calidad de agente</w:t>
            </w:r>
            <w:r>
              <w:rPr>
                <w:b/>
                <w:sz w:val="24"/>
                <w:rFonts w:ascii="Times New Roman" w:hAnsi="Times New Roman"/>
              </w:rPr>
              <w:t xml:space="preserve"> </w:t>
            </w:r>
          </w:p>
          <w:p w14:paraId="475F166E" w14:textId="5DE704BE" w:rsidR="00E1045E" w:rsidRPr="000B66BC" w:rsidRDefault="00E1045E"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sexies</w:t>
            </w:r>
            <w:r>
              <w:rPr>
                <w:sz w:val="24"/>
                <w:rFonts w:ascii="Times New Roman" w:hAnsi="Times New Roman"/>
              </w:rPr>
              <w:t xml:space="preserve">, apartado 7, letra a), y apartados 2 y 3, del Reglamento (UE) n.º 575/2013.</w:t>
            </w:r>
          </w:p>
          <w:p w14:paraId="1619B100" w14:textId="611A2DCA"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El valor de exposición de las SFT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conforme al artículo 429 </w:t>
            </w:r>
            <w:r>
              <w:rPr>
                <w:sz w:val="24"/>
                <w:i/>
                <w:iCs/>
                <w:rFonts w:ascii="Times New Roman" w:hAnsi="Times New Roman"/>
              </w:rPr>
              <w:t xml:space="preserve">sexies</w:t>
            </w:r>
            <w:r>
              <w:rPr>
                <w:sz w:val="24"/>
                <w:rFonts w:ascii="Times New Roman" w:hAnsi="Times New Roman"/>
              </w:rPr>
              <w:t xml:space="preserve">, apartado 7, letra a), del Reglamento (UE) n.º 575/2013, será igual solo a la adición determinada con arreglo al artículo 429 </w:t>
            </w:r>
            <w:r>
              <w:rPr>
                <w:sz w:val="24"/>
                <w:i/>
                <w:iCs/>
                <w:rFonts w:ascii="Times New Roman" w:hAnsi="Times New Roman"/>
              </w:rPr>
              <w:t xml:space="preserve">sexies</w:t>
            </w:r>
            <w:r>
              <w:rPr>
                <w:sz w:val="24"/>
                <w:rFonts w:ascii="Times New Roman" w:hAnsi="Times New Roman"/>
              </w:rPr>
              <w:t xml:space="preserve">, apartados 2 o 3, según proceda, del Reglamento (UE) n.º 575/2013.</w:t>
            </w:r>
          </w:p>
          <w:p w14:paraId="138E8801" w14:textId="61A2D011"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considerarán en esta celda las operaciones contempladas en artículo 429 </w:t>
            </w:r>
            <w:r>
              <w:rPr>
                <w:sz w:val="24"/>
                <w:i/>
                <w:rFonts w:ascii="Times New Roman" w:hAnsi="Times New Roman"/>
              </w:rPr>
              <w:t xml:space="preserve">sexies</w:t>
            </w:r>
            <w:r>
              <w:rPr>
                <w:sz w:val="24"/>
                <w:rFonts w:ascii="Times New Roman" w:hAnsi="Times New Roman"/>
              </w:rPr>
              <w:t xml:space="preserve">, apartado 7, letra c).</w:t>
            </w:r>
            <w:r>
              <w:rPr>
                <w:sz w:val="24"/>
                <w:rFonts w:ascii="Times New Roman" w:hAnsi="Times New Roman"/>
              </w:rPr>
              <w:t xml:space="preserve"> </w:t>
            </w:r>
            <w:r>
              <w:rPr>
                <w:sz w:val="24"/>
                <w:rFonts w:ascii="Times New Roman" w:hAnsi="Times New Roman"/>
              </w:rPr>
              <w:t xml:space="preserve">Las entidades incluirán estas partidas en {0010;0010} y {0020;0010} o {0010;0010} y {0030;0010}, según proceda.</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bCs/>
                <w:sz w:val="24"/>
                <w:szCs w:val="24"/>
                <w:rFonts w:ascii="Times New Roman" w:hAnsi="Times New Roman"/>
              </w:rPr>
            </w:pPr>
            <w:r>
              <w:rPr>
                <w:sz w:val="24"/>
                <w:rFonts w:ascii="Times New Roman" w:hAnsi="Times New Roman"/>
              </w:rPr>
              <w:t xml:space="preserve">{0050;0010}</w:t>
            </w:r>
          </w:p>
        </w:tc>
        <w:tc>
          <w:tcPr>
            <w:tcW w:w="7566" w:type="dxa"/>
          </w:tcPr>
          <w:p w14:paraId="2F6E1B5E" w14:textId="77777777" w:rsidR="00AE2798" w:rsidRPr="000B66BC" w:rsidRDefault="005556D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Componente ECC excluido de exposiciones por SFT compensadas por el cliente</w:t>
            </w:r>
          </w:p>
          <w:p w14:paraId="1B6574CC" w14:textId="445B8DBB" w:rsidR="00AE2798" w:rsidRPr="000B66BC" w:rsidRDefault="00E1045E"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g), y artículo 306, apartado 1, letra c), del Reglamento (UE) n.º 575/2013.</w:t>
            </w:r>
          </w:p>
          <w:p w14:paraId="5E6D8E3F" w14:textId="07590645" w:rsidR="00AE2798" w:rsidRPr="000B66BC" w:rsidRDefault="00AE2798" w:rsidP="000B66BC">
            <w:pPr>
              <w:pStyle w:val="BodyText1"/>
              <w:spacing w:after="240" w:line="240" w:lineRule="auto"/>
              <w:rPr>
                <w:bCs/>
                <w:sz w:val="24"/>
                <w:szCs w:val="24"/>
                <w:rFonts w:ascii="Times New Roman" w:hAnsi="Times New Roman"/>
              </w:rPr>
            </w:pPr>
            <w:r>
              <w:rPr>
                <w:sz w:val="24"/>
                <w:rFonts w:ascii="Times New Roman" w:hAnsi="Times New Roman"/>
              </w:rPr>
              <w:t xml:space="preserve">El componente ECC excluido de exposiciones de negociación por SFT compensadas por el cliente, siempre que dichas partidas cumplan las condiciones establecidas en el artículo 306, apartado 1, letra c), del Reglamento (UE) n.º 575/2013.</w:t>
            </w:r>
          </w:p>
          <w:p w14:paraId="39011247" w14:textId="7D52358B" w:rsidR="004052F0" w:rsidRPr="000B66BC" w:rsidRDefault="004052F0" w:rsidP="000B66BC">
            <w:pPr>
              <w:pStyle w:val="BodyText1"/>
              <w:spacing w:after="240" w:line="240" w:lineRule="auto"/>
              <w:rPr>
                <w:bCs/>
                <w:sz w:val="24"/>
                <w:szCs w:val="24"/>
                <w:rFonts w:ascii="Times New Roman" w:hAnsi="Times New Roman"/>
              </w:rPr>
            </w:pPr>
            <w:r>
              <w:rPr>
                <w:sz w:val="24"/>
                <w:rFonts w:ascii="Times New Roman" w:hAnsi="Times New Roman"/>
              </w:rPr>
              <w:t xml:space="preserve">Cuando el componente ECC excluido sea un valor no deberá incluirse en esta celda, a menos que se trate de un valor que se haya vuelto a pignorar y que, con arreglo al marco contable aplicable [es decir, de conformidad con la primera frase del artículo 111, apartado 1, del Reglamento (UE) n.º 575/2013], se incluya por su valor total.</w:t>
            </w:r>
          </w:p>
          <w:p w14:paraId="0885E19A" w14:textId="55DD0357" w:rsidR="00AF6C6D" w:rsidRPr="000B66BC" w:rsidRDefault="005A1D6D"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deben incluir el importe comunicado en esta celda también en {0010;0010}, {0020;0010} y {0030;0010}, como si no se aplicara ninguna exclusión, y si se trata de un valor que se haya vuelto a pignorar que, con arreglo al marco contable aplicable, se incluye por su valor total, también en {0190;0010}.</w:t>
            </w:r>
          </w:p>
          <w:p w14:paraId="2D82192D" w14:textId="03F34C36" w:rsidR="00AE2798" w:rsidRPr="000B66BC" w:rsidRDefault="00AF6C6D" w:rsidP="000B66BC">
            <w:pPr>
              <w:pStyle w:val="BodyText1"/>
              <w:spacing w:after="240" w:line="240" w:lineRule="auto"/>
              <w:rPr>
                <w:bCs/>
                <w:sz w:val="24"/>
                <w:szCs w:val="24"/>
                <w:rFonts w:ascii="Times New Roman" w:hAnsi="Times New Roman"/>
              </w:rPr>
            </w:pPr>
            <w:r>
              <w:rPr>
                <w:sz w:val="24"/>
                <w:rFonts w:ascii="Times New Roman" w:hAnsi="Times New Roman"/>
              </w:rPr>
              <w:t xml:space="preserve">Cuando la entidad haya proporcionado un margen inicial en relación con el componente excluido de una SFT consignada en {0190;0010} y no consignada en {0020;0010} o {0030;0010}, la entidad podrá comunicar dicho margen en esta celda.</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bCs/>
                <w:sz w:val="24"/>
                <w:szCs w:val="24"/>
                <w:rFonts w:ascii="Times New Roman" w:hAnsi="Times New Roman"/>
              </w:rPr>
            </w:pPr>
            <w:r>
              <w:rPr>
                <w:sz w:val="24"/>
                <w:rFonts w:ascii="Times New Roman" w:hAnsi="Times New Roman"/>
              </w:rPr>
              <w:t xml:space="preserve">{0061;0010}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bCs/>
                <w:sz w:val="24"/>
                <w:szCs w:val="24"/>
                <w:rFonts w:ascii="Times New Roman" w:hAnsi="Times New Roman"/>
              </w:rPr>
            </w:pPr>
            <w:r>
              <w:rPr>
                <w:b/>
                <w:sz w:val="24"/>
                <w:rFonts w:ascii="Times New Roman" w:hAnsi="Times New Roman"/>
              </w:rPr>
              <w:t xml:space="preserve">Derivados: contribución al coste de reposición con arreglo al método estándar para el riesgo de crédito de contraparte (sin el efecto de la garantía real en el NICA)</w:t>
            </w:r>
            <w:r>
              <w:rPr>
                <w:b/>
                <w:sz w:val="24"/>
                <w:rFonts w:ascii="Times New Roman" w:hAnsi="Times New Roman"/>
              </w:rPr>
              <w:t xml:space="preserve"> </w:t>
            </w:r>
          </w:p>
          <w:p w14:paraId="303004A2" w14:textId="377F9233" w:rsidR="00AA0445" w:rsidRPr="00D51F9E" w:rsidRDefault="00AA0445"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 1, del Reglamento (UE) n.º 575/2013.</w:t>
            </w:r>
          </w:p>
          <w:p w14:paraId="3B8148BD" w14:textId="4F445033" w:rsidR="000864F6" w:rsidRPr="000B66BC" w:rsidRDefault="004E204E" w:rsidP="000B66BC">
            <w:pPr>
              <w:pStyle w:val="BodyText1"/>
              <w:spacing w:after="240" w:line="240" w:lineRule="auto"/>
              <w:rPr>
                <w:bCs/>
                <w:sz w:val="24"/>
                <w:szCs w:val="24"/>
                <w:rFonts w:ascii="Times New Roman" w:hAnsi="Times New Roman"/>
              </w:rPr>
            </w:pPr>
            <w:r>
              <w:rPr>
                <w:sz w:val="24"/>
                <w:rFonts w:ascii="Times New Roman" w:hAnsi="Times New Roman"/>
              </w:rPr>
              <w:t xml:space="preserve">Coste de reposición de conformidad con el artículo 275 del Reglamento (UE) n.º 575/2013 sin el efecto de la garantía real en el importe de la garantía real independiente neta (NICA, por sus siglas en inglés) ni de ningún margen de variación.</w:t>
            </w:r>
            <w:r>
              <w:rPr>
                <w:sz w:val="24"/>
                <w:rFonts w:ascii="Times New Roman" w:hAnsi="Times New Roman"/>
              </w:rPr>
              <w:t xml:space="preserve"> </w:t>
            </w:r>
            <w:r>
              <w:rPr>
                <w:sz w:val="24"/>
                <w:rFonts w:ascii="Times New Roman" w:hAnsi="Times New Roman"/>
              </w:rPr>
              <w:t xml:space="preserve">A efectos de esta celda, las entidades no aplicarán las excepciones del artículo 429 </w:t>
            </w:r>
            <w:r>
              <w:rPr>
                <w:sz w:val="24"/>
                <w:i/>
                <w:iCs/>
                <w:rFonts w:ascii="Times New Roman" w:hAnsi="Times New Roman"/>
              </w:rPr>
              <w:t xml:space="preserve">quater</w:t>
            </w:r>
            <w:r>
              <w:rPr>
                <w:sz w:val="24"/>
                <w:rFonts w:ascii="Times New Roman" w:hAnsi="Times New Roman"/>
              </w:rPr>
              <w:t xml:space="preserve">, apartados 3 y 4, y del artículo 429 </w:t>
            </w:r>
            <w:r>
              <w:rPr>
                <w:sz w:val="24"/>
                <w:i/>
                <w:iCs/>
                <w:rFonts w:ascii="Times New Roman" w:hAnsi="Times New Roman"/>
              </w:rPr>
              <w:t xml:space="preserve">bis</w:t>
            </w:r>
            <w:r>
              <w:rPr>
                <w:sz w:val="24"/>
                <w:rFonts w:ascii="Times New Roman" w:hAnsi="Times New Roman"/>
              </w:rPr>
              <w:t xml:space="preserve">, apartado 1, letra g), del Reglamento (UE) n.º 575/2013.</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69D03BFF" w14:textId="7C94597B" w:rsidR="000864F6" w:rsidRDefault="000864F6" w:rsidP="000B66BC">
            <w:pPr>
              <w:pStyle w:val="BodyText1"/>
              <w:spacing w:after="240" w:line="240" w:lineRule="auto"/>
              <w:rPr>
                <w:bCs/>
                <w:sz w:val="24"/>
                <w:szCs w:val="24"/>
                <w:rFonts w:ascii="Times New Roman" w:hAnsi="Times New Roman"/>
              </w:rPr>
            </w:pPr>
            <w:r>
              <w:rPr>
                <w:sz w:val="24"/>
                <w:rFonts w:ascii="Times New Roman" w:hAnsi="Times New Roman"/>
              </w:rPr>
              <w:t xml:space="preserve">Según se determina en el artículo 429 </w:t>
            </w:r>
            <w:r>
              <w:rPr>
                <w:sz w:val="24"/>
                <w:i/>
                <w:iCs/>
                <w:rFonts w:ascii="Times New Roman" w:hAnsi="Times New Roman"/>
              </w:rPr>
              <w:t xml:space="preserve">quater</w:t>
            </w:r>
            <w:r>
              <w:rPr>
                <w:sz w:val="24"/>
                <w:rFonts w:ascii="Times New Roman" w:hAnsi="Times New Roman"/>
              </w:rPr>
              <w:t xml:space="preserve">, apartado 1, del Reglamento (UE) n.º 575/2013, las entidades podrán tener en cuenta las repercusiones de los contratos de novación y otros acuerdos de compensación de conformidad con el artículo 295 del Reglamento (UE) n.º 575/2013.</w:t>
            </w:r>
            <w:r>
              <w:rPr>
                <w:sz w:val="24"/>
                <w:rFonts w:ascii="Times New Roman" w:hAnsi="Times New Roman"/>
              </w:rPr>
              <w:t xml:space="preserve"> </w:t>
            </w:r>
            <w:r>
              <w:rPr>
                <w:sz w:val="24"/>
                <w:rFonts w:ascii="Times New Roman" w:hAnsi="Times New Roman"/>
              </w:rPr>
              <w:t xml:space="preserve">No se aplicará la compensación entre productos distintos.</w:t>
            </w:r>
            <w:r>
              <w:rPr>
                <w:sz w:val="24"/>
                <w:rFonts w:ascii="Times New Roman" w:hAnsi="Times New Roman"/>
              </w:rPr>
              <w:t xml:space="preserve"> </w:t>
            </w:r>
            <w:r>
              <w:rPr>
                <w:sz w:val="24"/>
                <w:rFonts w:ascii="Times New Roman" w:hAnsi="Times New Roman"/>
              </w:rPr>
              <w:t xml:space="preserve">No obstante, las entidades podrán compensar dentro de la categoría de productos mencionada en el artículo 272, punto 25, letra c), del Reglamento (UE) n.º 575/2013 y los derivados de crédito cuando estén sujetos a un acuerdo de compensación contractual entre productos según lo indicado en el artículo 295, letra c), del Reglamento (UE) n.º 575/2013.</w:t>
            </w:r>
          </w:p>
          <w:p w14:paraId="68582320" w14:textId="76F97D55" w:rsidR="00AA0445" w:rsidRPr="000B66BC" w:rsidRDefault="000864F6"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incluirán todos los derivados de crédito, no solo los asignados a la cartera de negociación.</w:t>
            </w:r>
          </w:p>
          <w:p w14:paraId="2DFB7147" w14:textId="5C4A2661" w:rsidR="00AA0445" w:rsidRPr="000B66BC" w:rsidRDefault="008C451E" w:rsidP="000B66BC">
            <w:pPr>
              <w:pStyle w:val="BodyText1"/>
              <w:spacing w:after="240" w:line="240" w:lineRule="auto"/>
              <w:rPr>
                <w:b/>
                <w:sz w:val="24"/>
                <w:szCs w:val="24"/>
                <w:rFonts w:ascii="Times New Roman" w:hAnsi="Times New Roman"/>
              </w:rPr>
            </w:pPr>
            <w:r>
              <w:rPr>
                <w:sz w:val="24"/>
                <w:rFonts w:ascii="Times New Roman" w:hAnsi="Times New Roman"/>
              </w:rPr>
              <w:t xml:space="preserve">Las entidades no considerarán en esta celda los contratos valorados mediante la aplicación del método estándar simplificado ni del método de la exposición original</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bCs/>
                <w:sz w:val="24"/>
                <w:szCs w:val="24"/>
                <w:rFonts w:ascii="Times New Roman" w:hAnsi="Times New Roman"/>
              </w:rPr>
            </w:pPr>
            <w:r>
              <w:rPr>
                <w:sz w:val="24"/>
                <w:rFonts w:ascii="Times New Roman" w:hAnsi="Times New Roman"/>
              </w:rPr>
              <w:t xml:space="preserve">{0065;0010}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 Efecto del reconocimiento de la garantía real en el NICA para las operaciones ECCC compensadas por el cliente (método estándar para el riesgo de crédito de contraparte — coste de reposición)</w:t>
            </w:r>
          </w:p>
          <w:p w14:paraId="4393A5C2" w14:textId="59905614" w:rsidR="00AA0445" w:rsidRPr="000B66BC" w:rsidRDefault="00AA0445"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apartados 4 y 4 </w:t>
            </w:r>
            <w:r>
              <w:rPr>
                <w:sz w:val="24"/>
                <w:i/>
                <w:iCs/>
                <w:rFonts w:ascii="Times New Roman" w:hAnsi="Times New Roman"/>
              </w:rPr>
              <w:t xml:space="preserve">bis</w:t>
            </w:r>
            <w:r>
              <w:rPr>
                <w:sz w:val="24"/>
                <w:rFonts w:ascii="Times New Roman" w:hAnsi="Times New Roman"/>
              </w:rPr>
              <w:t xml:space="preserve">, del Reglamento (UE) n.º 575/2013.</w:t>
            </w:r>
          </w:p>
          <w:p w14:paraId="5BDFEC31" w14:textId="28614318" w:rsidR="00AA0445" w:rsidRPr="000B66BC" w:rsidRDefault="00143A3F" w:rsidP="000B66BC">
            <w:pPr>
              <w:pStyle w:val="BodyText1"/>
              <w:spacing w:after="240" w:line="240" w:lineRule="auto"/>
              <w:rPr>
                <w:bCs/>
                <w:sz w:val="24"/>
                <w:szCs w:val="24"/>
                <w:rFonts w:ascii="Times New Roman" w:hAnsi="Times New Roman"/>
              </w:rPr>
            </w:pPr>
            <w:r>
              <w:rPr>
                <w:sz w:val="24"/>
                <w:rFonts w:ascii="Times New Roman" w:hAnsi="Times New Roman"/>
              </w:rPr>
              <w:t xml:space="preserve">Aplicación de la excepción del artículo 429 </w:t>
            </w:r>
            <w:r>
              <w:rPr>
                <w:sz w:val="24"/>
                <w:i/>
                <w:iCs/>
                <w:rFonts w:ascii="Times New Roman" w:hAnsi="Times New Roman"/>
              </w:rPr>
              <w:t xml:space="preserve">quater</w:t>
            </w:r>
            <w:r>
              <w:rPr>
                <w:sz w:val="24"/>
                <w:rFonts w:ascii="Times New Roman" w:hAnsi="Times New Roman"/>
              </w:rPr>
              <w:t xml:space="preserve">, apartado 4, junto con el apartado 4 </w:t>
            </w:r>
            <w:r>
              <w:rPr>
                <w:sz w:val="24"/>
                <w:i/>
                <w:iCs/>
                <w:rFonts w:ascii="Times New Roman" w:hAnsi="Times New Roman"/>
              </w:rPr>
              <w:t xml:space="preserve">bis</w:t>
            </w:r>
            <w:r>
              <w:rPr>
                <w:sz w:val="24"/>
                <w:rFonts w:ascii="Times New Roman" w:hAnsi="Times New Roman"/>
              </w:rPr>
              <w:t xml:space="preserve">, del Reglamento (UE) n.º 575/2013 al cálculo del coste de reposición para contratos de derivados con clientes, cuando esos contratos sean compensados por una ECCC.</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71B5D857" w14:textId="15F17BCC" w:rsidR="00860608" w:rsidRPr="000B66BC" w:rsidRDefault="00C622B3"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incluirán el importe comunicado en esta celda también en {0061;0010}, como si no se aplicara la exclusión.</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bCs/>
                <w:sz w:val="24"/>
                <w:szCs w:val="24"/>
                <w:rFonts w:ascii="Times New Roman" w:hAnsi="Times New Roman"/>
              </w:rPr>
            </w:pPr>
            <w:r>
              <w:rPr>
                <w:sz w:val="24"/>
                <w:rFonts w:ascii="Times New Roman" w:hAnsi="Times New Roman"/>
              </w:rPr>
              <w:t xml:space="preserve">{0071;0010}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 Efecto del margen de variación en efectivo admisible recibido compensado con el valor de mercado de los derivados (método estándar para el riesgo de crédito de contraparte — coste de reposición)</w:t>
            </w:r>
          </w:p>
          <w:p w14:paraId="1A368C0C" w14:textId="3657AB83" w:rsidR="00B451A5" w:rsidRPr="000B66BC" w:rsidRDefault="00B451A5"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 3, del Reglamento (UE) n.º 575/2013.</w:t>
            </w:r>
          </w:p>
          <w:p w14:paraId="04F99B6B" w14:textId="4F870A7A" w:rsidR="00B451A5" w:rsidRPr="000B66BC" w:rsidRDefault="00B451A5" w:rsidP="000B66BC">
            <w:pPr>
              <w:pStyle w:val="BodyText1"/>
              <w:spacing w:after="240" w:line="240" w:lineRule="auto"/>
              <w:rPr>
                <w:bCs/>
                <w:sz w:val="24"/>
                <w:szCs w:val="24"/>
                <w:rFonts w:ascii="Times New Roman" w:hAnsi="Times New Roman"/>
              </w:rPr>
            </w:pPr>
            <w:r>
              <w:rPr>
                <w:sz w:val="24"/>
                <w:rFonts w:ascii="Times New Roman" w:hAnsi="Times New Roman"/>
              </w:rPr>
              <w:t xml:space="preserve">Margen de variación recibido en efectivo de la contraparte admisible para ser compensado con la parte de la exposición frente a derivados correspondiente al coste de reposición de conformidad con el artículo 429 </w:t>
            </w:r>
            <w:r>
              <w:rPr>
                <w:sz w:val="24"/>
                <w:i/>
                <w:iCs/>
                <w:rFonts w:ascii="Times New Roman" w:hAnsi="Times New Roman"/>
              </w:rPr>
              <w:t xml:space="preserve">quater</w:t>
            </w:r>
            <w:r>
              <w:rPr>
                <w:sz w:val="24"/>
                <w:rFonts w:ascii="Times New Roman" w:hAnsi="Times New Roman"/>
              </w:rPr>
              <w:t xml:space="preserve">, apartado 3, del Reglamento (UE) n.º 575/2013.</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0D6BE08A" w14:textId="0AA9C4EA" w:rsidR="00B451A5" w:rsidRPr="000B66BC" w:rsidRDefault="00B451A5" w:rsidP="000B66BC">
            <w:pPr>
              <w:pStyle w:val="BodyText1"/>
              <w:spacing w:after="240" w:line="240" w:lineRule="auto"/>
              <w:rPr>
                <w:bCs/>
                <w:sz w:val="24"/>
                <w:szCs w:val="24"/>
                <w:rFonts w:ascii="Times New Roman" w:hAnsi="Times New Roman"/>
              </w:rPr>
            </w:pPr>
            <w:r>
              <w:rPr>
                <w:sz w:val="24"/>
                <w:rFonts w:ascii="Times New Roman" w:hAnsi="Times New Roman"/>
              </w:rPr>
              <w:t xml:space="preserve">No se comunicará ningún margen de variación en efectivo recibido en relación con un componente ECC excluido de conformidad con el artículo 429 </w:t>
            </w:r>
            <w:r>
              <w:rPr>
                <w:sz w:val="24"/>
                <w:i/>
                <w:iCs/>
                <w:rFonts w:ascii="Times New Roman" w:hAnsi="Times New Roman"/>
              </w:rPr>
              <w:t xml:space="preserve">bis</w:t>
            </w:r>
            <w:r>
              <w:rPr>
                <w:sz w:val="24"/>
                <w:rFonts w:ascii="Times New Roman" w:hAnsi="Times New Roman"/>
              </w:rPr>
              <w:t xml:space="preserve">, apartado 1, letra g), del Reglamento (UE) n.º 575/2013.</w:t>
            </w:r>
          </w:p>
          <w:p w14:paraId="3C49A67A" w14:textId="21788571" w:rsidR="00B451A5" w:rsidRPr="000B66BC" w:rsidRDefault="00B451A5"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incluirán el importe comunicado en esta celda también en {0061;0010}, como si no se aplicara ninguna deducción del margen de variación en efectivo.</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bCs/>
                <w:sz w:val="24"/>
                <w:szCs w:val="24"/>
                <w:rFonts w:ascii="Times New Roman" w:hAnsi="Times New Roman"/>
              </w:rPr>
            </w:pPr>
            <w:r>
              <w:rPr>
                <w:sz w:val="24"/>
                <w:rFonts w:ascii="Times New Roman" w:hAnsi="Times New Roman"/>
              </w:rPr>
              <w:t xml:space="preserve">{0081;0010}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 Efecto del componente ECC excluido de exposiciones de negociación compensadas por el cliente (método estándar para el riesgo de crédito de contraparte — coste de reposición)</w:t>
            </w:r>
          </w:p>
          <w:p w14:paraId="4B3A4644" w14:textId="2DF3E946" w:rsidR="00B451A5" w:rsidRPr="000B66BC" w:rsidRDefault="00B451A5"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g), del Reglamento (UE) n.º 575/2013.</w:t>
            </w:r>
          </w:p>
          <w:p w14:paraId="2F8AB13D" w14:textId="7971537D" w:rsidR="00B451A5" w:rsidRPr="000B66BC" w:rsidRDefault="00B451A5" w:rsidP="000B66BC">
            <w:pPr>
              <w:pStyle w:val="BodyText1"/>
              <w:spacing w:after="240" w:line="240" w:lineRule="auto"/>
              <w:rPr>
                <w:bCs/>
                <w:sz w:val="24"/>
                <w:szCs w:val="24"/>
                <w:rFonts w:ascii="Times New Roman" w:hAnsi="Times New Roman"/>
              </w:rPr>
            </w:pPr>
            <w:r>
              <w:rPr>
                <w:sz w:val="24"/>
                <w:rFonts w:ascii="Times New Roman" w:hAnsi="Times New Roman"/>
              </w:rPr>
              <w:t xml:space="preserve">La parte correspondiente al coste de reposición en las exposiciones de negociación frente a una ECCC excluidas procedentes de las operaciones con derivados compensadas por el cliente, siempre que dichas partidas cumplan las condiciones establecidas en el artículo 306, apartado 1, letra c), del Reglamento (UE) n.º 575/2013.</w:t>
            </w:r>
            <w:r>
              <w:rPr>
                <w:sz w:val="24"/>
                <w:rFonts w:ascii="Times New Roman" w:hAnsi="Times New Roman"/>
              </w:rPr>
              <w:t xml:space="preserve"> </w:t>
            </w:r>
            <w:r>
              <w:rPr>
                <w:sz w:val="24"/>
                <w:rFonts w:ascii="Times New Roman" w:hAnsi="Times New Roman"/>
              </w:rPr>
              <w:t xml:space="preserve">Este importe se consignará sin deducción del margen de variación en efectivo recibido en relación con este componente.</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3D70C614" w14:textId="27A413D3" w:rsidR="00B451A5" w:rsidRPr="000B66BC" w:rsidDel="002D1CE8" w:rsidRDefault="00B451A5"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incluirán el importe comunicado en esta celda también en {0061;0010}, como si no se aplicara la exclusión.</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bCs/>
                <w:sz w:val="24"/>
                <w:szCs w:val="24"/>
                <w:rFonts w:ascii="Times New Roman" w:hAnsi="Times New Roman"/>
              </w:rPr>
            </w:pPr>
            <w:r>
              <w:rPr>
                <w:sz w:val="24"/>
                <w:rFonts w:ascii="Times New Roman" w:hAnsi="Times New Roman"/>
              </w:rPr>
              <w:t xml:space="preserve">{0091;0010}</w:t>
            </w:r>
          </w:p>
        </w:tc>
        <w:tc>
          <w:tcPr>
            <w:tcW w:w="7566" w:type="dxa"/>
          </w:tcPr>
          <w:p w14:paraId="039E3624" w14:textId="77777777" w:rsidR="00BE4B9E" w:rsidRPr="000B66BC" w:rsidRDefault="00BE4B9E"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w:t>
            </w:r>
            <w:r>
              <w:rPr>
                <w:b/>
                <w:sz w:val="24"/>
                <w:rFonts w:ascii="Times New Roman" w:hAnsi="Times New Roman"/>
              </w:rPr>
              <w:t xml:space="preserve"> </w:t>
            </w:r>
            <w:r>
              <w:rPr>
                <w:b/>
                <w:sz w:val="24"/>
                <w:rFonts w:ascii="Times New Roman" w:hAnsi="Times New Roman"/>
              </w:rPr>
              <w:t xml:space="preserve">contribución a la exposición futura potencial según el método estándar para el riesgo de crédito de contraparte (multiplicador de 1)</w:t>
            </w:r>
            <w:r>
              <w:rPr>
                <w:b/>
                <w:sz w:val="24"/>
                <w:rFonts w:ascii="Times New Roman" w:hAnsi="Times New Roman"/>
              </w:rPr>
              <w:t xml:space="preserve"> </w:t>
            </w:r>
          </w:p>
          <w:p w14:paraId="11FEB8DF" w14:textId="0B9CCE03" w:rsidR="00BE4B9E" w:rsidRPr="000B66BC" w:rsidRDefault="00BE4B9E"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 5, del Reglamento (UE) n.º 575/2013.</w:t>
            </w:r>
          </w:p>
          <w:p w14:paraId="77480A73" w14:textId="71E40CF3" w:rsidR="00BE4B9E" w:rsidRPr="000B66BC" w:rsidRDefault="00BE4B9E" w:rsidP="000B66BC">
            <w:pPr>
              <w:pStyle w:val="BodyText1"/>
              <w:spacing w:after="240" w:line="240" w:lineRule="auto"/>
              <w:rPr>
                <w:b/>
                <w:bCs/>
                <w:sz w:val="24"/>
                <w:szCs w:val="24"/>
                <w:rFonts w:ascii="Times New Roman" w:hAnsi="Times New Roman"/>
              </w:rPr>
            </w:pPr>
            <w:r>
              <w:rPr>
                <w:sz w:val="24"/>
                <w:rFonts w:ascii="Times New Roman" w:hAnsi="Times New Roman"/>
              </w:rPr>
              <w:t xml:space="preserve">Exposición futura potencial según el artículo 278 del Reglamento (UE) n.º 575/2013 asumiendo un multiplicador de 1, es decir, sin aplicar la excepción relativa a los contratos con clientes, cuando esos contratos han sido compensados por una ECCC según el artículo 429 </w:t>
            </w:r>
            <w:r>
              <w:rPr>
                <w:sz w:val="24"/>
                <w:i/>
                <w:iCs/>
                <w:rFonts w:ascii="Times New Roman" w:hAnsi="Times New Roman"/>
              </w:rPr>
              <w:t xml:space="preserve">quater</w:t>
            </w:r>
            <w:r>
              <w:rPr>
                <w:sz w:val="24"/>
                <w:rFonts w:ascii="Times New Roman" w:hAnsi="Times New Roman"/>
              </w:rPr>
              <w:t xml:space="preserve">, apartado 5, del Reglamento (UE) n.º 575/2013.</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bCs/>
                <w:sz w:val="24"/>
                <w:szCs w:val="24"/>
                <w:rFonts w:ascii="Times New Roman" w:hAnsi="Times New Roman"/>
              </w:rPr>
            </w:pPr>
            <w:r>
              <w:rPr>
                <w:sz w:val="24"/>
                <w:rFonts w:ascii="Times New Roman" w:hAnsi="Times New Roman"/>
              </w:rPr>
              <w:t xml:space="preserve">{0092;0010}</w:t>
            </w:r>
          </w:p>
        </w:tc>
        <w:tc>
          <w:tcPr>
            <w:tcW w:w="7566" w:type="dxa"/>
          </w:tcPr>
          <w:p w14:paraId="2E121ECA" w14:textId="77777777" w:rsidR="00BE4B9E" w:rsidRPr="000B66BC" w:rsidRDefault="00BE4B9E"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 Efecto del multiplicador menor para operaciones ECCC compensadas por el cliente en la contribución de la PFE (método estándar para el riesgo de crédito de contraparte — exposición futura potencial)</w:t>
            </w:r>
          </w:p>
          <w:p w14:paraId="51309425" w14:textId="54D1B8FE" w:rsidR="00BE4B9E" w:rsidRPr="000B66BC" w:rsidRDefault="00BE4B9E"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 5, del Reglamento (UE) n.º 575/2013.</w:t>
            </w:r>
          </w:p>
          <w:p w14:paraId="36AD83FD" w14:textId="2FF4947E" w:rsidR="00BE4B9E" w:rsidRPr="000B66BC" w:rsidRDefault="00334535" w:rsidP="000B66BC">
            <w:pPr>
              <w:pStyle w:val="BodyText1"/>
              <w:spacing w:after="240" w:line="240" w:lineRule="auto"/>
              <w:rPr>
                <w:bCs/>
                <w:sz w:val="24"/>
                <w:szCs w:val="24"/>
                <w:rFonts w:ascii="Times New Roman" w:hAnsi="Times New Roman"/>
              </w:rPr>
            </w:pPr>
            <w:r>
              <w:rPr>
                <w:sz w:val="24"/>
                <w:rFonts w:ascii="Times New Roman" w:hAnsi="Times New Roman"/>
              </w:rPr>
              <w:t xml:space="preserve">Aplicación de la excepción del artículo 429 </w:t>
            </w:r>
            <w:r>
              <w:rPr>
                <w:sz w:val="24"/>
                <w:i/>
                <w:iCs/>
                <w:rFonts w:ascii="Times New Roman" w:hAnsi="Times New Roman"/>
              </w:rPr>
              <w:t xml:space="preserve">quater</w:t>
            </w:r>
            <w:r>
              <w:rPr>
                <w:sz w:val="24"/>
                <w:rFonts w:ascii="Times New Roman" w:hAnsi="Times New Roman"/>
              </w:rPr>
              <w:t xml:space="preserve">, apartado 5, del Reglamento (UE) n.º 575/2013 al cálculo de la PFE para contratos de derivados con clientes, cuando esos contratos sean compensados por una ECCC.</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69C754CC" w14:textId="4C627CA1" w:rsidR="00334535" w:rsidRPr="000B66BC" w:rsidRDefault="00C622B3"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incluirán el importe comunicado en esta celda también en {0091;0010}, como si no se aplicara la exclusión.</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bCs/>
                <w:sz w:val="24"/>
                <w:szCs w:val="24"/>
                <w:rFonts w:ascii="Times New Roman" w:hAnsi="Times New Roman"/>
              </w:rPr>
            </w:pPr>
            <w:r>
              <w:rPr>
                <w:sz w:val="24"/>
                <w:rFonts w:ascii="Times New Roman" w:hAnsi="Times New Roman"/>
              </w:rPr>
              <w:t xml:space="preserve">{0093;0010}</w:t>
            </w:r>
          </w:p>
        </w:tc>
        <w:tc>
          <w:tcPr>
            <w:tcW w:w="7566" w:type="dxa"/>
          </w:tcPr>
          <w:p w14:paraId="799DA79E" w14:textId="77777777" w:rsidR="00721D6C" w:rsidRPr="000B66BC" w:rsidRDefault="00721D6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Efecto del componente ECC excluido de exposiciones de negociación compensadas por el cliente (método estándar para el riesgo de crédito de contraparte — exposición futura potencial)</w:t>
            </w:r>
          </w:p>
          <w:p w14:paraId="638E19CF" w14:textId="54F17918" w:rsidR="00721D6C" w:rsidRPr="000B66BC" w:rsidRDefault="002F3BA4"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g), del Reglamento (UE) n.º 575/2013.</w:t>
            </w:r>
          </w:p>
          <w:p w14:paraId="3C911695" w14:textId="5D4C77C5" w:rsidR="00721D6C" w:rsidRPr="000B66BC" w:rsidRDefault="00721D6C" w:rsidP="000B66BC">
            <w:pPr>
              <w:pStyle w:val="BodyText1"/>
              <w:spacing w:after="240" w:line="240" w:lineRule="auto"/>
              <w:rPr>
                <w:bCs/>
                <w:sz w:val="24"/>
                <w:szCs w:val="24"/>
                <w:rFonts w:ascii="Times New Roman" w:hAnsi="Times New Roman"/>
              </w:rPr>
            </w:pPr>
            <w:r>
              <w:rPr>
                <w:sz w:val="24"/>
                <w:rFonts w:ascii="Times New Roman" w:hAnsi="Times New Roman"/>
              </w:rPr>
              <w:t xml:space="preserve">La exposición futura potencial de exposiciones de negociación frente a una ECCC excluidas procedentes de las operaciones con derivados compensadas por el cliente, siempre que dichas partidas cumplan las condiciones establecidas en el artículo 306, apartado 1, letra c), del Reglamento (UE) n.º 575/2013.</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5DC396D3" w14:textId="79540906" w:rsidR="00721D6C" w:rsidRPr="000B66BC" w:rsidRDefault="00721D6C"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incluirán el importe comunicado en esta celda también en {0091;0010}, como si no se aplicara la exclusión.</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bCs/>
                <w:sz w:val="24"/>
                <w:szCs w:val="24"/>
                <w:rFonts w:ascii="Times New Roman" w:hAnsi="Times New Roman"/>
              </w:rPr>
            </w:pPr>
            <w:r>
              <w:rPr>
                <w:sz w:val="24"/>
                <w:rFonts w:ascii="Times New Roman" w:hAnsi="Times New Roman"/>
              </w:rPr>
              <w:t xml:space="preserve">{0101;0010}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Excepción aplicable a los derivados: contribución a los costes de reposición según el método estándar simplificado</w:t>
            </w:r>
            <w:r>
              <w:rPr>
                <w:b/>
                <w:sz w:val="24"/>
                <w:rFonts w:ascii="Times New Roman" w:hAnsi="Times New Roman"/>
              </w:rPr>
              <w:t xml:space="preserve"> </w:t>
            </w:r>
          </w:p>
          <w:p w14:paraId="729E4C3C" w14:textId="599BA87E" w:rsidR="001D7778" w:rsidRPr="000B66BC" w:rsidRDefault="001D7778"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 6, y artículo 281 del Reglamento (UE) n.º 575/2013.</w:t>
            </w:r>
          </w:p>
          <w:p w14:paraId="4582CAFD" w14:textId="1D9769B3" w:rsidR="001D7778" w:rsidRPr="000B66BC" w:rsidRDefault="001D7778" w:rsidP="000B66BC">
            <w:pPr>
              <w:pStyle w:val="BodyText1"/>
              <w:spacing w:after="240" w:line="240" w:lineRule="auto"/>
              <w:rPr>
                <w:bCs/>
                <w:sz w:val="24"/>
                <w:szCs w:val="24"/>
                <w:rFonts w:ascii="Times New Roman" w:hAnsi="Times New Roman"/>
              </w:rPr>
            </w:pPr>
            <w:r>
              <w:rPr>
                <w:sz w:val="24"/>
                <w:rFonts w:ascii="Times New Roman" w:hAnsi="Times New Roman"/>
              </w:rPr>
              <w:t xml:space="preserve">Esta celda recoge la medida de la exposición de los contratos enumerados en el anexo II, puntos 1 y 2, del Reglamento (UE) n.º 575/2013, calculada de conformidad con el método estándar simplificado previsto en el artículo 281 del Reglamento (UE) n.º 575/2013.</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6AF43C3C" w14:textId="33DD047C" w:rsidR="001D7778" w:rsidRPr="000B66BC" w:rsidRDefault="001D777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que apliquen el método estándar simplificado no reducirán la medida de la exposición total por el importe del margen recibido de conformidad con el artículo 429 </w:t>
            </w:r>
            <w:r>
              <w:rPr>
                <w:sz w:val="24"/>
                <w:i/>
                <w:iCs/>
                <w:rFonts w:ascii="Times New Roman" w:hAnsi="Times New Roman"/>
              </w:rPr>
              <w:t xml:space="preserve">quater</w:t>
            </w:r>
            <w:r>
              <w:rPr>
                <w:sz w:val="24"/>
                <w:rFonts w:ascii="Times New Roman" w:hAnsi="Times New Roman"/>
              </w:rPr>
              <w:t xml:space="preserve">, apartado 6, del Reglamento (UE) n.º 575/2013.</w:t>
            </w:r>
            <w:r>
              <w:rPr>
                <w:sz w:val="24"/>
                <w:rFonts w:ascii="Times New Roman" w:hAnsi="Times New Roman"/>
              </w:rPr>
              <w:t xml:space="preserve"> </w:t>
            </w:r>
            <w:r>
              <w:rPr>
                <w:sz w:val="24"/>
                <w:rFonts w:ascii="Times New Roman" w:hAnsi="Times New Roman"/>
              </w:rPr>
              <w:t xml:space="preserve">Por lo tanto, no se aplicará la excepción para contratos de derivados con clientes cuando dichos contratos sean compensados por una ECCC según el artículo 429 </w:t>
            </w:r>
            <w:r>
              <w:rPr>
                <w:sz w:val="24"/>
                <w:i/>
                <w:iCs/>
                <w:rFonts w:ascii="Times New Roman" w:hAnsi="Times New Roman"/>
              </w:rPr>
              <w:t xml:space="preserve">quater</w:t>
            </w:r>
            <w:r>
              <w:rPr>
                <w:sz w:val="24"/>
                <w:rFonts w:ascii="Times New Roman" w:hAnsi="Times New Roman"/>
              </w:rPr>
              <w:t xml:space="preserve">, apartado 4, del Reglamento (UE) n.º 575/2013.</w:t>
            </w:r>
          </w:p>
          <w:p w14:paraId="41A54C94" w14:textId="000C6D0B" w:rsidR="001D7778" w:rsidRPr="000B66BC" w:rsidRDefault="001D7778"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no considerarán en esta celda los contratos valorados mediante la aplicación del método estándar para el riesgo de crédito de contraparte ni del método de la exposición original.</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bCs/>
                <w:sz w:val="24"/>
                <w:szCs w:val="24"/>
                <w:rFonts w:ascii="Times New Roman" w:hAnsi="Times New Roman"/>
              </w:rPr>
            </w:pPr>
            <w:r>
              <w:rPr>
                <w:sz w:val="24"/>
                <w:rFonts w:ascii="Times New Roman" w:hAnsi="Times New Roman"/>
              </w:rPr>
              <w:t xml:space="preserve">{0102;0010}</w:t>
            </w:r>
          </w:p>
        </w:tc>
        <w:tc>
          <w:tcPr>
            <w:tcW w:w="7566" w:type="dxa"/>
          </w:tcPr>
          <w:p w14:paraId="1AB84BA7"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 Efecto del componente ECC excluido de exposiciones de negociación compensadas por el cliente (método estándar simplificado — costes de reposición)</w:t>
            </w:r>
          </w:p>
          <w:p w14:paraId="145D251C" w14:textId="4101DA1F" w:rsidR="00CB48CC" w:rsidRPr="000B66BC" w:rsidRDefault="00803EDD"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g), del Reglamento (UE) n.º 575/2013.</w:t>
            </w:r>
          </w:p>
          <w:p w14:paraId="577C5D50" w14:textId="038570DB"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 parte correspondiente al coste de reposición en las exposiciones de negociación frente a una ECCC excluidas procedentes de las operaciones con derivados compensadas por el cliente, siempre que dichas partidas cumplan las condiciones establecidas en el artículo 306, apartado 1, letra c), del Reglamento (UE) n.º 575/2013.</w:t>
            </w:r>
            <w:r>
              <w:rPr>
                <w:sz w:val="24"/>
                <w:rFonts w:ascii="Times New Roman" w:hAnsi="Times New Roman"/>
              </w:rPr>
              <w:t xml:space="preserve"> </w:t>
            </w:r>
            <w:r>
              <w:rPr>
                <w:sz w:val="24"/>
                <w:rFonts w:ascii="Times New Roman" w:hAnsi="Times New Roman"/>
              </w:rPr>
              <w:t xml:space="preserve">Este importe se consignará sin deducción del margen de variación en efectivo recibido en relación con este componente.</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217819AF" w14:textId="1C246258" w:rsidR="00CB48CC" w:rsidRPr="000B66BC" w:rsidRDefault="00CB48CC"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incluirán el importe comunicado en esta celda también en {0101;0010}, como si no se aplicara la exclusión.</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{0103;0010}</w:t>
            </w:r>
          </w:p>
        </w:tc>
        <w:tc>
          <w:tcPr>
            <w:tcW w:w="7566" w:type="dxa"/>
          </w:tcPr>
          <w:p w14:paraId="3D169826"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Excepción aplicable a los derivados:</w:t>
            </w:r>
            <w:r>
              <w:rPr>
                <w:b/>
                <w:sz w:val="24"/>
                <w:rFonts w:ascii="Times New Roman" w:hAnsi="Times New Roman"/>
              </w:rPr>
              <w:t xml:space="preserve"> </w:t>
            </w:r>
            <w:r>
              <w:rPr>
                <w:b/>
                <w:sz w:val="24"/>
                <w:rFonts w:ascii="Times New Roman" w:hAnsi="Times New Roman"/>
              </w:rPr>
              <w:t xml:space="preserve">contribución a la exposición futura potencial según el método estándar simplificado (multiplicador de 1)</w:t>
            </w:r>
            <w:r>
              <w:rPr>
                <w:b/>
                <w:sz w:val="24"/>
                <w:rFonts w:ascii="Times New Roman" w:hAnsi="Times New Roman"/>
              </w:rPr>
              <w:t xml:space="preserve"> </w:t>
            </w:r>
          </w:p>
          <w:p w14:paraId="5B7322DC" w14:textId="231FF6D8" w:rsidR="00201339" w:rsidRPr="000B66BC" w:rsidRDefault="00803EDD" w:rsidP="000B66BC">
            <w:pPr>
              <w:pStyle w:val="BodyText1"/>
              <w:spacing w:after="240"/>
              <w:rPr>
                <w:bCs/>
                <w:sz w:val="24"/>
                <w:szCs w:val="24"/>
                <w:rFonts w:ascii="Times New Roman" w:hAnsi="Times New Roman"/>
              </w:rPr>
            </w:pPr>
            <w:r>
              <w:rPr>
                <w:sz w:val="24"/>
                <w:rFonts w:ascii="Times New Roman" w:hAnsi="Times New Roman"/>
              </w:rPr>
              <w:t xml:space="preserve">Artículo 281, apartado 2, letra f), y artículo 429 </w:t>
            </w:r>
            <w:r>
              <w:rPr>
                <w:sz w:val="24"/>
                <w:i/>
                <w:iCs/>
                <w:rFonts w:ascii="Times New Roman" w:hAnsi="Times New Roman"/>
              </w:rPr>
              <w:t xml:space="preserve">quater</w:t>
            </w:r>
            <w:r>
              <w:rPr>
                <w:sz w:val="24"/>
                <w:rFonts w:ascii="Times New Roman" w:hAnsi="Times New Roman"/>
              </w:rPr>
              <w:t xml:space="preserve">, apartado 6, del Reglamento (UE) n.º 575/2013.</w:t>
            </w:r>
            <w:r>
              <w:rPr>
                <w:sz w:val="24"/>
                <w:rFonts w:ascii="Times New Roman" w:hAnsi="Times New Roman"/>
              </w:rPr>
              <w:t xml:space="preserve"> </w:t>
            </w:r>
            <w:r>
              <w:rPr>
                <w:sz w:val="24"/>
                <w:rFonts w:ascii="Times New Roman" w:hAnsi="Times New Roman"/>
              </w:rPr>
              <w:t xml:space="preserve">La exposición futura potencial de conformidad con el método estándar simplificado establecido en el artículo 281 del Reglamento (UE) n.º 575/2013, asumiendo un multiplicador de 1.</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3AE17E54" w14:textId="1C4D71E5" w:rsidR="00CB48CC" w:rsidRPr="000B66BC" w:rsidRDefault="00201339" w:rsidP="000B66BC">
            <w:pPr>
              <w:pStyle w:val="BodyText1"/>
              <w:spacing w:after="240"/>
              <w:rPr>
                <w:b/>
                <w:bCs/>
                <w:sz w:val="24"/>
                <w:szCs w:val="24"/>
                <w:rFonts w:ascii="Times New Roman" w:hAnsi="Times New Roman"/>
              </w:rPr>
            </w:pPr>
            <w:r>
              <w:rPr>
                <w:sz w:val="24"/>
                <w:rFonts w:ascii="Times New Roman" w:hAnsi="Times New Roman"/>
              </w:rPr>
              <w:t xml:space="preserve">Las entidades que apliquen el método estándar simplificado no reducirán la medida de la exposición total por el importe del margen recibido de conformidad con el artículo 429 </w:t>
            </w:r>
            <w:r>
              <w:rPr>
                <w:sz w:val="24"/>
                <w:i/>
                <w:iCs/>
                <w:rFonts w:ascii="Times New Roman" w:hAnsi="Times New Roman"/>
              </w:rPr>
              <w:t xml:space="preserve">quater</w:t>
            </w:r>
            <w:r>
              <w:rPr>
                <w:sz w:val="24"/>
                <w:rFonts w:ascii="Times New Roman" w:hAnsi="Times New Roman"/>
              </w:rPr>
              <w:t xml:space="preserve">, apartado 6, del Reglamento (UE) n.º 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bCs/>
                <w:sz w:val="24"/>
                <w:szCs w:val="24"/>
                <w:rFonts w:ascii="Times New Roman" w:hAnsi="Times New Roman"/>
              </w:rPr>
            </w:pPr>
            <w:r>
              <w:rPr>
                <w:sz w:val="24"/>
                <w:rFonts w:ascii="Times New Roman" w:hAnsi="Times New Roman"/>
              </w:rPr>
              <w:t xml:space="preserve">{0104;0010}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 Efecto del componente ECC excluido de exposiciones de negociación compensadas por el cliente (método estándar simplificado — exposición futura potencial)</w:t>
            </w:r>
          </w:p>
          <w:p w14:paraId="350D0B05" w14:textId="62172539" w:rsidR="00E1595A" w:rsidRPr="000B66BC" w:rsidRDefault="00E1595A"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g), del Reglamento (UE) n.º 575/2013.</w:t>
            </w:r>
          </w:p>
          <w:p w14:paraId="7020C299" w14:textId="52211B9C" w:rsidR="00E1595A" w:rsidRPr="000B66BC" w:rsidRDefault="00E1595A" w:rsidP="000B66BC">
            <w:pPr>
              <w:pStyle w:val="BodyText1"/>
              <w:spacing w:after="240" w:line="240" w:lineRule="auto"/>
              <w:rPr>
                <w:bCs/>
                <w:sz w:val="24"/>
                <w:szCs w:val="24"/>
                <w:rFonts w:ascii="Times New Roman" w:hAnsi="Times New Roman"/>
              </w:rPr>
            </w:pPr>
            <w:r>
              <w:rPr>
                <w:sz w:val="24"/>
                <w:rFonts w:ascii="Times New Roman" w:hAnsi="Times New Roman"/>
              </w:rPr>
              <w:t xml:space="preserve">La exposición futura potencial de exposiciones de negociación frente a una ECCC excluidas procedentes de las operaciones con derivados compensadas por el cliente, siempre que dichas partidas cumplan las condiciones establecidas en el artículo 306, apartado 1, letra c), del Reglamento (UE) n.º 575/2013.</w:t>
            </w:r>
            <w:r>
              <w:rPr>
                <w:sz w:val="24"/>
                <w:rFonts w:ascii="Times New Roman" w:hAnsi="Times New Roman"/>
              </w:rPr>
              <w:t xml:space="preserve"> </w:t>
            </w:r>
            <w:r>
              <w:rPr>
                <w:sz w:val="24"/>
                <w:rFonts w:ascii="Times New Roman" w:hAnsi="Times New Roman"/>
              </w:rPr>
              <w:t xml:space="preserve">El importe se consignará aplicando el factor alfa 1,4 según lo especificado en el artículo 274, apartado 2, del Reglamento (UE) n.º 575/2013.</w:t>
            </w:r>
          </w:p>
          <w:p w14:paraId="419E01C7" w14:textId="70A232D0" w:rsidR="00E1595A" w:rsidRPr="000B66BC" w:rsidRDefault="00E1595A"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incluirán el importe comunicado en esta celda también en {0103;0010}, como si no se aplicara la exclusión.</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Excepción aplicable a los derivados: método de la exposición original</w:t>
            </w:r>
          </w:p>
          <w:p w14:paraId="6E5CD50D" w14:textId="5B2D1AE5"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 6, y artículo 282 del Reglamento (UE) n.º 575/2013.</w:t>
            </w:r>
          </w:p>
          <w:p w14:paraId="394FA10D" w14:textId="43C3B25D"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Esta celda recoge la medida de la exposición de los contratos enumerados en el anexo II, puntos 1 y 2, del Reglamento (UE) n.º 575/2013, calculada de conformidad con el método de riesgo original previsto en el artículo 282 del Reglamento (UE) n.º 575/2013.</w:t>
            </w:r>
          </w:p>
          <w:p w14:paraId="0B0A4108" w14:textId="459E724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que apliquen el método de la exposición original no deducirán de la medida de la exposición el importe del margen de variación recibido de conformidad con el artículo 429 </w:t>
            </w:r>
            <w:r>
              <w:rPr>
                <w:sz w:val="24"/>
                <w:i/>
                <w:iCs/>
                <w:rFonts w:ascii="Times New Roman" w:hAnsi="Times New Roman"/>
              </w:rPr>
              <w:t xml:space="preserve">quater</w:t>
            </w:r>
            <w:r>
              <w:rPr>
                <w:sz w:val="24"/>
                <w:rFonts w:ascii="Times New Roman" w:hAnsi="Times New Roman"/>
              </w:rPr>
              <w:t xml:space="preserve">, apartado 6, del Reglamento (UE) n.º 575/2013.</w:t>
            </w:r>
          </w:p>
          <w:p w14:paraId="39B54B07" w14:textId="5E193AC3"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que no utilicen el método de la exposición original no cumplimentarán esta celda.</w:t>
            </w:r>
          </w:p>
          <w:p w14:paraId="1981EF1E" w14:textId="08F03AC9" w:rsidR="00CB48CC" w:rsidRPr="000B66BC" w:rsidRDefault="00CB48CC" w:rsidP="000B66BC">
            <w:pPr>
              <w:pStyle w:val="BodyText1"/>
              <w:spacing w:after="240" w:line="240" w:lineRule="auto"/>
              <w:rPr>
                <w:bCs/>
                <w:sz w:val="24"/>
                <w:szCs w:val="24"/>
                <w:u w:val="single"/>
                <w:rFonts w:ascii="Times New Roman" w:hAnsi="Times New Roman"/>
              </w:rPr>
            </w:pPr>
            <w:r>
              <w:rPr>
                <w:sz w:val="24"/>
                <w:rFonts w:ascii="Times New Roman" w:hAnsi="Times New Roman"/>
              </w:rPr>
              <w:t xml:space="preserve">Las entidades no considerarán en esta celda los contratos valorados mediante la aplicación del método estándar para el riesgo de crédito de contraparte ni del método estándar simplificado.</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{0120;0010}</w:t>
            </w:r>
          </w:p>
        </w:tc>
        <w:tc>
          <w:tcPr>
            <w:tcW w:w="7566" w:type="dxa"/>
          </w:tcPr>
          <w:p w14:paraId="6FE290CC" w14:textId="030BF2BC"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Componente ECC excluido de exposiciones de negociación compensadas por el cliente (método de la exposición original)</w:t>
            </w:r>
          </w:p>
          <w:p w14:paraId="7A371D92" w14:textId="6A92D51F" w:rsidR="00CB48CC" w:rsidRPr="000B66BC" w:rsidRDefault="00803EDD"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g), del Reglamento (UE) n.º 575/2013.</w:t>
            </w:r>
          </w:p>
          <w:p w14:paraId="6CD3BE79" w14:textId="0E1CDA14"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Componente ECC excluido de las exposiciones de negociación compensadas por el cliente cuando se aplica el método de la exposición original, según lo establecido en el artículo 282 del Reglamento (UE) n.º 575/2013, siempre que dichas partidas cumplan las condiciones establecidas en el artículo 306, apartado 1, letra c), del Reglamento (UE) n.º 575/2013.</w:t>
            </w:r>
          </w:p>
          <w:p w14:paraId="18D8428B" w14:textId="6B3C879B"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incluirán el importe comunicado en esta celda también en {0110;0010}, como si no se aplicara la exclusión.</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{0130;0010}</w:t>
            </w:r>
          </w:p>
        </w:tc>
        <w:tc>
          <w:tcPr>
            <w:tcW w:w="7566" w:type="dxa"/>
          </w:tcPr>
          <w:p w14:paraId="0ECB889E" w14:textId="0C2B43CB"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Importe nocional, una vez aplicado el límite máximo, de los derivados de crédito suscritos</w:t>
            </w:r>
          </w:p>
          <w:p w14:paraId="3144DF47" w14:textId="03E6EFAF"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quinquies</w:t>
            </w:r>
            <w:r>
              <w:rPr>
                <w:sz w:val="24"/>
                <w:rFonts w:ascii="Times New Roman" w:hAnsi="Times New Roman"/>
              </w:rPr>
              <w:t xml:space="preserve"> del Reglamento (UE) n.º 575/2013.</w:t>
            </w:r>
          </w:p>
          <w:p w14:paraId="7435D499" w14:textId="4D85CBD0" w:rsidR="00CB48CC" w:rsidRPr="000B66BC" w:rsidRDefault="00E75BB8"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determinarán el importe nocional, una vez aplicado el límite máximo, de los derivados de crédito suscritos, según la definición del artículo 429 </w:t>
            </w:r>
            <w:r>
              <w:rPr>
                <w:sz w:val="24"/>
                <w:i/>
                <w:iCs/>
                <w:rFonts w:ascii="Times New Roman" w:hAnsi="Times New Roman"/>
              </w:rPr>
              <w:t xml:space="preserve">quinquies</w:t>
            </w:r>
            <w:r>
              <w:rPr>
                <w:sz w:val="24"/>
                <w:rFonts w:ascii="Times New Roman" w:hAnsi="Times New Roman"/>
              </w:rPr>
              <w:t xml:space="preserve">, apartado 1, de conformidad con el artículo 429 </w:t>
            </w:r>
            <w:r>
              <w:rPr>
                <w:sz w:val="24"/>
                <w:i/>
                <w:iCs/>
                <w:rFonts w:ascii="Times New Roman" w:hAnsi="Times New Roman"/>
              </w:rPr>
              <w:t xml:space="preserve">quinquies</w:t>
            </w:r>
            <w:r>
              <w:rPr>
                <w:sz w:val="24"/>
                <w:rFonts w:ascii="Times New Roman" w:hAnsi="Times New Roman"/>
              </w:rPr>
              <w:t xml:space="preserve"> del Reglamento (UE) n.º 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{0140;0010}</w:t>
            </w:r>
          </w:p>
        </w:tc>
        <w:tc>
          <w:tcPr>
            <w:tcW w:w="7566" w:type="dxa"/>
          </w:tcPr>
          <w:p w14:paraId="7C62D40B" w14:textId="77777777"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Derivados de crédito adquiridos admisibles compensados con derivados de crédito suscritos</w:t>
            </w:r>
          </w:p>
          <w:p w14:paraId="64C8DF12" w14:textId="20E8D018"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quinquies</w:t>
            </w:r>
            <w:r>
              <w:rPr>
                <w:sz w:val="24"/>
                <w:rFonts w:ascii="Times New Roman" w:hAnsi="Times New Roman"/>
              </w:rPr>
              <w:t xml:space="preserve"> del Reglamento (UE) n.º 575/2013.</w:t>
            </w:r>
          </w:p>
          <w:p w14:paraId="444D1EBB" w14:textId="45DE543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nocional, una vez aplicado el límite máximo, de los derivados de crédito adquiridos (es decir, cuando la entidad compra protección crediticia a una contraparte) sobre los mismos nombres de referencia que los derivados de crédito suscritos por la entidad, cuando el vencimiento residual de la protección adquirida sea mayor o igual que el vencimiento residual de la protección vendida.</w:t>
            </w:r>
            <w:r>
              <w:rPr>
                <w:sz w:val="24"/>
                <w:rFonts w:ascii="Times New Roman" w:hAnsi="Times New Roman"/>
              </w:rPr>
              <w:t xml:space="preserve"> </w:t>
            </w:r>
            <w:r>
              <w:rPr>
                <w:sz w:val="24"/>
                <w:rFonts w:ascii="Times New Roman" w:hAnsi="Times New Roman"/>
              </w:rPr>
              <w:t xml:space="preserve">Por lo tanto, el valor no deberá ser mayor que el consignado en {0130;0010} para cada nombre de referencia.</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Partidas fuera de balance con un factor de conversión del 10 %, de conformidad con el artículo 429 </w:t>
            </w:r>
            <w:r>
              <w:rPr>
                <w:b/>
                <w:sz w:val="24"/>
                <w:i/>
                <w:rFonts w:ascii="Times New Roman" w:hAnsi="Times New Roman"/>
              </w:rPr>
              <w:t xml:space="preserve">septies</w:t>
            </w:r>
            <w:r>
              <w:rPr>
                <w:b/>
                <w:sz w:val="24"/>
                <w:rFonts w:ascii="Times New Roman" w:hAnsi="Times New Roman"/>
              </w:rPr>
              <w:t xml:space="preserve"> del RRC</w:t>
            </w:r>
          </w:p>
          <w:p w14:paraId="7C110152" w14:textId="2049FE67" w:rsidR="00CB48CC" w:rsidRPr="003D12C1" w:rsidRDefault="00867B43" w:rsidP="000B66BC">
            <w:pPr>
              <w:pStyle w:val="BodyText1"/>
              <w:spacing w:after="240" w:line="240" w:lineRule="auto"/>
              <w:rPr>
                <w:bCs/>
                <w:sz w:val="24"/>
                <w:szCs w:val="24"/>
                <w:rFonts w:ascii="Times New Roman" w:hAnsi="Times New Roman"/>
              </w:rPr>
            </w:pPr>
            <w:r>
              <w:rPr>
                <w:sz w:val="24"/>
                <w:rFonts w:ascii="Times New Roman" w:hAnsi="Times New Roman"/>
              </w:rPr>
              <w:t xml:space="preserve">El valor de exposición de conformidad con el artículo 429 </w:t>
            </w:r>
            <w:r>
              <w:rPr>
                <w:sz w:val="24"/>
                <w:i/>
                <w:iCs/>
                <w:rFonts w:ascii="Times New Roman" w:hAnsi="Times New Roman"/>
              </w:rPr>
              <w:t xml:space="preserve">septies</w:t>
            </w:r>
            <w:r>
              <w:rPr>
                <w:sz w:val="24"/>
                <w:rFonts w:ascii="Times New Roman" w:hAnsi="Times New Roman"/>
              </w:rPr>
              <w:t xml:space="preserve"> y el artículo 111, apartado 2, letra e), y apartado 3, del Reglamento (UE) n.º 575/2013.</w:t>
            </w:r>
          </w:p>
          <w:p w14:paraId="6707D5C8" w14:textId="795C2D7D" w:rsidR="00494A67" w:rsidRPr="003D12C1" w:rsidRDefault="00406DB7" w:rsidP="000B66BC">
            <w:pPr>
              <w:pStyle w:val="BodyText1"/>
              <w:spacing w:after="240" w:line="240" w:lineRule="auto"/>
              <w:rPr>
                <w:bCs/>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Reglamento (UE) n.º 575/2013.</w:t>
            </w:r>
            <w:r>
              <w:rPr>
                <w:sz w:val="24"/>
                <w:rFonts w:ascii="Times New Roman" w:hAnsi="Times New Roman"/>
              </w:rPr>
              <w:t xml:space="preserve"> </w:t>
            </w:r>
          </w:p>
          <w:p w14:paraId="7057DD3E" w14:textId="18CCDCA2"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Cabe recordar que el valor nominal no puede reducirse mediante ajustes por riesgo de crédito específico antes de aplicar el factor de conversión</w:t>
            </w:r>
            <w:r>
              <w:rPr>
                <w:sz w:val="24"/>
              </w:rPr>
              <w:t xml:space="preserve">.</w:t>
            </w:r>
            <w:r>
              <w:rPr>
                <w:sz w:val="24"/>
              </w:rPr>
              <w:t xml:space="preserve"> </w:t>
            </w:r>
            <w:r>
              <w:rPr>
                <w:sz w:val="24"/>
                <w:rFonts w:ascii="Times New Roman" w:hAnsi="Times New Roman"/>
              </w:rPr>
              <w:t xml:space="preserve">De conformidad con el artículo 429 </w:t>
            </w:r>
            <w:r>
              <w:rPr>
                <w:sz w:val="24"/>
                <w:i/>
                <w:iCs/>
                <w:rFonts w:ascii="Times New Roman" w:hAnsi="Times New Roman"/>
              </w:rPr>
              <w:t xml:space="preserve">septies</w:t>
            </w:r>
            <w:r>
              <w:rPr>
                <w:sz w:val="24"/>
                <w:rFonts w:ascii="Times New Roman" w:hAnsi="Times New Roman"/>
              </w:rPr>
              <w:t xml:space="preserve">, apartado 2, las entidades podrán deducir del importe equivalente de la exposición crediticia de una partida fuera de balance el importe correspondiente de los ajustes por riesgo de crédito específico.</w:t>
            </w:r>
            <w:r>
              <w:rPr>
                <w:sz w:val="24"/>
                <w:rFonts w:ascii="Times New Roman" w:hAnsi="Times New Roman"/>
              </w:rPr>
              <w:t xml:space="preserve"> </w:t>
            </w:r>
            <w:r>
              <w:rPr>
                <w:sz w:val="24"/>
                <w:rFonts w:ascii="Times New Roman" w:hAnsi="Times New Roman"/>
              </w:rPr>
              <w:t xml:space="preserve">Este cálculo estará sujeto a un valor mínimo igual a cero.</w:t>
            </w:r>
          </w:p>
          <w:p w14:paraId="34359CD8" w14:textId="4FC2CED3"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Cuando un compromiso se refiera a la ampliación de otra partida fuera de balance, se utilizará el menor de los dos factores de conversión (el asociado a la partida respecto a la cual se contrae el compromiso o el asociado al tipo de compromiso contraído) de conformidad con el artículo 111, apartado 3, del Reglamento (UE) n.º 575/2013.</w:t>
            </w:r>
          </w:p>
          <w:p w14:paraId="39DFADB3" w14:textId="3712D59A" w:rsidR="00CB48CC" w:rsidRDefault="00CB48CC" w:rsidP="0061658B">
            <w:pPr>
              <w:pStyle w:val="BodyText1"/>
              <w:spacing w:after="240"/>
              <w:rPr>
                <w:bCs/>
                <w:sz w:val="24"/>
                <w:szCs w:val="24"/>
                <w:rFonts w:ascii="Times New Roman" w:hAnsi="Times New Roman"/>
              </w:rPr>
            </w:pPr>
            <w:r>
              <w:rPr>
                <w:sz w:val="24"/>
                <w:rFonts w:ascii="Times New Roman" w:hAnsi="Times New Roman"/>
              </w:rPr>
              <w:t xml:space="preserve">Las entidades no considerarán en esta celda los contratos enumerados en el anexo II del Reglamento (UE) n.º 575/2013, los derivados de crédito, las SFT ni las posiciones mencionados en el artículo 429 </w:t>
            </w:r>
            <w:r>
              <w:rPr>
                <w:sz w:val="24"/>
                <w:i/>
                <w:iCs/>
                <w:rFonts w:ascii="Times New Roman" w:hAnsi="Times New Roman"/>
              </w:rPr>
              <w:t xml:space="preserve">quinquies</w:t>
            </w:r>
            <w:r>
              <w:rPr>
                <w:sz w:val="24"/>
                <w:rFonts w:ascii="Times New Roman" w:hAnsi="Times New Roman"/>
              </w:rPr>
              <w:t xml:space="preserve">, de conformidad con el artículo 429 </w:t>
            </w:r>
            <w:r>
              <w:rPr>
                <w:sz w:val="24"/>
                <w:i/>
                <w:iCs/>
                <w:rFonts w:ascii="Times New Roman" w:hAnsi="Times New Roman"/>
              </w:rPr>
              <w:t xml:space="preserve">septies</w:t>
            </w:r>
            <w:r>
              <w:rPr>
                <w:sz w:val="24"/>
                <w:rFonts w:ascii="Times New Roman" w:hAnsi="Times New Roman"/>
              </w:rPr>
              <w:t xml:space="preserve"> del Reglamento (UE) n.º 575/2013.</w:t>
            </w:r>
          </w:p>
          <w:p w14:paraId="2398A4B9" w14:textId="5CEEC100" w:rsidR="004B1D31" w:rsidRPr="000B66BC" w:rsidRDefault="004B1D31" w:rsidP="0061658B">
            <w:pPr>
              <w:pStyle w:val="BodyText1"/>
              <w:spacing w:after="240"/>
              <w:rPr>
                <w:sz w:val="24"/>
                <w:szCs w:val="24"/>
                <w:rFonts w:ascii="Times New Roman" w:hAnsi="Times New Roman"/>
              </w:rPr>
            </w:pPr>
            <w:r>
              <w:rPr>
                <w:sz w:val="24"/>
                <w:rFonts w:ascii="Times New Roman" w:hAnsi="Times New Roman"/>
              </w:rPr>
              <w:t xml:space="preserve">Las entidades aplicarán un factor de conversión del 10 % a efectos de los compromisos cancelables incondicionalmente, de conformidad con el artículo 429 </w:t>
            </w:r>
            <w:r>
              <w:rPr>
                <w:sz w:val="24"/>
                <w:i/>
                <w:iCs/>
                <w:rFonts w:ascii="Times New Roman" w:hAnsi="Times New Roman"/>
              </w:rPr>
              <w:t xml:space="preserve">septies</w:t>
            </w:r>
            <w:r>
              <w:rPr>
                <w:sz w:val="24"/>
                <w:rFonts w:ascii="Times New Roman" w:hAnsi="Times New Roman"/>
              </w:rPr>
              <w:t xml:space="preserve">, apartado 3.</w:t>
            </w:r>
            <w:r>
              <w:rPr>
                <w:sz w:val="24"/>
                <w:color w:val="auto"/>
                <w:rFonts w:ascii="Times New Roman" w:hAnsi="Times New Roman"/>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{0160;0010}</w:t>
            </w:r>
          </w:p>
        </w:tc>
        <w:tc>
          <w:tcPr>
            <w:tcW w:w="7566" w:type="dxa"/>
          </w:tcPr>
          <w:p w14:paraId="079FCB69" w14:textId="5B79425E"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Partidas fuera de balance con un factor de conversión del 20 %, de conformidad con el artículo 429 </w:t>
            </w:r>
            <w:r>
              <w:rPr>
                <w:b/>
                <w:sz w:val="24"/>
                <w:i/>
                <w:rFonts w:ascii="Times New Roman" w:hAnsi="Times New Roman"/>
              </w:rPr>
              <w:t xml:space="preserve">septies</w:t>
            </w:r>
            <w:r>
              <w:rPr>
                <w:b/>
                <w:sz w:val="24"/>
                <w:rFonts w:ascii="Times New Roman" w:hAnsi="Times New Roman"/>
              </w:rPr>
              <w:t xml:space="preserve"> del RRC</w:t>
            </w:r>
          </w:p>
          <w:p w14:paraId="1808F2C6" w14:textId="505700F8" w:rsidR="00CB48CC" w:rsidRPr="000B66BC" w:rsidRDefault="004127BF" w:rsidP="000B66BC">
            <w:pPr>
              <w:pStyle w:val="BodyText1"/>
              <w:spacing w:after="240" w:line="240" w:lineRule="auto"/>
              <w:rPr>
                <w:bCs/>
                <w:sz w:val="24"/>
                <w:szCs w:val="24"/>
                <w:rFonts w:ascii="Times New Roman" w:hAnsi="Times New Roman"/>
              </w:rPr>
            </w:pPr>
            <w:r>
              <w:rPr>
                <w:sz w:val="24"/>
                <w:rFonts w:ascii="Times New Roman" w:hAnsi="Times New Roman"/>
              </w:rPr>
              <w:t xml:space="preserve">El valor de exposición de conformidad con el artículo 429 </w:t>
            </w:r>
            <w:r>
              <w:rPr>
                <w:sz w:val="24"/>
                <w:i/>
                <w:iCs/>
                <w:rFonts w:ascii="Times New Roman" w:hAnsi="Times New Roman"/>
              </w:rPr>
              <w:t xml:space="preserve">septies</w:t>
            </w:r>
            <w:r>
              <w:rPr>
                <w:sz w:val="24"/>
                <w:rFonts w:ascii="Times New Roman" w:hAnsi="Times New Roman"/>
              </w:rPr>
              <w:t xml:space="preserve"> y el artículo 111, apartado 2, letra d), y apartado 3, del Reglamento (UE) n.º 575/2013.</w:t>
            </w:r>
          </w:p>
          <w:p w14:paraId="130864F0" w14:textId="06C16CD6" w:rsidR="00CB48CC" w:rsidRPr="000B66BC" w:rsidRDefault="00406DB7" w:rsidP="000B66BC">
            <w:pPr>
              <w:pStyle w:val="BodyText1"/>
              <w:spacing w:after="240" w:line="240" w:lineRule="auto"/>
              <w:rPr>
                <w:bCs/>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Reglamento (UE) n.º 575/2013.</w:t>
            </w:r>
            <w:r>
              <w:rPr>
                <w:sz w:val="24"/>
                <w:rFonts w:ascii="Times New Roman" w:hAnsi="Times New Roman"/>
              </w:rPr>
              <w:t xml:space="preserve"> </w:t>
            </w:r>
            <w:r>
              <w:rPr>
                <w:sz w:val="24"/>
                <w:rFonts w:ascii="Times New Roman" w:hAnsi="Times New Roman"/>
              </w:rPr>
              <w:t xml:space="preserve">Cabe recordar que el valor nominal no puede reducirse mediante ajustes por riesgo de crédito específico antes de aplicar el factor de conversión.</w:t>
            </w:r>
            <w:r>
              <w:rPr>
                <w:sz w:val="24"/>
                <w:rFonts w:ascii="Times New Roman" w:hAnsi="Times New Roman"/>
              </w:rPr>
              <w:t xml:space="preserve"> </w:t>
            </w:r>
            <w:r>
              <w:rPr>
                <w:sz w:val="24"/>
                <w:rFonts w:ascii="Times New Roman" w:hAnsi="Times New Roman"/>
              </w:rPr>
              <w:t xml:space="preserve">De conformidad con el artículo 429 </w:t>
            </w:r>
            <w:r>
              <w:rPr>
                <w:sz w:val="24"/>
                <w:i/>
                <w:iCs/>
                <w:rFonts w:ascii="Times New Roman" w:hAnsi="Times New Roman"/>
              </w:rPr>
              <w:t xml:space="preserve">septies</w:t>
            </w:r>
            <w:r>
              <w:rPr>
                <w:sz w:val="24"/>
                <w:rFonts w:ascii="Times New Roman" w:hAnsi="Times New Roman"/>
              </w:rPr>
              <w:t xml:space="preserve">, apartado 2, las entidades podrán deducir del importe equivalente de la exposición crediticia de una partida fuera de balance el importe correspondiente de los ajustes por riesgo de crédito específico.</w:t>
            </w:r>
            <w:r>
              <w:rPr>
                <w:sz w:val="24"/>
                <w:rFonts w:ascii="Times New Roman" w:hAnsi="Times New Roman"/>
              </w:rPr>
              <w:t xml:space="preserve"> </w:t>
            </w:r>
            <w:r>
              <w:rPr>
                <w:sz w:val="24"/>
                <w:rFonts w:ascii="Times New Roman" w:hAnsi="Times New Roman"/>
              </w:rPr>
              <w:t xml:space="preserve">Este cálculo estará sujeto a un valor mínimo igual a cero.</w:t>
            </w:r>
          </w:p>
          <w:p w14:paraId="771B332A" w14:textId="4AB3716F"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Cuando un compromiso se refiera a la ampliación de otra partida fuera de balance, se utilizará el menor de los dos factores de conversión (el asociado</w:t>
            </w:r>
            <w:r>
              <w:rPr>
                <w:sz w:val="24"/>
                <w:rFonts w:ascii="Times New Roman" w:hAnsi="Times New Roman"/>
              </w:rPr>
              <w:t xml:space="preserve"> a</w:t>
            </w:r>
            <w:r>
              <w:rPr>
                <w:sz w:val="24"/>
                <w:rFonts w:ascii="Times New Roman" w:hAnsi="Times New Roman"/>
              </w:rPr>
              <w:t xml:space="preserve"> la partida respecto a la cual se contrae el compromiso o el asociado al tipo de compromiso contraído) de conformidad con el artículo 111, apartado 3, del Reglamento (UE) n.º 575/2013.</w:t>
            </w:r>
          </w:p>
          <w:p w14:paraId="6986CCC3" w14:textId="4845021E" w:rsidR="003A5EB5" w:rsidRPr="000B66BC" w:rsidRDefault="00CB48CC"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no considerarán en esta celda los contratos enumerados en el anexo II del Reglamento (UE) n.º 575/2013, los derivados de crédito, las SFT ni las posiciones mencionados en el artículo 429 </w:t>
            </w:r>
            <w:r>
              <w:rPr>
                <w:sz w:val="24"/>
                <w:i/>
                <w:iCs/>
                <w:rFonts w:ascii="Times New Roman" w:hAnsi="Times New Roman"/>
              </w:rPr>
              <w:t xml:space="preserve">quinquies</w:t>
            </w:r>
            <w:r>
              <w:rPr>
                <w:sz w:val="24"/>
                <w:rFonts w:ascii="Times New Roman" w:hAnsi="Times New Roman"/>
              </w:rPr>
              <w:t xml:space="preserve">, de conformidad con el artículo 429 </w:t>
            </w:r>
            <w:r>
              <w:rPr>
                <w:sz w:val="24"/>
                <w:i/>
                <w:iCs/>
                <w:rFonts w:ascii="Times New Roman" w:hAnsi="Times New Roman"/>
              </w:rPr>
              <w:t xml:space="preserve">septies</w:t>
            </w:r>
            <w:r>
              <w:rPr>
                <w:sz w:val="24"/>
                <w:rFonts w:ascii="Times New Roman" w:hAnsi="Times New Roman"/>
              </w:rPr>
              <w:t xml:space="preserve"> del Reglamento (UE) n.º 575/2013.</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bCs/>
                <w:sz w:val="24"/>
                <w:szCs w:val="24"/>
                <w:rFonts w:ascii="Times New Roman" w:hAnsi="Times New Roman"/>
              </w:rPr>
            </w:pPr>
            <w:r>
              <w:rPr>
                <w:sz w:val="24"/>
                <w:rFonts w:ascii="Times New Roman" w:hAnsi="Times New Roman"/>
              </w:rPr>
              <w:t xml:space="preserve">{0165;0010}</w:t>
            </w:r>
          </w:p>
        </w:tc>
        <w:tc>
          <w:tcPr>
            <w:tcW w:w="7566" w:type="dxa"/>
          </w:tcPr>
          <w:p w14:paraId="2CE0BE47" w14:textId="1A6F01F5" w:rsidR="00B64E88" w:rsidRDefault="00412D6E"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Partidas fuera de balance con un factor de conversión del 40 %, de conformidad con el artículo 429 </w:t>
            </w:r>
            <w:r>
              <w:rPr>
                <w:b/>
                <w:sz w:val="24"/>
                <w:i/>
                <w:iCs/>
                <w:rFonts w:ascii="Times New Roman" w:hAnsi="Times New Roman"/>
              </w:rPr>
              <w:t xml:space="preserve">septies</w:t>
            </w:r>
            <w:r>
              <w:rPr>
                <w:b/>
                <w:sz w:val="24"/>
                <w:rFonts w:ascii="Times New Roman" w:hAnsi="Times New Roman"/>
              </w:rPr>
              <w:t xml:space="preserve"> del RRC</w:t>
            </w:r>
          </w:p>
          <w:p w14:paraId="733C45E6" w14:textId="419DBB23" w:rsidR="00DF7B01" w:rsidRPr="00012719" w:rsidRDefault="004127BF" w:rsidP="005A5E25">
            <w:pPr>
              <w:pStyle w:val="BodyText1"/>
              <w:spacing w:before="240" w:line="276" w:lineRule="auto"/>
              <w:rPr>
                <w:bCs/>
                <w:sz w:val="24"/>
                <w:szCs w:val="24"/>
                <w:rFonts w:ascii="Times New Roman" w:hAnsi="Times New Roman"/>
              </w:rPr>
            </w:pPr>
            <w:r>
              <w:rPr>
                <w:sz w:val="24"/>
                <w:rFonts w:ascii="Times New Roman" w:hAnsi="Times New Roman"/>
              </w:rPr>
              <w:t xml:space="preserve">El valor de exposición de conformidad con el artículo 429 </w:t>
            </w:r>
            <w:r>
              <w:rPr>
                <w:sz w:val="24"/>
                <w:i/>
                <w:iCs/>
                <w:rFonts w:ascii="Times New Roman" w:hAnsi="Times New Roman"/>
              </w:rPr>
              <w:t xml:space="preserve">septies</w:t>
            </w:r>
            <w:r>
              <w:rPr>
                <w:sz w:val="24"/>
                <w:rFonts w:ascii="Times New Roman" w:hAnsi="Times New Roman"/>
              </w:rPr>
              <w:t xml:space="preserve"> y el artículo 111, apartado 2, letra c), y apartado 3, del Reglamento (UE) n.º 575/2013.</w:t>
            </w:r>
          </w:p>
          <w:p w14:paraId="0E51A0A8" w14:textId="11457FFC" w:rsidR="000D5576" w:rsidRPr="000B66BC" w:rsidRDefault="000D5576" w:rsidP="005A5E25">
            <w:pPr>
              <w:pStyle w:val="BodyText1"/>
              <w:spacing w:before="240" w:after="240" w:line="276" w:lineRule="auto"/>
              <w:rPr>
                <w:bCs/>
                <w:sz w:val="24"/>
                <w:szCs w:val="24"/>
                <w:rFonts w:ascii="Times New Roman" w:hAnsi="Times New Roman"/>
              </w:rPr>
            </w:pPr>
            <w:r>
              <w:rPr>
                <w:sz w:val="24"/>
                <w:rFonts w:ascii="Times New Roman" w:hAnsi="Times New Roman"/>
              </w:rPr>
              <w:t xml:space="preserve">Cabe recordar que el valor nominal no puede reducirse mediante ajustes por riesgo de crédito específico antes de aplicar el factor de conversión.</w:t>
            </w:r>
            <w:r>
              <w:rPr>
                <w:sz w:val="24"/>
                <w:rFonts w:ascii="Times New Roman" w:hAnsi="Times New Roman"/>
              </w:rPr>
              <w:t xml:space="preserve"> </w:t>
            </w:r>
            <w:r>
              <w:rPr>
                <w:sz w:val="24"/>
                <w:rFonts w:ascii="Times New Roman" w:hAnsi="Times New Roman"/>
              </w:rPr>
              <w:t xml:space="preserve">De conformidad con el artículo 429 </w:t>
            </w:r>
            <w:r>
              <w:rPr>
                <w:sz w:val="24"/>
                <w:i/>
                <w:iCs/>
                <w:rFonts w:ascii="Times New Roman" w:hAnsi="Times New Roman"/>
              </w:rPr>
              <w:t xml:space="preserve">septies</w:t>
            </w:r>
            <w:r>
              <w:rPr>
                <w:sz w:val="24"/>
                <w:rFonts w:ascii="Times New Roman" w:hAnsi="Times New Roman"/>
              </w:rPr>
              <w:t xml:space="preserve">, apartado 2, las entidades podrán deducir del importe equivalente de la exposición crediticia de una partida fuera de balance el importe correspondiente de los ajustes por riesgo de crédito específico.</w:t>
            </w:r>
            <w:r>
              <w:rPr>
                <w:sz w:val="24"/>
                <w:rFonts w:ascii="Times New Roman" w:hAnsi="Times New Roman"/>
              </w:rPr>
              <w:t xml:space="preserve"> </w:t>
            </w:r>
            <w:r>
              <w:rPr>
                <w:sz w:val="24"/>
                <w:rFonts w:ascii="Times New Roman" w:hAnsi="Times New Roman"/>
              </w:rPr>
              <w:t xml:space="preserve">Este cálculo estará sujeto a un valor mínimo igual a cero.</w:t>
            </w:r>
          </w:p>
          <w:p w14:paraId="76BB5F85" w14:textId="192A0C50" w:rsidR="000D5576" w:rsidRPr="000B66BC" w:rsidRDefault="000D5576" w:rsidP="000D5576">
            <w:pPr>
              <w:pStyle w:val="BodyText1"/>
              <w:spacing w:after="240" w:line="240" w:lineRule="auto"/>
              <w:rPr>
                <w:bCs/>
                <w:sz w:val="24"/>
                <w:szCs w:val="24"/>
                <w:rFonts w:ascii="Times New Roman" w:hAnsi="Times New Roman"/>
              </w:rPr>
            </w:pPr>
            <w:r>
              <w:rPr>
                <w:sz w:val="24"/>
                <w:rFonts w:ascii="Times New Roman" w:hAnsi="Times New Roman"/>
              </w:rPr>
              <w:t xml:space="preserve">Cuando un compromiso se refiera a la ampliación de otra </w:t>
            </w:r>
            <w:r>
              <w:rPr>
                <w:sz w:val="24"/>
                <w:rFonts w:ascii="Times New Roman" w:hAnsi="Times New Roman"/>
              </w:rPr>
              <w:t xml:space="preserve">partida </w:t>
            </w:r>
            <w:r>
              <w:rPr>
                <w:sz w:val="24"/>
                <w:rFonts w:ascii="Times New Roman" w:hAnsi="Times New Roman"/>
              </w:rPr>
              <w:t xml:space="preserve">fuera de balance, se utilizará el menor de los dos factores de conversión (el asociado a la partida respecto a la cual se contrae el compromiso o el asociado al tipo de compromiso contraído) de conformidad con el artículo 111, apartado 3, del Reglamento (UE) n.º 575/2013.</w:t>
            </w:r>
          </w:p>
          <w:p w14:paraId="7D87CAA4" w14:textId="5E43F9DD" w:rsidR="000D5576" w:rsidRPr="000B66BC" w:rsidRDefault="000D5576" w:rsidP="000D5576">
            <w:pPr>
              <w:pStyle w:val="BodyText1"/>
              <w:spacing w:after="240" w:line="240" w:lineRule="auto"/>
              <w:rPr>
                <w:b/>
                <w:bCs/>
                <w:sz w:val="24"/>
                <w:szCs w:val="24"/>
                <w:rFonts w:ascii="Times New Roman" w:hAnsi="Times New Roman"/>
              </w:rPr>
            </w:pPr>
            <w:r>
              <w:rPr>
                <w:sz w:val="24"/>
                <w:rFonts w:ascii="Times New Roman" w:hAnsi="Times New Roman"/>
              </w:rPr>
              <w:t xml:space="preserve">Las entidades no considerarán en esta celda los contratos enumerados en el anexo II del Reglamento (UE) n.º 575/2013, los derivados de crédito, las SFT ni las posiciones mencionados en el artículo 429 </w:t>
            </w:r>
            <w:r>
              <w:rPr>
                <w:sz w:val="24"/>
                <w:i/>
                <w:iCs/>
                <w:rFonts w:ascii="Times New Roman" w:hAnsi="Times New Roman"/>
              </w:rPr>
              <w:t xml:space="preserve">quinquies</w:t>
            </w:r>
            <w:r>
              <w:rPr>
                <w:sz w:val="24"/>
                <w:rFonts w:ascii="Times New Roman" w:hAnsi="Times New Roman"/>
              </w:rPr>
              <w:t xml:space="preserve">, de conformidad con el artículo 429 </w:t>
            </w:r>
            <w:r>
              <w:rPr>
                <w:sz w:val="24"/>
                <w:i/>
                <w:iCs/>
                <w:rFonts w:ascii="Times New Roman" w:hAnsi="Times New Roman"/>
              </w:rPr>
              <w:t xml:space="preserve">septies</w:t>
            </w:r>
            <w:r>
              <w:rPr>
                <w:sz w:val="24"/>
                <w:rFonts w:ascii="Times New Roman" w:hAnsi="Times New Roman"/>
              </w:rPr>
              <w:t xml:space="preserve"> del Reglamento (UE) n.º 575/2013.</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Partidas fuera de balance con un factor de conversión del 50 %, de conformidad con el artículo 429 </w:t>
            </w:r>
            <w:r>
              <w:rPr>
                <w:b/>
                <w:sz w:val="24"/>
                <w:i/>
                <w:iCs/>
                <w:rFonts w:ascii="Times New Roman" w:hAnsi="Times New Roman"/>
              </w:rPr>
              <w:t xml:space="preserve">septies</w:t>
            </w:r>
            <w:r>
              <w:rPr>
                <w:b/>
                <w:sz w:val="24"/>
                <w:rFonts w:ascii="Times New Roman" w:hAnsi="Times New Roman"/>
              </w:rPr>
              <w:t xml:space="preserve"> del RRC</w:t>
            </w:r>
          </w:p>
          <w:p w14:paraId="7DA0F3D2" w14:textId="575D7B68" w:rsidR="00CB48CC" w:rsidRPr="000B66BC" w:rsidRDefault="004127BF" w:rsidP="000B66BC">
            <w:pPr>
              <w:pStyle w:val="BodyText1"/>
              <w:spacing w:after="240" w:line="240" w:lineRule="auto"/>
              <w:rPr>
                <w:bCs/>
                <w:sz w:val="24"/>
                <w:szCs w:val="24"/>
                <w:rFonts w:ascii="Times New Roman" w:hAnsi="Times New Roman"/>
              </w:rPr>
            </w:pPr>
            <w:r>
              <w:rPr>
                <w:sz w:val="24"/>
                <w:rFonts w:ascii="Times New Roman" w:hAnsi="Times New Roman"/>
              </w:rPr>
              <w:t xml:space="preserve">El valor de exposición de conformidad con el artículo 429 </w:t>
            </w:r>
            <w:r>
              <w:rPr>
                <w:sz w:val="24"/>
                <w:i/>
                <w:iCs/>
                <w:rFonts w:ascii="Times New Roman" w:hAnsi="Times New Roman"/>
              </w:rPr>
              <w:t xml:space="preserve">septies</w:t>
            </w:r>
            <w:r>
              <w:rPr>
                <w:sz w:val="24"/>
                <w:rFonts w:ascii="Times New Roman" w:hAnsi="Times New Roman"/>
              </w:rPr>
              <w:t xml:space="preserve"> y el artículo 111, apartado 2, letra b), y apartado 3, del Reglamento (UE) n.º 575/2013.</w:t>
            </w:r>
          </w:p>
          <w:p w14:paraId="512D74AD" w14:textId="0B92D63F" w:rsidR="00CB48CC" w:rsidRPr="000B66BC" w:rsidRDefault="00406DB7" w:rsidP="000B66BC">
            <w:pPr>
              <w:pStyle w:val="BodyText1"/>
              <w:spacing w:after="240" w:line="240" w:lineRule="auto"/>
              <w:rPr>
                <w:bCs/>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Reglamento (UE) n.º 575/2013.</w:t>
            </w:r>
            <w:r>
              <w:rPr>
                <w:sz w:val="24"/>
                <w:rFonts w:ascii="Times New Roman" w:hAnsi="Times New Roman"/>
              </w:rPr>
              <w:t xml:space="preserve"> </w:t>
            </w:r>
            <w:r>
              <w:rPr>
                <w:sz w:val="24"/>
                <w:rFonts w:ascii="Times New Roman" w:hAnsi="Times New Roman"/>
              </w:rPr>
              <w:t xml:space="preserve">Cabe recordar que el valor nominal no puede reducirse mediante ajustes por riesgo de crédito específico antes de aplicar el factor de conversión.</w:t>
            </w:r>
            <w:r>
              <w:rPr>
                <w:sz w:val="24"/>
                <w:rFonts w:ascii="Times New Roman" w:hAnsi="Times New Roman"/>
              </w:rPr>
              <w:t xml:space="preserve">De conformidad con el artículo 429 </w:t>
            </w:r>
            <w:r>
              <w:rPr>
                <w:sz w:val="24"/>
                <w:i/>
                <w:iCs/>
                <w:rFonts w:ascii="Times New Roman" w:hAnsi="Times New Roman"/>
              </w:rPr>
              <w:t xml:space="preserve">septies</w:t>
            </w:r>
            <w:r>
              <w:rPr>
                <w:sz w:val="24"/>
                <w:rFonts w:ascii="Times New Roman" w:hAnsi="Times New Roman"/>
              </w:rPr>
              <w:t xml:space="preserve">, apartado 2, las entidades podrán deducir del importe equivalente de la exposición crediticia de una partida fuera de balance el importe correspondiente de los ajustes por riesgo de crédito específico.</w:t>
            </w:r>
            <w:r>
              <w:rPr>
                <w:sz w:val="24"/>
                <w:rFonts w:ascii="Times New Roman" w:hAnsi="Times New Roman"/>
              </w:rPr>
              <w:t xml:space="preserve"> </w:t>
            </w:r>
            <w:r>
              <w:rPr>
                <w:sz w:val="24"/>
                <w:rFonts w:ascii="Times New Roman" w:hAnsi="Times New Roman"/>
              </w:rPr>
              <w:t xml:space="preserve">Este cálculo estará sujeto a un valor mínimo igual a cero.</w:t>
            </w:r>
          </w:p>
          <w:p w14:paraId="116B0E4F" w14:textId="1B31E164"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Esta celda incluye líneas de liquidez y otros compromisos respecto de titulizaciones.</w:t>
            </w:r>
            <w:r>
              <w:rPr>
                <w:sz w:val="24"/>
                <w:rFonts w:ascii="Times New Roman" w:hAnsi="Times New Roman"/>
              </w:rPr>
              <w:t xml:space="preserve"> </w:t>
            </w:r>
            <w:r>
              <w:rPr>
                <w:sz w:val="24"/>
                <w:rFonts w:ascii="Times New Roman" w:hAnsi="Times New Roman"/>
              </w:rPr>
              <w:t xml:space="preserve">Dicho de otro modo, el factor de conversión para todas las líneas de liquidez de conformidad con el artículo 255 del Reglamento (UE) n.º 575/2013 es del 50 % con independencia del vencimiento.</w:t>
            </w:r>
          </w:p>
          <w:p w14:paraId="4339295A" w14:textId="1AC63CC8"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Cuando un compromiso se refiera a la ampliación de otra partida fuera de balance, se utilizará el menor de los dos factores de conversión (el asociado a la partida respecto a la cual se contrae el compromiso o el asociado al tipo de compromiso contraído) de conformidad con el artículo 111, apartado 3, del Reglamento (UE) n.º 575/2013.</w:t>
            </w:r>
          </w:p>
          <w:p w14:paraId="6DDC311B" w14:textId="77CB6B51" w:rsidR="00CB48CC" w:rsidRPr="000B66BC" w:rsidRDefault="00CB48CC"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no considerarán en esta celda los contratos enumerados en el anexo II del Reglamento (UE) n.º 575/2013, los derivados de crédito, las SFT ni las posiciones mencionados en el artículo 429 </w:t>
            </w:r>
            <w:r>
              <w:rPr>
                <w:sz w:val="24"/>
                <w:i/>
                <w:iCs/>
                <w:rFonts w:ascii="Times New Roman" w:hAnsi="Times New Roman"/>
              </w:rPr>
              <w:t xml:space="preserve">quinquies</w:t>
            </w:r>
            <w:r>
              <w:rPr>
                <w:sz w:val="24"/>
                <w:rFonts w:ascii="Times New Roman" w:hAnsi="Times New Roman"/>
              </w:rPr>
              <w:t xml:space="preserve">, de conformidad con el artículo 429 </w:t>
            </w:r>
            <w:r>
              <w:rPr>
                <w:sz w:val="24"/>
                <w:i/>
                <w:iCs/>
                <w:rFonts w:ascii="Times New Roman" w:hAnsi="Times New Roman"/>
              </w:rPr>
              <w:t xml:space="preserve">septies</w:t>
            </w:r>
            <w:r>
              <w:rPr>
                <w:sz w:val="24"/>
                <w:rFonts w:ascii="Times New Roman" w:hAnsi="Times New Roman"/>
              </w:rPr>
              <w:t xml:space="preserve"> del Reglamento (UE) n.º 575/2013.</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Partidas fuera de balance con un factor de conversión del 100 %, de conformidad con el artículo 429 </w:t>
            </w:r>
            <w:r>
              <w:rPr>
                <w:b/>
                <w:sz w:val="24"/>
                <w:i/>
                <w:rFonts w:ascii="Times New Roman" w:hAnsi="Times New Roman"/>
              </w:rPr>
              <w:t xml:space="preserve">septies</w:t>
            </w:r>
            <w:r>
              <w:rPr>
                <w:b/>
                <w:sz w:val="24"/>
                <w:rFonts w:ascii="Times New Roman" w:hAnsi="Times New Roman"/>
              </w:rPr>
              <w:t xml:space="preserve"> del RRC</w:t>
            </w:r>
            <w:r>
              <w:rPr>
                <w:b/>
                <w:sz w:val="24"/>
                <w:rFonts w:ascii="Times New Roman" w:hAnsi="Times New Roman"/>
              </w:rPr>
              <w:t xml:space="preserve"> </w:t>
            </w:r>
          </w:p>
          <w:p w14:paraId="603EE80E" w14:textId="5805ED8A" w:rsidR="00CB48CC" w:rsidRPr="000B66BC" w:rsidRDefault="00D3062A" w:rsidP="000B66BC">
            <w:pPr>
              <w:pStyle w:val="BodyText1"/>
              <w:spacing w:after="240" w:line="240" w:lineRule="auto"/>
              <w:rPr>
                <w:bCs/>
                <w:sz w:val="24"/>
                <w:szCs w:val="24"/>
                <w:rFonts w:ascii="Times New Roman" w:hAnsi="Times New Roman"/>
              </w:rPr>
            </w:pPr>
            <w:r>
              <w:rPr>
                <w:sz w:val="24"/>
                <w:rFonts w:ascii="Times New Roman" w:hAnsi="Times New Roman"/>
              </w:rPr>
              <w:t xml:space="preserve">El valor de exposición de conformidad con el artículo 429 </w:t>
            </w:r>
            <w:r>
              <w:rPr>
                <w:sz w:val="24"/>
                <w:i/>
                <w:iCs/>
                <w:rFonts w:ascii="Times New Roman" w:hAnsi="Times New Roman"/>
              </w:rPr>
              <w:t xml:space="preserve">septies</w:t>
            </w:r>
            <w:r>
              <w:rPr>
                <w:sz w:val="24"/>
                <w:rFonts w:ascii="Times New Roman" w:hAnsi="Times New Roman"/>
              </w:rPr>
              <w:t xml:space="preserve"> y el artículo 111, apartado 2, letra a), y apartado 3, del Reglamento (UE) n.º 575/2013.</w:t>
            </w:r>
          </w:p>
          <w:p w14:paraId="02A01DC2" w14:textId="1E1A0970" w:rsidR="00CB48CC" w:rsidRPr="000B66BC" w:rsidRDefault="00406DB7" w:rsidP="000B66BC">
            <w:pPr>
              <w:pStyle w:val="BodyText1"/>
              <w:spacing w:after="240" w:line="240" w:lineRule="auto"/>
              <w:rPr>
                <w:bCs/>
                <w:sz w:val="24"/>
                <w:szCs w:val="24"/>
                <w:rFonts w:ascii="Times New Roman" w:hAnsi="Times New Roman"/>
              </w:rPr>
            </w:pPr>
            <w:r>
              <w:rPr>
                <w:sz w:val="24"/>
                <w:rFonts w:ascii="Times New Roman" w:hAnsi="Times New Roman"/>
              </w:rPr>
              <w:t xml:space="preserve"> </w:t>
            </w:r>
            <w:r>
              <w:rPr>
                <w:sz w:val="24"/>
                <w:rFonts w:ascii="Times New Roman" w:hAnsi="Times New Roman"/>
              </w:rPr>
              <w:t xml:space="preserve">Reglamento (UE) n.º 575/2013.</w:t>
            </w:r>
            <w:r>
              <w:rPr>
                <w:sz w:val="24"/>
                <w:rFonts w:ascii="Times New Roman" w:hAnsi="Times New Roman"/>
              </w:rPr>
              <w:t xml:space="preserve"> </w:t>
            </w:r>
            <w:r>
              <w:rPr>
                <w:sz w:val="24"/>
                <w:rFonts w:ascii="Times New Roman" w:hAnsi="Times New Roman"/>
              </w:rPr>
              <w:t xml:space="preserve">Cabe recordar que el valor nominal no puede reducirse mediante ajustes por riesgo de crédito específico antes de aplicar el factor de conversión.</w:t>
            </w:r>
            <w:r>
              <w:rPr>
                <w:sz w:val="24"/>
                <w:rFonts w:ascii="Times New Roman" w:hAnsi="Times New Roman"/>
              </w:rPr>
              <w:t xml:space="preserve"> </w:t>
            </w:r>
            <w:r>
              <w:rPr>
                <w:sz w:val="24"/>
                <w:rFonts w:ascii="Times New Roman" w:hAnsi="Times New Roman"/>
              </w:rPr>
              <w:t xml:space="preserve">De conformidad con el artículo 429 </w:t>
            </w:r>
            <w:r>
              <w:rPr>
                <w:sz w:val="24"/>
                <w:i/>
                <w:iCs/>
                <w:rFonts w:ascii="Times New Roman" w:hAnsi="Times New Roman"/>
              </w:rPr>
              <w:t xml:space="preserve">septies</w:t>
            </w:r>
            <w:r>
              <w:rPr>
                <w:sz w:val="24"/>
                <w:rFonts w:ascii="Times New Roman" w:hAnsi="Times New Roman"/>
              </w:rPr>
              <w:t xml:space="preserve">, apartado 2, las entidades podrán deducir del importe equivalente de la exposición crediticia de una partida fuera de balance el importe correspondiente de los ajustes por riesgo de crédito específico.</w:t>
            </w:r>
            <w:r>
              <w:rPr>
                <w:sz w:val="24"/>
                <w:rFonts w:ascii="Times New Roman" w:hAnsi="Times New Roman"/>
              </w:rPr>
              <w:t xml:space="preserve"> </w:t>
            </w:r>
            <w:r>
              <w:rPr>
                <w:sz w:val="24"/>
                <w:rFonts w:ascii="Times New Roman" w:hAnsi="Times New Roman"/>
              </w:rPr>
              <w:t xml:space="preserve">Este cálculo estará sujeto a un valor mínimo igual a cero.</w:t>
            </w:r>
          </w:p>
          <w:p w14:paraId="12BC0F57" w14:textId="6A8A33B4"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Esta celda incluye líneas de liquidez y otros compromisos respecto de titulizaciones.</w:t>
            </w:r>
          </w:p>
          <w:p w14:paraId="01861A93" w14:textId="1AF15CC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Cuando un compromiso se refiera a la ampliación de otra partida fuera de balance, se utilizará el menor de los dos factores de conversión (el asociado a la partida respecto a la cual se contrae el compromiso o el asociado al tipo de compromiso contraído) de conformidad con el artículo 111, apartado 3, del Reglamento (UE) n.º 575/2013.</w:t>
            </w:r>
          </w:p>
          <w:p w14:paraId="37DBE5CD" w14:textId="2DDC0E00" w:rsidR="00CB48CC" w:rsidRPr="000B66BC" w:rsidRDefault="00CB48CC" w:rsidP="000B66BC">
            <w:pPr>
              <w:pStyle w:val="BodyText1"/>
              <w:spacing w:after="240" w:line="240" w:lineRule="auto"/>
              <w:rPr>
                <w:bCs/>
                <w:sz w:val="24"/>
                <w:szCs w:val="24"/>
                <w:u w:val="single"/>
                <w:rFonts w:ascii="Times New Roman" w:hAnsi="Times New Roman"/>
              </w:rPr>
            </w:pPr>
            <w:r>
              <w:rPr>
                <w:sz w:val="24"/>
                <w:rFonts w:ascii="Times New Roman" w:hAnsi="Times New Roman"/>
              </w:rPr>
              <w:t xml:space="preserve">Las entidades no considerarán en esta celda los contratos enumerados en el anexo II del Reglamento (UE) n.º 575/2013, los derivados de crédito, las SFT ni las posiciones mencionados en el artículo 429 </w:t>
            </w:r>
            <w:r>
              <w:rPr>
                <w:sz w:val="24"/>
                <w:i/>
                <w:iCs/>
                <w:rFonts w:ascii="Times New Roman" w:hAnsi="Times New Roman"/>
              </w:rPr>
              <w:t xml:space="preserve">quinquies</w:t>
            </w:r>
            <w:r>
              <w:rPr>
                <w:sz w:val="24"/>
                <w:rFonts w:ascii="Times New Roman" w:hAnsi="Times New Roman"/>
              </w:rPr>
              <w:t xml:space="preserve">, de conformidad con el artículo 429 </w:t>
            </w:r>
            <w:r>
              <w:rPr>
                <w:sz w:val="24"/>
                <w:i/>
                <w:iCs/>
                <w:rFonts w:ascii="Times New Roman" w:hAnsi="Times New Roman"/>
              </w:rPr>
              <w:t xml:space="preserve">septies</w:t>
            </w:r>
            <w:r>
              <w:rPr>
                <w:sz w:val="24"/>
                <w:rFonts w:ascii="Times New Roman" w:hAnsi="Times New Roman"/>
              </w:rPr>
              <w:t xml:space="preserve"> del Reglamento (UE) n.º 575/2013.</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Ajustes por riesgo de crédito general a partidas fuera de balance</w:t>
            </w:r>
            <w:r>
              <w:rPr>
                <w:b/>
                <w:color w:val="auto"/>
                <w:sz w:val="24"/>
                <w:rFonts w:ascii="Times New Roman" w:hAnsi="Times New Roman"/>
              </w:rPr>
              <w:t xml:space="preserve"> </w:t>
            </w:r>
          </w:p>
          <w:p w14:paraId="62AD4ABC" w14:textId="6E11CF8B" w:rsidR="00CB48CC" w:rsidRPr="000B66BC" w:rsidRDefault="00CB48CC" w:rsidP="000B66BC">
            <w:pPr>
              <w:pStyle w:val="BodyText1"/>
              <w:spacing w:after="240" w:line="240" w:lineRule="auto"/>
              <w:rPr>
                <w:color w:val="auto"/>
                <w:sz w:val="24"/>
                <w:szCs w:val="24"/>
                <w:rFonts w:ascii="Times New Roman" w:hAnsi="Times New Roman"/>
              </w:rPr>
            </w:pPr>
            <w:r>
              <w:rPr>
                <w:sz w:val="24"/>
                <w:rFonts w:ascii="Times New Roman" w:hAnsi="Times New Roman"/>
              </w:rPr>
              <w:t xml:space="preserve">Artículo 429, apartado 4, del Reglamento (UE) n.º 575/2013.</w:t>
            </w:r>
          </w:p>
          <w:p w14:paraId="301E11EC" w14:textId="7BD850E1" w:rsidR="00CB48CC" w:rsidRPr="000B66BC" w:rsidRDefault="00CB48CC" w:rsidP="000B66BC">
            <w:pPr>
              <w:pStyle w:val="BodyText1"/>
              <w:spacing w:after="240" w:line="240" w:lineRule="auto"/>
              <w:rPr>
                <w:color w:val="auto"/>
                <w:sz w:val="24"/>
                <w:szCs w:val="24"/>
                <w:highlight w:val="cyan"/>
                <w:rFonts w:ascii="Times New Roman" w:hAnsi="Times New Roman"/>
              </w:rPr>
            </w:pPr>
            <w:r>
              <w:rPr>
                <w:sz w:val="24"/>
                <w:rFonts w:ascii="Times New Roman" w:hAnsi="Times New Roman"/>
              </w:rPr>
              <w:t xml:space="preserve">Importe de los ajustes por riesgo de crédito general correspondiente a partidas fuera de balance mencionadas en el artículo 429, apartado 4, letra d), que las entidades deducen en consonancia con el último párrafo del artículo 429, apartado 4, del Reglamento (UE) n.º 575/2013.</w:t>
            </w:r>
          </w:p>
          <w:p w14:paraId="2059F8B9" w14:textId="5CF2B1A7" w:rsidR="00CB48CC" w:rsidRPr="000B66BC" w:rsidRDefault="00CB48CC" w:rsidP="0061658B">
            <w:pPr>
              <w:pStyle w:val="BodyText1"/>
              <w:spacing w:after="240"/>
              <w:rPr>
                <w:color w:val="auto"/>
                <w:sz w:val="24"/>
                <w:szCs w:val="24"/>
                <w:rFonts w:ascii="Times New Roman" w:hAnsi="Times New Roman"/>
              </w:rPr>
            </w:pPr>
            <w:r>
              <w:rPr>
                <w:sz w:val="24"/>
                <w:rFonts w:ascii="Times New Roman" w:hAnsi="Times New Roman"/>
              </w:rPr>
              <w:t xml:space="preserve">El importe comunicado no se tendrá en cuenta como reducción para el cálculo de las partidas fuera de balance incluidas en las filas de {0150;0010} a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b/>
                <w:bCs/>
                <w:color w:val="auto"/>
                <w:sz w:val="24"/>
                <w:szCs w:val="24"/>
                <w:rFonts w:ascii="Times New Roman" w:hAnsi="Times New Roman"/>
              </w:rPr>
            </w:pPr>
            <w:r>
              <w:rPr>
                <w:b/>
                <w:color w:val="auto"/>
                <w:sz w:val="24"/>
                <w:rFonts w:ascii="Times New Roman" w:hAnsi="Times New Roman"/>
              </w:rPr>
              <w:t xml:space="preserve">Compras y ventas convencionales pendientes de liquidación:</w:t>
            </w:r>
            <w:r>
              <w:rPr>
                <w:b/>
                <w:color w:val="auto"/>
                <w:sz w:val="24"/>
                <w:rFonts w:ascii="Times New Roman" w:hAnsi="Times New Roman"/>
              </w:rPr>
              <w:t xml:space="preserve"> </w:t>
            </w:r>
            <w:r>
              <w:rPr>
                <w:b/>
                <w:color w:val="auto"/>
                <w:sz w:val="24"/>
                <w:rFonts w:ascii="Times New Roman" w:hAnsi="Times New Roman"/>
              </w:rPr>
              <w:t xml:space="preserve">valor contable según la contabilidad de la fecha de negociación</w:t>
            </w:r>
            <w:r>
              <w:rPr>
                <w:b/>
                <w:color w:val="auto"/>
                <w:sz w:val="24"/>
                <w:rFonts w:ascii="Times New Roman" w:hAnsi="Times New Roman"/>
              </w:rPr>
              <w:t xml:space="preserve"> </w:t>
            </w:r>
          </w:p>
          <w:p w14:paraId="4C694246" w14:textId="0854703B" w:rsidR="00CB48CC" w:rsidRPr="000B66BC" w:rsidRDefault="00995F8D"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octies</w:t>
            </w:r>
            <w:r>
              <w:rPr>
                <w:sz w:val="24"/>
                <w:rFonts w:ascii="Times New Roman" w:hAnsi="Times New Roman"/>
              </w:rPr>
              <w:t xml:space="preserve">, apartado 1, del Reglamento (UE) n.º 575/2013.</w:t>
            </w:r>
          </w:p>
          <w:p w14:paraId="7D206739" w14:textId="0B1BCEAC" w:rsidR="00272017" w:rsidRPr="000B66BC" w:rsidRDefault="00272017" w:rsidP="000B66BC">
            <w:pPr>
              <w:pStyle w:val="BodyText1"/>
              <w:spacing w:after="240" w:line="240" w:lineRule="auto"/>
              <w:rPr>
                <w:bCs/>
                <w:color w:val="auto"/>
                <w:sz w:val="24"/>
                <w:szCs w:val="24"/>
                <w:rFonts w:ascii="Times New Roman" w:hAnsi="Times New Roman"/>
              </w:rPr>
            </w:pPr>
            <w:r>
              <w:rPr>
                <w:color w:val="auto"/>
                <w:sz w:val="24"/>
                <w:rFonts w:ascii="Times New Roman" w:hAnsi="Times New Roman"/>
              </w:rPr>
              <w:t xml:space="preserve">La suma de:</w:t>
            </w:r>
          </w:p>
          <w:p w14:paraId="5F24E6D9" w14:textId="18634CD3" w:rsidR="00995F8D" w:rsidRPr="000B66BC" w:rsidRDefault="00995F8D" w:rsidP="000B66BC">
            <w:pPr>
              <w:pStyle w:val="BodyText1"/>
              <w:numPr>
                <w:ilvl w:val="0"/>
                <w:numId w:val="42"/>
              </w:numPr>
              <w:spacing w:after="240"/>
              <w:rPr>
                <w:bCs/>
                <w:color w:val="auto"/>
                <w:sz w:val="24"/>
                <w:szCs w:val="24"/>
                <w:rFonts w:ascii="Times New Roman" w:hAnsi="Times New Roman"/>
              </w:rPr>
            </w:pPr>
            <w:r>
              <w:rPr>
                <w:sz w:val="24"/>
                <w:rFonts w:ascii="Times New Roman" w:hAnsi="Times New Roman"/>
              </w:rPr>
              <w:t xml:space="preserve">El importe del efectivo relacionado con las ventas convencionales que permanezca en el balance como activo hasta la fecha de liquidación de conformidad con el artículo 429, apartado 4, letra a) del Reglamento (UE) n.º 575/2013.</w:t>
            </w:r>
          </w:p>
          <w:p w14:paraId="72B0EC2C" w14:textId="3486F47F" w:rsidR="00995F8D" w:rsidRPr="000B66BC" w:rsidRDefault="00272017" w:rsidP="000B66BC">
            <w:pPr>
              <w:pStyle w:val="BodyText1"/>
              <w:numPr>
                <w:ilvl w:val="0"/>
                <w:numId w:val="42"/>
              </w:numPr>
              <w:spacing w:after="240"/>
              <w:rPr>
                <w:bCs/>
                <w:color w:val="auto"/>
                <w:sz w:val="24"/>
                <w:szCs w:val="24"/>
                <w:rFonts w:ascii="Times New Roman" w:hAnsi="Times New Roman"/>
              </w:rPr>
            </w:pPr>
            <w:r>
              <w:rPr>
                <w:sz w:val="24"/>
                <w:rFonts w:ascii="Times New Roman" w:hAnsi="Times New Roman"/>
              </w:rPr>
              <w:t xml:space="preserve">El efectivo por cobrar correspondiente a ventas convencionales que permanezca en el balance como activo hasta la fecha de liquidación de conformidad con el artículo 429, apartado 4, letra a) del Reglamento (UE) n.º 575/2013.</w:t>
            </w:r>
            <w:r>
              <w:rPr>
                <w:sz w:val="24"/>
                <w:color w:val="auto"/>
                <w:rFonts w:ascii="Times New Roman" w:hAnsi="Times New Roman"/>
              </w:rPr>
              <w:t xml:space="preserve"> </w:t>
            </w:r>
            <w:r>
              <w:rPr>
                <w:sz w:val="24"/>
                <w:color w:val="auto"/>
                <w:rFonts w:ascii="Times New Roman" w:hAnsi="Times New Roman"/>
              </w:rPr>
              <w:t xml:space="preserve">Este importe es el resultante tras la compensación entre el efectivo por cobrar correspondiente a ventas convencionales pendientes de liquidación y el efectivo por pagar correspondiente a compras convencionales pendientes de liquidación, según lo permitido en virtud del marco contable aplicable.</w:t>
            </w:r>
          </w:p>
          <w:p w14:paraId="5C35FB48" w14:textId="21B2EF08" w:rsidR="00CB48CC" w:rsidRPr="000B66BC" w:rsidRDefault="00272017" w:rsidP="000B66BC">
            <w:pPr>
              <w:pStyle w:val="BodyText1"/>
              <w:spacing w:after="240" w:line="240" w:lineRule="auto"/>
              <w:rPr>
                <w:b/>
                <w:bCs/>
                <w:color w:val="auto"/>
                <w:sz w:val="24"/>
                <w:szCs w:val="24"/>
                <w:rFonts w:ascii="Times New Roman" w:hAnsi="Times New Roman"/>
              </w:rPr>
            </w:pPr>
            <w:r>
              <w:rPr>
                <w:color w:val="auto"/>
                <w:sz w:val="24"/>
                <w:rFonts w:ascii="Times New Roman" w:hAnsi="Times New Roman"/>
              </w:rPr>
              <w:t xml:space="preserve">Las entidades que siguen la contabilidad de la fecha de negociación comunicarán la suma anteriormente mencionada en esta celda en lugar de en la fila 0190, «otros activos», y los valores correspondientes a compras convencionales en la fila 0190.</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b/>
                <w:bCs/>
                <w:color w:val="auto"/>
                <w:sz w:val="24"/>
                <w:szCs w:val="24"/>
                <w:rFonts w:ascii="Times New Roman" w:hAnsi="Times New Roman"/>
              </w:rPr>
            </w:pPr>
            <w:r>
              <w:rPr>
                <w:b/>
                <w:color w:val="auto"/>
                <w:sz w:val="24"/>
                <w:rFonts w:ascii="Times New Roman" w:hAnsi="Times New Roman"/>
              </w:rPr>
              <w:t xml:space="preserve">Ventas convencionales pendientes de liquidación:</w:t>
            </w:r>
            <w:r>
              <w:rPr>
                <w:b/>
                <w:color w:val="auto"/>
                <w:sz w:val="24"/>
                <w:rFonts w:ascii="Times New Roman" w:hAnsi="Times New Roman"/>
              </w:rPr>
              <w:t xml:space="preserve"> </w:t>
            </w:r>
            <w:r>
              <w:rPr>
                <w:b/>
                <w:color w:val="auto"/>
                <w:sz w:val="24"/>
                <w:rFonts w:ascii="Times New Roman" w:hAnsi="Times New Roman"/>
              </w:rPr>
              <w:t xml:space="preserve">anulación de la compensación contable en virtud de la contabilidad de la fecha de negociación</w:t>
            </w:r>
          </w:p>
          <w:p w14:paraId="20327055" w14:textId="385E8EAB" w:rsidR="00CB48CC" w:rsidRPr="000B66BC" w:rsidRDefault="00995F8D"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octies</w:t>
            </w:r>
            <w:r>
              <w:rPr>
                <w:sz w:val="24"/>
                <w:rFonts w:ascii="Times New Roman" w:hAnsi="Times New Roman"/>
              </w:rPr>
              <w:t xml:space="preserve">, apartado 2, del Reglamento (UE) n.º 575/2013.</w:t>
            </w:r>
          </w:p>
          <w:p w14:paraId="4A0C32B6" w14:textId="15F13BC7" w:rsidR="002B0AAC" w:rsidRPr="000B66BC" w:rsidRDefault="00995F8D" w:rsidP="000B66BC">
            <w:pPr>
              <w:pStyle w:val="BodyText1"/>
              <w:spacing w:after="240" w:line="240" w:lineRule="auto"/>
              <w:rPr>
                <w:b/>
                <w:bCs/>
                <w:color w:val="auto"/>
                <w:sz w:val="24"/>
                <w:szCs w:val="24"/>
                <w:rFonts w:ascii="Times New Roman" w:hAnsi="Times New Roman"/>
              </w:rPr>
            </w:pPr>
            <w:r>
              <w:rPr>
                <w:color w:val="auto"/>
                <w:sz w:val="24"/>
                <w:rFonts w:ascii="Times New Roman" w:hAnsi="Times New Roman"/>
              </w:rPr>
              <w:t xml:space="preserve">Importe compensado entre el efectivo por cobrar correspondiente a ventas convencionales pendientes de liquidación: y el efectivo por pagar correspondiente a compras convencionales pendientes de liquidación permitido en virtud del marco contable.</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bCs/>
                <w:sz w:val="24"/>
                <w:szCs w:val="24"/>
                <w:rFonts w:ascii="Times New Roman" w:hAnsi="Times New Roman"/>
              </w:rPr>
            </w:pPr>
            <w:r>
              <w:rPr>
                <w:sz w:val="24"/>
                <w:rFonts w:ascii="Times New Roman" w:hAnsi="Times New Roman"/>
              </w:rPr>
              <w:t xml:space="preserve">{0187;0010}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bCs/>
                <w:sz w:val="24"/>
                <w:szCs w:val="24"/>
                <w:rFonts w:ascii="Times New Roman" w:hAnsi="Times New Roman"/>
              </w:rPr>
            </w:pPr>
            <w:r>
              <w:rPr>
                <w:b/>
                <w:color w:val="auto"/>
                <w:sz w:val="24"/>
                <w:rFonts w:ascii="Times New Roman" w:hAnsi="Times New Roman"/>
              </w:rPr>
              <w:t xml:space="preserve">(-) Ventas convencionales pendientes de liquidación: compensación de conformidad con el artículo 429 </w:t>
            </w:r>
            <w:r>
              <w:rPr>
                <w:b/>
                <w:color w:val="auto"/>
                <w:sz w:val="24"/>
                <w:i/>
                <w:rFonts w:ascii="Times New Roman" w:hAnsi="Times New Roman"/>
              </w:rPr>
              <w:t xml:space="preserve">octies</w:t>
            </w:r>
            <w:r>
              <w:rPr>
                <w:b/>
                <w:color w:val="auto"/>
                <w:sz w:val="24"/>
                <w:rFonts w:ascii="Times New Roman" w:hAnsi="Times New Roman"/>
              </w:rPr>
              <w:t xml:space="preserve">, apartado 2, del RRC</w:t>
            </w:r>
          </w:p>
          <w:p w14:paraId="416B6808" w14:textId="30634B7B" w:rsidR="00195426" w:rsidRPr="000B66BC" w:rsidRDefault="00195426" w:rsidP="000B66BC">
            <w:pPr>
              <w:pStyle w:val="BodyText1"/>
              <w:spacing w:after="240" w:line="240" w:lineRule="auto"/>
              <w:rPr>
                <w:color w:val="auto"/>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octies</w:t>
            </w:r>
            <w:r>
              <w:rPr>
                <w:sz w:val="24"/>
                <w:rFonts w:ascii="Times New Roman" w:hAnsi="Times New Roman"/>
              </w:rPr>
              <w:t xml:space="preserve">, apartado 2, del Reglamento (UE) n.º 575/2013.</w:t>
            </w:r>
          </w:p>
          <w:p w14:paraId="057F1FAB" w14:textId="6C538100" w:rsidR="00195426" w:rsidRPr="000B66BC" w:rsidRDefault="00195426" w:rsidP="000B66BC">
            <w:pPr>
              <w:pStyle w:val="BodyText1"/>
              <w:spacing w:after="240"/>
              <w:rPr>
                <w:b/>
                <w:bCs/>
                <w:color w:val="auto"/>
                <w:sz w:val="24"/>
                <w:szCs w:val="24"/>
                <w:rFonts w:ascii="Times New Roman" w:hAnsi="Times New Roman"/>
              </w:rPr>
            </w:pPr>
            <w:r>
              <w:rPr>
                <w:sz w:val="24"/>
                <w:rFonts w:ascii="Times New Roman" w:hAnsi="Times New Roman"/>
              </w:rPr>
              <w:t xml:space="preserve">Importe compensado entre el efectivo por cobrar y el efectivo por cobrar, cuando tanto las ventas convencionales como las compras convencionales correspondientes se liquidan por el procedimiento de entrega contra pago de conformidad con el artículo 429 </w:t>
            </w:r>
            <w:r>
              <w:rPr>
                <w:sz w:val="24"/>
                <w:i/>
                <w:iCs/>
                <w:rFonts w:ascii="Times New Roman" w:hAnsi="Times New Roman"/>
              </w:rPr>
              <w:t xml:space="preserve">octies</w:t>
            </w:r>
            <w:r>
              <w:rPr>
                <w:sz w:val="24"/>
                <w:rFonts w:ascii="Times New Roman" w:hAnsi="Times New Roman"/>
              </w:rPr>
              <w:t xml:space="preserve">, apartado 2, del Reglamento (UE) n.º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b/>
                <w:bCs/>
                <w:color w:val="auto"/>
                <w:sz w:val="24"/>
                <w:szCs w:val="24"/>
                <w:rFonts w:ascii="Times New Roman" w:hAnsi="Times New Roman"/>
              </w:rPr>
            </w:pPr>
            <w:r>
              <w:rPr>
                <w:b/>
                <w:color w:val="auto"/>
                <w:sz w:val="24"/>
                <w:rFonts w:ascii="Times New Roman" w:hAnsi="Times New Roman"/>
              </w:rPr>
              <w:t xml:space="preserve">Compras convencionales pendientes de liquidación:</w:t>
            </w:r>
            <w:r>
              <w:rPr>
                <w:b/>
                <w:color w:val="auto"/>
                <w:sz w:val="24"/>
                <w:rFonts w:ascii="Times New Roman" w:hAnsi="Times New Roman"/>
              </w:rPr>
              <w:t xml:space="preserve"> </w:t>
            </w:r>
            <w:r>
              <w:rPr>
                <w:b/>
                <w:color w:val="auto"/>
                <w:sz w:val="24"/>
                <w:rFonts w:ascii="Times New Roman" w:hAnsi="Times New Roman"/>
              </w:rPr>
              <w:t xml:space="preserve">reconocimiento de la totalidad de los compromisos de pago según la contabilidad de la fecha de liquidación</w:t>
            </w:r>
            <w:r>
              <w:rPr>
                <w:b/>
                <w:color w:val="auto"/>
                <w:sz w:val="24"/>
                <w:rFonts w:ascii="Times New Roman" w:hAnsi="Times New Roman"/>
              </w:rPr>
              <w:t xml:space="preserve"> </w:t>
            </w:r>
          </w:p>
          <w:p w14:paraId="0305F981" w14:textId="4F83E6AC" w:rsidR="00CB48CC" w:rsidRPr="000B66BC" w:rsidRDefault="00195426"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octies</w:t>
            </w:r>
            <w:r>
              <w:rPr>
                <w:sz w:val="24"/>
                <w:rFonts w:ascii="Times New Roman" w:hAnsi="Times New Roman"/>
              </w:rPr>
              <w:t xml:space="preserve">, apartado 3, del Reglamento (UE) n.º 575/2013.</w:t>
            </w:r>
          </w:p>
          <w:p w14:paraId="17418655" w14:textId="77777777" w:rsidR="00CB48CC" w:rsidRPr="000B66BC" w:rsidRDefault="00CB48CC" w:rsidP="000B66BC">
            <w:pPr>
              <w:pStyle w:val="BodyText1"/>
              <w:spacing w:after="240"/>
              <w:rPr>
                <w:bCs/>
                <w:color w:val="auto"/>
                <w:sz w:val="24"/>
                <w:szCs w:val="24"/>
                <w:rFonts w:ascii="Times New Roman" w:hAnsi="Times New Roman"/>
              </w:rPr>
            </w:pPr>
            <w:r>
              <w:rPr>
                <w:color w:val="auto"/>
                <w:sz w:val="24"/>
                <w:rFonts w:ascii="Times New Roman" w:hAnsi="Times New Roman"/>
              </w:rPr>
              <w:t xml:space="preserve">Totalidad del valor nominal de los compromisos de pago relacionados con compras convencionales para entidades que, de conformidad con el marco contable aplicable, utilicen la contabilidad de la fecha de liquidación a las compras y ventas convencionales.</w:t>
            </w:r>
          </w:p>
          <w:p w14:paraId="59B3EB10" w14:textId="3BF06932" w:rsidR="00CB48CC" w:rsidRPr="000B66BC" w:rsidRDefault="003718C7" w:rsidP="000B66BC">
            <w:pPr>
              <w:pStyle w:val="BodyText1"/>
              <w:spacing w:after="240"/>
              <w:rPr>
                <w:b/>
                <w:bCs/>
                <w:color w:val="auto"/>
                <w:sz w:val="24"/>
                <w:szCs w:val="24"/>
                <w:rFonts w:ascii="Times New Roman" w:hAnsi="Times New Roman"/>
              </w:rPr>
            </w:pPr>
            <w:r>
              <w:rPr>
                <w:color w:val="auto"/>
                <w:sz w:val="24"/>
                <w:rFonts w:ascii="Times New Roman" w:hAnsi="Times New Roman"/>
              </w:rPr>
              <w:t xml:space="preserve">Los valores relacionados con ventas convencionales se comunicarán en la fila 0190, «otros activos».</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bCs/>
                <w:sz w:val="24"/>
                <w:szCs w:val="24"/>
                <w:rFonts w:ascii="Times New Roman" w:hAnsi="Times New Roman"/>
              </w:rPr>
            </w:pPr>
            <w:r>
              <w:rPr>
                <w:sz w:val="24"/>
                <w:rFonts w:ascii="Times New Roman" w:hAnsi="Times New Roman"/>
              </w:rPr>
              <w:t xml:space="preserve">{0189;0010}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Compras convencionales pendientes de liquidación:</w:t>
            </w:r>
            <w:r>
              <w:rPr>
                <w:b/>
                <w:color w:val="auto"/>
                <w:sz w:val="24"/>
                <w:rFonts w:ascii="Times New Roman" w:hAnsi="Times New Roman"/>
              </w:rPr>
              <w:t xml:space="preserve"> </w:t>
            </w:r>
            <w:r>
              <w:rPr>
                <w:b/>
                <w:color w:val="auto"/>
                <w:sz w:val="24"/>
                <w:rFonts w:ascii="Times New Roman" w:hAnsi="Times New Roman"/>
              </w:rPr>
              <w:t xml:space="preserve">compensación con compromisos de pago sujetos a contabilidad de la fecha de liquidación de conformidad con el artículo 429 </w:t>
            </w:r>
            <w:r>
              <w:rPr>
                <w:b/>
                <w:color w:val="auto"/>
                <w:sz w:val="24"/>
                <w:i/>
                <w:iCs/>
                <w:rFonts w:ascii="Times New Roman" w:hAnsi="Times New Roman"/>
              </w:rPr>
              <w:t xml:space="preserve">octies</w:t>
            </w:r>
            <w:r>
              <w:rPr>
                <w:b/>
                <w:color w:val="auto"/>
                <w:sz w:val="24"/>
                <w:rFonts w:ascii="Times New Roman" w:hAnsi="Times New Roman"/>
              </w:rPr>
              <w:t xml:space="preserve">, apartado 3, de RRC</w:t>
            </w:r>
          </w:p>
          <w:p w14:paraId="0155689A" w14:textId="09D66768" w:rsidR="0049459B" w:rsidRPr="000B66BC" w:rsidRDefault="0049459B" w:rsidP="000B66BC">
            <w:pPr>
              <w:pStyle w:val="BodyText1"/>
              <w:spacing w:after="240" w:line="240" w:lineRule="auto"/>
              <w:rPr>
                <w:b/>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octies</w:t>
            </w:r>
            <w:r>
              <w:rPr>
                <w:sz w:val="24"/>
                <w:rFonts w:ascii="Times New Roman" w:hAnsi="Times New Roman"/>
              </w:rPr>
              <w:t xml:space="preserve">, apartado 3, del Reglamento (UE) n.º 575/2013.</w:t>
            </w:r>
          </w:p>
          <w:p w14:paraId="795D29D1" w14:textId="0149AE44" w:rsidR="0049459B" w:rsidRPr="000B66BC" w:rsidRDefault="00DC3476" w:rsidP="000B66BC">
            <w:pPr>
              <w:pStyle w:val="BodyText1"/>
              <w:spacing w:after="240"/>
              <w:rPr>
                <w:bCs/>
                <w:sz w:val="24"/>
                <w:szCs w:val="24"/>
                <w:rFonts w:ascii="Times New Roman" w:hAnsi="Times New Roman"/>
              </w:rPr>
            </w:pPr>
            <w:r>
              <w:rPr>
                <w:sz w:val="24"/>
                <w:rFonts w:ascii="Times New Roman" w:hAnsi="Times New Roman"/>
              </w:rPr>
              <w:t xml:space="preserve">Parte del importe notificado en la fila 0188 compensada con la totalidad del valor nominal del efectivo por cobrar relacionado con ventas convencionales pendientes de liquidación de conformidad con el artículo 429 </w:t>
            </w:r>
            <w:r>
              <w:rPr>
                <w:sz w:val="24"/>
                <w:i/>
                <w:iCs/>
                <w:rFonts w:ascii="Times New Roman" w:hAnsi="Times New Roman"/>
              </w:rPr>
              <w:t xml:space="preserve">octies</w:t>
            </w:r>
            <w:r>
              <w:rPr>
                <w:sz w:val="24"/>
                <w:rFonts w:ascii="Times New Roman" w:hAnsi="Times New Roman"/>
              </w:rPr>
              <w:t xml:space="preserve">, apartado 3, del Reglamento (UE) n.º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Otros activos</w:t>
            </w:r>
            <w:r>
              <w:rPr>
                <w:b/>
                <w:sz w:val="24"/>
                <w:rFonts w:ascii="Times New Roman" w:hAnsi="Times New Roman"/>
              </w:rPr>
              <w:t xml:space="preserve"> </w:t>
            </w:r>
          </w:p>
          <w:p w14:paraId="6BF56BA7" w14:textId="02AF2400" w:rsidR="00CB48CC" w:rsidRPr="000B66BC" w:rsidRDefault="0097168A"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apartado 4, letra a), del Reglamento (UE) n.º 575/2013.</w:t>
            </w:r>
          </w:p>
          <w:p w14:paraId="412FDEE7" w14:textId="71A56B82"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Todos los activos distintos de los contratos de derivados enumerados en el anexo II del Reglamento (UE) n.º 575/2013, los derivados de crédito y las SFT (por ejemplo, entre otros activos, se consignarán en esta celda los derechos de cobro contables por el margen de variación en efectivo entregado, siempre que estén reconocidos en el marco contable operativo, así como los activos líquidos según lo definido en la ratio de cobertura de liquidez, las operaciones fallidas y las operaciones no liquidadas).</w:t>
            </w:r>
            <w:r>
              <w:rPr>
                <w:sz w:val="24"/>
                <w:rFonts w:ascii="Times New Roman" w:hAnsi="Times New Roman"/>
              </w:rPr>
              <w:t xml:space="preserve"> </w:t>
            </w:r>
            <w:r>
              <w:rPr>
                <w:sz w:val="24"/>
                <w:rFonts w:ascii="Times New Roman" w:hAnsi="Times New Roman"/>
              </w:rPr>
              <w:t xml:space="preserve">Las entidades basarán la valoración en los principios enunciados en el artículo 429 </w:t>
            </w:r>
            <w:r>
              <w:rPr>
                <w:sz w:val="24"/>
                <w:i/>
                <w:iCs/>
                <w:rFonts w:ascii="Times New Roman" w:hAnsi="Times New Roman"/>
              </w:rPr>
              <w:t xml:space="preserve">ter</w:t>
            </w:r>
            <w:r>
              <w:rPr>
                <w:sz w:val="24"/>
                <w:rFonts w:ascii="Times New Roman" w:hAnsi="Times New Roman"/>
              </w:rPr>
              <w:t xml:space="preserve">, apartado 1, y en el artículo 429, apartado 7, del Reglamento (UE) n.º 575/2013.</w:t>
            </w:r>
          </w:p>
          <w:p w14:paraId="1C53A1E2" w14:textId="69743091" w:rsidR="00BA46B1"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incluirán en esta celda el efectivo recibido o los valores que hayan entregado a una contraparte mediante SFT y que mantengan en el balance (es decir, respecto de los cuales no se cumplan los criterios contables para darlos de baja).</w:t>
            </w:r>
            <w:r>
              <w:rPr>
                <w:sz w:val="24"/>
                <w:rFonts w:ascii="Times New Roman" w:hAnsi="Times New Roman"/>
              </w:rPr>
              <w:t xml:space="preserve"> </w:t>
            </w:r>
            <w:r>
              <w:rPr>
                <w:sz w:val="24"/>
                <w:rFonts w:ascii="Times New Roman" w:hAnsi="Times New Roman"/>
              </w:rPr>
              <w:t xml:space="preserve">Además, las entidades deben reconocer aquí las partidas que se deduzcan del capital de nivel 1 ordinario y del capital de nivel 1 adicional (por ejemplo, activos intangibles, activos por impuestos diferidos, etc.).</w:t>
            </w:r>
          </w:p>
          <w:p w14:paraId="0030E8E6" w14:textId="29782359"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El importe comunicado en la fila {0191;0010} no se tendrá en cuenta como deducción a efectos del cálculo de esta fila.</w:t>
            </w:r>
          </w:p>
          <w:p w14:paraId="52C58829" w14:textId="00F0E873" w:rsidR="00CB48CC" w:rsidRPr="000B66BC" w:rsidRDefault="00CB48CC" w:rsidP="000B66BC">
            <w:pPr>
              <w:pStyle w:val="BodyText1"/>
              <w:spacing w:after="240"/>
              <w:rPr>
                <w:bCs/>
                <w:sz w:val="24"/>
                <w:szCs w:val="24"/>
                <w:u w:val="single"/>
                <w:rFonts w:ascii="Times New Roman" w:hAnsi="Times New Roman"/>
              </w:rPr>
            </w:pPr>
            <w:r>
              <w:rPr>
                <w:sz w:val="24"/>
                <w:rFonts w:ascii="Times New Roman" w:hAnsi="Times New Roman"/>
              </w:rPr>
              <w:t xml:space="preserve">Los acuerdos de centralización de tesorería se comunicarán en las filas {0193;0010}, {0194;0010}, {0195;0010}, {0196;0010}, {0197;0010} y {0198;0010}, y no aquí.</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Ajustes por riesgo de crédito general a partidas dentro de balance</w:t>
            </w:r>
            <w:r>
              <w:rPr>
                <w:b/>
                <w:color w:val="auto"/>
                <w:sz w:val="24"/>
                <w:rFonts w:ascii="Times New Roman" w:hAnsi="Times New Roman"/>
              </w:rPr>
              <w:t xml:space="preserve"> </w:t>
            </w:r>
          </w:p>
          <w:p w14:paraId="1CDF58F3" w14:textId="721A5106" w:rsidR="00CB48CC" w:rsidRPr="000B66BC" w:rsidRDefault="00CB48CC" w:rsidP="000B66BC">
            <w:pPr>
              <w:pStyle w:val="BodyText1"/>
              <w:spacing w:after="240" w:line="240" w:lineRule="auto"/>
              <w:rPr>
                <w:color w:val="auto"/>
                <w:sz w:val="24"/>
                <w:szCs w:val="24"/>
                <w:rFonts w:ascii="Times New Roman" w:hAnsi="Times New Roman"/>
              </w:rPr>
            </w:pPr>
            <w:r>
              <w:rPr>
                <w:sz w:val="24"/>
                <w:rFonts w:ascii="Times New Roman" w:hAnsi="Times New Roman"/>
              </w:rPr>
              <w:t xml:space="preserve">Artículo 429, apartado 4, del Reglamento (UE) n.º 575/2013.</w:t>
            </w:r>
          </w:p>
          <w:p w14:paraId="7E1379BD" w14:textId="271041A2" w:rsidR="00CB48CC" w:rsidRPr="000B66BC" w:rsidRDefault="00CB48CC" w:rsidP="000B66BC">
            <w:pPr>
              <w:pStyle w:val="BodyText1"/>
              <w:spacing w:after="240" w:line="240" w:lineRule="auto"/>
              <w:rPr>
                <w:color w:val="auto"/>
                <w:sz w:val="24"/>
                <w:szCs w:val="24"/>
                <w:highlight w:val="cyan"/>
                <w:rFonts w:ascii="Times New Roman" w:hAnsi="Times New Roman"/>
              </w:rPr>
            </w:pPr>
            <w:r>
              <w:rPr>
                <w:sz w:val="24"/>
                <w:rFonts w:ascii="Times New Roman" w:hAnsi="Times New Roman"/>
              </w:rPr>
              <w:t xml:space="preserve">Importe de los ajustes por riesgo de crédito general correspondiente a partidas dentro de balance mencionadas en el artículo 429, apartado 4, letra a), del Reglamento (UE) n.º 575/2013 que las entidades deducen en consonancia con el último párrafo del artículo 429, apartado 4, de dicho Reglamento.</w:t>
            </w:r>
          </w:p>
          <w:p w14:paraId="58EB87A7" w14:textId="35B2ADBB" w:rsidR="00CB48CC" w:rsidRPr="000B66BC" w:rsidRDefault="00CB48CC" w:rsidP="000B66BC">
            <w:pPr>
              <w:pStyle w:val="BodyText1"/>
              <w:spacing w:after="240" w:line="240" w:lineRule="auto"/>
              <w:rPr>
                <w:color w:val="auto"/>
                <w:sz w:val="24"/>
                <w:szCs w:val="24"/>
                <w:rFonts w:ascii="Times New Roman" w:hAnsi="Times New Roman"/>
              </w:rPr>
            </w:pPr>
            <w:r>
              <w:rPr>
                <w:sz w:val="24"/>
                <w:rFonts w:ascii="Times New Roman" w:hAnsi="Times New Roman"/>
              </w:rPr>
              <w:t xml:space="preserve">El importe comunicado no se tendrá en cuenta como reducción para el cálculo de otros activos incluidos en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bCs/>
                <w:sz w:val="24"/>
                <w:szCs w:val="24"/>
                <w:rFonts w:ascii="Times New Roman" w:hAnsi="Times New Roman"/>
              </w:rPr>
            </w:pPr>
            <w:r>
              <w:rPr>
                <w:sz w:val="24"/>
                <w:rFonts w:ascii="Times New Roman" w:hAnsi="Times New Roman"/>
              </w:rPr>
              <w:t xml:space="preserve">{0193;0010}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Acuerdos de centralización de tesorería que no se pueden compensar de manera prudencial: valor en el marco contable</w:t>
            </w:r>
          </w:p>
          <w:p w14:paraId="01265E9F" w14:textId="22BFBC85" w:rsidR="00103B23" w:rsidRPr="000B66BC" w:rsidRDefault="009F6A59"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Artículo 429 </w:t>
            </w:r>
            <w:r>
              <w:rPr>
                <w:sz w:val="24"/>
                <w:color w:val="auto"/>
                <w:i/>
                <w:iCs/>
                <w:rFonts w:ascii="Times New Roman" w:hAnsi="Times New Roman"/>
              </w:rPr>
              <w:t xml:space="preserve">ter</w:t>
            </w:r>
            <w:r>
              <w:rPr>
                <w:sz w:val="24"/>
                <w:color w:val="auto"/>
                <w:rFonts w:ascii="Times New Roman" w:hAnsi="Times New Roman"/>
              </w:rPr>
              <w:t xml:space="preserve">, apartados 2 y 3, del</w:t>
            </w:r>
            <w:r>
              <w:rPr>
                <w:sz w:val="24"/>
                <w:rFonts w:ascii="Times New Roman" w:hAnsi="Times New Roman"/>
              </w:rPr>
              <w:t xml:space="preserve"> </w:t>
            </w:r>
            <w:r>
              <w:rPr>
                <w:sz w:val="24"/>
                <w:color w:val="auto"/>
                <w:rFonts w:ascii="Times New Roman" w:hAnsi="Times New Roman"/>
              </w:rPr>
              <w:t xml:space="preserve">Reglamento (UE) n.º 575/2013.</w:t>
            </w:r>
          </w:p>
          <w:p w14:paraId="421B559D" w14:textId="30B00F23" w:rsidR="006E0322" w:rsidRPr="000B66BC" w:rsidRDefault="00103B23" w:rsidP="000B66BC">
            <w:pPr>
              <w:pStyle w:val="BodyText1"/>
              <w:spacing w:after="240" w:line="240" w:lineRule="auto"/>
              <w:rPr>
                <w:b/>
                <w:color w:val="auto"/>
                <w:sz w:val="24"/>
                <w:szCs w:val="24"/>
                <w:rFonts w:ascii="Times New Roman" w:hAnsi="Times New Roman"/>
              </w:rPr>
            </w:pPr>
            <w:r>
              <w:rPr>
                <w:sz w:val="24"/>
                <w:rFonts w:ascii="Times New Roman" w:hAnsi="Times New Roman"/>
              </w:rPr>
              <w:t xml:space="preserve">Valor contable de los acuerdos de centralización de tesorería, es decir, de acuerdos mediante los cuales los saldos deudores o acreedores se combinan a efectos de gestión de tesorería o liquidez, que no se puede compensar de conformidad con el artículo 429 </w:t>
            </w:r>
            <w:r>
              <w:rPr>
                <w:sz w:val="24"/>
                <w:i/>
                <w:iCs/>
                <w:rFonts w:ascii="Times New Roman" w:hAnsi="Times New Roman"/>
              </w:rPr>
              <w:t xml:space="preserve">ter</w:t>
            </w:r>
            <w:r>
              <w:rPr>
                <w:sz w:val="24"/>
                <w:rFonts w:ascii="Times New Roman" w:hAnsi="Times New Roman"/>
              </w:rPr>
              <w:t xml:space="preserve">, apartados 2 y 3, del Reglamento (UE) n.º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Acuerdos de centralización de tesorería que no se pueden compensar de manera prudencial: efecto de extrapolar la compensación aplicada en el marco contable</w:t>
            </w:r>
          </w:p>
          <w:p w14:paraId="390CF1DE" w14:textId="6D417CDE" w:rsidR="00CB48CC" w:rsidRPr="000B66BC" w:rsidRDefault="00CB48CC" w:rsidP="000B66BC">
            <w:pPr>
              <w:pStyle w:val="BodyText1"/>
              <w:spacing w:after="240" w:line="240" w:lineRule="auto"/>
              <w:rPr>
                <w:color w:val="auto"/>
                <w:sz w:val="24"/>
                <w:szCs w:val="24"/>
                <w:rFonts w:ascii="Times New Roman" w:hAnsi="Times New Roman"/>
              </w:rPr>
            </w:pPr>
            <w:r>
              <w:rPr>
                <w:sz w:val="24"/>
                <w:rFonts w:ascii="Times New Roman" w:hAnsi="Times New Roman"/>
              </w:rPr>
              <w:t xml:space="preserve">Artículo 429, apartado 7, letra b), y artículo 429 </w:t>
            </w:r>
            <w:r>
              <w:rPr>
                <w:sz w:val="24"/>
                <w:i/>
                <w:iCs/>
                <w:rFonts w:ascii="Times New Roman" w:hAnsi="Times New Roman"/>
              </w:rPr>
              <w:t xml:space="preserve">ter</w:t>
            </w:r>
            <w:r>
              <w:rPr>
                <w:sz w:val="24"/>
                <w:rFonts w:ascii="Times New Roman" w:hAnsi="Times New Roman"/>
              </w:rPr>
              <w:t xml:space="preserve">, apartados 2 y 3, del Reglamento (UE) n.º 575/2013.</w:t>
            </w:r>
          </w:p>
          <w:p w14:paraId="7AC9B352" w14:textId="40BB7FB2" w:rsidR="00CB48CC" w:rsidRPr="000B66BC" w:rsidRDefault="00103B23" w:rsidP="000B66BC">
            <w:pPr>
              <w:pStyle w:val="BodyText1"/>
              <w:spacing w:after="240" w:line="240" w:lineRule="auto"/>
              <w:rPr>
                <w:b/>
                <w:bCs/>
                <w:color w:val="auto"/>
                <w:sz w:val="24"/>
                <w:szCs w:val="24"/>
                <w:rFonts w:ascii="Times New Roman" w:hAnsi="Times New Roman"/>
              </w:rPr>
            </w:pPr>
            <w:r>
              <w:rPr>
                <w:color w:val="auto"/>
                <w:sz w:val="24"/>
                <w:rFonts w:ascii="Times New Roman" w:hAnsi="Times New Roman"/>
              </w:rPr>
              <w:t xml:space="preserve">Importe compensado en virtud del marco contable aplicable respecto a los acuerdos de centralización de tesorería que no se pueden compensar de manera prudencial, comunicado en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bCs/>
                <w:sz w:val="24"/>
                <w:szCs w:val="24"/>
                <w:rFonts w:ascii="Times New Roman" w:hAnsi="Times New Roman"/>
              </w:rPr>
            </w:pPr>
            <w:r>
              <w:rPr>
                <w:sz w:val="24"/>
                <w:rFonts w:ascii="Times New Roman" w:hAnsi="Times New Roman"/>
              </w:rPr>
              <w:t xml:space="preserve">{0195;0010}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Acuerdos de centralización de tesorería que se pueden compensar de manera prudencial: valor en el marco contable</w:t>
            </w:r>
          </w:p>
          <w:p w14:paraId="444FD556" w14:textId="0460319C" w:rsidR="00CB48CC" w:rsidRPr="000B66BC" w:rsidRDefault="0073197F"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Artículo 429 </w:t>
            </w:r>
            <w:r>
              <w:rPr>
                <w:sz w:val="24"/>
                <w:color w:val="auto"/>
                <w:i/>
                <w:iCs/>
                <w:rFonts w:ascii="Times New Roman" w:hAnsi="Times New Roman"/>
              </w:rPr>
              <w:t xml:space="preserve">ter</w:t>
            </w:r>
            <w:r>
              <w:rPr>
                <w:sz w:val="24"/>
                <w:color w:val="auto"/>
                <w:rFonts w:ascii="Times New Roman" w:hAnsi="Times New Roman"/>
              </w:rPr>
              <w:t xml:space="preserve">, apartados 2 y 3, del</w:t>
            </w:r>
            <w:r>
              <w:rPr>
                <w:sz w:val="24"/>
                <w:rFonts w:ascii="Times New Roman" w:hAnsi="Times New Roman"/>
              </w:rPr>
              <w:t xml:space="preserve"> </w:t>
            </w:r>
            <w:r>
              <w:rPr>
                <w:sz w:val="24"/>
                <w:color w:val="auto"/>
                <w:rFonts w:ascii="Times New Roman" w:hAnsi="Times New Roman"/>
              </w:rPr>
              <w:t xml:space="preserve">Reglamento (UE) n.º 575/2013.</w:t>
            </w:r>
          </w:p>
          <w:p w14:paraId="5FF92BE1" w14:textId="795BE2F1" w:rsidR="00CB48CC" w:rsidRPr="000B66BC" w:rsidRDefault="00CB48CC"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Valor contable de los acuerdos de centralización de tesorería, es decir, de acuerdos mediante los cuales los saldos deudores o acreedores se combinan a efectos de gestión de tesorería o liquidez, que se puede compensar de conformidad con el artículo 429 </w:t>
            </w:r>
            <w:r>
              <w:rPr>
                <w:sz w:val="24"/>
                <w:i/>
                <w:iCs/>
                <w:rFonts w:ascii="Times New Roman" w:hAnsi="Times New Roman"/>
              </w:rPr>
              <w:t xml:space="preserve">ter</w:t>
            </w:r>
            <w:r>
              <w:rPr>
                <w:sz w:val="24"/>
                <w:rFonts w:ascii="Times New Roman" w:hAnsi="Times New Roman"/>
              </w:rPr>
              <w:t xml:space="preserve">, apartados 2 y 3, del Reglamento (UE) n.º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Acuerdos de centralización de tesorería que se pueden compensar de manera prudencial: efecto de extrapolar la compensación aplicada en el marco contable</w:t>
            </w:r>
          </w:p>
          <w:p w14:paraId="770F0F10" w14:textId="551E3D5F" w:rsidR="00CB48CC" w:rsidRPr="000B66BC" w:rsidRDefault="009F6A59"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Artículo 429 </w:t>
            </w:r>
            <w:r>
              <w:rPr>
                <w:sz w:val="24"/>
                <w:color w:val="auto"/>
                <w:i/>
                <w:iCs/>
                <w:rFonts w:ascii="Times New Roman" w:hAnsi="Times New Roman"/>
              </w:rPr>
              <w:t xml:space="preserve">ter</w:t>
            </w:r>
            <w:r>
              <w:rPr>
                <w:sz w:val="24"/>
                <w:color w:val="auto"/>
                <w:rFonts w:ascii="Times New Roman" w:hAnsi="Times New Roman"/>
              </w:rPr>
              <w:t xml:space="preserve">, apartados 2 y 3, del</w:t>
            </w:r>
            <w:r>
              <w:rPr>
                <w:sz w:val="24"/>
                <w:rFonts w:ascii="Times New Roman" w:hAnsi="Times New Roman"/>
              </w:rPr>
              <w:t xml:space="preserve"> </w:t>
            </w:r>
            <w:r>
              <w:rPr>
                <w:sz w:val="24"/>
                <w:color w:val="auto"/>
                <w:rFonts w:ascii="Times New Roman" w:hAnsi="Times New Roman"/>
              </w:rPr>
              <w:t xml:space="preserve">Reglamento (UE) n.º 575/2013.</w:t>
            </w:r>
          </w:p>
          <w:p w14:paraId="4F594E25" w14:textId="2FF29B12" w:rsidR="00864866" w:rsidRPr="000B66BC" w:rsidRDefault="00CB48CC" w:rsidP="000B66BC">
            <w:pPr>
              <w:pStyle w:val="BodyText1"/>
              <w:spacing w:after="240"/>
              <w:rPr>
                <w:color w:val="auto"/>
                <w:sz w:val="24"/>
                <w:szCs w:val="24"/>
                <w:rFonts w:ascii="Times New Roman" w:hAnsi="Times New Roman"/>
              </w:rPr>
            </w:pPr>
            <w:r>
              <w:rPr>
                <w:color w:val="auto"/>
                <w:sz w:val="24"/>
                <w:rFonts w:ascii="Times New Roman" w:hAnsi="Times New Roman"/>
              </w:rPr>
              <w:t xml:space="preserve">Importe compensado en virtud del marco contable aplicable respecto a los acuerdos de centralización de tesorería que se pueden compensar de manera prudencial, comunicado en {0195;0010}.</w:t>
            </w:r>
          </w:p>
          <w:p w14:paraId="14E77DE6" w14:textId="4279D111" w:rsidR="00CB48CC" w:rsidRPr="000B66BC" w:rsidRDefault="00166A6F" w:rsidP="000B66BC">
            <w:pPr>
              <w:pStyle w:val="BodyText1"/>
              <w:spacing w:after="240"/>
              <w:rPr>
                <w:color w:val="auto"/>
                <w:sz w:val="24"/>
                <w:szCs w:val="24"/>
                <w:rFonts w:ascii="Times New Roman" w:hAnsi="Times New Roman"/>
              </w:rPr>
            </w:pPr>
            <w:r>
              <w:rPr>
                <w:color w:val="auto"/>
                <w:sz w:val="24"/>
                <w:rFonts w:ascii="Times New Roman" w:hAnsi="Times New Roman"/>
              </w:rPr>
              <w:t xml:space="preserve">Cuando la institución cumpla lo dispuesto en el artículo 429 </w:t>
            </w:r>
            <w:r>
              <w:rPr>
                <w:color w:val="auto"/>
                <w:sz w:val="24"/>
                <w:i/>
                <w:rFonts w:ascii="Times New Roman" w:hAnsi="Times New Roman"/>
              </w:rPr>
              <w:t xml:space="preserve">ter</w:t>
            </w:r>
            <w:r>
              <w:rPr>
                <w:color w:val="auto"/>
                <w:sz w:val="24"/>
                <w:rFonts w:ascii="Times New Roman" w:hAnsi="Times New Roman"/>
              </w:rPr>
              <w:t xml:space="preserve">, apartado 2, letra b), no aplicará la extrapolación en esta fila a los saldos extinguidos sobre la base del proceso establecido en el artículo 429 </w:t>
            </w:r>
            <w:r>
              <w:rPr>
                <w:color w:val="auto"/>
                <w:sz w:val="24"/>
                <w:i/>
                <w:rFonts w:ascii="Times New Roman" w:hAnsi="Times New Roman"/>
              </w:rPr>
              <w:t xml:space="preserve">ter</w:t>
            </w:r>
            <w:r>
              <w:rPr>
                <w:color w:val="auto"/>
                <w:sz w:val="24"/>
                <w:rFonts w:ascii="Times New Roman" w:hAnsi="Times New Roman"/>
              </w:rPr>
              <w:t xml:space="preserve">, apartado 2, letra a).</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Acuerdos de centralización de tesorería que se pueden compensar de manera prudencial:</w:t>
            </w:r>
            <w:r>
              <w:rPr>
                <w:b/>
                <w:color w:val="auto"/>
                <w:sz w:val="24"/>
                <w:rFonts w:ascii="Times New Roman" w:hAnsi="Times New Roman"/>
              </w:rPr>
              <w:t xml:space="preserve"> </w:t>
            </w:r>
            <w:r>
              <w:rPr>
                <w:b/>
                <w:color w:val="auto"/>
                <w:sz w:val="24"/>
                <w:rFonts w:ascii="Times New Roman" w:hAnsi="Times New Roman"/>
              </w:rPr>
              <w:t xml:space="preserve">reconocimiento de la compensación de conformidad con el artículo 429 </w:t>
            </w:r>
            <w:r>
              <w:rPr>
                <w:b/>
                <w:color w:val="auto"/>
                <w:sz w:val="24"/>
                <w:i/>
                <w:rFonts w:ascii="Times New Roman" w:hAnsi="Times New Roman"/>
              </w:rPr>
              <w:t xml:space="preserve">ter</w:t>
            </w:r>
            <w:r>
              <w:rPr>
                <w:b/>
                <w:color w:val="auto"/>
                <w:sz w:val="24"/>
                <w:rFonts w:ascii="Times New Roman" w:hAnsi="Times New Roman"/>
              </w:rPr>
              <w:t xml:space="preserve">, apartado 2, del RRC</w:t>
            </w:r>
          </w:p>
          <w:p w14:paraId="52C1DAD6" w14:textId="04254F3D" w:rsidR="00CB48CC" w:rsidRPr="000B66BC" w:rsidRDefault="00CB48CC"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ter</w:t>
            </w:r>
            <w:r>
              <w:rPr>
                <w:sz w:val="24"/>
                <w:rFonts w:ascii="Times New Roman" w:hAnsi="Times New Roman"/>
              </w:rPr>
              <w:t xml:space="preserve">, apartado 2, del Reglamento (UE) n.º 575/2013.</w:t>
            </w:r>
          </w:p>
          <w:p w14:paraId="6514DC6F" w14:textId="4B1A16D6" w:rsidR="00CB48CC" w:rsidRPr="000B66BC" w:rsidRDefault="00CB48CC" w:rsidP="000B66BC">
            <w:pPr>
              <w:pStyle w:val="BodyText1"/>
              <w:spacing w:after="240" w:line="240" w:lineRule="auto"/>
              <w:rPr>
                <w:b/>
                <w:bCs/>
                <w:color w:val="auto"/>
                <w:sz w:val="24"/>
                <w:szCs w:val="24"/>
                <w:rFonts w:ascii="Times New Roman" w:hAnsi="Times New Roman"/>
              </w:rPr>
            </w:pPr>
            <w:r>
              <w:rPr>
                <w:color w:val="auto"/>
                <w:sz w:val="24"/>
                <w:rFonts w:ascii="Times New Roman" w:hAnsi="Times New Roman"/>
              </w:rPr>
              <w:t xml:space="preserve">El importe compensado de la exposición bruta en relación con acuerdos de centralización de tesorería (suma de las filas 0195 y 0196) de conformidad con el </w:t>
            </w:r>
            <w:r>
              <w:rPr>
                <w:color w:val="auto"/>
                <w:sz w:val="24"/>
                <w:rFonts w:ascii="Times New Roman" w:hAnsi="Times New Roman"/>
              </w:rPr>
              <w:t xml:space="preserve">artículo 429 </w:t>
            </w:r>
            <w:r>
              <w:rPr>
                <w:color w:val="auto"/>
                <w:sz w:val="24"/>
                <w:i/>
                <w:iCs/>
                <w:rFonts w:ascii="Times New Roman" w:hAnsi="Times New Roman"/>
              </w:rPr>
              <w:t xml:space="preserve">ter</w:t>
            </w:r>
            <w:r>
              <w:rPr>
                <w:color w:val="auto"/>
                <w:sz w:val="24"/>
                <w:rFonts w:ascii="Times New Roman" w:hAnsi="Times New Roman"/>
              </w:rPr>
              <w:t xml:space="preserve">, apartado 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Acuerdos de centralización de tesorería que se pueden compensar de manera prudencial:</w:t>
            </w:r>
            <w:r>
              <w:rPr>
                <w:b/>
                <w:color w:val="auto"/>
                <w:sz w:val="24"/>
                <w:rFonts w:ascii="Times New Roman" w:hAnsi="Times New Roman"/>
              </w:rPr>
              <w:t xml:space="preserve"> </w:t>
            </w:r>
            <w:r>
              <w:rPr>
                <w:b/>
                <w:color w:val="auto"/>
                <w:sz w:val="24"/>
                <w:rFonts w:ascii="Times New Roman" w:hAnsi="Times New Roman"/>
              </w:rPr>
              <w:t xml:space="preserve">reconocimiento de la compensación de conformidad con el artículo 429 </w:t>
            </w:r>
            <w:r>
              <w:rPr>
                <w:b/>
                <w:color w:val="auto"/>
                <w:sz w:val="24"/>
                <w:i/>
                <w:rFonts w:ascii="Times New Roman" w:hAnsi="Times New Roman"/>
              </w:rPr>
              <w:t xml:space="preserve">ter</w:t>
            </w:r>
            <w:r>
              <w:rPr>
                <w:b/>
                <w:color w:val="auto"/>
                <w:sz w:val="24"/>
                <w:rFonts w:ascii="Times New Roman" w:hAnsi="Times New Roman"/>
              </w:rPr>
              <w:t xml:space="preserve">, apartado 3, del RRC</w:t>
            </w:r>
          </w:p>
          <w:p w14:paraId="10AA0B56" w14:textId="265D95F4" w:rsidR="00CB48CC" w:rsidRPr="000B66BC" w:rsidRDefault="00CB48CC"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ter</w:t>
            </w:r>
            <w:r>
              <w:rPr>
                <w:sz w:val="24"/>
                <w:rFonts w:ascii="Times New Roman" w:hAnsi="Times New Roman"/>
              </w:rPr>
              <w:t xml:space="preserve">, apartado 3, del Reglamento (UE) n.º 575/2013.</w:t>
            </w:r>
            <w:r>
              <w:rPr>
                <w:sz w:val="24"/>
                <w:rFonts w:ascii="Times New Roman" w:hAnsi="Times New Roman"/>
              </w:rPr>
              <w:t xml:space="preserve"> </w:t>
            </w:r>
            <w:r>
              <w:rPr>
                <w:sz w:val="24"/>
                <w:color w:val="auto"/>
                <w:rFonts w:ascii="Times New Roman" w:hAnsi="Times New Roman"/>
              </w:rPr>
              <w:t xml:space="preserve">El importe compensado de la exposición bruta en relación con acuerdos de centralización de tesorería (suma de las filas 0195 y 0196) de conformidad con el artículo 429 </w:t>
            </w:r>
            <w:r>
              <w:rPr>
                <w:sz w:val="24"/>
                <w:color w:val="auto"/>
                <w:i/>
                <w:iCs/>
                <w:rFonts w:ascii="Times New Roman" w:hAnsi="Times New Roman"/>
              </w:rPr>
              <w:t xml:space="preserve">ter</w:t>
            </w:r>
            <w:r>
              <w:rPr>
                <w:sz w:val="24"/>
                <w:color w:val="auto"/>
                <w:rFonts w:ascii="Times New Roman" w:hAnsi="Times New Roman"/>
              </w:rPr>
              <w:t xml:space="preserve">, apartado 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Garantías reales aportadas en conexión con derivados</w:t>
            </w:r>
          </w:p>
          <w:p w14:paraId="2AA08714" w14:textId="6F4E6D5B"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 2, del Reglamento (UE) n.º 575/2013.</w:t>
            </w:r>
          </w:p>
          <w:p w14:paraId="6B6AC708" w14:textId="2EC63359"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cualquier garantía real aportada en conexión con derivados siempre que la aportación de dicha garantía reduzca el importe de los activos con arreglo al marco contable aplicable, según lo establecido en el artículo 429 </w:t>
            </w:r>
            <w:r>
              <w:rPr>
                <w:sz w:val="24"/>
                <w:i/>
                <w:iCs/>
                <w:rFonts w:ascii="Times New Roman" w:hAnsi="Times New Roman"/>
              </w:rPr>
              <w:t xml:space="preserve">quater</w:t>
            </w:r>
            <w:r>
              <w:rPr>
                <w:sz w:val="24"/>
                <w:rFonts w:ascii="Times New Roman" w:hAnsi="Times New Roman"/>
              </w:rPr>
              <w:t xml:space="preserve">, apartado 2, del Reglamento (UE) n.º 575/2013.</w:t>
            </w:r>
          </w:p>
          <w:p w14:paraId="3815F945" w14:textId="04AC9768"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no incluirán en esta celda el margen inicial relativo a las operaciones con derivados con una ECCC compensadas por el cliente o el margen de variación en efectivo admisible, según se define en el artículo 429 </w:t>
            </w:r>
            <w:r>
              <w:rPr>
                <w:sz w:val="24"/>
                <w:i/>
                <w:iCs/>
                <w:rFonts w:ascii="Times New Roman" w:hAnsi="Times New Roman"/>
              </w:rPr>
              <w:t xml:space="preserve">quater</w:t>
            </w:r>
            <w:r>
              <w:rPr>
                <w:sz w:val="24"/>
                <w:rFonts w:ascii="Times New Roman" w:hAnsi="Times New Roman"/>
              </w:rPr>
              <w:t xml:space="preserve">, apartado 3, del Reglamento (UE) n.º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Derechos de cobro por el margen de variación en efectivo aportado en operaciones con derivados</w:t>
            </w:r>
          </w:p>
          <w:p w14:paraId="353AEF67" w14:textId="6C391B7D" w:rsidR="00CB48CC" w:rsidRPr="000B66BC" w:rsidRDefault="001475A2"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quater</w:t>
            </w:r>
            <w:r>
              <w:rPr>
                <w:sz w:val="24"/>
                <w:rFonts w:ascii="Times New Roman" w:hAnsi="Times New Roman"/>
              </w:rPr>
              <w:t xml:space="preserve">, apartado 3, letra c), del Reglamento (UE) n.º 575/2013.</w:t>
            </w:r>
          </w:p>
          <w:p w14:paraId="43A45BE7" w14:textId="65E078C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Derechos de cobro por el margen de variación pagado en efectivo a la contraparte en operaciones con derivados si la entidad está obligada, en virtud del marco contable aplicable, a reconocer esos derechos de cobro en el activo, siempre que se cumplan las condiciones establecidas en el artículo 429 </w:t>
            </w:r>
            <w:r>
              <w:rPr>
                <w:sz w:val="24"/>
                <w:i/>
                <w:iCs/>
                <w:rFonts w:ascii="Times New Roman" w:hAnsi="Times New Roman"/>
              </w:rPr>
              <w:t xml:space="preserve">quater</w:t>
            </w:r>
            <w:r>
              <w:rPr>
                <w:sz w:val="24"/>
                <w:rFonts w:ascii="Times New Roman" w:hAnsi="Times New Roman"/>
              </w:rPr>
              <w:t xml:space="preserve">, apartado 3, letras a) a e), del Reglamento (UE) n.º 575/2013.</w:t>
            </w:r>
          </w:p>
          <w:p w14:paraId="5E1EBFBA" w14:textId="5DE4D171"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El importe comunicado también deberá incluirse en los otros activos consignados en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Componente ECC excluido de exposiciones de negociación compensadas por el cliente (margen inicial)</w:t>
            </w:r>
          </w:p>
          <w:p w14:paraId="3E812C65" w14:textId="6F86598F" w:rsidR="00CB48CC" w:rsidRPr="000B66BC" w:rsidRDefault="001475A2"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g), del Reglamento (UE) n.º 575/2013.</w:t>
            </w:r>
          </w:p>
          <w:p w14:paraId="5FE3535A" w14:textId="1026B90A"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 parte correspondiente al margen inicial (aportado) en las exposiciones de negociación frente a una ECCC excluidas procedentes de las operaciones con derivados compensadas por el cliente, siempre que dichas partidas cumplan las condiciones establecidas en el artículo 306, apartado 1, letra c), del Reglamento (UE) n.º 575/2013.</w:t>
            </w:r>
          </w:p>
          <w:p w14:paraId="6C360905" w14:textId="21F19BED"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El importe comunicado también deberá incluirse en los otros activos consignados en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Ajustes por SFT contabilizadas como ventas</w:t>
            </w:r>
          </w:p>
          <w:p w14:paraId="46B4994C" w14:textId="3895724D" w:rsidR="00CB48CC" w:rsidRPr="00D51F9E"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sexies</w:t>
            </w:r>
            <w:r>
              <w:rPr>
                <w:sz w:val="24"/>
                <w:rFonts w:ascii="Times New Roman" w:hAnsi="Times New Roman"/>
              </w:rPr>
              <w:t xml:space="preserve">, apartado 6, del Reglamento (UE) n.º 575/2013.</w:t>
            </w:r>
          </w:p>
          <w:p w14:paraId="05B69EB8" w14:textId="4CF799C1"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los valores prestados en una operación de recompra dados de baja en cuentas debido a una operación contable de venta en virtud del marco contable aplicable.</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 Reducción del valor de préstamos de prefinanciación o intermedios</w:t>
            </w:r>
            <w:r>
              <w:rPr>
                <w:b/>
                <w:sz w:val="24"/>
                <w:rFonts w:ascii="Times New Roman" w:hAnsi="Times New Roman"/>
              </w:rPr>
              <w:t xml:space="preserve"> </w:t>
            </w:r>
          </w:p>
          <w:p w14:paraId="44C18D39" w14:textId="584EBA41" w:rsidR="00131C70" w:rsidRPr="000B66BC" w:rsidRDefault="00131C70"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apartado 8, del Reglamento (UE) n.º 575/2013.</w:t>
            </w:r>
          </w:p>
          <w:p w14:paraId="211507FA" w14:textId="5F4C37FD" w:rsidR="00131C70" w:rsidRPr="000B66BC" w:rsidRDefault="00131C70" w:rsidP="000B66BC">
            <w:pPr>
              <w:pStyle w:val="BodyText1"/>
              <w:spacing w:after="240"/>
              <w:rPr>
                <w:bCs/>
                <w:sz w:val="24"/>
                <w:szCs w:val="24"/>
                <w:rFonts w:ascii="Times New Roman" w:hAnsi="Times New Roman"/>
              </w:rPr>
            </w:pPr>
            <w:r>
              <w:rPr>
                <w:sz w:val="24"/>
                <w:rFonts w:ascii="Times New Roman" w:hAnsi="Times New Roman"/>
              </w:rPr>
              <w:t xml:space="preserve">Importe reducido del valor de exposición de un préstamo de prefinanciación o de un préstamo intermedio, de conformidad con el artículo 429, apartado 8, del Reglamento (UE) n.º 575/2013.</w:t>
            </w:r>
          </w:p>
          <w:p w14:paraId="28E46325" w14:textId="539EE861" w:rsidR="00131C70" w:rsidRPr="000B66BC" w:rsidRDefault="002662F0" w:rsidP="000B66BC">
            <w:pPr>
              <w:pStyle w:val="BodyText1"/>
              <w:spacing w:after="240" w:line="240" w:lineRule="auto"/>
              <w:rPr>
                <w:b/>
                <w:bCs/>
                <w:sz w:val="24"/>
                <w:szCs w:val="24"/>
                <w:rFonts w:ascii="Times New Roman" w:hAnsi="Times New Roman"/>
              </w:rPr>
            </w:pPr>
            <w:r>
              <w:rPr>
                <w:sz w:val="24"/>
                <w:rFonts w:ascii="Times New Roman" w:hAnsi="Times New Roman"/>
              </w:rPr>
              <w:t xml:space="preserve">El importe comunicado deberá incluirse en los otros activos consignados en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Activos fiduciarios</w:t>
            </w:r>
          </w:p>
          <w:p w14:paraId="7B749386" w14:textId="0A0CBFBA" w:rsidR="00CB48CC" w:rsidRPr="000B66BC" w:rsidRDefault="00520E26"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i), del Reglamento (UE) n.º 575/2013.</w:t>
            </w:r>
          </w:p>
          <w:p w14:paraId="0AD4C34E" w14:textId="2623FBBE"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Valor de los activos fiduciarios reconocidos en el balance de la entidad según los principios nacionales de contabilidad generalmente aceptados que cumplan los criterios de baja en cuentas establecidos en la NIIF 9 y, cuando proceda, los criterios de no consolidación de la NIIF 10, de conformidad con el artículo 429 </w:t>
            </w:r>
            <w:r>
              <w:rPr>
                <w:sz w:val="24"/>
                <w:i/>
                <w:iCs/>
                <w:rFonts w:ascii="Times New Roman" w:hAnsi="Times New Roman"/>
              </w:rPr>
              <w:t xml:space="preserve">bis</w:t>
            </w:r>
            <w:r>
              <w:rPr>
                <w:sz w:val="24"/>
                <w:rFonts w:ascii="Times New Roman" w:hAnsi="Times New Roman"/>
              </w:rPr>
              <w:t xml:space="preserve">, apartado 1, letra i), del Reglamento (UE) n.º 575/2013, suponiendo que no hay efectos de compensación contable ni de CRM (es decir, se anularán los efectos de toda compensación contable o CRM que haya afectado al valor contable).</w:t>
            </w:r>
          </w:p>
          <w:p w14:paraId="3BDFEE4B" w14:textId="1245B02D"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El importe comunicado también deberá incluirse en los otros activos consignados en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Exposiciones intragrupo (base individual) excluidas conforme al artículo 429 </w:t>
            </w:r>
            <w:r>
              <w:rPr>
                <w:b/>
                <w:sz w:val="24"/>
                <w:i/>
                <w:rFonts w:ascii="Times New Roman" w:hAnsi="Times New Roman"/>
              </w:rPr>
              <w:t xml:space="preserve">bis</w:t>
            </w:r>
            <w:r>
              <w:rPr>
                <w:b/>
                <w:sz w:val="24"/>
                <w:rFonts w:ascii="Times New Roman" w:hAnsi="Times New Roman"/>
              </w:rPr>
              <w:t xml:space="preserve">, apartado 1, letra c), del RRC</w:t>
            </w:r>
          </w:p>
          <w:p w14:paraId="1E2E0D64" w14:textId="4D7D7234" w:rsidR="00CB48CC" w:rsidRPr="000B66BC" w:rsidRDefault="00010563"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c), y artículo 113, apartado 6, del Reglamento (UE) n.º 575/2013.</w:t>
            </w:r>
          </w:p>
          <w:p w14:paraId="76D582E8" w14:textId="03A63940"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Exposiciones que no hayan sido consolidadas al nivel de consolidación aplicable, que puedan ser objeto del tratamiento enunciado en el artículo 113, apartado 6, del Reglamento (UE) n.º 575/2013, siempre que se cumplan todas las condiciones que figuran en las letras a) a e) de esa disposición y las autoridades competentes hayan dado su aprobación.</w:t>
            </w:r>
          </w:p>
          <w:p w14:paraId="01853F94" w14:textId="16846725"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{0251;0010}</w:t>
            </w:r>
          </w:p>
        </w:tc>
        <w:tc>
          <w:tcPr>
            <w:tcW w:w="7566" w:type="dxa"/>
            <w:tcBorders>
              <w:bottom w:val="single" w:sz="4" w:space="0" w:color="auto"/>
            </w:tcBorders>
          </w:tcPr>
          <w:p w14:paraId="4730EC18" w14:textId="4AA5BCE0" w:rsidR="00CB48CC" w:rsidRPr="000B66BC" w:rsidRDefault="00CB48CC" w:rsidP="000B66BC">
            <w:pPr>
              <w:spacing w:after="240"/>
              <w:jc w:val="both"/>
              <w:rPr>
                <w:b/>
                <w:color w:val="auto"/>
                <w:sz w:val="24"/>
                <w:szCs w:val="24"/>
                <w:rFonts w:ascii="Times New Roman" w:hAnsi="Times New Roman"/>
              </w:rPr>
            </w:pPr>
            <w:r>
              <w:rPr>
                <w:b/>
                <w:color w:val="auto"/>
                <w:sz w:val="24"/>
                <w:rFonts w:ascii="Times New Roman" w:hAnsi="Times New Roman"/>
              </w:rPr>
              <w:t xml:space="preserve">(-) Exposiciones de sistemas institucionales de protección excluidas conforme al artículo 429 </w:t>
            </w:r>
            <w:r>
              <w:rPr>
                <w:b/>
                <w:color w:val="auto"/>
                <w:sz w:val="24"/>
                <w:i/>
                <w:rFonts w:ascii="Times New Roman" w:hAnsi="Times New Roman"/>
              </w:rPr>
              <w:t xml:space="preserve">bis</w:t>
            </w:r>
            <w:r>
              <w:rPr>
                <w:b/>
                <w:color w:val="auto"/>
                <w:sz w:val="24"/>
                <w:rFonts w:ascii="Times New Roman" w:hAnsi="Times New Roman"/>
              </w:rPr>
              <w:t xml:space="preserve">, apartado 1, letra c), del RRC</w:t>
            </w:r>
            <w:r>
              <w:rPr>
                <w:b/>
                <w:color w:val="auto"/>
                <w:sz w:val="24"/>
                <w:rFonts w:ascii="Times New Roman" w:hAnsi="Times New Roman"/>
              </w:rPr>
              <w:t xml:space="preserve"> </w:t>
            </w:r>
          </w:p>
          <w:p w14:paraId="7A5F0217" w14:textId="1AEEF28A" w:rsidR="00CB48CC" w:rsidRPr="000B66BC" w:rsidRDefault="009433A7"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c), y artículo 113, apartado 7, del Reglamento (UE) n.º 575/2013.</w:t>
            </w:r>
          </w:p>
          <w:p w14:paraId="16C42B04" w14:textId="0BA4DB29"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Exposiciones que puedan ser objeto del tratamiento enunciado en el artículo 113, apartado 7, del Reglamento (UE) n.º 575/2013, siempre que se cumplan todas las condiciones que figuran en las letras a) a i) de esa disposición y las autoridades competentes hayan dado su aprobación.</w:t>
            </w:r>
          </w:p>
          <w:p w14:paraId="3349FF66" w14:textId="7075C424" w:rsidR="00CB48CC" w:rsidRPr="000B66BC" w:rsidRDefault="00CB48CC" w:rsidP="000B66BC">
            <w:pPr>
              <w:pStyle w:val="BodyText1"/>
              <w:spacing w:after="240" w:line="240" w:lineRule="auto"/>
              <w:rPr>
                <w:b/>
                <w:bCs/>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bCs/>
                <w:sz w:val="24"/>
                <w:szCs w:val="24"/>
                <w:rFonts w:ascii="Times New Roman" w:hAnsi="Times New Roman"/>
              </w:rPr>
            </w:pPr>
            <w:r>
              <w:rPr>
                <w:sz w:val="24"/>
                <w:rFonts w:ascii="Times New Roman" w:hAnsi="Times New Roman"/>
              </w:rPr>
              <w:t xml:space="preserve">{0900;0010}</w:t>
            </w:r>
          </w:p>
        </w:tc>
        <w:tc>
          <w:tcPr>
            <w:tcW w:w="7566" w:type="dxa"/>
            <w:tcBorders>
              <w:bottom w:val="single" w:sz="4" w:space="0" w:color="auto"/>
            </w:tcBorders>
          </w:tcPr>
          <w:p w14:paraId="0F7B2C03" w14:textId="4E78668C" w:rsidR="003D12C1" w:rsidRDefault="0093277B" w:rsidP="000B66BC">
            <w:pPr>
              <w:spacing w:after="240"/>
              <w:jc w:val="both"/>
              <w:rPr>
                <w:b/>
                <w:color w:val="auto"/>
                <w:sz w:val="24"/>
                <w:szCs w:val="24"/>
                <w:rFonts w:ascii="Times New Roman" w:hAnsi="Times New Roman"/>
              </w:rPr>
            </w:pPr>
            <w:r>
              <w:rPr>
                <w:b/>
                <w:color w:val="auto"/>
                <w:sz w:val="24"/>
                <w:rFonts w:ascii="Times New Roman" w:hAnsi="Times New Roman"/>
              </w:rPr>
              <w:t xml:space="preserve">(-) Exposiciones de sistemas institucionales de protección excluidas conforme al artículo 429 </w:t>
            </w:r>
            <w:r>
              <w:rPr>
                <w:b/>
                <w:color w:val="auto"/>
                <w:sz w:val="24"/>
                <w:i/>
                <w:iCs/>
                <w:rFonts w:ascii="Times New Roman" w:hAnsi="Times New Roman"/>
              </w:rPr>
              <w:t xml:space="preserve">bis</w:t>
            </w:r>
            <w:r>
              <w:rPr>
                <w:b/>
                <w:color w:val="auto"/>
                <w:sz w:val="24"/>
                <w:rFonts w:ascii="Times New Roman" w:hAnsi="Times New Roman"/>
              </w:rPr>
              <w:t xml:space="preserve">, apartado 1, letra c </w:t>
            </w:r>
            <w:r>
              <w:rPr>
                <w:b/>
                <w:color w:val="auto"/>
                <w:sz w:val="24"/>
                <w:i/>
                <w:iCs/>
                <w:rFonts w:ascii="Times New Roman" w:hAnsi="Times New Roman"/>
              </w:rPr>
              <w:t xml:space="preserve">bis</w:t>
            </w:r>
            <w:r>
              <w:rPr>
                <w:b/>
                <w:color w:val="auto"/>
                <w:sz w:val="24"/>
                <w:rFonts w:ascii="Times New Roman" w:hAnsi="Times New Roman"/>
              </w:rPr>
              <w:t xml:space="preserve">), del Reglamento (UE) n.º 575/2013</w:t>
            </w:r>
          </w:p>
          <w:p w14:paraId="6CE8CCB5" w14:textId="724F065F" w:rsidR="00D31203" w:rsidRDefault="0093277B" w:rsidP="00D31203">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c </w:t>
            </w:r>
            <w:r>
              <w:rPr>
                <w:sz w:val="24"/>
                <w:i/>
                <w:iCs/>
                <w:rFonts w:ascii="Times New Roman" w:hAnsi="Times New Roman"/>
              </w:rPr>
              <w:t xml:space="preserve">bis</w:t>
            </w:r>
            <w:r>
              <w:rPr>
                <w:sz w:val="24"/>
                <w:rFonts w:ascii="Times New Roman" w:hAnsi="Times New Roman"/>
              </w:rPr>
              <w:t xml:space="preserve">), artículo 113, apartado 7, y artículo 114 del Reglamento (UE) n.º 575/2013.</w:t>
            </w:r>
            <w:r>
              <w:rPr>
                <w:sz w:val="24"/>
                <w:rFonts w:ascii="Times New Roman" w:hAnsi="Times New Roman"/>
              </w:rPr>
              <w:t xml:space="preserve">Exposiciones que puedan ser objeto del tratamiento enunciado en el artículo 113, apartado 7, y en el artículo 114 del Reglamento (UE) n.º 575/2013, siempre que se cumplan todas las condiciones que figuran en el artículo 429 </w:t>
            </w:r>
            <w:r>
              <w:rPr>
                <w:sz w:val="24"/>
                <w:i/>
                <w:iCs/>
                <w:rFonts w:ascii="Times New Roman" w:hAnsi="Times New Roman"/>
              </w:rPr>
              <w:t xml:space="preserve">bis</w:t>
            </w:r>
            <w:r>
              <w:rPr>
                <w:sz w:val="24"/>
                <w:rFonts w:ascii="Times New Roman" w:hAnsi="Times New Roman"/>
              </w:rPr>
              <w:t xml:space="preserve">, apartado 1, letra c </w:t>
            </w:r>
            <w:r>
              <w:rPr>
                <w:sz w:val="24"/>
                <w:i/>
                <w:iCs/>
                <w:rFonts w:ascii="Times New Roman" w:hAnsi="Times New Roman"/>
              </w:rPr>
              <w:t xml:space="preserve">bis</w:t>
            </w:r>
            <w:r>
              <w:rPr>
                <w:sz w:val="24"/>
                <w:rFonts w:ascii="Times New Roman" w:hAnsi="Times New Roman"/>
              </w:rPr>
              <w:t xml:space="preserve">), de dicho Reglamento.</w:t>
            </w:r>
            <w:r>
              <w:rPr>
                <w:sz w:val="24"/>
                <w:rFonts w:ascii="Times New Roman" w:hAnsi="Times New Roman"/>
              </w:rPr>
              <w:t xml:space="preserve"> </w:t>
            </w:r>
          </w:p>
          <w:p w14:paraId="679257E0" w14:textId="1D0F3ECC" w:rsidR="0093277B" w:rsidRPr="000B66BC" w:rsidRDefault="00B96F9D" w:rsidP="00D31203">
            <w:pPr>
              <w:pStyle w:val="BodyText1"/>
              <w:spacing w:after="240" w:line="240" w:lineRule="auto"/>
            </w:pPr>
            <w:r>
              <w:rPr>
                <w:sz w:val="24"/>
                <w:rFonts w:ascii="Times New Roman" w:hAnsi="Times New Roman"/>
              </w:rPr>
              <w:t xml:space="preserve">El importe comunicado deberá incluirse también en las celdas anteriores pertinentes como si no se aplicara la exclusión.</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bCs/>
                <w:sz w:val="24"/>
                <w:szCs w:val="24"/>
                <w:highlight w:val="yellow"/>
                <w:rFonts w:ascii="Times New Roman" w:hAnsi="Times New Roman"/>
              </w:rPr>
            </w:pPr>
            <w:r>
              <w:rPr>
                <w:sz w:val="24"/>
                <w:rFonts w:ascii="Times New Roman" w:hAnsi="Times New Roman"/>
              </w:rPr>
              <w:t xml:space="preserve">{0252;0010}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Partes garantizadas de las exposiciones derivadas de créditos a la exportación excluidas</w:t>
            </w:r>
            <w:r>
              <w:rPr>
                <w:b/>
                <w:color w:val="auto"/>
                <w:sz w:val="24"/>
                <w:rFonts w:ascii="Times New Roman" w:hAnsi="Times New Roman"/>
              </w:rPr>
              <w:t xml:space="preserve"> </w:t>
            </w:r>
          </w:p>
          <w:p w14:paraId="43FFAEEA" w14:textId="5CB46AF0" w:rsidR="00EC6F1E" w:rsidRPr="000B66BC" w:rsidRDefault="00A42B1A"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f), del Reglamento (UE) n.º 575/2013.</w:t>
            </w:r>
          </w:p>
          <w:p w14:paraId="0F2E3189" w14:textId="10775FEB" w:rsidR="00EC6F1E" w:rsidRPr="000B66BC" w:rsidRDefault="00EC6F1E"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Las partes garantizadas de la exposiciones derivadas de créditos a la exportación que puedan excluirse cuando se cumplan las condiciones del </w:t>
            </w:r>
            <w:r>
              <w:rPr>
                <w:sz w:val="24"/>
                <w:color w:val="auto"/>
                <w:rFonts w:ascii="Times New Roman" w:hAnsi="Times New Roman"/>
              </w:rPr>
              <w:t xml:space="preserve">artículo 429 </w:t>
            </w:r>
            <w:r>
              <w:rPr>
                <w:sz w:val="24"/>
                <w:color w:val="auto"/>
                <w:i/>
                <w:iCs/>
                <w:rFonts w:ascii="Times New Roman" w:hAnsi="Times New Roman"/>
              </w:rPr>
              <w:t xml:space="preserve">bis</w:t>
            </w:r>
            <w:r>
              <w:rPr>
                <w:sz w:val="24"/>
                <w:color w:val="auto"/>
                <w:rFonts w:ascii="Times New Roman" w:hAnsi="Times New Roman"/>
              </w:rPr>
              <w:t xml:space="preserve">, </w:t>
            </w:r>
            <w:r>
              <w:rPr>
                <w:sz w:val="24"/>
                <w:color w:val="auto"/>
                <w:rFonts w:ascii="Times New Roman" w:hAnsi="Times New Roman"/>
              </w:rPr>
              <w:t xml:space="preserve">apartado 1, letra f), del Reglamento (UE) n.º 575/2013.</w:t>
            </w:r>
          </w:p>
          <w:p w14:paraId="4BBC9AD0" w14:textId="70F280C7" w:rsidR="00EC6F1E" w:rsidRPr="000B66BC" w:rsidRDefault="00EC6F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bCs/>
                <w:sz w:val="24"/>
                <w:szCs w:val="24"/>
                <w:highlight w:val="yellow"/>
                <w:rFonts w:ascii="Times New Roman" w:hAnsi="Times New Roman"/>
              </w:rPr>
            </w:pPr>
            <w:r>
              <w:rPr>
                <w:sz w:val="24"/>
                <w:rFonts w:ascii="Times New Roman" w:hAnsi="Times New Roman"/>
              </w:rPr>
              <w:t xml:space="preserve">{0253;0010}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Garantías reales excedentarias depositadas en agentes tripartitos excluidas</w:t>
            </w:r>
          </w:p>
          <w:p w14:paraId="209C179F" w14:textId="4EA76EF8" w:rsidR="00EC6F1E" w:rsidRPr="000B66BC" w:rsidRDefault="00A42B1A"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k), del Reglamento (UE) n.º 575/2013.</w:t>
            </w:r>
          </w:p>
          <w:p w14:paraId="64B746C7" w14:textId="3E23835E" w:rsidR="00EC6F1E" w:rsidRPr="000B66BC" w:rsidRDefault="00EC6F1E" w:rsidP="000B66BC">
            <w:pPr>
              <w:pStyle w:val="BodyText1"/>
              <w:spacing w:after="240" w:line="240" w:lineRule="auto"/>
              <w:rPr>
                <w:bCs/>
                <w:sz w:val="24"/>
                <w:szCs w:val="24"/>
                <w:rFonts w:ascii="Times New Roman" w:hAnsi="Times New Roman"/>
              </w:rPr>
            </w:pPr>
            <w:r>
              <w:rPr>
                <w:sz w:val="24"/>
                <w:rFonts w:ascii="Times New Roman" w:hAnsi="Times New Roman"/>
              </w:rPr>
              <w:t xml:space="preserve">Garantías reales excedentarias depositadas en agente tripartitos que no hayan sido prestadas, que pueden excluirse de conformidad con el artículo 429 </w:t>
            </w:r>
            <w:r>
              <w:rPr>
                <w:sz w:val="24"/>
                <w:i/>
                <w:rFonts w:ascii="Times New Roman" w:hAnsi="Times New Roman"/>
              </w:rPr>
              <w:t xml:space="preserve">bis</w:t>
            </w:r>
            <w:r>
              <w:rPr>
                <w:sz w:val="24"/>
                <w:rFonts w:ascii="Times New Roman" w:hAnsi="Times New Roman"/>
              </w:rPr>
              <w:t xml:space="preserve">, apartado 1, letra k), del RRC.</w:t>
            </w:r>
          </w:p>
          <w:p w14:paraId="7D107153" w14:textId="22433B1F" w:rsidR="00EC6F1E" w:rsidRPr="000B66BC" w:rsidRDefault="00EC6F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bCs/>
                <w:sz w:val="24"/>
                <w:szCs w:val="24"/>
                <w:rFonts w:ascii="Times New Roman" w:hAnsi="Times New Roman"/>
              </w:rPr>
            </w:pPr>
            <w:r>
              <w:rPr>
                <w:sz w:val="24"/>
                <w:rFonts w:ascii="Times New Roman" w:hAnsi="Times New Roman"/>
              </w:rPr>
              <w:t xml:space="preserve">{0254;0010}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Exposiciones titulizadas que representan la transferencia de una parte significativa del riesgo excluidas</w:t>
            </w:r>
            <w:r>
              <w:rPr>
                <w:b/>
                <w:color w:val="auto"/>
                <w:sz w:val="24"/>
                <w:rFonts w:ascii="Times New Roman" w:hAnsi="Times New Roman"/>
              </w:rPr>
              <w:t xml:space="preserve"> </w:t>
            </w:r>
          </w:p>
          <w:p w14:paraId="69C77F33" w14:textId="08590D91" w:rsidR="00EC6F1E" w:rsidRPr="000B66BC" w:rsidRDefault="00A42B1A"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m), del Reglamento (UE) n.º 575/2013.</w:t>
            </w:r>
          </w:p>
          <w:p w14:paraId="17E7D3CF" w14:textId="77777777" w:rsidR="00EC6F1E" w:rsidRPr="000B66BC" w:rsidRDefault="00EC6F1E" w:rsidP="000B66BC">
            <w:pPr>
              <w:pStyle w:val="BodyText1"/>
              <w:spacing w:after="240" w:line="240" w:lineRule="auto"/>
              <w:rPr>
                <w:bCs/>
                <w:sz w:val="24"/>
                <w:szCs w:val="24"/>
                <w:rFonts w:ascii="Times New Roman" w:hAnsi="Times New Roman"/>
              </w:rPr>
            </w:pPr>
            <w:r>
              <w:rPr>
                <w:sz w:val="24"/>
                <w:rFonts w:ascii="Times New Roman" w:hAnsi="Times New Roman"/>
              </w:rPr>
              <w:t xml:space="preserve">Exposiciones titulizadas de las titulaciones tradicionales que cumplan las condiciones relativas a la transferencia de una parte significativa del riesgo contempladas en el artículo 244, apartado 2.</w:t>
            </w:r>
          </w:p>
          <w:p w14:paraId="56BAB74A" w14:textId="083FCC3D" w:rsidR="00EC6F1E" w:rsidRPr="000B66BC" w:rsidRDefault="00EC6F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bCs/>
                <w:sz w:val="24"/>
                <w:szCs w:val="24"/>
                <w:rFonts w:ascii="Times New Roman" w:hAnsi="Times New Roman"/>
              </w:rPr>
            </w:pPr>
            <w:r>
              <w:rPr>
                <w:sz w:val="24"/>
                <w:rFonts w:ascii="Times New Roman" w:hAnsi="Times New Roman"/>
              </w:rPr>
              <w:t xml:space="preserve">{0255;0010}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color w:val="auto"/>
                <w:sz w:val="24"/>
                <w:szCs w:val="24"/>
                <w:rFonts w:ascii="Times New Roman" w:hAnsi="Times New Roman"/>
              </w:rPr>
            </w:pPr>
            <w:r>
              <w:rPr>
                <w:b/>
                <w:color w:val="auto"/>
                <w:sz w:val="24"/>
                <w:rFonts w:ascii="Times New Roman" w:hAnsi="Times New Roman"/>
              </w:rPr>
              <w:t xml:space="preserve">(-) Exposiciones frente al banco central excluidas en virtud del artículo 429 </w:t>
            </w:r>
            <w:r>
              <w:rPr>
                <w:b/>
                <w:color w:val="auto"/>
                <w:sz w:val="24"/>
                <w:i/>
                <w:rFonts w:ascii="Times New Roman" w:hAnsi="Times New Roman"/>
              </w:rPr>
              <w:t xml:space="preserve">bis</w:t>
            </w:r>
            <w:r>
              <w:rPr>
                <w:b/>
                <w:color w:val="auto"/>
                <w:sz w:val="24"/>
                <w:rFonts w:ascii="Times New Roman" w:hAnsi="Times New Roman"/>
              </w:rPr>
              <w:t xml:space="preserve">, apartado 1, letra n), del RRC</w:t>
            </w:r>
          </w:p>
          <w:p w14:paraId="737C879F" w14:textId="5B6A359D" w:rsidR="00EC6F1E" w:rsidRPr="000B66BC" w:rsidRDefault="00DE2482"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n), del Reglamento (UE) n.º 575/2013.</w:t>
            </w:r>
          </w:p>
          <w:p w14:paraId="300950AF" w14:textId="128AE793" w:rsidR="00EC6F1E" w:rsidRPr="000B66BC" w:rsidRDefault="00EC6F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bCs/>
                <w:sz w:val="24"/>
                <w:szCs w:val="24"/>
                <w:rFonts w:ascii="Times New Roman" w:hAnsi="Times New Roman"/>
              </w:rPr>
            </w:pPr>
            <w:r>
              <w:rPr>
                <w:sz w:val="24"/>
                <w:rFonts w:ascii="Times New Roman" w:hAnsi="Times New Roman"/>
              </w:rPr>
              <w:t xml:space="preserve">{0256;0010}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b/>
                <w:color w:val="auto"/>
                <w:sz w:val="24"/>
                <w:szCs w:val="24"/>
                <w:rFonts w:ascii="Times New Roman" w:hAnsi="Times New Roman"/>
              </w:rPr>
            </w:pPr>
            <w:r>
              <w:rPr>
                <w:sz w:val="24"/>
                <w:b/>
                <w:color w:val="auto"/>
                <w:rFonts w:ascii="Times New Roman" w:hAnsi="Times New Roman"/>
              </w:rPr>
              <w:t xml:space="preserve">(-) Servicios auxiliares de tipo bancario de CSD/entidades excluidos en virtud del artículo 429 </w:t>
            </w:r>
            <w:r>
              <w:rPr>
                <w:sz w:val="24"/>
                <w:b/>
                <w:color w:val="auto"/>
                <w:i/>
                <w:iCs/>
                <w:rFonts w:ascii="Times New Roman" w:hAnsi="Times New Roman"/>
              </w:rPr>
              <w:t xml:space="preserve">bis</w:t>
            </w:r>
            <w:r>
              <w:rPr>
                <w:sz w:val="24"/>
                <w:b/>
                <w:color w:val="auto"/>
                <w:rFonts w:ascii="Times New Roman" w:hAnsi="Times New Roman"/>
              </w:rPr>
              <w:t xml:space="preserve">, apartado 1, letra o), del Reglamento (UE) n.º 575/2013</w:t>
            </w:r>
          </w:p>
          <w:p w14:paraId="5D17ABE6" w14:textId="1743EA65" w:rsidR="00EC6F1E" w:rsidRPr="000B66BC" w:rsidRDefault="00F82681"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o), del Reglamento (UE) n.º 575/2013.</w:t>
            </w:r>
          </w:p>
          <w:p w14:paraId="2A59DF82" w14:textId="75E2BAB5" w:rsidR="00EC6F1E" w:rsidRPr="000B66BC" w:rsidRDefault="00EC6F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bCs/>
                <w:sz w:val="24"/>
                <w:szCs w:val="24"/>
                <w:rFonts w:ascii="Times New Roman" w:hAnsi="Times New Roman"/>
              </w:rPr>
            </w:pPr>
            <w:r>
              <w:rPr>
                <w:sz w:val="24"/>
                <w:rFonts w:ascii="Times New Roman" w:hAnsi="Times New Roman"/>
              </w:rPr>
              <w:t xml:space="preserve">{0257;0010}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Servicios auxiliares de tipo bancario de entidades designadas excluidos en virtud del artículo 429 </w:t>
            </w:r>
            <w:r>
              <w:rPr>
                <w:b/>
                <w:color w:val="auto"/>
                <w:sz w:val="24"/>
                <w:i/>
                <w:rFonts w:ascii="Times New Roman" w:hAnsi="Times New Roman"/>
              </w:rPr>
              <w:t xml:space="preserve">bis</w:t>
            </w:r>
            <w:r>
              <w:rPr>
                <w:b/>
                <w:color w:val="auto"/>
                <w:sz w:val="24"/>
                <w:rFonts w:ascii="Times New Roman" w:hAnsi="Times New Roman"/>
              </w:rPr>
              <w:t xml:space="preserve">, apartado 1, letra p), del RRC</w:t>
            </w:r>
          </w:p>
          <w:p w14:paraId="290DEB1D" w14:textId="2383EE7F" w:rsidR="00F82681" w:rsidRPr="000B66BC" w:rsidRDefault="00B329C6" w:rsidP="000B66BC">
            <w:pPr>
              <w:pStyle w:val="BodyText1"/>
              <w:spacing w:after="240" w:line="240" w:lineRule="auto"/>
              <w:rPr>
                <w:color w:val="auto"/>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p), del Reglamento (UE) n.º 575/2013.</w:t>
            </w:r>
          </w:p>
          <w:p w14:paraId="302E407B" w14:textId="2195E524" w:rsidR="00EC6F1E" w:rsidRPr="000B66BC" w:rsidRDefault="00EC6F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Exposiciones excluidas conforme al </w:t>
            </w:r>
            <w:r>
              <w:rPr>
                <w:b/>
                <w:sz w:val="24"/>
                <w:color w:val="auto"/>
                <w:rFonts w:ascii="Times New Roman" w:hAnsi="Times New Roman"/>
              </w:rPr>
              <w:t xml:space="preserve">artículo 429 </w:t>
            </w:r>
            <w:r>
              <w:rPr>
                <w:b/>
                <w:sz w:val="24"/>
                <w:color w:val="auto"/>
                <w:i/>
                <w:iCs/>
                <w:rFonts w:ascii="Times New Roman" w:hAnsi="Times New Roman"/>
              </w:rPr>
              <w:t xml:space="preserve">bis</w:t>
            </w:r>
            <w:r>
              <w:rPr>
                <w:b/>
                <w:sz w:val="24"/>
                <w:color w:val="auto"/>
                <w:rFonts w:ascii="Times New Roman" w:hAnsi="Times New Roman"/>
              </w:rPr>
              <w:t xml:space="preserve">, apartado 1, letra j), </w:t>
            </w:r>
            <w:r>
              <w:rPr>
                <w:b/>
                <w:sz w:val="24"/>
                <w:rFonts w:ascii="Times New Roman" w:hAnsi="Times New Roman"/>
              </w:rPr>
              <w:t xml:space="preserve">del RRC</w:t>
            </w:r>
          </w:p>
          <w:p w14:paraId="218BC8E5" w14:textId="0EE868DE" w:rsidR="00CB48CC" w:rsidRPr="000B66BC" w:rsidRDefault="00B329C6"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j), del Reglamento (UE) n.º 575/2013.</w:t>
            </w:r>
          </w:p>
          <w:p w14:paraId="3A1ACCB0" w14:textId="050BCAC5"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Exposiciones excluidas de conformidad con el artículo 429 </w:t>
            </w:r>
            <w:r>
              <w:rPr>
                <w:sz w:val="24"/>
                <w:i/>
                <w:iCs/>
                <w:rFonts w:ascii="Times New Roman" w:hAnsi="Times New Roman"/>
              </w:rPr>
              <w:t xml:space="preserve">bis</w:t>
            </w:r>
            <w:r>
              <w:rPr>
                <w:sz w:val="24"/>
                <w:rFonts w:ascii="Times New Roman" w:hAnsi="Times New Roman"/>
              </w:rPr>
              <w:t xml:space="preserve">, apartado 1, letra j), del Reglamento (UE) n.º 575/2013, con sujeción al cumplimiento de las condiciones recogidas en dicha disposición.</w:t>
            </w:r>
          </w:p>
          <w:p w14:paraId="639566D9" w14:textId="70FB6A4B" w:rsidR="00CB48CC" w:rsidRPr="000B66BC" w:rsidRDefault="00CB48CC" w:rsidP="000B66BC">
            <w:pPr>
              <w:pStyle w:val="BodyText1"/>
              <w:spacing w:after="240" w:line="240" w:lineRule="auto"/>
              <w:rPr>
                <w:b/>
                <w:bCs/>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bCs/>
                <w:sz w:val="24"/>
                <w:szCs w:val="24"/>
                <w:highlight w:val="yellow"/>
                <w:rFonts w:ascii="Times New Roman" w:hAnsi="Times New Roman"/>
              </w:rPr>
            </w:pPr>
            <w:r>
              <w:rPr>
                <w:sz w:val="24"/>
                <w:rFonts w:ascii="Times New Roman" w:hAnsi="Times New Roman"/>
              </w:rPr>
              <w:t xml:space="preserve">{0261;0010}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color w:val="auto"/>
                <w:sz w:val="24"/>
                <w:szCs w:val="24"/>
                <w:rFonts w:ascii="Times New Roman" w:hAnsi="Times New Roman"/>
              </w:rPr>
            </w:pPr>
            <w:r>
              <w:rPr>
                <w:color w:val="auto"/>
                <w:sz w:val="24"/>
                <w:rFonts w:ascii="Times New Roman" w:hAnsi="Times New Roman"/>
              </w:rPr>
              <w:t xml:space="preserve"> </w:t>
            </w:r>
            <w:r>
              <w:rPr>
                <w:color w:val="auto"/>
                <w:sz w:val="24"/>
                <w:b/>
                <w:rFonts w:ascii="Times New Roman" w:hAnsi="Times New Roman"/>
              </w:rPr>
              <w:t xml:space="preserve">(-) Exposiciones excluidas de entidades públicas de crédito al desarrollo — Inversiones del sector público</w:t>
            </w:r>
          </w:p>
          <w:p w14:paraId="387343FE" w14:textId="306E8AEF" w:rsidR="00743C1E" w:rsidRPr="000B66BC" w:rsidRDefault="00993549"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d), y apartado 2, del Reglamento (UE) n.º 575/2013.</w:t>
            </w:r>
          </w:p>
          <w:p w14:paraId="740BFE27" w14:textId="1BD4C27A" w:rsidR="00743C1E" w:rsidRPr="000B66BC" w:rsidRDefault="00743C1E" w:rsidP="000B66BC">
            <w:pPr>
              <w:pStyle w:val="BodyText1"/>
              <w:spacing w:after="240" w:line="240" w:lineRule="auto"/>
              <w:rPr>
                <w:color w:val="auto"/>
                <w:sz w:val="24"/>
                <w:szCs w:val="24"/>
                <w:rFonts w:ascii="Times New Roman" w:hAnsi="Times New Roman"/>
              </w:rPr>
            </w:pPr>
            <w:r>
              <w:rPr>
                <w:sz w:val="24"/>
                <w:rFonts w:ascii="Times New Roman" w:hAnsi="Times New Roman"/>
              </w:rPr>
              <w:t xml:space="preserve">Exposiciones derivadas de los activos que constituyan créditos frente a administraciones centrales, administraciones regionales, autoridades locales o entes del sector público en relación con inversiones del sector público, que pueden excluirse en conformidad con el artículo 429 </w:t>
            </w:r>
            <w:r>
              <w:rPr>
                <w:sz w:val="24"/>
                <w:i/>
                <w:iCs/>
                <w:rFonts w:ascii="Times New Roman" w:hAnsi="Times New Roman"/>
              </w:rPr>
              <w:t xml:space="preserve">bis</w:t>
            </w:r>
            <w:r>
              <w:rPr>
                <w:sz w:val="24"/>
                <w:rFonts w:ascii="Times New Roman" w:hAnsi="Times New Roman"/>
              </w:rPr>
              <w:t xml:space="preserve">, apartado 1, letra d), del Reglamento (UE) n.º 575/2013.</w:t>
            </w:r>
          </w:p>
          <w:p w14:paraId="0B2209FE" w14:textId="4A72C105" w:rsidR="000F5958" w:rsidRPr="000B66BC" w:rsidRDefault="000F5958" w:rsidP="000B66BC">
            <w:pPr>
              <w:pStyle w:val="BodyText1"/>
              <w:spacing w:after="240" w:line="240" w:lineRule="auto"/>
              <w:rPr>
                <w:color w:val="auto"/>
                <w:sz w:val="24"/>
                <w:szCs w:val="24"/>
                <w:rFonts w:ascii="Times New Roman" w:hAnsi="Times New Roman"/>
              </w:rPr>
            </w:pPr>
            <w:r>
              <w:rPr>
                <w:color w:val="auto"/>
                <w:sz w:val="24"/>
                <w:rFonts w:ascii="Times New Roman" w:hAnsi="Times New Roman"/>
              </w:rPr>
              <w:t xml:space="preserve">Cuando el crédito también pueda considerarse un préstamo promocional en virtud del artículo 429 </w:t>
            </w:r>
            <w:r>
              <w:rPr>
                <w:color w:val="auto"/>
                <w:sz w:val="24"/>
                <w:i/>
                <w:rFonts w:ascii="Times New Roman" w:hAnsi="Times New Roman"/>
              </w:rPr>
              <w:t xml:space="preserve">bis</w:t>
            </w:r>
            <w:r>
              <w:rPr>
                <w:color w:val="auto"/>
                <w:sz w:val="24"/>
                <w:rFonts w:ascii="Times New Roman" w:hAnsi="Times New Roman"/>
              </w:rPr>
              <w:t xml:space="preserve">, apartado 3, no se comunicará en esta celda, sino en las filas 0262-0264, según corresponda.</w:t>
            </w:r>
          </w:p>
          <w:p w14:paraId="1F103E32" w14:textId="51AB418A" w:rsidR="00743C1E" w:rsidRPr="000B66BC" w:rsidRDefault="00743C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bCs/>
                <w:sz w:val="24"/>
                <w:szCs w:val="24"/>
                <w:highlight w:val="yellow"/>
                <w:rFonts w:ascii="Times New Roman" w:hAnsi="Times New Roman"/>
              </w:rPr>
            </w:pPr>
            <w:r>
              <w:rPr>
                <w:sz w:val="24"/>
                <w:rFonts w:ascii="Times New Roman" w:hAnsi="Times New Roman"/>
              </w:rPr>
              <w:t xml:space="preserve">{0262;0010}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Exposiciones excluidas de Exposiciones excluidas de entidades públicas de crédito al desarrollo — Préstamos promocionales concedidos por una entidad pública de crédito al desarrollo</w:t>
            </w:r>
          </w:p>
          <w:p w14:paraId="30828A29" w14:textId="4C357904" w:rsidR="00743C1E" w:rsidRPr="000B66BC" w:rsidRDefault="00542529"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d), y apartados 2 y 3, del Reglamento (UE) n.º 575/2013.</w:t>
            </w:r>
          </w:p>
          <w:p w14:paraId="672E00E2" w14:textId="08CD6F59" w:rsidR="00743C1E" w:rsidRPr="000B66BC" w:rsidRDefault="00743C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Las exposiciones derivadas de préstamos promocionales, incluida la subrogación de préstamos promocionales, concedidos por una entidad pública de crédito al desarrollo, que pueden ser excluidas de conformidad del artículo 429 </w:t>
            </w:r>
            <w:r>
              <w:rPr>
                <w:sz w:val="24"/>
                <w:i/>
                <w:iCs/>
                <w:rFonts w:ascii="Times New Roman" w:hAnsi="Times New Roman"/>
              </w:rPr>
              <w:t xml:space="preserve">bis</w:t>
            </w:r>
            <w:r>
              <w:rPr>
                <w:sz w:val="24"/>
                <w:rFonts w:ascii="Times New Roman" w:hAnsi="Times New Roman"/>
              </w:rPr>
              <w:t xml:space="preserve">, apartado 1, letra d), del Reglamento (UE) n.º 575/2013.</w:t>
            </w:r>
            <w:r>
              <w:rPr>
                <w:sz w:val="24"/>
                <w:color w:val="auto"/>
                <w:rFonts w:ascii="Times New Roman" w:hAnsi="Times New Roman"/>
              </w:rPr>
              <w:t xml:space="preserve"> </w:t>
            </w:r>
            <w:r>
              <w:rPr>
                <w:sz w:val="24"/>
                <w:rFonts w:ascii="Times New Roman" w:hAnsi="Times New Roman"/>
              </w:rPr>
              <w:t xml:space="preserve">También se tendrán en cuenta las exposiciones </w:t>
            </w:r>
            <w:r>
              <w:rPr>
                <w:sz w:val="24"/>
                <w:color w:val="auto"/>
                <w:rFonts w:ascii="Times New Roman" w:hAnsi="Times New Roman"/>
              </w:rPr>
              <w:t xml:space="preserve">de </w:t>
            </w:r>
            <w:r>
              <w:rPr>
                <w:sz w:val="24"/>
                <w:rFonts w:ascii="Times New Roman" w:hAnsi="Times New Roman"/>
              </w:rPr>
              <w:t xml:space="preserve">la unidad de una entidad a la que una autoridad competente trate como entidad pública de crédito al desarrollo de conformidad con el último párrafo del artículo 429 </w:t>
            </w:r>
            <w:r>
              <w:rPr>
                <w:sz w:val="24"/>
                <w:i/>
                <w:iCs/>
                <w:rFonts w:ascii="Times New Roman" w:hAnsi="Times New Roman"/>
              </w:rPr>
              <w:t xml:space="preserve">bis</w:t>
            </w:r>
            <w:r>
              <w:rPr>
                <w:sz w:val="24"/>
                <w:rFonts w:ascii="Times New Roman" w:hAnsi="Times New Roman"/>
              </w:rPr>
              <w:t xml:space="preserve">, apartado 2, del Reglamento (UE) n.º 575/2013.</w:t>
            </w:r>
          </w:p>
          <w:p w14:paraId="64C77AD5" w14:textId="227981CE" w:rsidR="00743C1E" w:rsidRPr="000B66BC" w:rsidRDefault="00743C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bCs/>
                <w:sz w:val="24"/>
                <w:szCs w:val="24"/>
                <w:highlight w:val="yellow"/>
                <w:rFonts w:ascii="Times New Roman" w:hAnsi="Times New Roman"/>
              </w:rPr>
            </w:pPr>
            <w:r>
              <w:rPr>
                <w:sz w:val="24"/>
                <w:rFonts w:ascii="Times New Roman" w:hAnsi="Times New Roman"/>
              </w:rPr>
              <w:t xml:space="preserve">{0263;0010}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Exposiciones excluidas de entidades públicas de crédito al desarrollo — Préstamos promocionales concedidos por una entidad establecida directamente por una administración central, una administración regional o una autoridad local de un Estado miembro</w:t>
            </w:r>
          </w:p>
          <w:p w14:paraId="4B17F8AE" w14:textId="36E2BB1D" w:rsidR="009D46F6" w:rsidRPr="000B66BC" w:rsidRDefault="00C36AC0"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d), y apartados 2 y 3, del Reglamento (UE) n.º 575/2013.</w:t>
            </w:r>
          </w:p>
          <w:p w14:paraId="6FAF30DE" w14:textId="69B451A9" w:rsidR="00E849C2" w:rsidRPr="000B66BC" w:rsidRDefault="00E849C2"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Exposiciones derivadas de préstamos promocionales, incluida la subrogación de préstamos promocionales, concedidos por una entidad establecida directamente por una administración central, una administración regional o una autoridad local de un Estado miembro, que pueden excluirse de conformidad con el artículo 429 </w:t>
            </w:r>
            <w:r>
              <w:rPr>
                <w:sz w:val="24"/>
                <w:color w:val="auto"/>
                <w:i/>
                <w:iCs/>
                <w:rFonts w:ascii="Times New Roman" w:hAnsi="Times New Roman"/>
              </w:rPr>
              <w:t xml:space="preserve">bis</w:t>
            </w:r>
            <w:r>
              <w:rPr>
                <w:sz w:val="24"/>
                <w:color w:val="auto"/>
                <w:rFonts w:ascii="Times New Roman" w:hAnsi="Times New Roman"/>
              </w:rPr>
              <w:t xml:space="preserve">, apartado 1, </w:t>
            </w:r>
            <w:r>
              <w:rPr>
                <w:sz w:val="24"/>
                <w:rFonts w:ascii="Times New Roman" w:hAnsi="Times New Roman"/>
              </w:rPr>
              <w:t xml:space="preserve">letra d).</w:t>
            </w:r>
            <w:r>
              <w:rPr>
                <w:sz w:val="24"/>
                <w:rFonts w:ascii="Times New Roman" w:hAnsi="Times New Roman"/>
              </w:rPr>
              <w:t xml:space="preserve"> </w:t>
            </w:r>
            <w:r>
              <w:rPr>
                <w:sz w:val="24"/>
                <w:rFonts w:ascii="Times New Roman" w:hAnsi="Times New Roman"/>
              </w:rPr>
              <w:t xml:space="preserve">También se tendrán en cuenta las exposiciones </w:t>
            </w:r>
            <w:r>
              <w:rPr>
                <w:sz w:val="24"/>
                <w:color w:val="auto"/>
                <w:rFonts w:ascii="Times New Roman" w:hAnsi="Times New Roman"/>
              </w:rPr>
              <w:t xml:space="preserve">de </w:t>
            </w:r>
            <w:r>
              <w:rPr>
                <w:sz w:val="24"/>
                <w:rFonts w:ascii="Times New Roman" w:hAnsi="Times New Roman"/>
              </w:rPr>
              <w:t xml:space="preserve">la unidad de una entidad a la que una autoridad competente trate como entidad pública de crédito al desarrollo de conformidad con el último párrafo del artículo 429 </w:t>
            </w:r>
            <w:r>
              <w:rPr>
                <w:sz w:val="24"/>
                <w:i/>
                <w:iCs/>
                <w:rFonts w:ascii="Times New Roman" w:hAnsi="Times New Roman"/>
              </w:rPr>
              <w:t xml:space="preserve">bis</w:t>
            </w:r>
            <w:r>
              <w:rPr>
                <w:sz w:val="24"/>
                <w:rFonts w:ascii="Times New Roman" w:hAnsi="Times New Roman"/>
              </w:rPr>
              <w:t xml:space="preserve">, apartado 2.</w:t>
            </w:r>
          </w:p>
          <w:p w14:paraId="5A3364FC" w14:textId="2A7576CE" w:rsidR="00743C1E" w:rsidRPr="000B66BC" w:rsidRDefault="00743C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bCs/>
                <w:sz w:val="24"/>
                <w:szCs w:val="24"/>
                <w:highlight w:val="yellow"/>
                <w:rFonts w:ascii="Times New Roman" w:hAnsi="Times New Roman"/>
              </w:rPr>
            </w:pPr>
            <w:r>
              <w:rPr>
                <w:sz w:val="24"/>
                <w:rFonts w:ascii="Times New Roman" w:hAnsi="Times New Roman"/>
              </w:rPr>
              <w:t xml:space="preserve">{0264;0010}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Exposiciones excluidas de entidades públicas de crédito al desarrollo — Préstamos promocionales concedidos por una entidad establecida por la administración central, la administración regional o la autoridad local de un Estado miembro mediante una entidad de crédito intermediaria</w:t>
            </w:r>
          </w:p>
          <w:p w14:paraId="6754B207" w14:textId="33310FD8" w:rsidR="009D46F6" w:rsidRPr="000B66BC" w:rsidRDefault="00C36AC0"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d), y apartados 2 y 3, del Reglamento (UE) n.º 575/2013.</w:t>
            </w:r>
          </w:p>
          <w:p w14:paraId="77D97E64" w14:textId="0FCAF836" w:rsidR="00E849C2" w:rsidRPr="000B66BC" w:rsidRDefault="00E849C2"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Exposiciones derivadas de préstamos promocionales, incluida la subrogación de préstamos promocionales, concedidos por una entidad establecida por una administración central, una administración regional o una autoridad local de un Estado miembro mediante una entidad de crédito intermediaria, que pueden excluirse de conformidad con el artículo 429 </w:t>
            </w:r>
            <w:r>
              <w:rPr>
                <w:sz w:val="24"/>
                <w:color w:val="auto"/>
                <w:i/>
                <w:iCs/>
                <w:rFonts w:ascii="Times New Roman" w:hAnsi="Times New Roman"/>
              </w:rPr>
              <w:t xml:space="preserve">bis</w:t>
            </w:r>
            <w:r>
              <w:rPr>
                <w:sz w:val="24"/>
                <w:color w:val="auto"/>
                <w:rFonts w:ascii="Times New Roman" w:hAnsi="Times New Roman"/>
              </w:rPr>
              <w:t xml:space="preserve">, apartado 1, </w:t>
            </w:r>
            <w:r>
              <w:rPr>
                <w:sz w:val="24"/>
                <w:rFonts w:ascii="Times New Roman" w:hAnsi="Times New Roman"/>
              </w:rPr>
              <w:t xml:space="preserve">letra d).</w:t>
            </w:r>
            <w:r>
              <w:rPr>
                <w:sz w:val="24"/>
                <w:rFonts w:ascii="Times New Roman" w:hAnsi="Times New Roman"/>
              </w:rPr>
              <w:t xml:space="preserve"> </w:t>
            </w:r>
            <w:r>
              <w:rPr>
                <w:sz w:val="24"/>
                <w:rFonts w:ascii="Times New Roman" w:hAnsi="Times New Roman"/>
              </w:rPr>
              <w:t xml:space="preserve">También se tendrán en cuenta las exposiciones </w:t>
            </w:r>
            <w:r>
              <w:rPr>
                <w:sz w:val="24"/>
                <w:color w:val="auto"/>
                <w:rFonts w:ascii="Times New Roman" w:hAnsi="Times New Roman"/>
              </w:rPr>
              <w:t xml:space="preserve">de </w:t>
            </w:r>
            <w:r>
              <w:rPr>
                <w:sz w:val="24"/>
                <w:rFonts w:ascii="Times New Roman" w:hAnsi="Times New Roman"/>
              </w:rPr>
              <w:t xml:space="preserve">la unidad de una entidad a la que una autoridad competente trate como entidad pública de crédito al desarrollo de conformidad con el último párrafo del artículo 429 </w:t>
            </w:r>
            <w:r>
              <w:rPr>
                <w:sz w:val="24"/>
                <w:i/>
                <w:iCs/>
                <w:rFonts w:ascii="Times New Roman" w:hAnsi="Times New Roman"/>
              </w:rPr>
              <w:t xml:space="preserve">bis</w:t>
            </w:r>
            <w:r>
              <w:rPr>
                <w:sz w:val="24"/>
                <w:rFonts w:ascii="Times New Roman" w:hAnsi="Times New Roman"/>
              </w:rPr>
              <w:t xml:space="preserve">, apartado 2.</w:t>
            </w:r>
          </w:p>
          <w:p w14:paraId="318709D6" w14:textId="775B94CC" w:rsidR="00743C1E" w:rsidRPr="000B66BC" w:rsidRDefault="00743C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bCs/>
                <w:sz w:val="24"/>
                <w:szCs w:val="24"/>
                <w:rFonts w:ascii="Times New Roman" w:hAnsi="Times New Roman"/>
              </w:rPr>
            </w:pPr>
            <w:r>
              <w:rPr>
                <w:sz w:val="24"/>
                <w:rFonts w:ascii="Times New Roman" w:hAnsi="Times New Roman"/>
              </w:rPr>
              <w:t xml:space="preserve">{0910;0010}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Exposiciones frente a accionistas excluidas de conformidad con el artículo 429 </w:t>
            </w:r>
            <w:r>
              <w:rPr>
                <w:b/>
                <w:color w:val="auto"/>
                <w:sz w:val="24"/>
                <w:i/>
                <w:iCs/>
                <w:rFonts w:ascii="Times New Roman" w:hAnsi="Times New Roman"/>
              </w:rPr>
              <w:t xml:space="preserve">bis</w:t>
            </w:r>
            <w:r>
              <w:rPr>
                <w:b/>
                <w:color w:val="auto"/>
                <w:sz w:val="24"/>
                <w:rFonts w:ascii="Times New Roman" w:hAnsi="Times New Roman"/>
              </w:rPr>
              <w:t xml:space="preserve">, apartado 1, letra d </w:t>
            </w:r>
            <w:r>
              <w:rPr>
                <w:b/>
                <w:color w:val="auto"/>
                <w:sz w:val="24"/>
                <w:i/>
                <w:iCs/>
                <w:rFonts w:ascii="Times New Roman" w:hAnsi="Times New Roman"/>
              </w:rPr>
              <w:t xml:space="preserve">bis</w:t>
            </w:r>
            <w:r>
              <w:rPr>
                <w:b/>
                <w:color w:val="auto"/>
                <w:sz w:val="24"/>
                <w:rFonts w:ascii="Times New Roman" w:hAnsi="Times New Roman"/>
              </w:rPr>
              <w:t xml:space="preserve">), del RRC</w:t>
            </w:r>
          </w:p>
          <w:p w14:paraId="55A02ADA" w14:textId="3694931B" w:rsidR="009D26A9" w:rsidRDefault="009D26A9"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d </w:t>
            </w:r>
            <w:r>
              <w:rPr>
                <w:sz w:val="24"/>
                <w:i/>
                <w:iCs/>
                <w:rFonts w:ascii="Times New Roman" w:hAnsi="Times New Roman"/>
              </w:rPr>
              <w:t xml:space="preserve">bis</w:t>
            </w:r>
            <w:r>
              <w:rPr>
                <w:sz w:val="24"/>
                <w:rFonts w:ascii="Times New Roman" w:hAnsi="Times New Roman"/>
              </w:rPr>
              <w:t xml:space="preserve">), del Reglamento (UE) n.º 575/2013.</w:t>
            </w:r>
          </w:p>
          <w:p w14:paraId="0CBC407D" w14:textId="26679CAA" w:rsidR="00F62C28" w:rsidRDefault="001E5373" w:rsidP="000B66BC">
            <w:pPr>
              <w:pStyle w:val="BodyText1"/>
              <w:spacing w:after="240" w:line="240" w:lineRule="auto"/>
              <w:rPr>
                <w:bCs/>
                <w:sz w:val="24"/>
                <w:szCs w:val="24"/>
                <w:rFonts w:ascii="Times New Roman" w:hAnsi="Times New Roman"/>
              </w:rPr>
            </w:pPr>
            <w:r>
              <w:rPr>
                <w:sz w:val="24"/>
                <w:rFonts w:ascii="Times New Roman" w:hAnsi="Times New Roman"/>
              </w:rPr>
              <w:t xml:space="preserve">Exposiciones de la entidad frente a accionistas que sean entidades de crédito, siempre que estén garantizadas y se cumplan todas las condiciones de la letra d </w:t>
            </w:r>
            <w:r>
              <w:rPr>
                <w:sz w:val="24"/>
                <w:i/>
                <w:iCs/>
                <w:rFonts w:ascii="Times New Roman" w:hAnsi="Times New Roman"/>
              </w:rPr>
              <w:t xml:space="preserve">bis</w:t>
            </w:r>
            <w:r>
              <w:rPr>
                <w:sz w:val="24"/>
                <w:rFonts w:ascii="Times New Roman" w:hAnsi="Times New Roman"/>
              </w:rPr>
              <w:t xml:space="preserve">).</w:t>
            </w:r>
            <w:r>
              <w:rPr>
                <w:sz w:val="24"/>
                <w:rFonts w:ascii="Times New Roman" w:hAnsi="Times New Roman"/>
              </w:rPr>
              <w:t xml:space="preserve"> </w:t>
            </w:r>
          </w:p>
          <w:p w14:paraId="798B3B54" w14:textId="3FA80E52" w:rsidR="00280AF8" w:rsidRPr="000B66BC" w:rsidRDefault="00280AF8" w:rsidP="000B66BC">
            <w:pPr>
              <w:pStyle w:val="BodyText1"/>
              <w:spacing w:after="240" w:line="240" w:lineRule="auto"/>
              <w:rPr>
                <w:b/>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bCs/>
                <w:sz w:val="24"/>
                <w:szCs w:val="24"/>
                <w:highlight w:val="yellow"/>
                <w:rFonts w:ascii="Times New Roman" w:hAnsi="Times New Roman"/>
              </w:rPr>
            </w:pPr>
            <w:r>
              <w:rPr>
                <w:sz w:val="24"/>
                <w:rFonts w:ascii="Times New Roman" w:hAnsi="Times New Roman"/>
              </w:rPr>
              <w:t xml:space="preserve">{0265;0010}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Exposiciones excluidas de préstamos promocionales subrogados concedidos por entidades (o unidades) no públicas de crédito al desarrollo — Préstamos promocionales concedidos por una entidad pública de crédito al desarrollo</w:t>
            </w:r>
          </w:p>
          <w:p w14:paraId="51F998E0" w14:textId="6FF1F6C1" w:rsidR="009D46F6" w:rsidRPr="000B66BC" w:rsidRDefault="0079137A"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e), y apartados 2 y 3, del Reglamento (UE) n.º 575/2013.</w:t>
            </w:r>
          </w:p>
          <w:p w14:paraId="6B9968E8" w14:textId="7DFDBBBB" w:rsidR="00743C1E" w:rsidRPr="000B66BC" w:rsidRDefault="00E849C2"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Partes de exposiciones derivadas de préstamos promocionales subrogados a otras entidades de crédito, cuando los préstamos promocionales hayan sido concedidos por una entidad pública de crédito al desarrollo.</w:t>
            </w:r>
            <w:r>
              <w:rPr>
                <w:sz w:val="24"/>
                <w:color w:val="auto"/>
                <w:rFonts w:ascii="Times New Roman" w:hAnsi="Times New Roman"/>
              </w:rPr>
              <w:t xml:space="preserve"> </w:t>
            </w:r>
            <w:r>
              <w:rPr>
                <w:sz w:val="24"/>
                <w:rFonts w:ascii="Times New Roman" w:hAnsi="Times New Roman"/>
              </w:rPr>
              <w:t xml:space="preserve">También se tendrán en cuenta las partes de las exposiciones </w:t>
            </w:r>
            <w:r>
              <w:rPr>
                <w:sz w:val="24"/>
                <w:color w:val="auto"/>
                <w:rFonts w:ascii="Times New Roman" w:hAnsi="Times New Roman"/>
              </w:rPr>
              <w:t xml:space="preserve">de </w:t>
            </w:r>
            <w:r>
              <w:rPr>
                <w:sz w:val="24"/>
                <w:rFonts w:ascii="Times New Roman" w:hAnsi="Times New Roman"/>
              </w:rPr>
              <w:t xml:space="preserve">la unidades de una entidad a la que una autoridad competente trate como entidad pública de crédito al desarrollo de conformidad con el último párrafo del artículo 429 </w:t>
            </w:r>
            <w:r>
              <w:rPr>
                <w:sz w:val="24"/>
                <w:i/>
                <w:iCs/>
                <w:rFonts w:ascii="Times New Roman" w:hAnsi="Times New Roman"/>
              </w:rPr>
              <w:t xml:space="preserve">bis</w:t>
            </w:r>
            <w:r>
              <w:rPr>
                <w:sz w:val="24"/>
                <w:rFonts w:ascii="Times New Roman" w:hAnsi="Times New Roman"/>
              </w:rPr>
              <w:t xml:space="preserve">, apartado 2.</w:t>
            </w:r>
          </w:p>
          <w:p w14:paraId="1CF30E6B" w14:textId="322E3C84" w:rsidR="00743C1E" w:rsidRPr="000B66BC" w:rsidRDefault="00743C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bCs/>
                <w:sz w:val="24"/>
                <w:szCs w:val="24"/>
                <w:highlight w:val="yellow"/>
                <w:rFonts w:ascii="Times New Roman" w:hAnsi="Times New Roman"/>
              </w:rPr>
            </w:pPr>
            <w:r>
              <w:rPr>
                <w:sz w:val="24"/>
                <w:rFonts w:ascii="Times New Roman" w:hAnsi="Times New Roman"/>
              </w:rPr>
              <w:t xml:space="preserve">{0266;0010}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Exposiciones excluidas de préstamos promocionales subrogados concedidos por entidades (o unidades) no públicas de crédito al desarrollo — Préstamos promocionales concedidos por una entidad establecida directamente por una administración central, una administración regional o una autoridad local de un Estado miembro</w:t>
            </w:r>
          </w:p>
          <w:p w14:paraId="003BD5E4" w14:textId="30943184" w:rsidR="00743C1E" w:rsidRPr="000B66BC" w:rsidRDefault="00D03534"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e), y apartados 2 y 3, del Reglamento (UE) n.º 575/2013.</w:t>
            </w:r>
          </w:p>
          <w:p w14:paraId="128930FF" w14:textId="4A97FBF9" w:rsidR="00415D69" w:rsidRPr="000B66BC" w:rsidRDefault="00415D69"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Partes de exposiciones derivadas de préstamos promocionales subrogados a otras entidades de crédito, cuando los préstamos promocionales hayan sido concedidos por una entidad establecida directamente por una administración central, una administración regional o una autoridad local de un Estado miembro.</w:t>
            </w:r>
            <w:r>
              <w:rPr>
                <w:sz w:val="24"/>
                <w:color w:val="auto"/>
                <w:rFonts w:ascii="Times New Roman" w:hAnsi="Times New Roman"/>
              </w:rPr>
              <w:t xml:space="preserve"> </w:t>
            </w:r>
            <w:r>
              <w:rPr>
                <w:sz w:val="24"/>
                <w:rFonts w:ascii="Times New Roman" w:hAnsi="Times New Roman"/>
              </w:rPr>
              <w:t xml:space="preserve">También se tendrán en cuenta las partes de las exposiciones </w:t>
            </w:r>
            <w:r>
              <w:rPr>
                <w:sz w:val="24"/>
                <w:color w:val="auto"/>
                <w:rFonts w:ascii="Times New Roman" w:hAnsi="Times New Roman"/>
              </w:rPr>
              <w:t xml:space="preserve">de </w:t>
            </w:r>
            <w:r>
              <w:rPr>
                <w:sz w:val="24"/>
                <w:rFonts w:ascii="Times New Roman" w:hAnsi="Times New Roman"/>
              </w:rPr>
              <w:t xml:space="preserve">la unidades de una entidad a la que una autoridad competente trate como entidad pública de crédito al desarrollo de conformidad con el último párrafo del artículo 429 </w:t>
            </w:r>
            <w:r>
              <w:rPr>
                <w:sz w:val="24"/>
                <w:i/>
                <w:iCs/>
                <w:rFonts w:ascii="Times New Roman" w:hAnsi="Times New Roman"/>
              </w:rPr>
              <w:t xml:space="preserve">bis</w:t>
            </w:r>
            <w:r>
              <w:rPr>
                <w:sz w:val="24"/>
                <w:rFonts w:ascii="Times New Roman" w:hAnsi="Times New Roman"/>
              </w:rPr>
              <w:t xml:space="preserve">, apartado 2.</w:t>
            </w:r>
          </w:p>
          <w:p w14:paraId="4DD1C09D" w14:textId="67B346B4" w:rsidR="00743C1E" w:rsidRPr="000B66BC" w:rsidRDefault="00743C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bCs/>
                <w:sz w:val="24"/>
                <w:szCs w:val="24"/>
                <w:highlight w:val="yellow"/>
                <w:rFonts w:ascii="Times New Roman" w:hAnsi="Times New Roman"/>
              </w:rPr>
            </w:pPr>
            <w:r>
              <w:rPr>
                <w:sz w:val="24"/>
                <w:rFonts w:ascii="Times New Roman" w:hAnsi="Times New Roman"/>
              </w:rPr>
              <w:t xml:space="preserve">{0267;0010}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 Exposiciones excluidas de préstamos promocionales subrogados concedidos por entidades (o unidades) no públicas de crédito al desarrollo — Préstamos promocionales concedidos por una entidad establecida por una administración central, una administración regional o una autoridad local de un Estado miembro mediante una entidad de crédito intermediaria</w:t>
            </w:r>
          </w:p>
          <w:p w14:paraId="30EAE7BC" w14:textId="403C61E8" w:rsidR="009D46F6" w:rsidRPr="000B66BC" w:rsidRDefault="00D03534"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w:t>
            </w:r>
            <w:r>
              <w:rPr>
                <w:sz w:val="24"/>
                <w:i/>
                <w:iCs/>
                <w:rFonts w:ascii="Times New Roman" w:hAnsi="Times New Roman"/>
              </w:rPr>
              <w:t xml:space="preserve">bis</w:t>
            </w:r>
            <w:r>
              <w:rPr>
                <w:sz w:val="24"/>
                <w:rFonts w:ascii="Times New Roman" w:hAnsi="Times New Roman"/>
              </w:rPr>
              <w:t xml:space="preserve">, apartado 1, letra e), y apartados 2 y 3, del Reglamento (UE) n.º 575/2013.</w:t>
            </w:r>
          </w:p>
          <w:p w14:paraId="3DE31CDF" w14:textId="7B1B92C9" w:rsidR="00743C1E" w:rsidRPr="000B66BC" w:rsidRDefault="00415D69"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Partes de exposiciones derivadas de préstamos promocionales subrogados a otras entidades de crédito, cuando los préstamos promocionales hayan sido concedidos por una entidad establecida por una administración central, una administración regional o una autoridad local de un Estado miembro mediante una entidad de crédito intermediaria.</w:t>
            </w:r>
            <w:r>
              <w:rPr>
                <w:sz w:val="24"/>
                <w:color w:val="auto"/>
                <w:rFonts w:ascii="Times New Roman" w:hAnsi="Times New Roman"/>
              </w:rPr>
              <w:t xml:space="preserve"> </w:t>
            </w:r>
            <w:r>
              <w:rPr>
                <w:sz w:val="24"/>
                <w:rFonts w:ascii="Times New Roman" w:hAnsi="Times New Roman"/>
              </w:rPr>
              <w:t xml:space="preserve">También se tendrán en cuenta las partes de las exposiciones </w:t>
            </w:r>
            <w:r>
              <w:rPr>
                <w:sz w:val="24"/>
                <w:color w:val="auto"/>
                <w:rFonts w:ascii="Times New Roman" w:hAnsi="Times New Roman"/>
              </w:rPr>
              <w:t xml:space="preserve">de </w:t>
            </w:r>
            <w:r>
              <w:rPr>
                <w:sz w:val="24"/>
                <w:rFonts w:ascii="Times New Roman" w:hAnsi="Times New Roman"/>
              </w:rPr>
              <w:t xml:space="preserve">la unidades de una entidad a la que una autoridad competente trate como entidad pública de crédito al desarrollo de conformidad con el último párrafo del artículo 429 </w:t>
            </w:r>
            <w:r>
              <w:rPr>
                <w:sz w:val="24"/>
                <w:i/>
                <w:iCs/>
                <w:rFonts w:ascii="Times New Roman" w:hAnsi="Times New Roman"/>
              </w:rPr>
              <w:t xml:space="preserve">bis</w:t>
            </w:r>
            <w:r>
              <w:rPr>
                <w:sz w:val="24"/>
                <w:rFonts w:ascii="Times New Roman" w:hAnsi="Times New Roman"/>
              </w:rPr>
              <w:t xml:space="preserve">, apartado 2.</w:t>
            </w:r>
          </w:p>
          <w:p w14:paraId="53C99EBF" w14:textId="67514C6D" w:rsidR="00743C1E" w:rsidRPr="000B66BC" w:rsidRDefault="00743C1E"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bCs/>
                <w:sz w:val="24"/>
                <w:szCs w:val="24"/>
                <w:rFonts w:ascii="Times New Roman" w:hAnsi="Times New Roman"/>
              </w:rPr>
            </w:pPr>
            <w:r>
              <w:rPr>
                <w:sz w:val="24"/>
                <w:rFonts w:ascii="Times New Roman" w:hAnsi="Times New Roman"/>
              </w:rPr>
              <w:t xml:space="preserve">{0268;0010}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 Exposiciones deducidas de conformidad con el artículo 429 </w:t>
            </w:r>
            <w:r>
              <w:rPr>
                <w:b/>
                <w:sz w:val="24"/>
                <w:i/>
                <w:iCs/>
                <w:rFonts w:ascii="Times New Roman" w:hAnsi="Times New Roman"/>
              </w:rPr>
              <w:t xml:space="preserve">bis</w:t>
            </w:r>
            <w:r>
              <w:rPr>
                <w:b/>
                <w:sz w:val="24"/>
                <w:rFonts w:ascii="Times New Roman" w:hAnsi="Times New Roman"/>
              </w:rPr>
              <w:t xml:space="preserve">, apartado 1, letra q), del RRC</w:t>
            </w:r>
          </w:p>
          <w:p w14:paraId="435D6AA0" w14:textId="53149545" w:rsidR="00515841" w:rsidRPr="008B5EF0" w:rsidRDefault="00515841" w:rsidP="000B66BC">
            <w:pPr>
              <w:pStyle w:val="BodyText1"/>
              <w:spacing w:after="240" w:line="240" w:lineRule="auto"/>
              <w:rPr>
                <w:sz w:val="24"/>
                <w:szCs w:val="24"/>
                <w:rFonts w:ascii="Times New Roman" w:hAnsi="Times New Roman"/>
              </w:rPr>
            </w:pPr>
            <w:r>
              <w:rPr>
                <w:sz w:val="24"/>
                <w:color w:val="auto"/>
                <w:rFonts w:ascii="Times New Roman" w:hAnsi="Times New Roman"/>
              </w:rPr>
              <w:t xml:space="preserve">Artículo</w:t>
            </w:r>
            <w:r>
              <w:rPr>
                <w:sz w:val="24"/>
                <w:color w:val="auto"/>
                <w:b/>
                <w:rFonts w:ascii="Times New Roman" w:hAnsi="Times New Roman"/>
              </w:rPr>
              <w:t xml:space="preserve"> </w:t>
            </w:r>
            <w:r>
              <w:rPr>
                <w:sz w:val="24"/>
                <w:rFonts w:ascii="Times New Roman" w:hAnsi="Times New Roman"/>
              </w:rPr>
              <w:t xml:space="preserve">429 </w:t>
            </w:r>
            <w:r>
              <w:rPr>
                <w:sz w:val="24"/>
                <w:i/>
                <w:iCs/>
                <w:rFonts w:ascii="Times New Roman" w:hAnsi="Times New Roman"/>
              </w:rPr>
              <w:t xml:space="preserve">bis</w:t>
            </w:r>
            <w:r>
              <w:rPr>
                <w:sz w:val="24"/>
                <w:rFonts w:ascii="Times New Roman" w:hAnsi="Times New Roman"/>
              </w:rPr>
              <w:t xml:space="preserve">, apartado 1, </w:t>
            </w:r>
            <w:r>
              <w:rPr>
                <w:sz w:val="24"/>
                <w:rFonts w:ascii="Times New Roman" w:hAnsi="Times New Roman"/>
              </w:rPr>
              <w:t xml:space="preserve">letra q).</w:t>
            </w:r>
            <w:r>
              <w:rPr>
                <w:sz w:val="24"/>
                <w:rFonts w:ascii="Times New Roman" w:hAnsi="Times New Roman"/>
              </w:rPr>
              <w:t xml:space="preserve"> </w:t>
            </w:r>
          </w:p>
          <w:p w14:paraId="692A1C06" w14:textId="6C394410" w:rsidR="007264E7" w:rsidRDefault="00B145BB" w:rsidP="000B66BC">
            <w:pPr>
              <w:pStyle w:val="BodyText1"/>
              <w:spacing w:after="240" w:line="240" w:lineRule="auto"/>
              <w:rPr>
                <w:color w:val="auto"/>
                <w:sz w:val="24"/>
                <w:szCs w:val="24"/>
                <w:rFonts w:ascii="Times New Roman" w:hAnsi="Times New Roman"/>
              </w:rPr>
            </w:pPr>
            <w:r>
              <w:rPr>
                <w:sz w:val="24"/>
                <w:rFonts w:ascii="Times New Roman" w:hAnsi="Times New Roman"/>
              </w:rPr>
              <w:t xml:space="preserve">Exposiciones sujetas al tratamiento establecido en el artículo 72 </w:t>
            </w:r>
            <w:r>
              <w:rPr>
                <w:sz w:val="24"/>
                <w:i/>
                <w:iCs/>
                <w:rFonts w:ascii="Times New Roman" w:hAnsi="Times New Roman"/>
              </w:rPr>
              <w:t xml:space="preserve">sexies</w:t>
            </w:r>
            <w:r>
              <w:rPr>
                <w:sz w:val="24"/>
                <w:rFonts w:ascii="Times New Roman" w:hAnsi="Times New Roman"/>
              </w:rPr>
              <w:t xml:space="preserve">, apartado 5, párrafo primero, del Reglamento (UE) n.º 575/2013.</w:t>
            </w:r>
          </w:p>
          <w:p w14:paraId="3625C467" w14:textId="194C53D5" w:rsidR="00227BD1" w:rsidRPr="000B66BC" w:rsidRDefault="00227BD1" w:rsidP="000B66BC">
            <w:pPr>
              <w:pStyle w:val="BodyText1"/>
              <w:spacing w:after="240" w:line="240" w:lineRule="auto"/>
              <w:rPr>
                <w:b/>
                <w:bCs/>
                <w:sz w:val="24"/>
                <w:szCs w:val="24"/>
                <w:rFonts w:ascii="Times New Roman" w:hAnsi="Times New Roman"/>
              </w:rPr>
            </w:pPr>
            <w:r>
              <w:rPr>
                <w:sz w:val="24"/>
                <w:rFonts w:ascii="Times New Roman" w:hAnsi="Times New Roman"/>
              </w:rPr>
              <w:t xml:space="preserve">El importe comunicado deberá incluirse también en las celdas anteriores pertinentes como si no se aplicara la exclusión.</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bCs/>
                <w:sz w:val="24"/>
                <w:szCs w:val="24"/>
                <w:rFonts w:ascii="Times New Roman" w:hAnsi="Times New Roman"/>
              </w:rPr>
            </w:pPr>
            <w:r>
              <w:rPr>
                <w:sz w:val="24"/>
                <w:rFonts w:ascii="Times New Roman" w:hAnsi="Times New Roman"/>
              </w:rPr>
              <w:t xml:space="preserve">{0269;0010}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Importe adicional de la exposición correspondiente a la ratio de apalancamiento con arreglo al artículo 3 del RRC</w:t>
            </w:r>
          </w:p>
          <w:p w14:paraId="6CB5E131" w14:textId="77777777" w:rsidR="008979D2" w:rsidRDefault="008979D2" w:rsidP="008B2DDF">
            <w:pPr>
              <w:pStyle w:val="BodyText1"/>
              <w:spacing w:after="240" w:line="240" w:lineRule="auto"/>
              <w:rPr>
                <w:color w:val="auto"/>
                <w:sz w:val="24"/>
                <w:szCs w:val="24"/>
                <w:rFonts w:ascii="Times New Roman" w:hAnsi="Times New Roman"/>
              </w:rPr>
            </w:pPr>
            <w:r>
              <w:rPr>
                <w:color w:val="auto"/>
                <w:sz w:val="24"/>
                <w:rFonts w:ascii="Times New Roman" w:hAnsi="Times New Roman"/>
              </w:rPr>
              <w:t xml:space="preserve">Artículo 3 del Reglamento (UE) n.º 575/2013.</w:t>
            </w:r>
          </w:p>
          <w:p w14:paraId="61E0A840" w14:textId="4E58CC03" w:rsidR="008979D2" w:rsidRPr="002A3F7D" w:rsidRDefault="008979D2" w:rsidP="008B2DDF">
            <w:pPr>
              <w:pStyle w:val="BodyText1"/>
              <w:spacing w:after="240" w:line="240" w:lineRule="auto"/>
              <w:rPr>
                <w:color w:val="auto"/>
                <w:sz w:val="24"/>
                <w:szCs w:val="24"/>
                <w:rFonts w:ascii="Times New Roman" w:hAnsi="Times New Roman"/>
              </w:rPr>
            </w:pPr>
            <w:r>
              <w:rPr>
                <w:color w:val="auto"/>
                <w:sz w:val="24"/>
                <w:rFonts w:ascii="Times New Roman" w:hAnsi="Times New Roman"/>
              </w:rPr>
              <w:t xml:space="preserve">Debe comunicarse el importe adicional de la exposición correspondiente a la ratio de apalancamiento.</w:t>
            </w:r>
            <w:r>
              <w:rPr>
                <w:color w:val="auto"/>
                <w:sz w:val="24"/>
                <w:rFonts w:ascii="Times New Roman" w:hAnsi="Times New Roman"/>
              </w:rPr>
              <w:t xml:space="preserve"> </w:t>
            </w:r>
            <w:r>
              <w:rPr>
                <w:color w:val="auto"/>
                <w:sz w:val="24"/>
                <w:rFonts w:ascii="Times New Roman" w:hAnsi="Times New Roman"/>
              </w:rPr>
              <w:t xml:space="preserve">Solo se incluirán los importes adicionales.</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sz w:val="24"/>
                <w:szCs w:val="24"/>
                <w:rFonts w:ascii="Times New Roman" w:hAnsi="Times New Roman"/>
              </w:rPr>
            </w:pPr>
            <w:r>
              <w:rPr>
                <w:b/>
                <w:sz w:val="24"/>
                <w:rFonts w:ascii="Times New Roman" w:hAnsi="Times New Roman"/>
              </w:rPr>
              <w:t xml:space="preserve">(-) Importe de los activos deducidos del capital de nivel 1 (según la definición que se aplicará al completarse el proceso de introducción gradual)</w:t>
            </w:r>
          </w:p>
          <w:p w14:paraId="7786B29A" w14:textId="6BF51AB0" w:rsidR="00CB48CC" w:rsidRPr="000B66BC" w:rsidRDefault="00542529" w:rsidP="000B66BC">
            <w:pPr>
              <w:pStyle w:val="BodyText1"/>
              <w:spacing w:after="240" w:line="240" w:lineRule="auto"/>
              <w:rPr>
                <w:sz w:val="24"/>
                <w:szCs w:val="24"/>
                <w:rFonts w:ascii="Times New Roman" w:hAnsi="Times New Roman"/>
              </w:rPr>
            </w:pPr>
            <w:r>
              <w:rPr>
                <w:sz w:val="24"/>
                <w:color w:val="auto"/>
                <w:rFonts w:ascii="Times New Roman" w:hAnsi="Times New Roman"/>
              </w:rPr>
              <w:t xml:space="preserve">Artículo 429 </w:t>
            </w:r>
            <w:r>
              <w:rPr>
                <w:sz w:val="24"/>
                <w:color w:val="auto"/>
                <w:i/>
                <w:iCs/>
                <w:rFonts w:ascii="Times New Roman" w:hAnsi="Times New Roman"/>
              </w:rPr>
              <w:t xml:space="preserve">bis</w:t>
            </w:r>
            <w:r>
              <w:rPr>
                <w:sz w:val="24"/>
                <w:color w:val="auto"/>
                <w:rFonts w:ascii="Times New Roman" w:hAnsi="Times New Roman"/>
              </w:rPr>
              <w:t xml:space="preserve">,</w:t>
            </w:r>
            <w:r>
              <w:rPr>
                <w:sz w:val="24"/>
                <w:color w:val="auto"/>
                <w:b/>
                <w:rFonts w:ascii="Times New Roman" w:hAnsi="Times New Roman"/>
              </w:rPr>
              <w:t xml:space="preserve"> </w:t>
            </w:r>
            <w:r>
              <w:rPr>
                <w:sz w:val="24"/>
                <w:rFonts w:ascii="Times New Roman" w:hAnsi="Times New Roman"/>
              </w:rPr>
              <w:t xml:space="preserve">apartado 1, letra b), y artículo 499, apartado 1, letra a), del Reglamento (UE) n.º 575/2013.</w:t>
            </w:r>
          </w:p>
          <w:p w14:paraId="675D8B7D" w14:textId="7777777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Incluye todos los ajustes aplicados al valor de un activo y que sean necesarios conforme a:</w:t>
            </w:r>
          </w:p>
          <w:p w14:paraId="0ABD1D78" w14:textId="350DBBF6" w:rsidR="00CB48CC" w:rsidRPr="000B66BC" w:rsidRDefault="00CB48CC" w:rsidP="000B66BC">
            <w:pPr>
              <w:pStyle w:val="BodyText1"/>
              <w:spacing w:after="240" w:line="240" w:lineRule="auto"/>
              <w:ind w:left="72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Artículos 32 a 35 del Reglamento (UE) n.º 575/2013, o</w:t>
            </w:r>
            <w:r>
              <w:rPr>
                <w:sz w:val="24"/>
                <w:rFonts w:ascii="Times New Roman" w:hAnsi="Times New Roman"/>
              </w:rPr>
              <w:t xml:space="preserve"> </w:t>
            </w:r>
          </w:p>
          <w:p w14:paraId="14203D05" w14:textId="6AF0A71A" w:rsidR="00CB48CC" w:rsidRPr="000B66BC" w:rsidRDefault="00CB48CC" w:rsidP="000B66BC">
            <w:pPr>
              <w:pStyle w:val="BodyText1"/>
              <w:spacing w:after="240" w:line="240" w:lineRule="auto"/>
              <w:ind w:left="72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Artículos 36 a 47 del Reglamento (UE) n.º 575/2013, o</w:t>
            </w:r>
          </w:p>
          <w:p w14:paraId="33D193AD" w14:textId="2D478F60" w:rsidR="00CB48CC" w:rsidRPr="000B66BC" w:rsidRDefault="00CB48CC" w:rsidP="000B66BC">
            <w:pPr>
              <w:pStyle w:val="BodyText1"/>
              <w:spacing w:after="240" w:line="240" w:lineRule="auto"/>
              <w:ind w:left="72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Artículos 56 a 60 del Reglamento (UE) n.º 575/2013,</w:t>
            </w:r>
          </w:p>
          <w:p w14:paraId="0A1B29CB" w14:textId="7777777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según proceda.</w:t>
            </w:r>
          </w:p>
          <w:p w14:paraId="75E8D9BE" w14:textId="0C220404"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deberán tener en cuenta las exenciones, alternativas y dispensas de tales deducciones establecidas en los artículos 48, 49 y 79 del Reglamento (UE) n.º 575/2013, sin tener en cuenta la excepción prevista en su parte décima, título I, capítulos 1, 2 y 4.</w:t>
            </w:r>
            <w:r>
              <w:rPr>
                <w:sz w:val="24"/>
                <w:rFonts w:ascii="Times New Roman" w:hAnsi="Times New Roman"/>
              </w:rPr>
              <w:t xml:space="preserve"> </w:t>
            </w:r>
            <w:r>
              <w:rPr>
                <w:sz w:val="24"/>
                <w:rFonts w:ascii="Times New Roman" w:hAnsi="Times New Roman"/>
              </w:rPr>
              <w:t xml:space="preserve">Para evitar la doble contabilización, las entidades no comunicarán los ajustes ya aplicados de conformidad con el artículo 111 del Reglamento (UE) n.º 575/2013 a la hora de calcular el valor de la exposición en {0010;0010} a {0269;0010},</w:t>
            </w:r>
            <w:r>
              <w:rPr>
                <w:sz w:val="24"/>
              </w:rPr>
              <w:t xml:space="preserve"> </w:t>
            </w:r>
            <w:r>
              <w:rPr>
                <w:sz w:val="24"/>
                <w:rFonts w:ascii="Times New Roman" w:hAnsi="Times New Roman"/>
              </w:rPr>
              <w:t xml:space="preserve">ni notificarán ningún ajuste que no deduzca el valor de un activo concreto.</w:t>
            </w:r>
          </w:p>
          <w:p w14:paraId="36ECE9CF" w14:textId="32731BE5" w:rsidR="00CB48CC" w:rsidRPr="000B66BC" w:rsidRDefault="00CB48CC" w:rsidP="000B66BC">
            <w:pPr>
              <w:pStyle w:val="BodyText1"/>
              <w:spacing w:after="240" w:line="240" w:lineRule="auto"/>
              <w:rPr>
                <w:b/>
                <w:bCs/>
                <w:sz w:val="24"/>
                <w:szCs w:val="24"/>
                <w:rFonts w:ascii="Times New Roman" w:hAnsi="Times New Roman"/>
              </w:rPr>
            </w:pPr>
            <w:r>
              <w:rPr>
                <w:sz w:val="24"/>
                <w:rFonts w:ascii="Times New Roman" w:hAnsi="Times New Roman"/>
              </w:rPr>
              <w:t xml:space="preserve">Dado que estos importes ya están deducidos de la medida del capital, reducen la exposición correspondiente a la ratio de apalancamiento y se expresarán en cifras negativas.</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bCs/>
                <w:sz w:val="24"/>
                <w:szCs w:val="24"/>
                <w:rFonts w:ascii="Times New Roman" w:hAnsi="Times New Roman"/>
              </w:rPr>
            </w:pPr>
            <w:r>
              <w:rPr>
                <w:b/>
                <w:sz w:val="24"/>
                <w:rFonts w:ascii="Times New Roman" w:hAnsi="Times New Roman"/>
              </w:rPr>
              <w:t xml:space="preserve">(-) Importe de los activos deducidos del capital de nivel 1 (según la definición transitoria)</w:t>
            </w:r>
          </w:p>
          <w:p w14:paraId="552CF68D" w14:textId="77F955BA" w:rsidR="00CB48CC" w:rsidRPr="000B66BC" w:rsidRDefault="006F5F1F" w:rsidP="000B66BC">
            <w:pPr>
              <w:pStyle w:val="BodyText1"/>
              <w:spacing w:after="240" w:line="240" w:lineRule="auto"/>
              <w:rPr>
                <w:bCs/>
                <w:sz w:val="24"/>
                <w:szCs w:val="24"/>
                <w:rFonts w:ascii="Times New Roman" w:hAnsi="Times New Roman"/>
              </w:rPr>
            </w:pPr>
            <w:r>
              <w:rPr>
                <w:sz w:val="24"/>
                <w:color w:val="auto"/>
                <w:rFonts w:ascii="Times New Roman" w:hAnsi="Times New Roman"/>
              </w:rPr>
              <w:t xml:space="preserve">Artículo 429 </w:t>
            </w:r>
            <w:r>
              <w:rPr>
                <w:sz w:val="24"/>
                <w:color w:val="auto"/>
                <w:i/>
                <w:iCs/>
                <w:rFonts w:ascii="Times New Roman" w:hAnsi="Times New Roman"/>
              </w:rPr>
              <w:t xml:space="preserve">bis</w:t>
            </w:r>
            <w:r>
              <w:rPr>
                <w:sz w:val="24"/>
                <w:color w:val="auto"/>
                <w:rFonts w:ascii="Times New Roman" w:hAnsi="Times New Roman"/>
              </w:rPr>
              <w:t xml:space="preserve">, apartado 1,</w:t>
            </w:r>
            <w:r>
              <w:rPr>
                <w:sz w:val="24"/>
                <w:color w:val="auto"/>
                <w:b/>
                <w:rFonts w:ascii="Times New Roman" w:hAnsi="Times New Roman"/>
              </w:rPr>
              <w:t xml:space="preserve"> </w:t>
            </w:r>
            <w:r>
              <w:rPr>
                <w:sz w:val="24"/>
                <w:rFonts w:ascii="Times New Roman" w:hAnsi="Times New Roman"/>
              </w:rPr>
              <w:t xml:space="preserve">letra b),</w:t>
            </w:r>
            <w:r>
              <w:rPr>
                <w:sz w:val="24"/>
              </w:rPr>
              <w:t xml:space="preserve"> </w:t>
            </w:r>
            <w:r>
              <w:rPr>
                <w:sz w:val="24"/>
                <w:rFonts w:ascii="Times New Roman" w:hAnsi="Times New Roman"/>
              </w:rPr>
              <w:t xml:space="preserve">y artículo 499, apartado 1, letra a), del Reglamento (UE) n.º 575/2013.</w:t>
            </w:r>
          </w:p>
          <w:p w14:paraId="1C7AD929" w14:textId="7777777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Incluye todos los ajustes aplicados al valor de un activo y que sean necesarios conforme a:</w:t>
            </w:r>
          </w:p>
          <w:p w14:paraId="2FE9C127" w14:textId="335AB7DB" w:rsidR="00CB48CC" w:rsidRPr="000B66BC" w:rsidRDefault="00CB48CC" w:rsidP="000B66BC">
            <w:pPr>
              <w:pStyle w:val="BodyText1"/>
              <w:spacing w:after="240" w:line="240" w:lineRule="auto"/>
              <w:ind w:left="72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Artículos 32 a 35 del Reglamento (UE) n.º 575/2013, o</w:t>
            </w:r>
            <w:r>
              <w:rPr>
                <w:sz w:val="24"/>
                <w:rFonts w:ascii="Times New Roman" w:hAnsi="Times New Roman"/>
              </w:rPr>
              <w:t xml:space="preserve"> </w:t>
            </w:r>
          </w:p>
          <w:p w14:paraId="35A3C50B" w14:textId="3A4C2CFE" w:rsidR="00CB48CC" w:rsidRPr="000B66BC" w:rsidRDefault="00CB48CC" w:rsidP="000B66BC">
            <w:pPr>
              <w:pStyle w:val="BodyText1"/>
              <w:spacing w:after="240" w:line="240" w:lineRule="auto"/>
              <w:ind w:left="72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Artículos 36 a 47 del Reglamento (UE) n.º 575/2013, o</w:t>
            </w:r>
            <w:r>
              <w:rPr>
                <w:sz w:val="24"/>
                <w:rFonts w:ascii="Times New Roman" w:hAnsi="Times New Roman"/>
              </w:rPr>
              <w:t xml:space="preserve"> </w:t>
            </w:r>
          </w:p>
          <w:p w14:paraId="66CB0299" w14:textId="1766DD59" w:rsidR="00CB48CC" w:rsidRPr="000B66BC" w:rsidRDefault="00CB48CC" w:rsidP="000B66BC">
            <w:pPr>
              <w:pStyle w:val="BodyText1"/>
              <w:spacing w:after="240" w:line="240" w:lineRule="auto"/>
              <w:ind w:left="72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Artículos 56 a 60 del Reglamento (UE) n.º 575/2013,</w:t>
            </w:r>
          </w:p>
          <w:p w14:paraId="152F8BFD" w14:textId="7777777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según proceda.</w:t>
            </w:r>
          </w:p>
          <w:p w14:paraId="730A3940" w14:textId="24896934" w:rsidR="00D9327B"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deberán tener en cuenta las exenciones, alternativas y dispensas de tales deducciones establecidas en los artículos 48, 49 y 79 del Reglamento (UE) n.º 575/2013, además de tener en cuenta las excepciones previstas en su parte décima, título I, capítulos 1, 2 y 4.</w:t>
            </w:r>
            <w:r>
              <w:rPr>
                <w:sz w:val="24"/>
                <w:rFonts w:ascii="Times New Roman" w:hAnsi="Times New Roman"/>
              </w:rPr>
              <w:t xml:space="preserve"> </w:t>
            </w:r>
            <w:r>
              <w:rPr>
                <w:sz w:val="24"/>
                <w:rFonts w:ascii="Times New Roman" w:hAnsi="Times New Roman"/>
              </w:rPr>
              <w:t xml:space="preserve">Para evitar la doble contabilización, las entidades no comunicarán los ajustes ya aplicados de conformidad con el artículo 111 del Reglamento (UE) n.º 575/2013 a la hora de calcular el valor de la exposición en {0010;0010} a {0269;0010}, ni notificarán ningún ajuste que no deduzca el valor de un activo concreto.</w:t>
            </w:r>
          </w:p>
          <w:p w14:paraId="33460AF9" w14:textId="77777777"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Dado que estos importes ya están deducidos de la medida del capital, reducen la exposición correspondiente a la ratio de apalancamiento y se expresarán en cifras negativas.</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Medida total de la exposición correspondiente a la ratio de apalancamiento (según la definición de capital de nivel 1 que se aplicará al completarse el proceso de introducción gradual)</w:t>
            </w:r>
          </w:p>
          <w:p w14:paraId="18A90C99" w14:textId="79F7D615" w:rsidR="00CB48CC" w:rsidRPr="000B66BC" w:rsidRDefault="0026270F"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comunicarán la suma de todas las filas de la 0010 a la 0269 y la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Medida total de la exposición correspondiente a la ratio de apalancamiento (según la definición de capital de nivel 1 transitoria)</w:t>
            </w:r>
          </w:p>
          <w:p w14:paraId="247E260C" w14:textId="3BD2777D" w:rsidR="00CB48CC" w:rsidRPr="000B66BC" w:rsidRDefault="00CB48CC"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comunicarán la suma de todas las filas de la 0010 a la 0269 y la 0280.</w:t>
            </w:r>
            <w:r>
              <w:rPr>
                <w:sz w:val="24"/>
                <w:rFonts w:ascii="Times New Roman" w:hAnsi="Times New Roman"/>
              </w:rPr>
              <w:t xml:space="preserve">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b/>
                <w:bCs/>
                <w:sz w:val="24"/>
                <w:szCs w:val="24"/>
                <w:rFonts w:ascii="Times New Roman" w:hAnsi="Times New Roman"/>
              </w:rPr>
            </w:pPr>
            <w:r>
              <w:rPr>
                <w:b/>
                <w:sz w:val="24"/>
                <w:rFonts w:ascii="Times New Roman" w:hAnsi="Times New Roman"/>
              </w:rPr>
              <w:t xml:space="preserve">Fila y columna</w:t>
            </w:r>
          </w:p>
        </w:tc>
        <w:tc>
          <w:tcPr>
            <w:tcW w:w="7566" w:type="dxa"/>
            <w:shd w:val="pct25" w:color="auto" w:fill="auto"/>
          </w:tcPr>
          <w:p w14:paraId="10FF1AF5"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Capital</w:t>
            </w:r>
            <w:r>
              <w:rPr>
                <w:b/>
                <w:sz w:val="24"/>
                <w:rFonts w:ascii="Times New Roman" w:hAnsi="Times New Roman"/>
              </w:rPr>
              <w:t xml:space="preserve">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bCs/>
                <w:sz w:val="24"/>
                <w:szCs w:val="24"/>
                <w:rFonts w:ascii="Times New Roman" w:hAnsi="Times New Roman"/>
              </w:rPr>
            </w:pPr>
            <w:r>
              <w:rPr>
                <w:b/>
                <w:sz w:val="24"/>
                <w:rFonts w:ascii="Times New Roman" w:hAnsi="Times New Roman"/>
              </w:rPr>
              <w:t xml:space="preserve">Capital de nivel 1 (según la definición que se aplicará al completarse el proceso de introducción gradual)</w:t>
            </w:r>
          </w:p>
          <w:p w14:paraId="6D31890D" w14:textId="143ECED4"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apartado 3, letra a), y artículo 499, apartado 1, del Reglamento (UE) n.º 575/2013.</w:t>
            </w:r>
          </w:p>
          <w:p w14:paraId="49E3D5DA" w14:textId="0B6B7334"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del capital de nivel 1 calculado con arreglo al artículo 25 del Reglamento (UE) n.º 575/2013, sin tener en cuenta la excepción prevista en su parte décima, título I, capítulos 1, 2 y 4.</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Capital de nivel 1 (según la definición transitoria)</w:t>
            </w:r>
          </w:p>
          <w:p w14:paraId="5041E493" w14:textId="342F5900"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apartado 3, y artículo 499, apartado 1, letra b), del Reglamento (UE) n.º 575/2013.</w:t>
            </w:r>
          </w:p>
          <w:p w14:paraId="3270C368" w14:textId="285AC909" w:rsidR="00CB48CC" w:rsidRPr="000B66BC" w:rsidRDefault="00CB48CC" w:rsidP="00B70EBF">
            <w:pPr>
              <w:pStyle w:val="BodyText1"/>
              <w:spacing w:after="240" w:line="240" w:lineRule="auto"/>
              <w:rPr>
                <w:bCs/>
                <w:sz w:val="24"/>
                <w:szCs w:val="24"/>
                <w:rFonts w:ascii="Times New Roman" w:hAnsi="Times New Roman"/>
              </w:rPr>
            </w:pPr>
            <w:r>
              <w:rPr>
                <w:sz w:val="24"/>
                <w:rFonts w:ascii="Times New Roman" w:hAnsi="Times New Roman"/>
              </w:rPr>
              <w:t xml:space="preserve">Importe del capital de nivel 1 calculado con arreglo al artículo 25 del Reglamento (UE) n.º 575/2013, después de tener en cuenta la excepción prevista en su parte décima, título I, capítulos 1, 2 y 4.</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b/>
                <w:bCs/>
                <w:sz w:val="24"/>
                <w:szCs w:val="24"/>
                <w:rFonts w:ascii="Times New Roman" w:hAnsi="Times New Roman"/>
              </w:rPr>
            </w:pPr>
            <w:r>
              <w:rPr>
                <w:b/>
                <w:sz w:val="24"/>
                <w:rFonts w:ascii="Times New Roman" w:hAnsi="Times New Roman"/>
              </w:rPr>
              <w:t xml:space="preserve">Fila y columna</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Ratio de apalancamiento</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{0330;0010}</w:t>
            </w:r>
          </w:p>
        </w:tc>
        <w:tc>
          <w:tcPr>
            <w:tcW w:w="7566" w:type="dxa"/>
          </w:tcPr>
          <w:p w14:paraId="170E1973"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Ratio de apalancamiento (según la definición de capital de nivel 1 que se aplicará al completarse el proceso de introducción gradual)</w:t>
            </w:r>
          </w:p>
          <w:p w14:paraId="14103416" w14:textId="3DDF1B90"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apartado 2, y artículo 499, apartado 1, del Reglamento (UE) n.º 575/2013.</w:t>
            </w:r>
          </w:p>
          <w:p w14:paraId="13640073" w14:textId="33312D1E" w:rsidR="00CB48CC" w:rsidRPr="000B66BC" w:rsidRDefault="00CB48CC" w:rsidP="00B70EBF">
            <w:pPr>
              <w:pStyle w:val="BodyText1"/>
              <w:spacing w:after="240" w:line="240" w:lineRule="auto"/>
              <w:rPr>
                <w:b/>
                <w:bCs/>
                <w:sz w:val="24"/>
                <w:szCs w:val="24"/>
                <w:rFonts w:ascii="Times New Roman" w:hAnsi="Times New Roman"/>
              </w:rPr>
            </w:pPr>
            <w:r>
              <w:rPr>
                <w:sz w:val="24"/>
                <w:rFonts w:ascii="Times New Roman" w:hAnsi="Times New Roman"/>
              </w:rPr>
              <w:t xml:space="preserve">Ratio de apalancamiento calculada de acuerdo con el punto 2 de la parte II del presente anexo.</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{0340;0010}</w:t>
            </w:r>
          </w:p>
        </w:tc>
        <w:tc>
          <w:tcPr>
            <w:tcW w:w="7566" w:type="dxa"/>
          </w:tcPr>
          <w:p w14:paraId="750922D1"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Ratio de apalancamiento (según la definición de capital de nivel 1 transitoria)</w:t>
            </w:r>
          </w:p>
          <w:p w14:paraId="26098DFB" w14:textId="009CAE85" w:rsidR="00CB48CC" w:rsidRPr="000B66BC" w:rsidRDefault="00CB48C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429, apartado 2, y artículo 499, apartado 1, del Reglamento (UE) n.º 575/2013.</w:t>
            </w:r>
          </w:p>
          <w:p w14:paraId="173B4CA4" w14:textId="15DFD6E5" w:rsidR="000A486B" w:rsidRPr="000B66BC" w:rsidRDefault="00CB48CC" w:rsidP="00B70EBF">
            <w:pPr>
              <w:pStyle w:val="BodyText1"/>
              <w:spacing w:after="240" w:line="240" w:lineRule="auto"/>
              <w:rPr>
                <w:b/>
                <w:bCs/>
                <w:sz w:val="24"/>
                <w:szCs w:val="24"/>
                <w:rFonts w:ascii="Times New Roman" w:hAnsi="Times New Roman"/>
              </w:rPr>
            </w:pPr>
            <w:r>
              <w:rPr>
                <w:sz w:val="24"/>
                <w:rFonts w:ascii="Times New Roman" w:hAnsi="Times New Roman"/>
              </w:rPr>
              <w:t xml:space="preserve">Ratio de apalancamiento calculada de acuerdo con el punto 3 de la parte II del presente anexo.</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bCs/>
                <w:sz w:val="24"/>
                <w:szCs w:val="24"/>
                <w:rFonts w:ascii="Times New Roman" w:hAnsi="Times New Roman"/>
              </w:rPr>
            </w:pPr>
            <w:r>
              <w:rPr>
                <w:b/>
                <w:sz w:val="24"/>
                <w:rFonts w:ascii="Times New Roman" w:hAnsi="Times New Roman"/>
              </w:rPr>
              <w:t xml:space="preserve">Fila y columna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Requisitos: importes</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Requisito del pilar II para afrontar el riesgo de apalancamiento excesivo</w:t>
            </w:r>
          </w:p>
          <w:p w14:paraId="52420558" w14:textId="1EE5977B" w:rsidR="00E36E71" w:rsidRPr="000B66BC" w:rsidRDefault="008B096D" w:rsidP="00B70EBF">
            <w:pPr>
              <w:pStyle w:val="BodyText1"/>
              <w:spacing w:after="240" w:line="240" w:lineRule="auto"/>
              <w:rPr>
                <w:b/>
                <w:color w:val="auto"/>
                <w:sz w:val="24"/>
                <w:szCs w:val="24"/>
                <w:rFonts w:ascii="Times New Roman" w:hAnsi="Times New Roman"/>
              </w:rPr>
            </w:pPr>
            <w:r>
              <w:rPr>
                <w:sz w:val="24"/>
                <w:rFonts w:ascii="Times New Roman" w:hAnsi="Times New Roman"/>
              </w:rPr>
              <w:t xml:space="preserve">Artículos 104 y 104 </w:t>
            </w:r>
            <w:r>
              <w:rPr>
                <w:sz w:val="24"/>
                <w:i/>
                <w:iCs/>
                <w:rFonts w:ascii="Times New Roman" w:hAnsi="Times New Roman"/>
              </w:rPr>
              <w:t xml:space="preserve">bis</w:t>
            </w:r>
            <w:r>
              <w:rPr>
                <w:sz w:val="24"/>
                <w:rFonts w:ascii="Times New Roman" w:hAnsi="Times New Roman"/>
              </w:rPr>
              <w:t xml:space="preserve"> de la Directiva 2013/36/UE;</w:t>
            </w:r>
            <w:r>
              <w:rPr>
                <w:sz w:val="24"/>
                <w:rFonts w:ascii="Times New Roman" w:hAnsi="Times New Roman"/>
              </w:rPr>
              <w:t xml:space="preserve"> </w:t>
            </w:r>
            <w:r>
              <w:rPr>
                <w:sz w:val="24"/>
                <w:rFonts w:ascii="Times New Roman" w:hAnsi="Times New Roman"/>
              </w:rPr>
              <w:t xml:space="preserve">fondos propios adicionales requeridos por la autoridad competente para afrontar el riesgo de apalancamiento excesivo, según lo dispuesto en el artículo 104 de la Directiva 2013/36/UE.</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de los cuales: integrados por capital de nivel 1 ordinario</w:t>
            </w:r>
          </w:p>
          <w:p w14:paraId="118609BA" w14:textId="66E6068C" w:rsidR="008E21B3" w:rsidRPr="000B66BC" w:rsidRDefault="008E21B3" w:rsidP="00B70EBF">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Parte del requisito del pilar II mencionado en la fila 0350 que la autoridad competente requiere tener en forma de capital de nivel 1 ordinario.</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Colchón de la ratio de apalancamiento para EISM</w:t>
            </w:r>
          </w:p>
          <w:p w14:paraId="2DF708A7" w14:textId="4743D9F9" w:rsidR="008E21B3" w:rsidRPr="000B66BC" w:rsidRDefault="008E21B3" w:rsidP="000B66BC">
            <w:pPr>
              <w:pStyle w:val="BodyText1"/>
              <w:spacing w:after="240" w:line="240" w:lineRule="auto"/>
              <w:rPr>
                <w:b/>
                <w:bCs/>
                <w:color w:val="auto"/>
                <w:sz w:val="24"/>
                <w:szCs w:val="24"/>
                <w:rFonts w:ascii="Times New Roman" w:hAnsi="Times New Roman"/>
              </w:rPr>
            </w:pPr>
            <w:r>
              <w:rPr>
                <w:sz w:val="24"/>
                <w:rFonts w:ascii="Times New Roman" w:hAnsi="Times New Roman"/>
              </w:rPr>
              <w:t xml:space="preserve">Artículo 92, apartado 1 </w:t>
            </w:r>
            <w:r>
              <w:rPr>
                <w:sz w:val="24"/>
                <w:i/>
                <w:iCs/>
                <w:rFonts w:ascii="Times New Roman" w:hAnsi="Times New Roman"/>
              </w:rPr>
              <w:t xml:space="preserve">bis</w:t>
            </w:r>
            <w:r>
              <w:rPr>
                <w:sz w:val="24"/>
                <w:rFonts w:ascii="Times New Roman" w:hAnsi="Times New Roman"/>
              </w:rPr>
              <w:t xml:space="preserve">, del Reglamento (UE) n.º 575/2013.</w:t>
            </w:r>
          </w:p>
          <w:p w14:paraId="04DDCD79" w14:textId="110DEF14" w:rsidR="008E21B3" w:rsidRPr="000B66BC" w:rsidRDefault="00B70EBF" w:rsidP="000B66BC">
            <w:pPr>
              <w:pStyle w:val="BodyText1"/>
              <w:spacing w:after="240"/>
              <w:rPr>
                <w:bCs/>
                <w:color w:val="auto"/>
                <w:sz w:val="24"/>
                <w:szCs w:val="24"/>
                <w:rFonts w:ascii="Times New Roman" w:hAnsi="Times New Roman"/>
              </w:rPr>
            </w:pPr>
            <w:r>
              <w:rPr>
                <w:sz w:val="24"/>
                <w:rFonts w:ascii="Times New Roman" w:hAnsi="Times New Roman"/>
              </w:rPr>
              <w:t xml:space="preserve">Las entidades de importancia sistémica mundial (EISM) comunicarán el valor de la adición para la ratio de apalancamiento determinado de conformidad con el artículo 92, apartado 1 </w:t>
            </w:r>
            <w:r>
              <w:rPr>
                <w:sz w:val="24"/>
                <w:i/>
                <w:iCs/>
                <w:rFonts w:ascii="Times New Roman" w:hAnsi="Times New Roman"/>
              </w:rPr>
              <w:t xml:space="preserve">bis</w:t>
            </w:r>
            <w:r>
              <w:rPr>
                <w:sz w:val="24"/>
                <w:rFonts w:ascii="Times New Roman" w:hAnsi="Times New Roman"/>
              </w:rPr>
              <w:t xml:space="preserve">, del Reglamento (UE) n.º 575/2013.</w:t>
            </w:r>
          </w:p>
          <w:p w14:paraId="10B82F9E" w14:textId="5E998451" w:rsidR="00E36E71" w:rsidRPr="000B66BC" w:rsidRDefault="008E21B3" w:rsidP="000B66BC">
            <w:pPr>
              <w:pStyle w:val="BodyText1"/>
              <w:spacing w:after="240"/>
              <w:rPr>
                <w:b/>
                <w:color w:val="auto"/>
                <w:sz w:val="24"/>
                <w:szCs w:val="24"/>
                <w:rFonts w:ascii="Times New Roman" w:hAnsi="Times New Roman"/>
              </w:rPr>
            </w:pPr>
            <w:r>
              <w:rPr>
                <w:sz w:val="24"/>
                <w:rFonts w:ascii="Times New Roman" w:hAnsi="Times New Roman"/>
              </w:rPr>
              <w:t xml:space="preserve">Las EISM comunicarán este importe en la fecha de aplicación del colchón según lo dispuesto en el Reglamento (UE) n.º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Recomendación de pilar II (P2G) para afrontar el riesgo de apalancamiento excesivo</w:t>
            </w:r>
          </w:p>
          <w:p w14:paraId="0B3B1A45" w14:textId="68F57FF2" w:rsidR="00E36E71" w:rsidRPr="000B66BC" w:rsidRDefault="008E21B3" w:rsidP="00B70EBF">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Artículo 104 </w:t>
            </w:r>
            <w:r>
              <w:rPr>
                <w:color w:val="auto"/>
                <w:sz w:val="24"/>
                <w:i/>
                <w:iCs/>
                <w:rFonts w:ascii="Times New Roman" w:hAnsi="Times New Roman"/>
              </w:rPr>
              <w:t xml:space="preserve">ter</w:t>
            </w:r>
            <w:r>
              <w:rPr>
                <w:color w:val="auto"/>
                <w:sz w:val="24"/>
                <w:rFonts w:ascii="Times New Roman" w:hAnsi="Times New Roman"/>
              </w:rPr>
              <w:t xml:space="preserve"> de la Directiva 2013/36/UE</w:t>
            </w:r>
            <w:r>
              <w:rPr>
                <w:color w:val="auto"/>
                <w:sz w:val="24"/>
                <w:rFonts w:ascii="Times New Roman" w:hAnsi="Times New Roman"/>
              </w:rPr>
              <w:t xml:space="preserve">;</w:t>
            </w:r>
            <w:r>
              <w:rPr>
                <w:color w:val="auto"/>
                <w:sz w:val="24"/>
                <w:rFonts w:ascii="Times New Roman" w:hAnsi="Times New Roman"/>
              </w:rPr>
              <w:t xml:space="preserve"> </w:t>
            </w:r>
            <w:r>
              <w:rPr>
                <w:color w:val="auto"/>
                <w:sz w:val="24"/>
                <w:rFonts w:ascii="Times New Roman" w:hAnsi="Times New Roman"/>
              </w:rPr>
              <w:t xml:space="preserve">fondos propios adicionales comunicados por la autoridad competente para afrontar el riesgo de apalancamiento excesivo, según lo dispuesto en el artículo 104 </w:t>
            </w:r>
            <w:r>
              <w:rPr>
                <w:color w:val="auto"/>
                <w:sz w:val="24"/>
                <w:i/>
                <w:iCs/>
                <w:rFonts w:ascii="Times New Roman" w:hAnsi="Times New Roman"/>
              </w:rPr>
              <w:t xml:space="preserve">ter</w:t>
            </w:r>
            <w:r>
              <w:rPr>
                <w:color w:val="auto"/>
                <w:sz w:val="24"/>
                <w:rFonts w:ascii="Times New Roman" w:hAnsi="Times New Roman"/>
              </w:rPr>
              <w:t xml:space="preserve"> de la Directiva 2013/36/UE.</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de los cuales: integrados por capital de nivel 1 ordinario</w:t>
            </w:r>
          </w:p>
          <w:p w14:paraId="3318F690" w14:textId="590855DB" w:rsidR="00E36E71" w:rsidRPr="000B66BC" w:rsidRDefault="00FB31D6" w:rsidP="00B70EBF">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Parte de la P2G mencionada en la fila 0380 que la autoridad competente requiere tener en forma de capital de nivel 1 ordinario.</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color w:val="auto"/>
                <w:sz w:val="24"/>
                <w:szCs w:val="24"/>
                <w:rFonts w:ascii="Times New Roman" w:hAnsi="Times New Roman"/>
              </w:rPr>
            </w:pPr>
            <w:r>
              <w:rPr>
                <w:b/>
                <w:color w:val="auto"/>
                <w:sz w:val="24"/>
                <w:rFonts w:ascii="Times New Roman" w:hAnsi="Times New Roman"/>
              </w:rPr>
              <w:t xml:space="preserve">de los cuales: integrados por capital de nivel 1</w:t>
            </w:r>
          </w:p>
          <w:p w14:paraId="69A1223C" w14:textId="5FB61961" w:rsidR="00E36E71" w:rsidRPr="000B66BC" w:rsidRDefault="00FB31D6" w:rsidP="00B70EBF">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Parte de la P2G mencionada en la fila 0380 que la autoridad competente requiere tener en forma de capital de nivel 1.</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b/>
                <w:bCs/>
                <w:sz w:val="24"/>
                <w:szCs w:val="24"/>
                <w:rFonts w:ascii="Times New Roman" w:hAnsi="Times New Roman"/>
              </w:rPr>
            </w:pPr>
            <w:r>
              <w:rPr>
                <w:b/>
                <w:sz w:val="24"/>
                <w:rFonts w:ascii="Times New Roman" w:hAnsi="Times New Roman"/>
              </w:rPr>
              <w:t xml:space="preserve">Fila y columna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b/>
                <w:color w:val="auto"/>
                <w:sz w:val="24"/>
                <w:szCs w:val="24"/>
                <w:rFonts w:ascii="Times New Roman" w:hAnsi="Times New Roman"/>
              </w:rPr>
            </w:pPr>
            <w:r>
              <w:rPr>
                <w:b/>
                <w:sz w:val="24"/>
                <w:rFonts w:ascii="Times New Roman" w:hAnsi="Times New Roman"/>
              </w:rPr>
              <w:t xml:space="preserve">Requisitos: ratios</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bCs/>
                <w:sz w:val="24"/>
                <w:szCs w:val="24"/>
                <w:rFonts w:ascii="Times New Roman" w:hAnsi="Times New Roman"/>
              </w:rPr>
            </w:pPr>
            <w:r>
              <w:rPr>
                <w:sz w:val="24"/>
                <w:rFonts w:ascii="Times New Roman" w:hAnsi="Times New Roman"/>
              </w:rPr>
              <w:t xml:space="preserve">{0410;0010}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b/>
                <w:bCs/>
                <w:color w:val="auto"/>
                <w:sz w:val="24"/>
                <w:szCs w:val="24"/>
                <w:rFonts w:ascii="Times New Roman" w:hAnsi="Times New Roman"/>
              </w:rPr>
            </w:pPr>
            <w:r>
              <w:rPr>
                <w:b/>
                <w:color w:val="auto"/>
                <w:sz w:val="24"/>
                <w:rFonts w:ascii="Times New Roman" w:hAnsi="Times New Roman"/>
              </w:rPr>
              <w:t xml:space="preserve">Requisito de ratio de apalancamiento del pilar I</w:t>
            </w:r>
            <w:r>
              <w:rPr>
                <w:b/>
                <w:color w:val="auto"/>
                <w:sz w:val="24"/>
                <w:rFonts w:ascii="Times New Roman" w:hAnsi="Times New Roman"/>
              </w:rPr>
              <w:t xml:space="preserve"> </w:t>
            </w:r>
          </w:p>
          <w:p w14:paraId="75955E40" w14:textId="43A3F922" w:rsidR="00B70EBF" w:rsidRDefault="006F5F1F" w:rsidP="00B70EBF">
            <w:pPr>
              <w:pStyle w:val="BodyText1"/>
              <w:spacing w:after="240" w:line="240" w:lineRule="auto"/>
              <w:rPr>
                <w:bCs/>
                <w:color w:val="auto"/>
                <w:sz w:val="24"/>
                <w:szCs w:val="24"/>
                <w:rFonts w:ascii="Times New Roman" w:hAnsi="Times New Roman"/>
              </w:rPr>
            </w:pPr>
            <w:r>
              <w:rPr>
                <w:sz w:val="24"/>
                <w:rFonts w:ascii="Times New Roman" w:hAnsi="Times New Roman"/>
              </w:rPr>
              <w:t xml:space="preserve">Artículo 92, apartado 1, letra d), y artículo 429 </w:t>
            </w:r>
            <w:r>
              <w:rPr>
                <w:sz w:val="24"/>
                <w:i/>
                <w:iCs/>
                <w:rFonts w:ascii="Times New Roman" w:hAnsi="Times New Roman"/>
              </w:rPr>
              <w:t xml:space="preserve">bis</w:t>
            </w:r>
            <w:r>
              <w:rPr>
                <w:sz w:val="24"/>
                <w:rFonts w:ascii="Times New Roman" w:hAnsi="Times New Roman"/>
              </w:rPr>
              <w:t xml:space="preserve">, apartado 7 y apartado 1, letra n), del Reglamento (UE) n.º 575/2013;</w:t>
            </w:r>
            <w:r>
              <w:rPr>
                <w:sz w:val="24"/>
                <w:rFonts w:ascii="Times New Roman" w:hAnsi="Times New Roman"/>
              </w:rPr>
              <w:t xml:space="preserve"> </w:t>
            </w:r>
            <w:r>
              <w:rPr>
                <w:sz w:val="24"/>
                <w:rFonts w:ascii="Times New Roman" w:hAnsi="Times New Roman"/>
              </w:rPr>
              <w:t xml:space="preserve">la ratio de apalancamiento requerida para afrontar el riesgo de apalancamiento excesivo, según se menciona en artículo 92, apartado 1, letra d), del Reglamento (UE) n.º 575/2013.</w:t>
            </w:r>
          </w:p>
          <w:p w14:paraId="2ACA2F0E" w14:textId="04995476" w:rsidR="00CB48CC" w:rsidRPr="000B66BC" w:rsidRDefault="00FB31D6" w:rsidP="00B70EBF">
            <w:pPr>
              <w:pStyle w:val="BodyText1"/>
              <w:spacing w:after="240" w:line="240" w:lineRule="auto"/>
              <w:rPr>
                <w:b/>
                <w:bCs/>
                <w:color w:val="auto"/>
                <w:sz w:val="24"/>
                <w:szCs w:val="24"/>
                <w:rFonts w:ascii="Times New Roman" w:hAnsi="Times New Roman"/>
              </w:rPr>
            </w:pPr>
            <w:r>
              <w:rPr>
                <w:sz w:val="24"/>
                <w:color w:val="auto"/>
                <w:rFonts w:ascii="Times New Roman" w:hAnsi="Times New Roman"/>
              </w:rPr>
              <w:t xml:space="preserve">Las entidades que excluyen exposiciones frente al banco central según lo dispuesto en el artículo 429 </w:t>
            </w:r>
            <w:r>
              <w:rPr>
                <w:sz w:val="24"/>
                <w:color w:val="auto"/>
                <w:i/>
                <w:iCs/>
                <w:rFonts w:ascii="Times New Roman" w:hAnsi="Times New Roman"/>
              </w:rPr>
              <w:t xml:space="preserve">bis</w:t>
            </w:r>
            <w:r>
              <w:rPr>
                <w:sz w:val="24"/>
                <w:color w:val="auto"/>
                <w:rFonts w:ascii="Times New Roman" w:hAnsi="Times New Roman"/>
              </w:rPr>
              <w:t xml:space="preserve">, apartado 1, letra n), </w:t>
            </w:r>
            <w:r>
              <w:rPr>
                <w:sz w:val="24"/>
                <w:rFonts w:ascii="Times New Roman" w:hAnsi="Times New Roman"/>
              </w:rPr>
              <w:t xml:space="preserve">comunicarán el ratio de apalancamiento ajustado de acuerdo con el artículo 429 </w:t>
            </w:r>
            <w:r>
              <w:rPr>
                <w:sz w:val="24"/>
                <w:i/>
                <w:iCs/>
                <w:rFonts w:ascii="Times New Roman" w:hAnsi="Times New Roman"/>
              </w:rPr>
              <w:t xml:space="preserve">bis</w:t>
            </w:r>
            <w:r>
              <w:rPr>
                <w:sz w:val="24"/>
                <w:rFonts w:ascii="Times New Roman" w:hAnsi="Times New Roman"/>
              </w:rPr>
              <w:t xml:space="preserve">, apartado 7, del Reglamento (UE) n.º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Requisito de ratio de apalancamiento total del PRES (RRAPTP)</w:t>
            </w:r>
          </w:p>
          <w:p w14:paraId="58E6C4BD" w14:textId="1E3D269F" w:rsidR="00FB31D6" w:rsidRPr="000B66BC" w:rsidRDefault="00136A9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Artículos 104 y 104 </w:t>
            </w:r>
            <w:r>
              <w:rPr>
                <w:sz w:val="24"/>
                <w:i/>
                <w:iCs/>
                <w:rFonts w:ascii="Times New Roman" w:hAnsi="Times New Roman"/>
              </w:rPr>
              <w:t xml:space="preserve">bis</w:t>
            </w:r>
            <w:r>
              <w:rPr>
                <w:sz w:val="24"/>
                <w:rFonts w:ascii="Times New Roman" w:hAnsi="Times New Roman"/>
              </w:rPr>
              <w:t xml:space="preserve"> de la Directiva 2013/36/UE.</w:t>
            </w:r>
          </w:p>
          <w:p w14:paraId="010497B2" w14:textId="77777777" w:rsidR="00FB31D6" w:rsidRPr="000B66BC" w:rsidRDefault="00FB31D6" w:rsidP="000B66BC">
            <w:pPr>
              <w:pStyle w:val="BodyText1"/>
              <w:spacing w:after="240" w:line="240" w:lineRule="auto"/>
              <w:rPr>
                <w:bCs/>
                <w:sz w:val="24"/>
                <w:szCs w:val="24"/>
                <w:rFonts w:ascii="Times New Roman" w:hAnsi="Times New Roman"/>
              </w:rPr>
            </w:pPr>
            <w:r>
              <w:rPr>
                <w:sz w:val="24"/>
                <w:rFonts w:ascii="Times New Roman" w:hAnsi="Times New Roman"/>
              </w:rPr>
              <w:t xml:space="preserve">Suma de i) y ii), como sigue:</w:t>
            </w:r>
          </w:p>
          <w:p w14:paraId="2BCF2D92" w14:textId="4D8870D5" w:rsidR="00FB31D6" w:rsidRPr="000B66BC" w:rsidRDefault="00FB31D6" w:rsidP="000B66BC">
            <w:pPr>
              <w:pStyle w:val="BodyText1"/>
              <w:numPr>
                <w:ilvl w:val="0"/>
                <w:numId w:val="27"/>
              </w:numPr>
              <w:spacing w:after="240" w:line="240" w:lineRule="auto"/>
              <w:rPr>
                <w:bCs/>
                <w:sz w:val="24"/>
                <w:szCs w:val="24"/>
                <w:rFonts w:ascii="Times New Roman" w:hAnsi="Times New Roman"/>
              </w:rPr>
            </w:pPr>
            <w:r>
              <w:rPr>
                <w:sz w:val="24"/>
                <w:rFonts w:ascii="Times New Roman" w:hAnsi="Times New Roman"/>
              </w:rPr>
              <w:t xml:space="preserve">el requisito de ratio de apalancamiento del pilar I, según lo indicado en la fila 0410;</w:t>
            </w:r>
          </w:p>
          <w:p w14:paraId="4613F532" w14:textId="311FA7CC" w:rsidR="00FB31D6" w:rsidRPr="000B66BC" w:rsidRDefault="00FB31D6" w:rsidP="000B66BC">
            <w:pPr>
              <w:pStyle w:val="BodyText1"/>
              <w:numPr>
                <w:ilvl w:val="0"/>
                <w:numId w:val="27"/>
              </w:numPr>
              <w:spacing w:after="240" w:line="240" w:lineRule="auto"/>
              <w:rPr>
                <w:b/>
                <w:color w:val="auto"/>
                <w:sz w:val="24"/>
                <w:szCs w:val="24"/>
                <w:rFonts w:ascii="Times New Roman" w:hAnsi="Times New Roman"/>
              </w:rPr>
            </w:pPr>
            <w:r>
              <w:rPr>
                <w:sz w:val="24"/>
                <w:rFonts w:ascii="Times New Roman" w:hAnsi="Times New Roman"/>
              </w:rPr>
              <w:t xml:space="preserve">la </w:t>
            </w:r>
            <w:r>
              <w:rPr>
                <w:sz w:val="24"/>
                <w:color w:val="auto"/>
                <w:rFonts w:ascii="Times New Roman" w:hAnsi="Times New Roman"/>
              </w:rPr>
              <w:t xml:space="preserve">ratio de fondos propios adicionales requeridos por la autoridad competente (requisitos de pilar II) para afrontar el riesgo de apalancamiento excesivo, según lo dispuesto en el artículo 104 de la Directiva 2013/36/UE.</w:t>
            </w:r>
          </w:p>
          <w:p w14:paraId="4F1A1488" w14:textId="77777777" w:rsidR="00B70EBF" w:rsidRDefault="00780634" w:rsidP="00B70EBF">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Las entidades calcularán ii) dividiendo el valor de {0350;0010} por el de </w:t>
            </w:r>
            <w:r>
              <w:rPr>
                <w:sz w:val="24"/>
                <w:rFonts w:ascii="Times New Roman" w:hAnsi="Times New Roman"/>
              </w:rPr>
              <w:t xml:space="preserve">{0300;0010}.</w:t>
            </w:r>
            <w:r>
              <w:rPr>
                <w:sz w:val="24"/>
                <w:color w:val="auto"/>
                <w:rFonts w:ascii="Times New Roman" w:hAnsi="Times New Roman"/>
              </w:rPr>
              <w:t xml:space="preserve"> </w:t>
            </w:r>
          </w:p>
          <w:p w14:paraId="128BD13A" w14:textId="3F8F4801" w:rsidR="00FB31D6" w:rsidRPr="000B66BC" w:rsidRDefault="00B70EBF" w:rsidP="00B70EBF">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Si la autoridad competente no ha comunicado ningún requisito de fondos propios adicionales, solo se consignará lo señalado en i).</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RRAPTP: integrado por capital de nivel 1 ordinario</w:t>
            </w:r>
          </w:p>
          <w:p w14:paraId="7473B81A" w14:textId="78011C71" w:rsidR="00780634" w:rsidRPr="000B66BC" w:rsidRDefault="00A0709E" w:rsidP="000B66BC">
            <w:pPr>
              <w:pStyle w:val="BodyText1"/>
              <w:spacing w:after="240" w:line="240" w:lineRule="auto"/>
              <w:rPr>
                <w:color w:val="auto"/>
                <w:sz w:val="24"/>
                <w:szCs w:val="24"/>
                <w:rFonts w:ascii="Times New Roman" w:hAnsi="Times New Roman"/>
              </w:rPr>
            </w:pPr>
            <w:r>
              <w:rPr>
                <w:color w:val="auto"/>
                <w:sz w:val="24"/>
                <w:rFonts w:ascii="Times New Roman" w:hAnsi="Times New Roman"/>
              </w:rPr>
              <w:t xml:space="preserve">Parte de la ratio de fondos propios adicionales, mencionada en el inciso ii) de la fila 0420, que la autoridad competente exige que se mantenga en forma de capital de nivel 1 ordinario.</w:t>
            </w:r>
          </w:p>
          <w:p w14:paraId="17146566" w14:textId="4E043C22" w:rsidR="00E36E71" w:rsidRPr="000B66BC" w:rsidRDefault="00780634" w:rsidP="000B66BC">
            <w:pPr>
              <w:pStyle w:val="BodyText1"/>
              <w:spacing w:after="240" w:line="240" w:lineRule="auto"/>
              <w:rPr>
                <w:b/>
                <w:color w:val="auto"/>
                <w:sz w:val="24"/>
                <w:szCs w:val="24"/>
                <w:rFonts w:ascii="Times New Roman" w:hAnsi="Times New Roman"/>
              </w:rPr>
            </w:pPr>
            <w:r>
              <w:rPr>
                <w:sz w:val="24"/>
                <w:color w:val="auto"/>
                <w:rFonts w:ascii="Times New Roman" w:hAnsi="Times New Roman"/>
              </w:rPr>
              <w:t xml:space="preserve">Las entidades calcularán este valor dividiendo el valor de {0360;0010} por el de </w:t>
            </w:r>
            <w:r>
              <w:rPr>
                <w:sz w:val="24"/>
                <w:rFonts w:ascii="Times New Roman" w:hAnsi="Times New Roman"/>
              </w:rPr>
              <w:t xml:space="preserve">{0300;0010}.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bCs/>
                <w:sz w:val="24"/>
                <w:szCs w:val="24"/>
                <w:rFonts w:ascii="Times New Roman" w:hAnsi="Times New Roman"/>
              </w:rPr>
            </w:pPr>
            <w:r>
              <w:rPr>
                <w:sz w:val="24"/>
                <w:rFonts w:ascii="Times New Roman" w:hAnsi="Times New Roman"/>
              </w:rPr>
              <w:t xml:space="preserve">{0440;0010}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Requisito de ratio de apalancamiento total (RRAT)</w:t>
            </w:r>
          </w:p>
          <w:p w14:paraId="42BE8CD3" w14:textId="0949F4CF" w:rsidR="00136A9C" w:rsidRPr="000B66BC" w:rsidRDefault="00136A9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92, apartado 1 </w:t>
            </w:r>
            <w:r>
              <w:rPr>
                <w:sz w:val="24"/>
                <w:i/>
                <w:iCs/>
                <w:rFonts w:ascii="Times New Roman" w:hAnsi="Times New Roman"/>
              </w:rPr>
              <w:t xml:space="preserve">bis</w:t>
            </w:r>
            <w:r>
              <w:rPr>
                <w:sz w:val="24"/>
                <w:rFonts w:ascii="Times New Roman" w:hAnsi="Times New Roman"/>
              </w:rPr>
              <w:t xml:space="preserve">, del Reglamento (UE) n.º 575/2013.</w:t>
            </w:r>
          </w:p>
          <w:p w14:paraId="1BB646F8" w14:textId="77777777" w:rsidR="00136A9C" w:rsidRPr="000B66BC" w:rsidRDefault="00136A9C" w:rsidP="000B66BC">
            <w:pPr>
              <w:pStyle w:val="BodyText1"/>
              <w:spacing w:after="240"/>
              <w:rPr>
                <w:bCs/>
                <w:color w:val="auto"/>
                <w:sz w:val="24"/>
                <w:szCs w:val="24"/>
                <w:rFonts w:ascii="Times New Roman" w:hAnsi="Times New Roman"/>
              </w:rPr>
            </w:pPr>
            <w:r>
              <w:rPr>
                <w:color w:val="auto"/>
                <w:sz w:val="24"/>
                <w:rFonts w:ascii="Times New Roman" w:hAnsi="Times New Roman"/>
              </w:rPr>
              <w:t xml:space="preserve">Suma de i) y ii), como sigue:</w:t>
            </w:r>
          </w:p>
          <w:p w14:paraId="3ACD46ED" w14:textId="4650EB7F" w:rsidR="00136A9C" w:rsidRPr="000B66BC" w:rsidRDefault="00136A9C" w:rsidP="000B66BC">
            <w:pPr>
              <w:pStyle w:val="BodyText1"/>
              <w:numPr>
                <w:ilvl w:val="0"/>
                <w:numId w:val="28"/>
              </w:numPr>
              <w:spacing w:after="240"/>
              <w:rPr>
                <w:bCs/>
                <w:color w:val="auto"/>
                <w:sz w:val="24"/>
                <w:szCs w:val="24"/>
                <w:rFonts w:ascii="Times New Roman" w:hAnsi="Times New Roman"/>
              </w:rPr>
            </w:pPr>
            <w:r>
              <w:rPr>
                <w:color w:val="auto"/>
                <w:sz w:val="24"/>
                <w:rFonts w:ascii="Times New Roman" w:hAnsi="Times New Roman"/>
              </w:rPr>
              <w:t xml:space="preserve">RRAPTP señalado en la fila 0420;</w:t>
            </w:r>
          </w:p>
          <w:p w14:paraId="7026B9BA" w14:textId="754156AE" w:rsidR="00136A9C" w:rsidRPr="000B66BC" w:rsidRDefault="00136A9C" w:rsidP="000B66BC">
            <w:pPr>
              <w:pStyle w:val="BodyText1"/>
              <w:numPr>
                <w:ilvl w:val="0"/>
                <w:numId w:val="28"/>
              </w:numPr>
              <w:spacing w:after="240"/>
              <w:rPr>
                <w:bCs/>
                <w:color w:val="auto"/>
                <w:sz w:val="24"/>
                <w:szCs w:val="24"/>
                <w:rFonts w:ascii="Times New Roman" w:hAnsi="Times New Roman"/>
              </w:rPr>
            </w:pPr>
            <w:r>
              <w:rPr>
                <w:sz w:val="24"/>
                <w:color w:val="auto"/>
                <w:rFonts w:ascii="Times New Roman" w:hAnsi="Times New Roman"/>
              </w:rPr>
              <w:t xml:space="preserve">colchón de ratio de apalancamiento para EISM de conformidad con el artículo 92, apartado 1 </w:t>
            </w:r>
            <w:r>
              <w:rPr>
                <w:sz w:val="24"/>
                <w:color w:val="auto"/>
                <w:i/>
                <w:iCs/>
                <w:rFonts w:ascii="Times New Roman" w:hAnsi="Times New Roman"/>
              </w:rPr>
              <w:t xml:space="preserve">bis</w:t>
            </w:r>
            <w:r>
              <w:rPr>
                <w:sz w:val="24"/>
                <w:color w:val="auto"/>
                <w:rFonts w:ascii="Times New Roman" w:hAnsi="Times New Roman"/>
              </w:rPr>
              <w:t xml:space="preserve">, del Reglamento (UE) n.º 575/2013, expresado como porcentaje</w:t>
            </w:r>
            <w:r>
              <w:rPr>
                <w:sz w:val="24"/>
                <w:rFonts w:ascii="Times New Roman" w:hAnsi="Times New Roman"/>
              </w:rPr>
              <w:t xml:space="preserve"> de la exposición total correspondiente a la ratio de apalancamiento.</w:t>
            </w:r>
          </w:p>
          <w:p w14:paraId="2D72E728" w14:textId="77777777" w:rsidR="00B70EBF" w:rsidRDefault="00B70EBF" w:rsidP="000B66BC">
            <w:pPr>
              <w:pStyle w:val="BodyText1"/>
              <w:spacing w:after="240"/>
              <w:rPr>
                <w:bCs/>
                <w:sz w:val="24"/>
                <w:szCs w:val="24"/>
                <w:rFonts w:ascii="Times New Roman" w:hAnsi="Times New Roman"/>
              </w:rPr>
            </w:pPr>
            <w:r>
              <w:rPr>
                <w:sz w:val="24"/>
                <w:color w:val="auto"/>
                <w:rFonts w:ascii="Times New Roman" w:hAnsi="Times New Roman"/>
              </w:rPr>
              <w:t xml:space="preserve">Las entidades calcularán ii) dividiendo el valor de {0370;0010} por el de </w:t>
            </w:r>
            <w:r>
              <w:rPr>
                <w:sz w:val="24"/>
                <w:rFonts w:ascii="Times New Roman" w:hAnsi="Times New Roman"/>
              </w:rPr>
              <w:t xml:space="preserve">{0300;0010}.</w:t>
            </w:r>
          </w:p>
          <w:p w14:paraId="341458F5" w14:textId="66A734DD" w:rsidR="00136A9C" w:rsidRPr="000B66BC" w:rsidRDefault="00136A9C" w:rsidP="000B66BC">
            <w:pPr>
              <w:pStyle w:val="BodyText1"/>
              <w:spacing w:after="240"/>
              <w:rPr>
                <w:bCs/>
                <w:color w:val="auto"/>
                <w:sz w:val="24"/>
                <w:szCs w:val="24"/>
                <w:rFonts w:ascii="Times New Roman" w:hAnsi="Times New Roman"/>
              </w:rPr>
            </w:pPr>
            <w:r>
              <w:rPr>
                <w:sz w:val="24"/>
                <w:color w:val="auto"/>
                <w:rFonts w:ascii="Times New Roman" w:hAnsi="Times New Roman"/>
              </w:rPr>
              <w:t xml:space="preserve">Las EISM solo tendrán en cuenta el inciso ii) en la fecha de aplicación del colchón con arreglo al Reglamento (UE) n.º 575/2013.</w:t>
            </w:r>
          </w:p>
          <w:p w14:paraId="0AEE6486" w14:textId="71BAF399" w:rsidR="00136A9C" w:rsidRPr="000B66BC" w:rsidRDefault="00136A9C" w:rsidP="00B70EBF">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Si no se aplica ninguna adición para EISM, solo se consignará lo señalado en 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bCs/>
                <w:sz w:val="24"/>
                <w:szCs w:val="24"/>
                <w:rFonts w:ascii="Times New Roman" w:hAnsi="Times New Roman"/>
              </w:rPr>
            </w:pPr>
            <w:r>
              <w:rPr>
                <w:sz w:val="24"/>
                <w:rFonts w:ascii="Times New Roman" w:hAnsi="Times New Roman"/>
              </w:rPr>
              <w:t xml:space="preserve">{0450;0010}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bCs/>
                <w:sz w:val="24"/>
                <w:szCs w:val="24"/>
                <w:rFonts w:ascii="Times New Roman" w:hAnsi="Times New Roman"/>
              </w:rPr>
            </w:pPr>
            <w:r>
              <w:rPr>
                <w:b/>
                <w:color w:val="auto"/>
                <w:sz w:val="24"/>
                <w:rFonts w:ascii="Times New Roman" w:hAnsi="Times New Roman"/>
              </w:rPr>
              <w:t xml:space="preserve">Requisito de ratio de apalancamiento total (RRAT) y ratio correspondiente a la recomendación de pilar II (P2G)</w:t>
            </w:r>
          </w:p>
          <w:p w14:paraId="022B6350" w14:textId="7060CF19" w:rsidR="00136A9C" w:rsidRPr="000B66BC" w:rsidRDefault="00136A9C"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104 </w:t>
            </w:r>
            <w:r>
              <w:rPr>
                <w:sz w:val="24"/>
                <w:i/>
                <w:iCs/>
                <w:rFonts w:ascii="Times New Roman" w:hAnsi="Times New Roman"/>
              </w:rPr>
              <w:t xml:space="preserve">ter</w:t>
            </w:r>
            <w:r>
              <w:rPr>
                <w:sz w:val="24"/>
                <w:rFonts w:ascii="Times New Roman" w:hAnsi="Times New Roman"/>
              </w:rPr>
              <w:t xml:space="preserve"> de la Directiva 2013/36/UE.</w:t>
            </w:r>
          </w:p>
          <w:p w14:paraId="358F5440" w14:textId="77777777" w:rsidR="00136A9C" w:rsidRPr="000B66BC" w:rsidRDefault="00136A9C" w:rsidP="000B66BC">
            <w:pPr>
              <w:pStyle w:val="BodyText1"/>
              <w:spacing w:after="240" w:line="240" w:lineRule="auto"/>
              <w:rPr>
                <w:bCs/>
                <w:sz w:val="24"/>
                <w:szCs w:val="24"/>
                <w:rFonts w:ascii="Times New Roman" w:hAnsi="Times New Roman"/>
              </w:rPr>
            </w:pPr>
            <w:r>
              <w:rPr>
                <w:sz w:val="24"/>
                <w:rFonts w:ascii="Times New Roman" w:hAnsi="Times New Roman"/>
              </w:rPr>
              <w:t xml:space="preserve">Suma de i) y ii), como sigue:</w:t>
            </w:r>
          </w:p>
          <w:p w14:paraId="4E42EACA" w14:textId="261B723C" w:rsidR="00136A9C" w:rsidRPr="000B66BC" w:rsidRDefault="00136A9C" w:rsidP="000B66BC">
            <w:pPr>
              <w:pStyle w:val="BodyText1"/>
              <w:numPr>
                <w:ilvl w:val="0"/>
                <w:numId w:val="29"/>
              </w:numPr>
              <w:spacing w:after="240" w:line="240" w:lineRule="auto"/>
              <w:rPr>
                <w:color w:val="auto"/>
                <w:sz w:val="24"/>
                <w:szCs w:val="24"/>
                <w:rFonts w:ascii="Times New Roman" w:hAnsi="Times New Roman"/>
              </w:rPr>
            </w:pPr>
            <w:r>
              <w:rPr>
                <w:color w:val="auto"/>
                <w:sz w:val="24"/>
                <w:rFonts w:ascii="Times New Roman" w:hAnsi="Times New Roman"/>
              </w:rPr>
              <w:t xml:space="preserve">RRAT señalado en la fila 0440;</w:t>
            </w:r>
          </w:p>
          <w:p w14:paraId="51B081D7" w14:textId="1328C32A" w:rsidR="00136A9C" w:rsidRPr="000B66BC" w:rsidRDefault="00136A9C" w:rsidP="000B66BC">
            <w:pPr>
              <w:pStyle w:val="BodyText1"/>
              <w:numPr>
                <w:ilvl w:val="0"/>
                <w:numId w:val="29"/>
              </w:numPr>
              <w:spacing w:after="240" w:line="240" w:lineRule="auto"/>
              <w:rPr>
                <w:b/>
                <w:bCs/>
                <w:color w:val="auto"/>
                <w:sz w:val="24"/>
                <w:szCs w:val="24"/>
                <w:rFonts w:ascii="Times New Roman" w:hAnsi="Times New Roman"/>
              </w:rPr>
            </w:pPr>
            <w:r>
              <w:rPr>
                <w:color w:val="auto"/>
                <w:sz w:val="24"/>
                <w:rFonts w:ascii="Times New Roman" w:hAnsi="Times New Roman"/>
              </w:rPr>
              <w:t xml:space="preserve">fondos propios adicionales comunicados por la autoridad competente para prevenir el riesgo de apalancamiento excesivo, según lo dispuesto en el artículo 104 </w:t>
            </w:r>
            <w:r>
              <w:rPr>
                <w:color w:val="auto"/>
                <w:sz w:val="24"/>
                <w:i/>
                <w:iCs/>
                <w:rFonts w:ascii="Times New Roman" w:hAnsi="Times New Roman"/>
              </w:rPr>
              <w:t xml:space="preserve">ter</w:t>
            </w:r>
            <w:r>
              <w:rPr>
                <w:color w:val="auto"/>
                <w:sz w:val="24"/>
                <w:rFonts w:ascii="Times New Roman" w:hAnsi="Times New Roman"/>
              </w:rPr>
              <w:t xml:space="preserve"> de la Directiva 2013/36/UE, expresado como porcentaje de la exposición total correspondiente a la ratio de apalancamiento.</w:t>
            </w:r>
          </w:p>
          <w:p w14:paraId="1C4745E4" w14:textId="77777777" w:rsidR="00B70EBF" w:rsidRDefault="00780634" w:rsidP="00B70EBF">
            <w:pPr>
              <w:pStyle w:val="BodyText1"/>
              <w:spacing w:after="240" w:line="240" w:lineRule="auto"/>
              <w:rPr>
                <w:bCs/>
                <w:color w:val="auto"/>
                <w:sz w:val="24"/>
                <w:szCs w:val="24"/>
                <w:rFonts w:ascii="Times New Roman" w:hAnsi="Times New Roman"/>
              </w:rPr>
            </w:pPr>
            <w:r>
              <w:rPr>
                <w:sz w:val="24"/>
                <w:color w:val="auto"/>
                <w:rFonts w:ascii="Times New Roman" w:hAnsi="Times New Roman"/>
              </w:rPr>
              <w:t xml:space="preserve">Las entidades calcularán ii) dividiendo el valor de {0380;0010} por el de </w:t>
            </w:r>
            <w:r>
              <w:rPr>
                <w:sz w:val="24"/>
                <w:rFonts w:ascii="Times New Roman" w:hAnsi="Times New Roman"/>
              </w:rPr>
              <w:t xml:space="preserve">{0300;0010}.</w:t>
            </w:r>
            <w:r>
              <w:rPr>
                <w:sz w:val="24"/>
                <w:color w:val="auto"/>
                <w:rFonts w:ascii="Times New Roman" w:hAnsi="Times New Roman"/>
              </w:rPr>
              <w:t xml:space="preserve"> </w:t>
            </w:r>
          </w:p>
          <w:p w14:paraId="6E55E37C" w14:textId="5108C444" w:rsidR="00136A9C" w:rsidRPr="000B66BC" w:rsidRDefault="00B70EBF" w:rsidP="00B70EBF">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Si la autoridad competente no comunica ninguna P2G, solo se consignará lo señalado en i).</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bCs/>
                <w:sz w:val="24"/>
                <w:szCs w:val="24"/>
                <w:rFonts w:ascii="Times New Roman" w:hAnsi="Times New Roman"/>
              </w:rPr>
            </w:pPr>
            <w:r>
              <w:rPr>
                <w:sz w:val="24"/>
                <w:rFonts w:ascii="Times New Roman" w:hAnsi="Times New Roman"/>
              </w:rPr>
              <w:t xml:space="preserve">{0460;0010}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RRAT y P2G: integrados por capital de nivel 1 ordinario</w:t>
            </w:r>
          </w:p>
          <w:p w14:paraId="76E51CBF" w14:textId="77777777" w:rsidR="00136A9C" w:rsidRPr="000B66BC" w:rsidRDefault="00136A9C" w:rsidP="000B66BC">
            <w:pPr>
              <w:pStyle w:val="BodyText1"/>
              <w:spacing w:after="240" w:line="240" w:lineRule="auto"/>
              <w:rPr>
                <w:color w:val="auto"/>
                <w:sz w:val="24"/>
                <w:szCs w:val="24"/>
                <w:rFonts w:ascii="Times New Roman" w:hAnsi="Times New Roman"/>
              </w:rPr>
            </w:pPr>
            <w:r>
              <w:rPr>
                <w:color w:val="auto"/>
                <w:sz w:val="24"/>
                <w:rFonts w:ascii="Times New Roman" w:hAnsi="Times New Roman"/>
              </w:rPr>
              <w:t xml:space="preserve">Suma de i) y ii), como sigue:</w:t>
            </w:r>
          </w:p>
          <w:p w14:paraId="4E8CC957" w14:textId="6092A4C3" w:rsidR="00136A9C" w:rsidRPr="000B66BC" w:rsidRDefault="00136A9C" w:rsidP="000B66BC">
            <w:pPr>
              <w:pStyle w:val="BodyText1"/>
              <w:numPr>
                <w:ilvl w:val="0"/>
                <w:numId w:val="30"/>
              </w:numPr>
              <w:spacing w:after="240" w:line="240" w:lineRule="auto"/>
              <w:rPr>
                <w:color w:val="auto"/>
                <w:sz w:val="24"/>
                <w:szCs w:val="24"/>
                <w:rFonts w:ascii="Times New Roman" w:hAnsi="Times New Roman"/>
              </w:rPr>
            </w:pPr>
            <w:r>
              <w:rPr>
                <w:color w:val="auto"/>
                <w:sz w:val="24"/>
                <w:rFonts w:ascii="Times New Roman" w:hAnsi="Times New Roman"/>
              </w:rPr>
              <w:t xml:space="preserve">parte de la ratio de fondos propios adicionales que la autoridad competente requiere tener en forma de capital de nivel 1 ordinario, según lo indicado en la fila 0430;</w:t>
            </w:r>
          </w:p>
          <w:p w14:paraId="611A5895" w14:textId="6EB99D1C" w:rsidR="00136A9C" w:rsidRPr="000B66BC" w:rsidRDefault="00136A9C" w:rsidP="000B66BC">
            <w:pPr>
              <w:pStyle w:val="BodyText1"/>
              <w:numPr>
                <w:ilvl w:val="0"/>
                <w:numId w:val="30"/>
              </w:numPr>
              <w:spacing w:after="240" w:line="240" w:lineRule="auto"/>
              <w:rPr>
                <w:color w:val="auto"/>
                <w:sz w:val="24"/>
                <w:szCs w:val="24"/>
                <w:rFonts w:ascii="Times New Roman" w:hAnsi="Times New Roman"/>
              </w:rPr>
            </w:pPr>
            <w:r>
              <w:rPr>
                <w:color w:val="auto"/>
                <w:sz w:val="24"/>
                <w:rFonts w:ascii="Times New Roman" w:hAnsi="Times New Roman"/>
              </w:rPr>
              <w:t xml:space="preserve">parte de la ratio correspondiente a la P2G mencionada en la fila 0450, inciso ii) que, de acuerdo con la comunicación de la autoridad competente, debe mantenerse en forma de capital de nivel 1 ordinario.</w:t>
            </w:r>
          </w:p>
          <w:p w14:paraId="30A327FA" w14:textId="77777777" w:rsidR="003E3C45" w:rsidRDefault="00780634" w:rsidP="003E3C45">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Las entidades calcularán ii) dividiendo el valor de {0390;0010} por el de </w:t>
            </w:r>
            <w:r>
              <w:rPr>
                <w:sz w:val="24"/>
                <w:rFonts w:ascii="Times New Roman" w:hAnsi="Times New Roman"/>
              </w:rPr>
              <w:t xml:space="preserve">{0300;0010}.</w:t>
            </w:r>
            <w:r>
              <w:rPr>
                <w:sz w:val="24"/>
                <w:color w:val="auto"/>
                <w:rFonts w:ascii="Times New Roman" w:hAnsi="Times New Roman"/>
              </w:rPr>
              <w:t xml:space="preserve"> </w:t>
            </w:r>
          </w:p>
          <w:p w14:paraId="32685844" w14:textId="531CB8FD" w:rsidR="00E36E71" w:rsidRPr="000B66BC" w:rsidRDefault="003E3C45" w:rsidP="003E3C45">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Si la autoridad competente no comunica ninguna P2G, solo se consignará lo señalado en i).</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bCs/>
                <w:sz w:val="24"/>
                <w:szCs w:val="24"/>
                <w:rFonts w:ascii="Times New Roman" w:hAnsi="Times New Roman"/>
              </w:rPr>
            </w:pPr>
            <w:r>
              <w:rPr>
                <w:sz w:val="24"/>
                <w:rFonts w:ascii="Times New Roman" w:hAnsi="Times New Roman"/>
              </w:rPr>
              <w:t xml:space="preserve">{0470;0010}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RRAT y P2G: integrados por capital de nivel 1</w:t>
            </w:r>
          </w:p>
          <w:p w14:paraId="7E7156A9" w14:textId="787E9B54" w:rsidR="00136A9C" w:rsidRPr="000B66BC" w:rsidRDefault="00136A9C" w:rsidP="000B66BC">
            <w:pPr>
              <w:pStyle w:val="BodyText1"/>
              <w:spacing w:after="240" w:line="240" w:lineRule="auto"/>
              <w:rPr>
                <w:color w:val="auto"/>
                <w:sz w:val="24"/>
                <w:szCs w:val="24"/>
                <w:rFonts w:ascii="Times New Roman" w:hAnsi="Times New Roman"/>
              </w:rPr>
            </w:pPr>
            <w:r>
              <w:rPr>
                <w:color w:val="auto"/>
                <w:sz w:val="24"/>
                <w:rFonts w:ascii="Times New Roman" w:hAnsi="Times New Roman"/>
              </w:rPr>
              <w:t xml:space="preserve">Suma de i), ii) y iii), como sigue:</w:t>
            </w:r>
          </w:p>
          <w:p w14:paraId="5D168708" w14:textId="116662AF" w:rsidR="00136A9C" w:rsidRPr="000B66BC" w:rsidRDefault="00843D9B" w:rsidP="000B66BC">
            <w:pPr>
              <w:pStyle w:val="BodyText1"/>
              <w:numPr>
                <w:ilvl w:val="0"/>
                <w:numId w:val="32"/>
              </w:numPr>
              <w:spacing w:after="240" w:line="240" w:lineRule="auto"/>
              <w:rPr>
                <w:color w:val="auto"/>
                <w:sz w:val="24"/>
                <w:szCs w:val="24"/>
                <w:rFonts w:ascii="Times New Roman" w:hAnsi="Times New Roman"/>
              </w:rPr>
            </w:pPr>
            <w:r>
              <w:rPr>
                <w:color w:val="auto"/>
                <w:sz w:val="24"/>
                <w:rFonts w:ascii="Times New Roman" w:hAnsi="Times New Roman"/>
              </w:rPr>
              <w:t xml:space="preserve">Requisito de ratio de apalancamiento total del PRES, según lo indicado en la fila 0420;</w:t>
            </w:r>
          </w:p>
          <w:p w14:paraId="44471EA4" w14:textId="37A3F29A" w:rsidR="00843D9B" w:rsidRPr="000B66BC" w:rsidRDefault="00843D9B" w:rsidP="000B66BC">
            <w:pPr>
              <w:pStyle w:val="ListParagraph"/>
              <w:numPr>
                <w:ilvl w:val="0"/>
                <w:numId w:val="32"/>
              </w:numPr>
              <w:spacing w:after="240"/>
              <w:rPr>
                <w:sz w:val="24"/>
                <w:rFonts w:ascii="Times New Roman" w:hAnsi="Times New Roman"/>
              </w:rPr>
            </w:pPr>
            <w:r>
              <w:rPr>
                <w:sz w:val="24"/>
                <w:color w:val="000000"/>
                <w:rFonts w:ascii="Times New Roman" w:hAnsi="Times New Roman"/>
              </w:rPr>
              <w:t xml:space="preserve">colchón de ratio de apalancamiento para EISM de conformidad con el artículo 92, apartado 1 </w:t>
            </w:r>
            <w:r>
              <w:rPr>
                <w:sz w:val="24"/>
                <w:color w:val="000000"/>
                <w:i/>
                <w:iCs/>
                <w:rFonts w:ascii="Times New Roman" w:hAnsi="Times New Roman"/>
              </w:rPr>
              <w:t xml:space="preserve">bis</w:t>
            </w:r>
            <w:r>
              <w:rPr>
                <w:sz w:val="24"/>
                <w:color w:val="000000"/>
                <w:rFonts w:ascii="Times New Roman" w:hAnsi="Times New Roman"/>
              </w:rPr>
              <w:t xml:space="preserve">, del Reglamento (UE) n.º 575/2013, expresado como porcentaje</w:t>
            </w:r>
            <w:r>
              <w:rPr>
                <w:sz w:val="24"/>
                <w:rFonts w:ascii="Times New Roman" w:hAnsi="Times New Roman"/>
              </w:rPr>
              <w:t xml:space="preserve"> de la exposición total correspondiente a la ratio de apalancamiento.</w:t>
            </w:r>
          </w:p>
          <w:p w14:paraId="776F4028" w14:textId="5132AE58" w:rsidR="00136A9C" w:rsidRPr="000B66BC" w:rsidRDefault="00136A9C" w:rsidP="000B66BC">
            <w:pPr>
              <w:pStyle w:val="BodyText1"/>
              <w:numPr>
                <w:ilvl w:val="0"/>
                <w:numId w:val="32"/>
              </w:numPr>
              <w:spacing w:after="240" w:line="240" w:lineRule="auto"/>
              <w:rPr>
                <w:color w:val="auto"/>
                <w:sz w:val="24"/>
                <w:szCs w:val="24"/>
                <w:rFonts w:ascii="Times New Roman" w:hAnsi="Times New Roman"/>
              </w:rPr>
            </w:pPr>
            <w:r>
              <w:rPr>
                <w:color w:val="auto"/>
                <w:sz w:val="24"/>
                <w:rFonts w:ascii="Times New Roman" w:hAnsi="Times New Roman"/>
              </w:rPr>
              <w:t xml:space="preserve">Parte de la P2G mencionada en la fila 0450, inciso ii) que la autoridad competente requiere tener en forma de capital de nivel 1.</w:t>
            </w:r>
          </w:p>
          <w:p w14:paraId="26F19755" w14:textId="77777777" w:rsidR="003E3C45" w:rsidRPr="000B66BC" w:rsidRDefault="003E3C45" w:rsidP="003E3C45">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Las entidades calcularán ii) dividiendo el valor de {0370;0010} por el de </w:t>
            </w:r>
            <w:r>
              <w:rPr>
                <w:sz w:val="24"/>
                <w:rFonts w:ascii="Times New Roman" w:hAnsi="Times New Roman"/>
              </w:rPr>
              <w:t xml:space="preserve">{0300;0010}.</w:t>
            </w:r>
          </w:p>
          <w:p w14:paraId="2313052B" w14:textId="77777777" w:rsidR="003E3C45" w:rsidRDefault="003E3C45" w:rsidP="003E3C45">
            <w:pPr>
              <w:pStyle w:val="BodyText1"/>
              <w:spacing w:after="240" w:line="240" w:lineRule="auto"/>
              <w:rPr>
                <w:bCs/>
                <w:sz w:val="24"/>
                <w:szCs w:val="24"/>
                <w:rFonts w:ascii="Times New Roman" w:hAnsi="Times New Roman"/>
              </w:rPr>
            </w:pPr>
            <w:r>
              <w:rPr>
                <w:sz w:val="24"/>
                <w:color w:val="auto"/>
                <w:rFonts w:ascii="Times New Roman" w:hAnsi="Times New Roman"/>
              </w:rPr>
              <w:t xml:space="preserve">Las entidades calcularán iii) dividiendo el valor de {0400;0010} por el de </w:t>
            </w:r>
            <w:r>
              <w:rPr>
                <w:sz w:val="24"/>
                <w:rFonts w:ascii="Times New Roman" w:hAnsi="Times New Roman"/>
              </w:rPr>
              <w:t xml:space="preserve">{0300;0010}.</w:t>
            </w:r>
          </w:p>
          <w:p w14:paraId="6BF7BD0F" w14:textId="49D247A3" w:rsidR="00843D9B" w:rsidRPr="000B66BC" w:rsidRDefault="00843D9B" w:rsidP="003E3C45">
            <w:pPr>
              <w:pStyle w:val="BodyText1"/>
              <w:spacing w:after="240" w:line="240" w:lineRule="auto"/>
              <w:rPr>
                <w:bCs/>
                <w:color w:val="auto"/>
                <w:sz w:val="24"/>
                <w:szCs w:val="24"/>
                <w:rFonts w:ascii="Times New Roman" w:hAnsi="Times New Roman"/>
              </w:rPr>
            </w:pPr>
            <w:r>
              <w:rPr>
                <w:color w:val="auto"/>
                <w:sz w:val="24"/>
                <w:rFonts w:ascii="Times New Roman" w:hAnsi="Times New Roman"/>
              </w:rPr>
              <w:t xml:space="preserve">Si no se aplica ninguna adición para EISM, solo se consignará lo señalado en i) y iii).</w:t>
            </w:r>
          </w:p>
          <w:p w14:paraId="784A7DD8" w14:textId="6852D82B" w:rsidR="00E36E71" w:rsidRPr="000B66BC" w:rsidRDefault="00136A9C" w:rsidP="003E3C45">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Si la autoridad competente no comunica ninguna P2G, solo se consignará lo señalado en i) y ii).</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bCs/>
                <w:sz w:val="24"/>
                <w:szCs w:val="24"/>
                <w:rFonts w:ascii="Times New Roman" w:hAnsi="Times New Roman"/>
              </w:rPr>
            </w:pPr>
            <w:r>
              <w:rPr>
                <w:b/>
                <w:sz w:val="24"/>
                <w:rFonts w:ascii="Times New Roman" w:hAnsi="Times New Roman"/>
              </w:rPr>
              <w:t xml:space="preserve">Fila y columna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Partidas pro memoria</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b/>
                <w:color w:val="auto"/>
                <w:sz w:val="24"/>
                <w:szCs w:val="24"/>
                <w:rFonts w:ascii="Times New Roman" w:hAnsi="Times New Roman"/>
              </w:rPr>
            </w:pPr>
            <w:r>
              <w:rPr>
                <w:sz w:val="24"/>
                <w:rFonts w:ascii="Times New Roman" w:hAnsi="Times New Roman"/>
              </w:rPr>
              <w:t xml:space="preserve"> </w:t>
            </w:r>
            <w:r>
              <w:rPr>
                <w:sz w:val="24"/>
                <w:color w:val="auto"/>
                <w:rFonts w:ascii="Times New Roman" w:hAnsi="Times New Roman"/>
              </w:rPr>
              <w:t xml:space="preserve">Reglamento (UE) n.º 575/2013</w:t>
            </w:r>
            <w:r>
              <w:rPr>
                <w:sz w:val="24"/>
                <w:rFonts w:ascii="Times New Roman" w:hAnsi="Times New Roman"/>
              </w:rPr>
              <w:t xml:space="preserve"> </w:t>
            </w:r>
            <w:r>
              <w:rPr>
                <w:sz w:val="24"/>
                <w:color w:val="auto"/>
                <w:rFonts w:ascii="Times New Roman" w:hAnsi="Times New Roman"/>
              </w:rPr>
              <w:t xml:space="preserve">Reglamento (UE) n.º 575/2013</w:t>
            </w:r>
            <w:r>
              <w:rPr>
                <w:sz w:val="24"/>
                <w:color w:val="auto"/>
                <w:rFonts w:ascii="Times New Roman" w:hAnsi="Times New Roman"/>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bCs/>
                <w:sz w:val="24"/>
                <w:szCs w:val="24"/>
                <w:rFonts w:ascii="Times New Roman" w:hAnsi="Times New Roman"/>
              </w:rPr>
            </w:pPr>
            <w:r>
              <w:rPr>
                <w:sz w:val="24"/>
                <w:rFonts w:ascii="Times New Roman" w:hAnsi="Times New Roman"/>
              </w:rPr>
              <w:t xml:space="preserve">{0490;0010}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Ratio de apalancamiento si no se hubiese aplicado el tratamiento temporal de pérdidas y ganancias no realizadas valoradas al valor razonable con cambios en otro resultado global</w:t>
            </w:r>
          </w:p>
          <w:p w14:paraId="22FC70A7" w14:textId="0B4FA8B5" w:rsidR="00E524FC" w:rsidRPr="000B66BC" w:rsidRDefault="00E524FC" w:rsidP="000B66BC">
            <w:pPr>
              <w:pStyle w:val="BodyText1"/>
              <w:spacing w:after="240" w:line="240" w:lineRule="auto"/>
              <w:rPr>
                <w:color w:val="auto"/>
                <w:sz w:val="24"/>
                <w:szCs w:val="24"/>
                <w:rFonts w:ascii="Times New Roman" w:hAnsi="Times New Roman"/>
              </w:rPr>
            </w:pPr>
            <w:r>
              <w:rPr>
                <w:sz w:val="24"/>
                <w:color w:val="auto"/>
                <w:rFonts w:ascii="Times New Roman" w:hAnsi="Times New Roman"/>
              </w:rPr>
              <w:t xml:space="preserve">Artículo 468, apartado 5,</w:t>
            </w:r>
            <w:r>
              <w:rPr>
                <w:sz w:val="24"/>
                <w:rFonts w:ascii="Times New Roman" w:hAnsi="Times New Roman"/>
              </w:rPr>
              <w:t xml:space="preserve"> del Reglamento (UE) n.º 575/2013.</w:t>
            </w:r>
          </w:p>
          <w:p w14:paraId="787A9CC8" w14:textId="0A07D371" w:rsidR="00E524FC" w:rsidRPr="000B66BC" w:rsidRDefault="00E524FC" w:rsidP="000B66BC">
            <w:pPr>
              <w:pStyle w:val="BodyText1"/>
              <w:spacing w:after="240" w:line="240" w:lineRule="auto"/>
              <w:rPr>
                <w:b/>
                <w:color w:val="auto"/>
                <w:sz w:val="24"/>
                <w:szCs w:val="24"/>
                <w:rFonts w:ascii="Times New Roman" w:hAnsi="Times New Roman"/>
              </w:rPr>
            </w:pPr>
            <w:r>
              <w:rPr>
                <w:sz w:val="24"/>
                <w:rFonts w:ascii="Times New Roman" w:hAnsi="Times New Roman"/>
              </w:rPr>
              <w:t xml:space="preserve">Las entidades que hayan decidido aplicar el tratamiento temporal previsto en el artículo 468, apartado 1, del Reglamento (UE) n.º 575/2013, comunicarán la ratio de apalancamiento que tendrían en caso de no aplicar dicho tratamiento.</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b/>
          <w:sz w:val="24"/>
          <w:szCs w:val="24"/>
          <w:rFonts w:ascii="Times New Roman" w:hAnsi="Times New Roman"/>
        </w:rPr>
      </w:pPr>
      <w:bookmarkStart w:id="53" w:name="_Toc351048507"/>
      <w:bookmarkStart w:id="54" w:name="_Toc359414286"/>
      <w:bookmarkStart w:id="55" w:name="_Toc423089071"/>
      <w:bookmarkStart w:id="56" w:name="_Toc52461753"/>
      <w:r>
        <w:rPr>
          <w:b/>
          <w:sz w:val="24"/>
          <w:rFonts w:ascii="Times New Roman" w:hAnsi="Times New Roman"/>
        </w:rPr>
        <w:t xml:space="preserve">4.</w:t>
      </w:r>
      <w:r>
        <w:rPr>
          <w:b/>
          <w:sz w:val="24"/>
          <w:rFonts w:ascii="Times New Roman" w:hAnsi="Times New Roman"/>
        </w:rPr>
        <w:tab/>
      </w:r>
      <w:r>
        <w:rPr>
          <w:b/>
          <w:sz w:val="24"/>
          <w:rFonts w:ascii="Times New Roman" w:hAnsi="Times New Roman"/>
        </w:rPr>
        <w:t xml:space="preserve">C 40.00 — Tratamiento alternativo de la medida de la exposición</w:t>
      </w:r>
      <w:bookmarkEnd w:id="51"/>
      <w:bookmarkEnd w:id="53"/>
      <w:bookmarkEnd w:id="54"/>
      <w:r>
        <w:rPr>
          <w:b/>
          <w:sz w:val="24"/>
          <w:rFonts w:ascii="Times New Roman" w:hAnsi="Times New Roman"/>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20.</w:t>
      </w:r>
      <w:r>
        <w:rPr>
          <w:sz w:val="24"/>
          <w:rFonts w:ascii="Times New Roman" w:hAnsi="Times New Roman"/>
        </w:rPr>
        <w:tab/>
      </w:r>
      <w:r>
        <w:rPr>
          <w:sz w:val="24"/>
          <w:rFonts w:ascii="Times New Roman" w:hAnsi="Times New Roman"/>
        </w:rPr>
        <w:t xml:space="preserve">Esta parte de la presentación de información recoge datos relativos a un tratamiento alternativo de los derivados, las </w:t>
      </w:r>
      <w:r>
        <w:rPr>
          <w:sz w:val="24"/>
          <w:rFonts w:ascii="Times New Roman" w:hAnsi="Times New Roman"/>
        </w:rPr>
        <w:t xml:space="preserve">SFT,</w:t>
      </w:r>
      <w:r>
        <w:rPr>
          <w:sz w:val="24"/>
          <w:rFonts w:ascii="Times New Roman" w:hAnsi="Times New Roman"/>
        </w:rPr>
        <w:t xml:space="preserve"> las partidas fuera de balance, las inversiones del sector público excluidas y la exposiciones a préstamos promocionales excluidas.</w:t>
      </w:r>
      <w:r>
        <w:rPr>
          <w:sz w:val="24"/>
          <w:rFonts w:ascii="Times New Roman" w:hAnsi="Times New Roman"/>
        </w:rPr>
        <w:t xml:space="preserve"> </w:t>
      </w:r>
    </w:p>
    <w:p w14:paraId="0801E40E" w14:textId="6947458E" w:rsidR="00F4754B"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21.</w:t>
      </w:r>
      <w:r>
        <w:rPr>
          <w:sz w:val="24"/>
          <w:rFonts w:ascii="Times New Roman" w:hAnsi="Times New Roman"/>
        </w:rPr>
        <w:tab/>
      </w:r>
      <w:r>
        <w:rPr>
          <w:sz w:val="24"/>
          <w:rFonts w:ascii="Times New Roman" w:hAnsi="Times New Roman"/>
        </w:rPr>
        <w:t xml:space="preserve">Las entidades determinarán los «valores contables según balance» en LR1 basándose en el marco contable aplicable de conformidad con el artículo 4, apartado 1, punto 77, del Reglamento (UE) n.º 575/2013.</w:t>
      </w:r>
      <w:r>
        <w:rPr>
          <w:sz w:val="24"/>
          <w:rFonts w:ascii="Times New Roman" w:hAnsi="Times New Roman"/>
        </w:rPr>
        <w:t xml:space="preserve"> </w:t>
      </w:r>
      <w:r>
        <w:rPr>
          <w:sz w:val="24"/>
          <w:rFonts w:ascii="Times New Roman" w:hAnsi="Times New Roman"/>
        </w:rPr>
        <w:t xml:space="preserve">El «valor contable suponiendo que no hay compensación ni otra CRM» es el valor contable según balance sin tener en cuenta ningún efecto de la compensación u otra reducción del riesgo de crédito.</w:t>
      </w:r>
      <w:r>
        <w:rPr>
          <w:sz w:val="24"/>
          <w:rFonts w:ascii="Times New Roman" w:hAnsi="Times New Roman"/>
        </w:rPr>
        <w:t xml:space="preserve"> </w:t>
      </w:r>
    </w:p>
    <w:p w14:paraId="6A1F4290" w14:textId="4A3B06AA" w:rsidR="005556DC"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22.</w:t>
      </w:r>
      <w:r>
        <w:rPr>
          <w:sz w:val="24"/>
          <w:rFonts w:ascii="Times New Roman" w:hAnsi="Times New Roman"/>
        </w:rPr>
        <w:tab/>
      </w:r>
      <w:r>
        <w:rPr>
          <w:sz w:val="24"/>
          <w:rFonts w:ascii="Times New Roman" w:hAnsi="Times New Roman"/>
        </w:rPr>
        <w:t xml:space="preserve">Las entidades comunicarán las partidas de LR1 como si no se aplicasen las partidas con signo negativo de la plantilla LRCalc (por ejemplo, exclusiones/deducciones), de conformidad con la convención sobre los signos de la parte primera, punto 9 del presente anexo, con la excepción de la filas </w:t>
      </w:r>
      <w:r>
        <w:rPr>
          <w:sz w:val="24"/>
          <w:rFonts w:ascii="Times New Roman" w:hAnsi="Times New Roman"/>
        </w:rPr>
        <w:t xml:space="preserve">{0270;0010} {0280;0010}</w:t>
      </w:r>
      <w:r>
        <w:rPr>
          <w:sz w:val="24"/>
          <w:rFonts w:ascii="Times New Roman" w:hAnsi="Times New Roman"/>
        </w:rPr>
        <w:t xml:space="preserve">.</w:t>
      </w:r>
    </w:p>
    <w:p w14:paraId="3B5DA19A" w14:textId="314820A5" w:rsidR="00201643" w:rsidRPr="000B66BC" w:rsidRDefault="00201643"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23.</w:t>
      </w:r>
      <w:r>
        <w:rPr>
          <w:sz w:val="24"/>
          <w:rFonts w:ascii="Times New Roman" w:hAnsi="Times New Roman"/>
        </w:rPr>
        <w:tab/>
      </w:r>
      <w:r>
        <w:rPr>
          <w:sz w:val="24"/>
          <w:rFonts w:ascii="Times New Roman" w:hAnsi="Times New Roman"/>
        </w:rPr>
        <w:t xml:space="preserve">En la plantilla 40.00, «total activo» ({r0410;c0010}) solo será cumplimentado por:</w:t>
      </w:r>
    </w:p>
    <w:p w14:paraId="120D67B7" w14:textId="7350FC6D" w:rsidR="00390B64" w:rsidRPr="000B66BC" w:rsidRDefault="00390B64" w:rsidP="000B66BC">
      <w:pPr>
        <w:pStyle w:val="BodyText1"/>
        <w:numPr>
          <w:ilvl w:val="0"/>
          <w:numId w:val="35"/>
        </w:numPr>
        <w:spacing w:after="240"/>
        <w:rPr>
          <w:sz w:val="24"/>
          <w:szCs w:val="24"/>
          <w:rFonts w:ascii="Times New Roman" w:hAnsi="Times New Roman"/>
        </w:rPr>
      </w:pPr>
      <w:r>
        <w:rPr>
          <w:sz w:val="24"/>
          <w:rFonts w:ascii="Times New Roman" w:hAnsi="Times New Roman"/>
        </w:rPr>
        <w:t xml:space="preserve">las entidades de gran tamaño que sean EISM o que hayan emitido valores admitidos a negociación en un mercado regulado, con una frecuencia semestral,</w:t>
      </w:r>
      <w:r>
        <w:rPr>
          <w:sz w:val="24"/>
          <w:rFonts w:ascii="Times New Roman" w:hAnsi="Times New Roman"/>
        </w:rPr>
        <w:t xml:space="preserve"> </w:t>
      </w:r>
    </w:p>
    <w:p w14:paraId="275097FF" w14:textId="4F3F0B8E" w:rsidR="00390B64" w:rsidRPr="000B66BC" w:rsidRDefault="00390B64" w:rsidP="000B66BC">
      <w:pPr>
        <w:pStyle w:val="BodyText1"/>
        <w:numPr>
          <w:ilvl w:val="0"/>
          <w:numId w:val="35"/>
        </w:numPr>
        <w:spacing w:after="240"/>
        <w:rPr>
          <w:sz w:val="24"/>
          <w:szCs w:val="24"/>
          <w:rFonts w:ascii="Times New Roman" w:hAnsi="Times New Roman"/>
        </w:rPr>
      </w:pPr>
      <w:r>
        <w:rPr>
          <w:sz w:val="24"/>
          <w:rFonts w:ascii="Times New Roman" w:hAnsi="Times New Roman"/>
        </w:rPr>
        <w:t xml:space="preserve">las entidades de gran tamaño distintas de EISM que sean entidades no cotizadas, con una frecuencia anual,</w:t>
      </w:r>
    </w:p>
    <w:p w14:paraId="59E3D42C" w14:textId="4C664B3D" w:rsidR="00390B64" w:rsidRPr="000B66BC" w:rsidRDefault="00390B64" w:rsidP="000B66BC">
      <w:pPr>
        <w:pStyle w:val="BodyText1"/>
        <w:numPr>
          <w:ilvl w:val="0"/>
          <w:numId w:val="35"/>
        </w:numPr>
        <w:spacing w:after="240"/>
        <w:rPr>
          <w:sz w:val="24"/>
          <w:szCs w:val="24"/>
          <w:rFonts w:ascii="Times New Roman" w:hAnsi="Times New Roman"/>
        </w:rPr>
      </w:pPr>
      <w:r>
        <w:rPr>
          <w:sz w:val="24"/>
          <w:rFonts w:ascii="Times New Roman" w:hAnsi="Times New Roman"/>
        </w:rPr>
        <w:t xml:space="preserve">otras entidades, distintas a las entidades de gran tamaño y las entidades pequeñas y no complejas, que hayan emitido valores admitidos a negociación en un mercado regulado, con una frecuencia anual.</w:t>
      </w:r>
      <w:r>
        <w:rPr>
          <w:sz w:val="24"/>
          <w:rFonts w:ascii="Times New Roman" w:hAnsi="Times New Roman"/>
        </w:rPr>
        <w:t xml:space="preserv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b/>
                <w:sz w:val="24"/>
                <w:szCs w:val="24"/>
                <w:rFonts w:ascii="Times New Roman" w:hAnsi="Times New Roman"/>
              </w:rPr>
            </w:pPr>
            <w:r>
              <w:rPr>
                <w:b/>
                <w:sz w:val="24"/>
                <w:rFonts w:ascii="Times New Roman" w:hAnsi="Times New Roman"/>
              </w:rPr>
              <w:t xml:space="preserve">Fila y columna</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Referencias legales e instrucciones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{0010;0010}</w:t>
            </w:r>
          </w:p>
        </w:tc>
        <w:tc>
          <w:tcPr>
            <w:tcW w:w="7620" w:type="dxa"/>
          </w:tcPr>
          <w:p w14:paraId="39F15765" w14:textId="77777777" w:rsidR="00F4754B" w:rsidRPr="000B66BC" w:rsidRDefault="00F4754B" w:rsidP="000B66BC">
            <w:pPr>
              <w:pStyle w:val="BodyText1"/>
              <w:spacing w:after="240" w:line="240" w:lineRule="auto"/>
              <w:rPr>
                <w:bCs/>
                <w:sz w:val="24"/>
                <w:szCs w:val="24"/>
                <w:u w:val="single"/>
                <w:rFonts w:ascii="Times New Roman" w:hAnsi="Times New Roman"/>
              </w:rPr>
            </w:pPr>
            <w:r>
              <w:rPr>
                <w:b/>
                <w:sz w:val="24"/>
                <w:rFonts w:ascii="Times New Roman" w:hAnsi="Times New Roman"/>
              </w:rPr>
              <w:t xml:space="preserve">Derivados — Valor contable según balance</w:t>
            </w:r>
          </w:p>
          <w:p w14:paraId="7F9C9C25" w14:textId="151D2509" w:rsidR="000A6437"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Es la suma de {0020;010}, {0050;0010} y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{0010;0020}</w:t>
            </w:r>
          </w:p>
        </w:tc>
        <w:tc>
          <w:tcPr>
            <w:tcW w:w="7620" w:type="dxa"/>
          </w:tcPr>
          <w:p w14:paraId="4563944E"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 Valor contable suponiendo que no hay compensación ni otra CRM</w:t>
            </w:r>
          </w:p>
          <w:p w14:paraId="7E68FF9D" w14:textId="3AAE9DFF" w:rsidR="00FF3AC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Es la suma de {0020;0020}, {0050;0020} y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{0010;0070}</w:t>
            </w:r>
          </w:p>
        </w:tc>
        <w:tc>
          <w:tcPr>
            <w:tcW w:w="7620" w:type="dxa"/>
          </w:tcPr>
          <w:p w14:paraId="5D79D47D"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 Importe nocional</w:t>
            </w:r>
          </w:p>
          <w:p w14:paraId="2AECBC09" w14:textId="2F33E455" w:rsidR="00F4754B"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Es la suma de {0020;0070}, {0050;0070} y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{0020;0010}</w:t>
            </w:r>
          </w:p>
        </w:tc>
        <w:tc>
          <w:tcPr>
            <w:tcW w:w="7620" w:type="dxa"/>
          </w:tcPr>
          <w:p w14:paraId="0B692C56"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vendida) — Valor contable según balance</w:t>
            </w:r>
          </w:p>
          <w:p w14:paraId="0232A08C" w14:textId="557B887D" w:rsidR="00F4754B" w:rsidRPr="000B66BC" w:rsidRDefault="006D6827" w:rsidP="003E3C45">
            <w:pPr>
              <w:pStyle w:val="BodyText1"/>
              <w:spacing w:after="240" w:line="240" w:lineRule="auto"/>
              <w:rPr>
                <w:b/>
                <w:bCs/>
                <w:sz w:val="24"/>
                <w:szCs w:val="24"/>
                <w:u w:val="single"/>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con arreglo al marco contable aplicable, de los derivados de crédito cuando la entidad vende protección crediticia a una contraparte y el contrato se ha reconocido como activo en el balance.</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{0020;0020}</w:t>
            </w:r>
          </w:p>
        </w:tc>
        <w:tc>
          <w:tcPr>
            <w:tcW w:w="7620" w:type="dxa"/>
          </w:tcPr>
          <w:p w14:paraId="47C4979D" w14:textId="1C2E617E" w:rsidR="00F4754B" w:rsidRPr="000B66BC" w:rsidRDefault="00F4754B" w:rsidP="000B66BC">
            <w:pPr>
              <w:pStyle w:val="BodyText1"/>
              <w:spacing w:after="240" w:line="240" w:lineRule="auto"/>
              <w:rPr>
                <w:bCs/>
                <w:sz w:val="24"/>
                <w:szCs w:val="24"/>
                <w:rFonts w:ascii="Times New Roman" w:hAnsi="Times New Roman"/>
              </w:rPr>
            </w:pPr>
            <w:r>
              <w:rPr>
                <w:b/>
                <w:sz w:val="24"/>
                <w:rFonts w:ascii="Times New Roman" w:hAnsi="Times New Roman"/>
              </w:rPr>
              <w:t xml:space="preserve">Derivados de crédito (protección vendida) — Valor contable suponiendo que no hay compensación ni otra CRM</w:t>
            </w:r>
          </w:p>
          <w:p w14:paraId="379F5EE7" w14:textId="7F30105A" w:rsidR="00F4754B" w:rsidRPr="000B66BC" w:rsidRDefault="006D6827" w:rsidP="003E3C45">
            <w:pPr>
              <w:pStyle w:val="BodyText1"/>
              <w:spacing w:after="240" w:line="240" w:lineRule="auto"/>
              <w:rPr>
                <w:b/>
                <w:bCs/>
                <w:sz w:val="24"/>
                <w:szCs w:val="24"/>
                <w:u w:val="single"/>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con arreglo al marco contable aplicable, de los derivados de crédito cuando la entidad vende protección crediticia a una contraparte y el contrato se ha reconocido como activo en el balance, suponiendo que no hay efectos de compensación prudencial o contable ni otros efectos de CRM (es decir, se anularán los efectos de toda compensación contable o CRM que haya afectado al valor contable).</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{0020;0070}</w:t>
            </w:r>
          </w:p>
        </w:tc>
        <w:tc>
          <w:tcPr>
            <w:tcW w:w="7620" w:type="dxa"/>
          </w:tcPr>
          <w:p w14:paraId="5B4D4747"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vendida) — Importe nocional</w:t>
            </w:r>
          </w:p>
          <w:p w14:paraId="79F96141" w14:textId="45B474E1" w:rsidR="00F4754B"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Es la suma de las celdas {0030;0070} y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{0020;0075}</w:t>
            </w:r>
          </w:p>
        </w:tc>
        <w:tc>
          <w:tcPr>
            <w:tcW w:w="7620" w:type="dxa"/>
          </w:tcPr>
          <w:p w14:paraId="4149AAF1"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vendida) — Importe nocional una vez aplicado el límite máximo</w:t>
            </w:r>
          </w:p>
          <w:p w14:paraId="0C4AF19E" w14:textId="54E04166" w:rsidR="00410E47" w:rsidRPr="000B66BC" w:rsidRDefault="003E3C45"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comunicarán el importe nocional referenciado por los derivados de crédito (protección vendida) como en {0020;0070} tras la reducción por toda posible variación negativa del valor razonable incorporada al capital de nivel 1 en relación con los derivados de crédito suscritos</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bCs/>
                <w:sz w:val="24"/>
                <w:szCs w:val="24"/>
                <w:rFonts w:ascii="Times New Roman" w:hAnsi="Times New Roman"/>
              </w:rPr>
            </w:pPr>
            <w:r>
              <w:rPr>
                <w:sz w:val="24"/>
                <w:rFonts w:ascii="Times New Roman" w:hAnsi="Times New Roman"/>
              </w:rPr>
              <w:t xml:space="preserve">{0030;0070}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vendida) sujetos a una cláusula de liquidación — Importe nocional</w:t>
            </w:r>
          </w:p>
          <w:p w14:paraId="018BEF1F" w14:textId="22289BB3" w:rsidR="00F56B61" w:rsidRPr="000B66BC" w:rsidRDefault="003E3C45"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comunicarán el importe nocional referenciado por los derivados de crédito cuando la entidad vende protección crediticia a una contraparte con sujeción a una cláusula de liquidación.</w:t>
            </w:r>
          </w:p>
          <w:p w14:paraId="5A116C41" w14:textId="488FF38F" w:rsidR="00F56B61" w:rsidRPr="000B66BC" w:rsidRDefault="00F56B61" w:rsidP="000B66BC">
            <w:pPr>
              <w:pStyle w:val="BodyText1"/>
              <w:spacing w:after="240" w:line="240" w:lineRule="auto"/>
              <w:rPr>
                <w:bCs/>
                <w:sz w:val="24"/>
                <w:szCs w:val="24"/>
                <w:rFonts w:ascii="Times New Roman" w:hAnsi="Times New Roman"/>
              </w:rPr>
            </w:pPr>
            <w:r>
              <w:rPr>
                <w:sz w:val="24"/>
                <w:rFonts w:ascii="Times New Roman" w:hAnsi="Times New Roman"/>
              </w:rPr>
              <w:t xml:space="preserve">Se define como cláusula de liquidación la que concede a la parte que no incurra en impago el derecho a cancelar y liquidar oportunamente, en caso de impago, cualquier operación recogida en el acuerdo, incluso en el supuesto de quiebra o insolvencia de la contraparte.</w:t>
            </w:r>
          </w:p>
          <w:p w14:paraId="7931AC41" w14:textId="557F8233" w:rsidR="00F56B61" w:rsidRPr="000B66BC" w:rsidRDefault="00F56B61"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considerarán todos los derivados de crédito, no solo los asignados a la cartera de negociación.</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{0040;0070}</w:t>
            </w:r>
          </w:p>
        </w:tc>
        <w:tc>
          <w:tcPr>
            <w:tcW w:w="7620" w:type="dxa"/>
          </w:tcPr>
          <w:p w14:paraId="6050FB9E" w14:textId="17B2C2C9"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vendida) no sujetos a una cláusula de liquidación — Importe nocional</w:t>
            </w:r>
          </w:p>
          <w:p w14:paraId="1DD1CCDE" w14:textId="0B30797B" w:rsidR="00410E47" w:rsidRPr="000B66BC" w:rsidRDefault="003E3C45" w:rsidP="000B66BC">
            <w:pPr>
              <w:pStyle w:val="BodyText1"/>
              <w:spacing w:after="240" w:line="240" w:lineRule="auto"/>
              <w:rPr>
                <w:sz w:val="24"/>
                <w:szCs w:val="24"/>
                <w:rFonts w:ascii="Times New Roman" w:hAnsi="Times New Roman"/>
              </w:rPr>
            </w:pPr>
            <w:r>
              <w:rPr>
                <w:sz w:val="24"/>
                <w:rFonts w:ascii="Times New Roman" w:hAnsi="Times New Roman"/>
              </w:rPr>
              <w:t xml:space="preserve">Las entidades comunicarán el importe </w:t>
            </w:r>
            <w:r>
              <w:rPr>
                <w:sz w:val="24"/>
                <w:rFonts w:ascii="Times New Roman" w:hAnsi="Times New Roman"/>
              </w:rPr>
              <w:t xml:space="preserve">nocional referenciado por </w:t>
            </w:r>
            <w:r>
              <w:rPr>
                <w:sz w:val="24"/>
                <w:rFonts w:ascii="Times New Roman" w:hAnsi="Times New Roman"/>
              </w:rPr>
              <w:t xml:space="preserve">los derivados de crédito cuando la entidad vende protección crediticia a una contraparte</w:t>
            </w:r>
            <w:r>
              <w:rPr>
                <w:sz w:val="24"/>
                <w:rFonts w:ascii="Times New Roman" w:hAnsi="Times New Roman"/>
              </w:rPr>
              <w:t xml:space="preserve"> sin sujeción a una cláusula de liquidación.</w:t>
            </w:r>
          </w:p>
          <w:p w14:paraId="35F31007" w14:textId="3FE74DD8" w:rsidR="00410E47" w:rsidRPr="000B66BC" w:rsidRDefault="00410E47" w:rsidP="000B66BC">
            <w:pPr>
              <w:pStyle w:val="BodyText1"/>
              <w:spacing w:after="240" w:line="240" w:lineRule="auto"/>
              <w:rPr>
                <w:sz w:val="24"/>
                <w:szCs w:val="24"/>
                <w:rFonts w:ascii="Times New Roman" w:hAnsi="Times New Roman"/>
              </w:rPr>
            </w:pPr>
            <w:r>
              <w:rPr>
                <w:sz w:val="24"/>
                <w:rFonts w:ascii="Times New Roman" w:hAnsi="Times New Roman"/>
              </w:rPr>
              <w:t xml:space="preserve">Se define como cláusula de liquidación la que concede a la parte que no incurra en impago el derecho a cancelar y liquidar oportunamente, en caso de impago, cualquier operación recogida en el acuerdo, incluso en el supuesto de quiebra o insolvencia de la contraparte.</w:t>
            </w:r>
          </w:p>
          <w:p w14:paraId="3D6F6539" w14:textId="27A2337C" w:rsidR="00410E47" w:rsidRPr="000B66BC" w:rsidRDefault="00410E47"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considerarán todos los derivados de crédito, no solo los asignados a la cartera de negociación.</w:t>
            </w:r>
            <w:r>
              <w:rPr>
                <w:sz w:val="24"/>
                <w:b/>
                <w:u w:val="single"/>
                <w:rFonts w:ascii="Times New Roman" w:hAnsi="Times New Roman"/>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{0050;0010}</w:t>
            </w:r>
          </w:p>
        </w:tc>
        <w:tc>
          <w:tcPr>
            <w:tcW w:w="7620" w:type="dxa"/>
          </w:tcPr>
          <w:p w14:paraId="1C7DEFE2"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comprada) — Valor contable según balance</w:t>
            </w:r>
          </w:p>
          <w:p w14:paraId="253831D8" w14:textId="71F050F1" w:rsidR="00410E47" w:rsidRPr="000B66BC" w:rsidRDefault="006D6827"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con arreglo al marco contable aplicable, de los derivados de crédito cuando la entidad vende protección crediticia a una contraparte y el contrato se ha reconocido como activo en el balance.</w:t>
            </w:r>
          </w:p>
          <w:p w14:paraId="702252EB" w14:textId="057F95BC" w:rsidR="00410E47" w:rsidRPr="000B66BC" w:rsidRDefault="00410E47"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considerarán todos los derivados de crédito, no solo los asignados a la cartera de negociación.</w:t>
            </w:r>
            <w:r>
              <w:rPr>
                <w:sz w:val="24"/>
                <w:b/>
                <w:u w:val="single"/>
                <w:rFonts w:ascii="Times New Roman" w:hAnsi="Times New Roman"/>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{0050;0020}</w:t>
            </w:r>
          </w:p>
        </w:tc>
        <w:tc>
          <w:tcPr>
            <w:tcW w:w="7620" w:type="dxa"/>
          </w:tcPr>
          <w:p w14:paraId="0AFB57D5"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comprada) — Valor contable suponiendo que no hay compensación ni otra CRM</w:t>
            </w:r>
          </w:p>
          <w:p w14:paraId="269D2982" w14:textId="2B5E1E52" w:rsidR="00410E47" w:rsidRPr="000B66BC" w:rsidRDefault="006D6827"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con arreglo al marco contable aplicable, de los derivados de crédito cuando la entidad compra protección crediticia a una contraparte y el contrato se ha reconocido como activo en el balance, suponiendo que no hay efectos de compensación prudencial o contable ni efectos de CRM (es decir, se anularán los efectos de toda compensación contable o CRM que haya afectado al valor contable).</w:t>
            </w:r>
          </w:p>
          <w:p w14:paraId="2E8D49DB" w14:textId="0AA00007" w:rsidR="00410E47" w:rsidRPr="000B66BC" w:rsidRDefault="00410E47"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considerarán todos los derivados de crédito, no solo los asignados a la cartera de negociación.</w:t>
            </w:r>
            <w:r>
              <w:rPr>
                <w:sz w:val="24"/>
                <w:b/>
                <w:u w:val="single"/>
                <w:rFonts w:ascii="Times New Roman" w:hAnsi="Times New Roman"/>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comprada) — Importe nocional</w:t>
            </w:r>
          </w:p>
          <w:p w14:paraId="1671DB5D" w14:textId="3D6728B4" w:rsidR="00410E47" w:rsidRPr="000B66BC" w:rsidRDefault="003E3C45"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comunicarán el importe nocional referenciado por los derivados de crédito cuando la entidad compra protección crediticia a una contraparte.</w:t>
            </w:r>
            <w:r>
              <w:rPr>
                <w:sz w:val="24"/>
                <w:rFonts w:ascii="Times New Roman" w:hAnsi="Times New Roman"/>
              </w:rPr>
              <w:t xml:space="preserve"> </w:t>
            </w:r>
          </w:p>
          <w:p w14:paraId="38DBE45F" w14:textId="372DBEE5" w:rsidR="00410E47" w:rsidRPr="000B66BC" w:rsidRDefault="00410E47"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considerarán todos los derivados de crédito, no solo los asignados a la cartera de negociación.</w:t>
            </w:r>
            <w:r>
              <w:rPr>
                <w:sz w:val="24"/>
                <w:b/>
                <w:u w:val="single"/>
                <w:rFonts w:ascii="Times New Roman" w:hAnsi="Times New Roman"/>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{0050;0075}</w:t>
            </w:r>
          </w:p>
        </w:tc>
        <w:tc>
          <w:tcPr>
            <w:tcW w:w="7620" w:type="dxa"/>
          </w:tcPr>
          <w:p w14:paraId="1E75C7B9"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comprada) — Importe nocional una vez aplicado el límite máximo</w:t>
            </w:r>
          </w:p>
          <w:p w14:paraId="34A0542C" w14:textId="20F92B99" w:rsidR="00410E47" w:rsidRPr="000B66BC" w:rsidRDefault="003E3C45"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comunicarán el importe nocional referenciado por los derivados de crédito (protección comprada) como en {0050;0070} tras la reducción por toda posible variación positiva del valor razonable incorporada al capital de nivel 1 en relación con los derivados de crédito comprados.</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de crédito (protección comprada) — Importe nocional una vez aplicado el límite máximo (mismo nombre de referencia)</w:t>
            </w:r>
          </w:p>
          <w:p w14:paraId="797BBD79" w14:textId="03DB9559" w:rsidR="00410E47" w:rsidRPr="000B66BC" w:rsidRDefault="003E3C45"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comunicarán el importe nocional referenciado por los derivados de crédito cuando la entidad compra protección crediticia </w:t>
            </w:r>
            <w:r>
              <w:rPr>
                <w:sz w:val="24"/>
                <w:rFonts w:ascii="Times New Roman" w:hAnsi="Times New Roman"/>
              </w:rPr>
              <w:t xml:space="preserve">con el mismo nombre de referencia subyacente que los derivados de crédito suscritos por la entidad</w:t>
            </w:r>
            <w:r>
              <w:rPr>
                <w:sz w:val="24"/>
                <w:rFonts w:ascii="Times New Roman" w:hAnsi="Times New Roman"/>
              </w:rPr>
              <w:t xml:space="preserve">.</w:t>
            </w:r>
          </w:p>
          <w:p w14:paraId="55CDE23E" w14:textId="77777777" w:rsidR="00410E47" w:rsidRPr="000B66BC" w:rsidRDefault="00410E47" w:rsidP="000B66BC">
            <w:pPr>
              <w:pStyle w:val="BodyText1"/>
              <w:spacing w:after="240" w:line="240" w:lineRule="auto"/>
              <w:rPr>
                <w:bCs/>
                <w:sz w:val="24"/>
                <w:szCs w:val="24"/>
                <w:rFonts w:ascii="Times New Roman" w:hAnsi="Times New Roman"/>
              </w:rPr>
            </w:pPr>
            <w:r>
              <w:rPr>
                <w:sz w:val="24"/>
                <w:rFonts w:ascii="Times New Roman" w:hAnsi="Times New Roman"/>
              </w:rPr>
              <w:t xml:space="preserve">A los efectos de la comunicación del valor de esta celda, se considera que los nombres de referencia del subyacente son los mismos si se refieren a la misma entidad jurídica y a un mismo rango de prelación.</w:t>
            </w:r>
            <w:r>
              <w:rPr>
                <w:sz w:val="24"/>
                <w:rFonts w:ascii="Times New Roman" w:hAnsi="Times New Roman"/>
              </w:rPr>
              <w:t xml:space="preserve"> </w:t>
            </w:r>
          </w:p>
          <w:p w14:paraId="2F022BB9" w14:textId="3144A560" w:rsidR="00410E47" w:rsidRPr="000B66BC" w:rsidRDefault="00410E47" w:rsidP="000B66BC">
            <w:pPr>
              <w:pStyle w:val="BodyText1"/>
              <w:spacing w:after="240" w:line="240" w:lineRule="auto"/>
              <w:rPr>
                <w:bCs/>
                <w:sz w:val="24"/>
                <w:szCs w:val="24"/>
                <w:rFonts w:ascii="Times New Roman" w:hAnsi="Times New Roman"/>
              </w:rPr>
            </w:pPr>
            <w:r>
              <w:rPr>
                <w:sz w:val="24"/>
                <w:rFonts w:ascii="Times New Roman" w:hAnsi="Times New Roman"/>
              </w:rPr>
              <w:t xml:space="preserve">Se considera que la protección crediticia comprada sobre un conjunto de empresas de referencia es la misma si es económicamente equivalente a comprar protección por separado sobre cada uno de los nombres del conjunto.</w:t>
            </w:r>
          </w:p>
          <w:p w14:paraId="0154314D" w14:textId="77777777" w:rsidR="00410E47" w:rsidRPr="000B66BC" w:rsidRDefault="00410E47" w:rsidP="000B66BC">
            <w:pPr>
              <w:pStyle w:val="BodyText1"/>
              <w:spacing w:after="240" w:line="240" w:lineRule="auto"/>
              <w:rPr>
                <w:bCs/>
                <w:sz w:val="24"/>
                <w:szCs w:val="24"/>
                <w:rFonts w:ascii="Times New Roman" w:hAnsi="Times New Roman"/>
              </w:rPr>
            </w:pPr>
            <w:r>
              <w:rPr>
                <w:sz w:val="24"/>
                <w:rFonts w:ascii="Times New Roman" w:hAnsi="Times New Roman"/>
              </w:rPr>
              <w:t xml:space="preserve">Si una entidad compra protección crediticia sobre un conjunto de nombres de referencia, solo se considera que esa protección es la misma si abarca la totalidad de los subconjuntos del conjunto en relación con el cual la protección se haya vendido.</w:t>
            </w:r>
            <w:r>
              <w:rPr>
                <w:sz w:val="24"/>
                <w:rFonts w:ascii="Times New Roman" w:hAnsi="Times New Roman"/>
              </w:rPr>
              <w:t xml:space="preserve"> </w:t>
            </w:r>
            <w:r>
              <w:rPr>
                <w:sz w:val="24"/>
                <w:rFonts w:ascii="Times New Roman" w:hAnsi="Times New Roman"/>
              </w:rPr>
              <w:t xml:space="preserve">En otras palabras, solo puede reconocerse la compensación cuando el conjunto de empresas de referencia y el nivel de subordinación son idénticos en ambas operaciones.</w:t>
            </w:r>
            <w:r>
              <w:rPr>
                <w:sz w:val="24"/>
                <w:rFonts w:ascii="Times New Roman" w:hAnsi="Times New Roman"/>
              </w:rPr>
              <w:t xml:space="preserve"> </w:t>
            </w:r>
          </w:p>
          <w:p w14:paraId="52D47F4F" w14:textId="120567C7" w:rsidR="00410E47" w:rsidRPr="000B66BC" w:rsidRDefault="00410E47" w:rsidP="00474B43">
            <w:pPr>
              <w:pStyle w:val="BodyText1"/>
              <w:spacing w:after="240" w:line="240" w:lineRule="auto"/>
              <w:rPr>
                <w:b/>
                <w:bCs/>
                <w:sz w:val="24"/>
                <w:szCs w:val="24"/>
                <w:u w:val="single"/>
                <w:rFonts w:ascii="Times New Roman" w:hAnsi="Times New Roman"/>
              </w:rPr>
            </w:pPr>
            <w:r>
              <w:rPr>
                <w:sz w:val="24"/>
                <w:rFonts w:ascii="Times New Roman" w:hAnsi="Times New Roman"/>
              </w:rPr>
              <w:t xml:space="preserve">Para cada nombre de referencia, los importes nocionales de la protección crediticia considerada a efectos de comunicación de información esta celda no deben superar </w:t>
            </w:r>
            <w:r>
              <w:rPr>
                <w:sz w:val="24"/>
                <w:rFonts w:ascii="Times New Roman" w:hAnsi="Times New Roman"/>
              </w:rPr>
              <w:t xml:space="preserve">los importes mencionados en {0020;0075} y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{0060;0010}</w:t>
            </w:r>
          </w:p>
        </w:tc>
        <w:tc>
          <w:tcPr>
            <w:tcW w:w="7620" w:type="dxa"/>
          </w:tcPr>
          <w:p w14:paraId="7A410C0D" w14:textId="15D05203"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financieros — Valor contable según balance</w:t>
            </w:r>
          </w:p>
          <w:p w14:paraId="6FA0DDE8" w14:textId="54BDF180" w:rsidR="00410E47" w:rsidRPr="000B66BC" w:rsidRDefault="006D6827"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 apartado 1, punto 77, del Reglamento (UE) n.º 575/2013.</w:t>
            </w:r>
          </w:p>
          <w:p w14:paraId="5A64C9B2" w14:textId="15E6A0CE" w:rsidR="00410E47" w:rsidRPr="000B66BC" w:rsidRDefault="00E24137" w:rsidP="00474B43">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comunicarán el valor contable según balance, con arreglo al marco contable aplicable, de los contratos enumerados en el anexo II del Reglamento (UE) n.º 575/2013 cuando estos contratos se reconocen como activos en el balance.</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{0060;0020}</w:t>
            </w:r>
          </w:p>
        </w:tc>
        <w:tc>
          <w:tcPr>
            <w:tcW w:w="7620" w:type="dxa"/>
          </w:tcPr>
          <w:p w14:paraId="47D5F195"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financieros — Valor contable suponiendo que no hay compensación ni otra CRM</w:t>
            </w:r>
          </w:p>
          <w:p w14:paraId="00EB79C6" w14:textId="4B1F5274" w:rsidR="00410E47" w:rsidRPr="000B66BC" w:rsidRDefault="006D6827" w:rsidP="00474B43">
            <w:pPr>
              <w:pStyle w:val="BodyText1"/>
              <w:spacing w:after="240" w:line="240" w:lineRule="auto"/>
              <w:rPr>
                <w:b/>
                <w:bCs/>
                <w:sz w:val="24"/>
                <w:szCs w:val="24"/>
                <w:u w:val="single"/>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con arreglo al marco contable aplicable, de los contratos enumerados en el anexo II del Reglamento (UE) n.º 575/2013 cuando los contratos se reconocen como activos en el balance, suponiendo que no hay efectos de compensación prudencial o contable ni otros efectos de CRM (es decir, se anularán los efectos de toda compensación contable o CRM que haya afectado al valor contable).</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{0060;0070}</w:t>
            </w:r>
          </w:p>
        </w:tc>
        <w:tc>
          <w:tcPr>
            <w:tcW w:w="7620" w:type="dxa"/>
          </w:tcPr>
          <w:p w14:paraId="2C3B01F2"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financieros — Importe nocional</w:t>
            </w:r>
          </w:p>
          <w:p w14:paraId="64E79FE5" w14:textId="0BAB0D53" w:rsidR="00410E47" w:rsidRPr="000B66BC" w:rsidRDefault="00410E47" w:rsidP="00474B43">
            <w:pPr>
              <w:pStyle w:val="BodyText1"/>
              <w:spacing w:after="240" w:line="240" w:lineRule="auto"/>
              <w:rPr>
                <w:b/>
                <w:bCs/>
                <w:sz w:val="24"/>
                <w:szCs w:val="24"/>
                <w:u w:val="single"/>
                <w:rFonts w:ascii="Times New Roman" w:hAnsi="Times New Roman"/>
              </w:rPr>
            </w:pPr>
            <w:r>
              <w:rPr>
                <w:sz w:val="24"/>
                <w:rFonts w:ascii="Times New Roman" w:hAnsi="Times New Roman"/>
              </w:rPr>
              <w:t xml:space="preserve">Esta celda recogerá el importe nocional referenciado por los contratos enumerados en el anexo II del Reglamento (UE) n.º 575/2013.</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bCs/>
                <w:sz w:val="24"/>
                <w:szCs w:val="24"/>
                <w:rFonts w:ascii="Times New Roman" w:hAnsi="Times New Roman"/>
              </w:rPr>
            </w:pPr>
            <w:r>
              <w:rPr>
                <w:sz w:val="24"/>
                <w:rFonts w:ascii="Times New Roman" w:hAnsi="Times New Roman"/>
              </w:rPr>
              <w:t xml:space="preserve">{0071;0010}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Operaciones de financiación de valores — Valor contable según balance</w:t>
            </w:r>
          </w:p>
          <w:p w14:paraId="0D6AB751" w14:textId="3C2AF32F" w:rsidR="007B7914" w:rsidRPr="000B66BC" w:rsidRDefault="007B7914"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de las SFT, con arreglo al marco contable aplicable, cuando los contratos se reconocen como activos en el balance.</w:t>
            </w:r>
          </w:p>
          <w:p w14:paraId="2235756A" w14:textId="4A4EF690" w:rsidR="007B7914" w:rsidRPr="000B66BC" w:rsidRDefault="007B7914"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w:t>
            </w:r>
            <w:r>
              <w:rPr>
                <w:sz w:val="24"/>
                <w:rFonts w:ascii="Times New Roman" w:hAnsi="Times New Roman"/>
              </w:rPr>
              <w:t xml:space="preserve"> </w:t>
            </w:r>
            <w:r>
              <w:rPr>
                <w:sz w:val="24"/>
                <w:rFonts w:ascii="Times New Roman" w:hAnsi="Times New Roman"/>
              </w:rPr>
              <w:t xml:space="preserve">Las entidades los incluirán en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bCs/>
                <w:sz w:val="24"/>
                <w:szCs w:val="24"/>
                <w:rFonts w:ascii="Times New Roman" w:hAnsi="Times New Roman"/>
              </w:rPr>
            </w:pPr>
            <w:r>
              <w:rPr>
                <w:sz w:val="24"/>
                <w:rFonts w:ascii="Times New Roman" w:hAnsi="Times New Roman"/>
              </w:rPr>
              <w:t xml:space="preserve">{0071;0020}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Operaciones de financiación de valores — Valor contable suponiendo que no hay compensación ni otra CRM</w:t>
            </w:r>
          </w:p>
          <w:p w14:paraId="07F0EA6D" w14:textId="56C0173B" w:rsidR="00474B43" w:rsidRDefault="007B7914" w:rsidP="000B66BC">
            <w:pPr>
              <w:pStyle w:val="BodyText1"/>
              <w:spacing w:after="240" w:line="240" w:lineRule="auto"/>
              <w:rPr>
                <w:bCs/>
                <w:sz w:val="24"/>
                <w:szCs w:val="24"/>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con arreglo al marco contable aplicable, cuando los contratos se reconocen como activos en el balance, suponiendo que no hay efectos de compensación prudencial o contable ni otros efectos de CRM (es decir, se anularán los efectos de toda compensación contable o CRM que haya afectado al valor contable).</w:t>
            </w:r>
            <w:r>
              <w:rPr>
                <w:sz w:val="24"/>
                <w:rFonts w:ascii="Times New Roman" w:hAnsi="Times New Roman"/>
              </w:rPr>
              <w:t xml:space="preserve"> </w:t>
            </w:r>
          </w:p>
          <w:p w14:paraId="04F4C292" w14:textId="292EA0BD" w:rsidR="007B7914" w:rsidRPr="000B66BC" w:rsidRDefault="00474B43" w:rsidP="000B66BC">
            <w:pPr>
              <w:pStyle w:val="BodyText1"/>
              <w:spacing w:after="240" w:line="240" w:lineRule="auto"/>
              <w:rPr>
                <w:bCs/>
                <w:sz w:val="24"/>
                <w:szCs w:val="24"/>
                <w:rFonts w:ascii="Times New Roman" w:hAnsi="Times New Roman"/>
              </w:rPr>
            </w:pPr>
            <w:r>
              <w:rPr>
                <w:sz w:val="24"/>
                <w:rFonts w:ascii="Times New Roman" w:hAnsi="Times New Roman"/>
              </w:rPr>
              <w:t xml:space="preserve">Cuando se contabilice como venta una SFT con arreglo al marco contable aplicable, las entidades revertirán todos los asientos contables relativos a la venta.</w:t>
            </w:r>
          </w:p>
          <w:p w14:paraId="072F9F82" w14:textId="5255D9A3" w:rsidR="007B7914" w:rsidRPr="000B66BC" w:rsidRDefault="007B7914"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w:t>
            </w:r>
            <w:r>
              <w:rPr>
                <w:sz w:val="24"/>
                <w:rFonts w:ascii="Times New Roman" w:hAnsi="Times New Roman"/>
              </w:rPr>
              <w:t xml:space="preserve"> </w:t>
            </w:r>
            <w:r>
              <w:rPr>
                <w:sz w:val="24"/>
                <w:rFonts w:ascii="Times New Roman" w:hAnsi="Times New Roman"/>
              </w:rPr>
              <w:t xml:space="preserve">Las entidades los incluirán en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{0090;0010}</w:t>
            </w:r>
          </w:p>
        </w:tc>
        <w:tc>
          <w:tcPr>
            <w:tcW w:w="7620" w:type="dxa"/>
          </w:tcPr>
          <w:p w14:paraId="520EA2AC"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Otros activos — Valor contable según balance</w:t>
            </w:r>
          </w:p>
          <w:p w14:paraId="6BEE30BB" w14:textId="44CE9FC7" w:rsidR="00410E47" w:rsidRPr="000B66BC" w:rsidRDefault="0084728D" w:rsidP="00474B43">
            <w:pPr>
              <w:pStyle w:val="BodyText1"/>
              <w:spacing w:after="240" w:line="240" w:lineRule="auto"/>
              <w:rPr>
                <w:b/>
                <w:bCs/>
                <w:sz w:val="24"/>
                <w:szCs w:val="24"/>
                <w:u w:val="single"/>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con arreglo al marco contable aplicable, de todos los activos distintos de los contratos enumerados en el anexo II del Reglamento (UE) n.º 575/2013, los derivados de crédito y las SFT.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{0090;0020}</w:t>
            </w:r>
          </w:p>
        </w:tc>
        <w:tc>
          <w:tcPr>
            <w:tcW w:w="7620" w:type="dxa"/>
          </w:tcPr>
          <w:p w14:paraId="0A7C5F46"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Otros activos — Valor contable suponiendo que no hay compensación ni otra CRM</w:t>
            </w:r>
          </w:p>
          <w:p w14:paraId="6FFD3E4A" w14:textId="01BB1CE6" w:rsidR="00410E47" w:rsidRDefault="00E20CD8" w:rsidP="00474B43">
            <w:pPr>
              <w:pStyle w:val="BodyText1"/>
              <w:spacing w:after="240" w:line="240" w:lineRule="auto"/>
              <w:rPr>
                <w:bCs/>
                <w:sz w:val="24"/>
                <w:szCs w:val="24"/>
                <w:rFonts w:ascii="Times New Roman" w:hAnsi="Times New Roman"/>
              </w:rPr>
            </w:pPr>
            <w:r>
              <w:rPr>
                <w:sz w:val="24"/>
                <w:rFonts w:ascii="Times New Roman" w:hAnsi="Times New Roman"/>
              </w:rPr>
              <w:t xml:space="preserve">Artículo 4, apartado 1, punto 77, del Reglamento (UE) n.º 575/2013;</w:t>
            </w:r>
            <w:r>
              <w:rPr>
                <w:sz w:val="24"/>
                <w:rFonts w:ascii="Times New Roman" w:hAnsi="Times New Roman"/>
              </w:rPr>
              <w:t xml:space="preserve"> </w:t>
            </w:r>
            <w:r>
              <w:rPr>
                <w:sz w:val="24"/>
                <w:rFonts w:ascii="Times New Roman" w:hAnsi="Times New Roman"/>
              </w:rPr>
              <w:t xml:space="preserve">valor contable según balance, con arreglo al marco contable aplicable, de todos los activos distintos de los contratos enumerados en el anexo II del Reglamento (UE) n.º 575/2013, los derivados de crédito y las SFT, suponiendo que no hay efectos de compensación contable ni otros efectos de CRM (es decir, se anularán los efectos de toda compensación contable o CRM que haya afectado al valor contable).</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bCs/>
                <w:sz w:val="24"/>
                <w:szCs w:val="24"/>
                <w:rFonts w:ascii="Times New Roman" w:hAnsi="Times New Roman"/>
              </w:rPr>
            </w:pPr>
            <w:r>
              <w:rPr>
                <w:sz w:val="24"/>
                <w:rFonts w:ascii="Times New Roman" w:hAnsi="Times New Roman"/>
              </w:rPr>
              <w:t xml:space="preserve">{0095;0070}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Partidas fuera de balance</w:t>
            </w:r>
          </w:p>
          <w:p w14:paraId="76247621" w14:textId="685AAB93" w:rsidR="00D5649D" w:rsidRPr="000B66BC" w:rsidDel="00764219" w:rsidRDefault="00474B43"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comunicarán el valor nominal de las partidas fuera de balance.</w:t>
            </w:r>
            <w:r>
              <w:rPr>
                <w:sz w:val="24"/>
                <w:rFonts w:ascii="Times New Roman" w:hAnsi="Times New Roman"/>
              </w:rPr>
              <w:t xml:space="preserve"> </w:t>
            </w:r>
            <w:r>
              <w:rPr>
                <w:sz w:val="24"/>
                <w:rFonts w:ascii="Times New Roman" w:hAnsi="Times New Roman"/>
              </w:rPr>
              <w:t xml:space="preserve">Las entidades no considerarán en esta celda los contratos enumerados en el anexo II del Reglamento (UE) n.º 575/2013, los derivados de crédito ni las SFT, de conformidad con el artículo 429 </w:t>
            </w:r>
            <w:r>
              <w:rPr>
                <w:sz w:val="24"/>
                <w:i/>
                <w:iCs/>
                <w:rFonts w:ascii="Times New Roman" w:hAnsi="Times New Roman"/>
              </w:rPr>
              <w:t xml:space="preserve">septies</w:t>
            </w:r>
            <w:r>
              <w:rPr>
                <w:sz w:val="24"/>
                <w:rFonts w:ascii="Times New Roman" w:hAnsi="Times New Roman"/>
              </w:rPr>
              <w:t xml:space="preserve">, apartado 1, de dicho Reglamento.</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{0210;0020}</w:t>
            </w:r>
          </w:p>
        </w:tc>
        <w:tc>
          <w:tcPr>
            <w:tcW w:w="7620" w:type="dxa"/>
          </w:tcPr>
          <w:p w14:paraId="29B185C3"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Garantías reales en efectivo recibidas en operaciones con derivados — Valor contable suponiendo que no hay compensación ni otra CRM</w:t>
            </w:r>
          </w:p>
          <w:p w14:paraId="39EDF297" w14:textId="273BC4C8" w:rsidR="00410E47" w:rsidRPr="000B66BC" w:rsidRDefault="00410E47"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w:t>
            </w:r>
            <w:r>
              <w:rPr>
                <w:sz w:val="24"/>
                <w:rFonts w:ascii="Times New Roman" w:hAnsi="Times New Roman"/>
              </w:rPr>
              <w:t xml:space="preserve"> las garantías reales en efectivo recibidas en operaciones con derivados, </w:t>
            </w:r>
            <w:r>
              <w:rPr>
                <w:sz w:val="24"/>
                <w:rFonts w:ascii="Times New Roman" w:hAnsi="Times New Roman"/>
              </w:rPr>
              <w:t xml:space="preserve">suponiendo que no hay efectos de compensación contable ni otros efectos de CRM (es decir, se anularán los efectos de toda compensación contable o CRM que haya afectado al valor contable).</w:t>
            </w:r>
          </w:p>
          <w:p w14:paraId="2131D4BF" w14:textId="59EC9867" w:rsidR="00410E47" w:rsidRPr="000B66BC" w:rsidRDefault="00410E47" w:rsidP="00474B43">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A los efectos de esta celda, se define efectivo como el importe total del efectivo, incluidas las monedas y los billetes.</w:t>
            </w:r>
            <w:r>
              <w:rPr>
                <w:sz w:val="24"/>
                <w:rFonts w:ascii="Times New Roman" w:hAnsi="Times New Roman"/>
              </w:rPr>
              <w:t xml:space="preserve"> </w:t>
            </w:r>
            <w:r>
              <w:rPr>
                <w:sz w:val="24"/>
                <w:rFonts w:ascii="Times New Roman" w:hAnsi="Times New Roman"/>
              </w:rPr>
              <w:t xml:space="preserve">Se incluye el importe total de los depósitos mantenidos en bancos centrales en la medida en que estos depósitos puedan ser retirados en momentos de tensión.</w:t>
            </w:r>
            <w:r>
              <w:rPr>
                <w:sz w:val="24"/>
                <w:rFonts w:ascii="Times New Roman" w:hAnsi="Times New Roman"/>
              </w:rPr>
              <w:t xml:space="preserve"> </w:t>
            </w:r>
            <w:r>
              <w:rPr>
                <w:sz w:val="24"/>
                <w:rFonts w:ascii="Times New Roman" w:hAnsi="Times New Roman"/>
              </w:rPr>
              <w:t xml:space="preserve">Las entidades no comunicarán en esta celda el efectivo en depósito que mantengan en otras entidades.</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{0220;0020}</w:t>
            </w:r>
          </w:p>
        </w:tc>
        <w:tc>
          <w:tcPr>
            <w:tcW w:w="7620" w:type="dxa"/>
          </w:tcPr>
          <w:p w14:paraId="6DB00C4C"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Derechos de cobro por garantías reales en efectivo aportadas en operaciones con derivados — Valor contable suponiendo que no hay compensación ni otra CRM</w:t>
            </w:r>
          </w:p>
          <w:p w14:paraId="7D33E862" w14:textId="047F9D4A" w:rsidR="00474B43" w:rsidRDefault="00410E47" w:rsidP="000B66BC">
            <w:pPr>
              <w:pStyle w:val="BodyText1"/>
              <w:spacing w:after="240" w:line="240" w:lineRule="auto"/>
              <w:rPr>
                <w:sz w:val="24"/>
                <w:szCs w:val="24"/>
                <w:rFonts w:ascii="Times New Roman" w:hAnsi="Times New Roman"/>
              </w:rPr>
            </w:pPr>
            <w:r>
              <w:rPr>
                <w:sz w:val="24"/>
                <w:rFonts w:ascii="Times New Roman" w:hAnsi="Times New Roman"/>
              </w:rPr>
              <w:t xml:space="preserve">Valor contable según balance, con arreglo al marco contable aplicable, de</w:t>
            </w:r>
            <w:r>
              <w:rPr>
                <w:sz w:val="24"/>
                <w:rFonts w:ascii="Times New Roman" w:hAnsi="Times New Roman"/>
              </w:rPr>
              <w:t xml:space="preserve"> los derechos de cobro por garantías reales en efectivo aportadas en operaciones con derivados, </w:t>
            </w:r>
            <w:r>
              <w:rPr>
                <w:sz w:val="24"/>
                <w:rFonts w:ascii="Times New Roman" w:hAnsi="Times New Roman"/>
              </w:rPr>
              <w:t xml:space="preserve">suponiendo que no hay efectos de compensación contable ni otros efectos de CRM (es decir, se anularán los efectos de toda compensación contable o CRM que haya afectado al valor contable).</w:t>
            </w:r>
            <w:r>
              <w:rPr>
                <w:sz w:val="24"/>
                <w:rFonts w:ascii="Times New Roman" w:hAnsi="Times New Roman"/>
              </w:rPr>
              <w:t xml:space="preserve"> </w:t>
            </w:r>
          </w:p>
          <w:p w14:paraId="7CD00868" w14:textId="0996E74B" w:rsidR="00410E47" w:rsidRPr="000B66BC" w:rsidRDefault="00410E47"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que están autorizadas con arreglo al marco contable a compensar los derechos de cobro por garantías reales en efectivo aportadas con los pasivos correspondientes de los derivados (valor razonable negativo) y que elijan hacerlo deberán anular la compensación y comunicar los derechos de cobro en efectivo netos.</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{0230;0020}</w:t>
            </w:r>
          </w:p>
        </w:tc>
        <w:tc>
          <w:tcPr>
            <w:tcW w:w="7620" w:type="dxa"/>
          </w:tcPr>
          <w:p w14:paraId="5AE16600" w14:textId="77777777" w:rsidR="00410E47" w:rsidRPr="000B66BC" w:rsidRDefault="00410E47"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Valores recibidos en una SFT que se reconocen como activos — Valor contable suponiendo que no hay compensación ni otra CRM</w:t>
            </w:r>
          </w:p>
          <w:p w14:paraId="28A4D6AF" w14:textId="5C43B50B" w:rsidR="00410E47" w:rsidRPr="000B66BC" w:rsidRDefault="00410E47" w:rsidP="00474B43">
            <w:pPr>
              <w:pStyle w:val="BodyText1"/>
              <w:spacing w:after="240" w:line="240" w:lineRule="auto"/>
              <w:rPr>
                <w:b/>
                <w:bCs/>
                <w:sz w:val="24"/>
                <w:szCs w:val="24"/>
                <w:rFonts w:ascii="Times New Roman" w:hAnsi="Times New Roman"/>
              </w:rPr>
            </w:pPr>
            <w:r>
              <w:rPr>
                <w:sz w:val="24"/>
                <w:rFonts w:ascii="Times New Roman" w:hAnsi="Times New Roman"/>
              </w:rPr>
              <w:t xml:space="preserve">Valor contable según balance, con arreglo al marco contable aplicable, de</w:t>
            </w:r>
            <w:r>
              <w:rPr>
                <w:sz w:val="24"/>
                <w:rFonts w:ascii="Times New Roman" w:hAnsi="Times New Roman"/>
              </w:rPr>
              <w:t xml:space="preserve"> los valores recibidos en una </w:t>
            </w:r>
            <w:r>
              <w:rPr>
                <w:sz w:val="24"/>
                <w:rFonts w:ascii="Times New Roman" w:hAnsi="Times New Roman"/>
              </w:rPr>
              <w:t xml:space="preserve">SFT</w:t>
            </w:r>
            <w:r>
              <w:rPr>
                <w:sz w:val="24"/>
                <w:rFonts w:ascii="Times New Roman" w:hAnsi="Times New Roman"/>
              </w:rPr>
              <w:t xml:space="preserve"> reconocidos como activos en virtud de dicho el marco contable, </w:t>
            </w:r>
            <w:r>
              <w:rPr>
                <w:sz w:val="24"/>
                <w:rFonts w:ascii="Times New Roman" w:hAnsi="Times New Roman"/>
              </w:rPr>
              <w:t xml:space="preserve">suponiendo que no hay efectos de compensación contable ni otros efectos de CRM (es decir, se anularán los efectos de toda compensación contable o CRM que haya afectado al valor contable).</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bCs/>
                <w:sz w:val="24"/>
                <w:szCs w:val="24"/>
                <w:rFonts w:ascii="Times New Roman" w:hAnsi="Times New Roman"/>
              </w:rPr>
            </w:pPr>
            <w:r>
              <w:rPr>
                <w:sz w:val="24"/>
                <w:rFonts w:ascii="Times New Roman" w:hAnsi="Times New Roman"/>
              </w:rPr>
              <w:t xml:space="preserve">{0240;0020}</w:t>
            </w:r>
          </w:p>
        </w:tc>
        <w:tc>
          <w:tcPr>
            <w:tcW w:w="7620" w:type="dxa"/>
          </w:tcPr>
          <w:p w14:paraId="66AFC109" w14:textId="77777777" w:rsidR="00410E47" w:rsidRPr="000B66BC" w:rsidRDefault="00410E47"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Intermediación (</w:t>
            </w:r>
            <w:r>
              <w:rPr>
                <w:b/>
                <w:sz w:val="24"/>
                <w:rFonts w:ascii="Times New Roman" w:hAnsi="Times New Roman"/>
              </w:rPr>
              <w:t xml:space="preserve">cash conduit lending</w:t>
            </w:r>
            <w:r>
              <w:rPr>
                <w:b/>
                <w:sz w:val="24"/>
                <w:rFonts w:ascii="Times New Roman" w:hAnsi="Times New Roman"/>
              </w:rPr>
              <w:t xml:space="preserve">, CCL) en SFT (derechos de cobro en efectivo) — Valor contable suponiendo que no hay compensación ni otra CRM</w:t>
            </w:r>
          </w:p>
          <w:p w14:paraId="6B9D4FF6" w14:textId="65358007" w:rsidR="00410E47" w:rsidRPr="000B66BC" w:rsidRDefault="00410E47" w:rsidP="000B66BC">
            <w:pPr>
              <w:pStyle w:val="BodyText1"/>
              <w:tabs>
                <w:tab w:val="left" w:pos="4755"/>
              </w:tabs>
              <w:spacing w:after="240" w:line="240" w:lineRule="auto"/>
              <w:rPr>
                <w:sz w:val="24"/>
                <w:szCs w:val="24"/>
                <w:rFonts w:ascii="Times New Roman" w:hAnsi="Times New Roman"/>
              </w:rPr>
            </w:pPr>
            <w:r>
              <w:rPr>
                <w:sz w:val="24"/>
                <w:rFonts w:ascii="Times New Roman" w:hAnsi="Times New Roman"/>
              </w:rPr>
              <w:t xml:space="preserve">Valor contable según balance, con arreglo al marco contable aplicable, de</w:t>
            </w:r>
            <w:r>
              <w:rPr>
                <w:sz w:val="24"/>
                <w:rFonts w:ascii="Times New Roman" w:hAnsi="Times New Roman"/>
              </w:rPr>
              <w:t xml:space="preserve"> los derechos de cobro en efectivo por el préstamo en efectivo concedido al titular de los valores en el marco de una operación CCL admisible, </w:t>
            </w:r>
            <w:r>
              <w:rPr>
                <w:sz w:val="24"/>
                <w:rFonts w:ascii="Times New Roman" w:hAnsi="Times New Roman"/>
              </w:rPr>
              <w:t xml:space="preserve">suponiendo que no hay efectos de compensación contable ni otros efectos de CRM (es decir, se anularán los efectos de toda compensación contable o CRM que haya afectado al valor contable).</w:t>
            </w:r>
          </w:p>
          <w:p w14:paraId="748B124D" w14:textId="5207C935" w:rsidR="00410E47" w:rsidRPr="000B66BC" w:rsidRDefault="00410E47" w:rsidP="000B66BC">
            <w:pPr>
              <w:pStyle w:val="BodyText1"/>
              <w:tabs>
                <w:tab w:val="left" w:pos="4755"/>
              </w:tabs>
              <w:spacing w:after="240" w:line="240" w:lineRule="auto"/>
              <w:rPr>
                <w:sz w:val="24"/>
                <w:szCs w:val="24"/>
                <w:rFonts w:ascii="Times New Roman" w:hAnsi="Times New Roman"/>
              </w:rPr>
            </w:pPr>
            <w:r>
              <w:rPr>
                <w:sz w:val="24"/>
                <w:rFonts w:ascii="Times New Roman" w:hAnsi="Times New Roman"/>
              </w:rPr>
              <w:t xml:space="preserve">A los efectos de esta celda, se define efectivo como el importe total del efectivo, incluidas las monedas y los billetes.</w:t>
            </w:r>
            <w:r>
              <w:rPr>
                <w:sz w:val="24"/>
                <w:rFonts w:ascii="Times New Roman" w:hAnsi="Times New Roman"/>
              </w:rPr>
              <w:t xml:space="preserve"> </w:t>
            </w:r>
            <w:r>
              <w:rPr>
                <w:sz w:val="24"/>
                <w:rFonts w:ascii="Times New Roman" w:hAnsi="Times New Roman"/>
              </w:rPr>
              <w:t xml:space="preserve">Se incluye el importe total de los depósitos mantenidos en bancos centrales en la medida en que estos depósitos puedan ser retirados en momentos de tensión.</w:t>
            </w:r>
            <w:r>
              <w:rPr>
                <w:sz w:val="24"/>
                <w:rFonts w:ascii="Times New Roman" w:hAnsi="Times New Roman"/>
              </w:rPr>
              <w:t xml:space="preserve"> </w:t>
            </w:r>
            <w:r>
              <w:rPr>
                <w:sz w:val="24"/>
                <w:rFonts w:ascii="Times New Roman" w:hAnsi="Times New Roman"/>
              </w:rPr>
              <w:t xml:space="preserve">Las entidades no comunicarán en esta celda el efectivo en depósito que mantengan en otras entidades.</w:t>
            </w:r>
          </w:p>
          <w:p w14:paraId="334DF029" w14:textId="53853645" w:rsidR="00410E47" w:rsidRPr="000B66BC" w:rsidRDefault="00410E47" w:rsidP="000B66BC">
            <w:pPr>
              <w:pStyle w:val="BodyText1"/>
              <w:tabs>
                <w:tab w:val="left" w:pos="4755"/>
              </w:tabs>
              <w:spacing w:after="240" w:line="240" w:lineRule="auto"/>
              <w:rPr>
                <w:sz w:val="24"/>
                <w:szCs w:val="24"/>
                <w:rFonts w:ascii="Times New Roman" w:hAnsi="Times New Roman"/>
              </w:rPr>
            </w:pPr>
            <w:r>
              <w:rPr>
                <w:sz w:val="24"/>
                <w:rFonts w:ascii="Times New Roman" w:hAnsi="Times New Roman"/>
              </w:rPr>
              <w:t xml:space="preserve">Por operación CCL se entenderá una combinación de dos operaciones: una entidad toma en préstamo valores de su titular y los cede en préstamo a un prestatario;</w:t>
            </w:r>
            <w:r>
              <w:rPr>
                <w:sz w:val="24"/>
                <w:rFonts w:ascii="Times New Roman" w:hAnsi="Times New Roman"/>
              </w:rPr>
              <w:t xml:space="preserve"> </w:t>
            </w:r>
            <w:r>
              <w:rPr>
                <w:sz w:val="24"/>
                <w:rFonts w:ascii="Times New Roman" w:hAnsi="Times New Roman"/>
              </w:rPr>
              <w:t xml:space="preserve">simultáneamente, la entidad recibe garantías reales en efectivo del prestatario y cede en préstamo ese efectivo al titular de los valores.</w:t>
            </w:r>
            <w:r>
              <w:rPr>
                <w:sz w:val="24"/>
                <w:rFonts w:ascii="Times New Roman" w:hAnsi="Times New Roman"/>
              </w:rPr>
              <w:t xml:space="preserve"> </w:t>
            </w:r>
            <w:r>
              <w:rPr>
                <w:sz w:val="24"/>
                <w:rFonts w:ascii="Times New Roman" w:hAnsi="Times New Roman"/>
              </w:rPr>
              <w:t xml:space="preserve">Toda operación CCL admisible deberá cumplir las siguientes condiciones:</w:t>
            </w:r>
          </w:p>
          <w:p w14:paraId="2544528C" w14:textId="77777777" w:rsidR="00410E47" w:rsidRPr="000B66BC" w:rsidRDefault="00500508" w:rsidP="000B66BC">
            <w:pPr>
              <w:pStyle w:val="Paragraph"/>
              <w:spacing w:after="240"/>
              <w:ind w:left="794" w:hanging="794"/>
              <w:rPr>
                <w:color w:val="000000"/>
                <w:sz w:val="24"/>
                <w:szCs w:val="24"/>
                <w:rFonts w:ascii="Times New Roman" w:hAnsi="Times New Roman"/>
              </w:rPr>
            </w:pPr>
            <w:r>
              <w:rPr>
                <w:color w:val="000000"/>
                <w:sz w:val="24"/>
                <w:rFonts w:ascii="Times New Roman" w:hAnsi="Times New Roman"/>
              </w:rPr>
              <w:t xml:space="preserve">a)</w:t>
            </w:r>
            <w:r>
              <w:rPr>
                <w:color w:val="000000"/>
                <w:sz w:val="24"/>
                <w:rFonts w:ascii="Times New Roman" w:hAnsi="Times New Roman"/>
              </w:rPr>
              <w:tab/>
            </w:r>
            <w:r>
              <w:rPr>
                <w:color w:val="000000"/>
                <w:sz w:val="24"/>
                <w:rFonts w:ascii="Times New Roman" w:hAnsi="Times New Roman"/>
              </w:rPr>
              <w:t xml:space="preserve">las dos operaciones que la componen deben realizarse en la misma fecha o, en el caso de operaciones internacionales, en días laborables consecutivos;</w:t>
            </w:r>
          </w:p>
          <w:p w14:paraId="491F9748" w14:textId="77777777" w:rsidR="00410E47" w:rsidRPr="000B66BC" w:rsidRDefault="00500508" w:rsidP="000B66BC">
            <w:pPr>
              <w:pStyle w:val="Paragraph"/>
              <w:spacing w:after="240"/>
              <w:ind w:left="794" w:hanging="794"/>
              <w:rPr>
                <w:color w:val="000000"/>
                <w:sz w:val="24"/>
                <w:szCs w:val="24"/>
                <w:rFonts w:ascii="Times New Roman" w:hAnsi="Times New Roman"/>
              </w:rPr>
            </w:pPr>
            <w:r>
              <w:rPr>
                <w:color w:val="000000"/>
                <w:sz w:val="24"/>
                <w:rFonts w:ascii="Times New Roman" w:hAnsi="Times New Roman"/>
              </w:rPr>
              <w:t xml:space="preserve">b)</w:t>
            </w:r>
            <w:r>
              <w:rPr>
                <w:color w:val="000000"/>
                <w:sz w:val="24"/>
                <w:rFonts w:ascii="Times New Roman" w:hAnsi="Times New Roman"/>
              </w:rPr>
              <w:tab/>
            </w:r>
            <w:r>
              <w:rPr>
                <w:color w:val="000000"/>
                <w:sz w:val="24"/>
                <w:rFonts w:ascii="Times New Roman" w:hAnsi="Times New Roman"/>
              </w:rPr>
              <w:t xml:space="preserve">en caso de que las operaciones que la componen no especifiquen un vencimiento, la entidad tendrá derecho legal a cancelar ambas partes de la operación CCL, en cualquier momento y sin previo aviso;</w:t>
            </w:r>
          </w:p>
          <w:p w14:paraId="5BFB7780" w14:textId="77777777" w:rsidR="00410E47" w:rsidRPr="000B66BC" w:rsidRDefault="00500508" w:rsidP="000B66BC">
            <w:pPr>
              <w:pStyle w:val="Paragraph"/>
              <w:spacing w:after="240"/>
              <w:ind w:left="794" w:hanging="794"/>
              <w:rPr>
                <w:color w:val="000000"/>
                <w:sz w:val="24"/>
                <w:szCs w:val="24"/>
                <w:rFonts w:ascii="Times New Roman" w:hAnsi="Times New Roman"/>
              </w:rPr>
            </w:pPr>
            <w:r>
              <w:rPr>
                <w:color w:val="000000"/>
                <w:sz w:val="24"/>
                <w:rFonts w:ascii="Times New Roman" w:hAnsi="Times New Roman"/>
              </w:rPr>
              <w:t xml:space="preserve">c)</w:t>
            </w:r>
            <w:r>
              <w:rPr>
                <w:color w:val="000000"/>
                <w:sz w:val="24"/>
                <w:rFonts w:ascii="Times New Roman" w:hAnsi="Times New Roman"/>
              </w:rPr>
              <w:tab/>
            </w:r>
            <w:r>
              <w:rPr>
                <w:color w:val="000000"/>
                <w:sz w:val="24"/>
                <w:rFonts w:ascii="Times New Roman" w:hAnsi="Times New Roman"/>
              </w:rPr>
              <w:t xml:space="preserve">en caso de que las operaciones que la componen especifiquen un vencimiento, la operación CCL no debe dar lugar a un desfase de vencimientos para la entidad;</w:t>
            </w:r>
            <w:r>
              <w:rPr>
                <w:color w:val="000000"/>
                <w:sz w:val="24"/>
                <w:rFonts w:ascii="Times New Roman" w:hAnsi="Times New Roman"/>
              </w:rPr>
              <w:t xml:space="preserve"> </w:t>
            </w:r>
            <w:r>
              <w:rPr>
                <w:color w:val="000000"/>
                <w:sz w:val="24"/>
                <w:rFonts w:ascii="Times New Roman" w:hAnsi="Times New Roman"/>
              </w:rPr>
              <w:t xml:space="preserve">esta tendrá derecho legal a cancelar ambas partes de la operación CCL, en cualquier momento y sin previo aviso;</w:t>
            </w:r>
          </w:p>
          <w:p w14:paraId="62CD2905" w14:textId="1AEDC3DC" w:rsidR="00410E47" w:rsidRPr="000B66BC" w:rsidRDefault="00500508" w:rsidP="000B66BC">
            <w:pPr>
              <w:pStyle w:val="Paragraph"/>
              <w:spacing w:after="240"/>
              <w:ind w:left="794" w:hanging="794"/>
              <w:rPr>
                <w:b/>
                <w:bCs/>
                <w:sz w:val="24"/>
                <w:szCs w:val="24"/>
                <w:rFonts w:ascii="Times New Roman" w:hAnsi="Times New Roman"/>
              </w:rPr>
            </w:pPr>
            <w:r>
              <w:rPr>
                <w:sz w:val="24"/>
                <w:rFonts w:ascii="Times New Roman" w:hAnsi="Times New Roman"/>
              </w:rPr>
              <w:t xml:space="preserve">d)</w:t>
            </w:r>
            <w:r>
              <w:rPr>
                <w:sz w:val="24"/>
                <w:rFonts w:ascii="Times New Roman" w:hAnsi="Times New Roman"/>
              </w:rPr>
              <w:tab/>
            </w:r>
            <w:r>
              <w:rPr>
                <w:sz w:val="24"/>
                <w:rFonts w:ascii="Times New Roman" w:hAnsi="Times New Roman"/>
              </w:rPr>
              <w:t xml:space="preserve">la operación no debe dar lugar a ninguna exposición adicional.</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bCs/>
                <w:sz w:val="24"/>
                <w:szCs w:val="24"/>
                <w:rFonts w:ascii="Times New Roman" w:hAnsi="Times New Roman"/>
              </w:rPr>
            </w:pPr>
            <w:bookmarkStart w:id="57" w:name="_Toc322687882"/>
            <w:bookmarkEnd w:id="52"/>
            <w:r>
              <w:rPr>
                <w:sz w:val="24"/>
                <w:rFonts w:ascii="Times New Roman" w:hAnsi="Times New Roman"/>
              </w:rPr>
              <w:t xml:space="preserve">{0270;0010}</w:t>
            </w:r>
          </w:p>
        </w:tc>
        <w:tc>
          <w:tcPr>
            <w:tcW w:w="7620" w:type="dxa"/>
          </w:tcPr>
          <w:p w14:paraId="056E429E" w14:textId="1C4A54EB" w:rsidR="00142881" w:rsidRPr="000B66BC" w:rsidRDefault="00142881"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Inversiones del sector público — Créditos frente a administraciones centrales — Valor contable según balance</w:t>
            </w:r>
          </w:p>
          <w:p w14:paraId="62173A01" w14:textId="7BC7EE77" w:rsidR="00474B43" w:rsidRDefault="00142881"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administraciones centrales en relación con inversiones del sector público, cuando la entidad sea una entidad pública de crédito al desarrollo.</w:t>
            </w:r>
            <w:r>
              <w:rPr>
                <w:sz w:val="24"/>
                <w:rFonts w:ascii="Times New Roman" w:hAnsi="Times New Roman"/>
              </w:rPr>
              <w:t xml:space="preserve"> </w:t>
            </w:r>
          </w:p>
          <w:p w14:paraId="4B86F17F" w14:textId="318E21E8" w:rsidR="00142881" w:rsidRPr="000B66BC" w:rsidRDefault="007A5EF2" w:rsidP="000B66BC">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bCs/>
                <w:sz w:val="24"/>
                <w:szCs w:val="24"/>
                <w:rFonts w:ascii="Times New Roman" w:hAnsi="Times New Roman"/>
              </w:rPr>
            </w:pPr>
            <w:r>
              <w:rPr>
                <w:sz w:val="24"/>
                <w:rFonts w:ascii="Times New Roman" w:hAnsi="Times New Roman"/>
              </w:rPr>
              <w:t xml:space="preserve">{0280;0010}</w:t>
            </w:r>
          </w:p>
        </w:tc>
        <w:tc>
          <w:tcPr>
            <w:tcW w:w="7620" w:type="dxa"/>
          </w:tcPr>
          <w:p w14:paraId="64975C56" w14:textId="4DD757EC" w:rsidR="00142881" w:rsidRPr="000B66BC" w:rsidRDefault="00142881"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Inversiones del sector público — Créditos frente a administraciones regionales — Valor contable según balance</w:t>
            </w:r>
          </w:p>
          <w:p w14:paraId="13E2AB70" w14:textId="21F74962" w:rsidR="006E4F4E" w:rsidRDefault="00142881" w:rsidP="000B66BC">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administraciones regionales en relación con inversiones del sector público, cuando la entidad sea una entidad pública de crédito al desarrollo.</w:t>
            </w:r>
            <w:r>
              <w:rPr>
                <w:sz w:val="24"/>
                <w:rFonts w:ascii="Times New Roman" w:hAnsi="Times New Roman"/>
              </w:rPr>
              <w:t xml:space="preserve"> </w:t>
            </w:r>
          </w:p>
          <w:p w14:paraId="440096C8" w14:textId="4D2E5EED" w:rsidR="00142881" w:rsidRPr="000B66BC" w:rsidRDefault="007A5EF2" w:rsidP="006E4F4E">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bCs/>
                <w:sz w:val="24"/>
                <w:szCs w:val="24"/>
                <w:rFonts w:ascii="Times New Roman" w:hAnsi="Times New Roman"/>
              </w:rPr>
            </w:pPr>
            <w:r>
              <w:rPr>
                <w:sz w:val="24"/>
                <w:rFonts w:ascii="Times New Roman" w:hAnsi="Times New Roman"/>
              </w:rPr>
              <w:t xml:space="preserve">{0290;0010}</w:t>
            </w:r>
          </w:p>
        </w:tc>
        <w:tc>
          <w:tcPr>
            <w:tcW w:w="7620" w:type="dxa"/>
          </w:tcPr>
          <w:p w14:paraId="4E12A671" w14:textId="20EE5DA6" w:rsidR="00142881" w:rsidRPr="000B66BC" w:rsidRDefault="00142881"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Inversiones del sector público — Créditos frente a autoridades locales — Valor contable según balance</w:t>
            </w:r>
          </w:p>
          <w:p w14:paraId="1993F59B" w14:textId="77777777" w:rsidR="006E4F4E" w:rsidRDefault="00142881" w:rsidP="000B66BC">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autoridades locales en relación con inversiones del sector público, cuando la entidad sea una entidad pública de crédito al desarrollo.</w:t>
            </w:r>
          </w:p>
          <w:p w14:paraId="3AEC5523" w14:textId="32E213BF" w:rsidR="00142881" w:rsidRPr="000B66BC" w:rsidRDefault="007A5EF2" w:rsidP="006E4F4E">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bCs/>
                <w:sz w:val="24"/>
                <w:szCs w:val="24"/>
                <w:rFonts w:ascii="Times New Roman" w:hAnsi="Times New Roman"/>
              </w:rPr>
            </w:pPr>
            <w:r>
              <w:rPr>
                <w:sz w:val="24"/>
                <w:rFonts w:ascii="Times New Roman" w:hAnsi="Times New Roman"/>
              </w:rPr>
              <w:t xml:space="preserve">{0300;0010}</w:t>
            </w:r>
          </w:p>
        </w:tc>
        <w:tc>
          <w:tcPr>
            <w:tcW w:w="7620" w:type="dxa"/>
          </w:tcPr>
          <w:p w14:paraId="00BE052E" w14:textId="3ADFA117" w:rsidR="00142881" w:rsidRPr="000B66BC" w:rsidRDefault="00142881"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Inversiones del sector público — Créditos frente a entes del sector público — Valor contable según balance</w:t>
            </w:r>
          </w:p>
          <w:p w14:paraId="4C818D07" w14:textId="23446733" w:rsidR="006E4F4E" w:rsidRDefault="00142881" w:rsidP="000B66BC">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entes del sector público en relación con inversiones del sector público, cuando la entidad sea una entidad pública de crédito al desarrollo.</w:t>
            </w:r>
          </w:p>
          <w:p w14:paraId="7115C598" w14:textId="32973285" w:rsidR="00142881" w:rsidRPr="000B66BC" w:rsidRDefault="007A5EF2" w:rsidP="006E4F4E">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bCs/>
                <w:sz w:val="24"/>
                <w:szCs w:val="24"/>
                <w:rFonts w:ascii="Times New Roman" w:hAnsi="Times New Roman"/>
              </w:rPr>
            </w:pPr>
            <w:r>
              <w:rPr>
                <w:sz w:val="24"/>
                <w:rFonts w:ascii="Times New Roman" w:hAnsi="Times New Roman"/>
              </w:rPr>
              <w:t xml:space="preserve">{0310;0010}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Préstamos promocionales — Créditos frente a administraciones centrales — Valor contable según balance</w:t>
            </w:r>
          </w:p>
          <w:p w14:paraId="23369FCD" w14:textId="74E86023" w:rsidR="006E4F4E" w:rsidRDefault="00D126C3" w:rsidP="000B66BC">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administraciones centrales en relación con préstamos promocionales, cuando la entidad sea una entidad pública de crédito al desarrollo.</w:t>
            </w:r>
            <w:r>
              <w:rPr>
                <w:sz w:val="24"/>
                <w:rFonts w:ascii="Times New Roman" w:hAnsi="Times New Roman"/>
              </w:rPr>
              <w:t xml:space="preserve"> </w:t>
            </w:r>
          </w:p>
          <w:p w14:paraId="57D9B72D" w14:textId="5104929D" w:rsidR="00D126C3" w:rsidRPr="000B66BC" w:rsidRDefault="00D126C3" w:rsidP="006E4F4E">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la unidad de una entidad a la que una</w:t>
            </w:r>
            <w:r>
              <w:rPr>
                <w:sz w:val="24"/>
                <w:b/>
                <w:rFonts w:ascii="Times New Roman" w:hAnsi="Times New Roman"/>
              </w:rPr>
              <w:t xml:space="preserve"> </w:t>
            </w:r>
            <w:r>
              <w:rPr>
                <w:sz w:val="24"/>
                <w:rFonts w:ascii="Times New Roman" w:hAnsi="Times New Roman"/>
              </w:rPr>
              <w:t xml:space="preserve">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bCs/>
                <w:sz w:val="24"/>
                <w:szCs w:val="24"/>
                <w:rFonts w:ascii="Times New Roman" w:hAnsi="Times New Roman"/>
              </w:rPr>
            </w:pPr>
            <w:r>
              <w:rPr>
                <w:sz w:val="24"/>
                <w:rFonts w:ascii="Times New Roman" w:hAnsi="Times New Roman"/>
              </w:rPr>
              <w:t xml:space="preserve">{0310;0070}</w:t>
            </w:r>
          </w:p>
        </w:tc>
        <w:tc>
          <w:tcPr>
            <w:tcW w:w="7620" w:type="dxa"/>
          </w:tcPr>
          <w:p w14:paraId="63C478B7" w14:textId="76F217EB" w:rsidR="001E5A9A" w:rsidRPr="000B66BC" w:rsidRDefault="001E5A9A"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Préstamos promocionales — Créditos frente a administraciones centrales — Importe nocional/valor nominal</w:t>
            </w:r>
          </w:p>
          <w:p w14:paraId="7A0E36C1" w14:textId="77777777" w:rsidR="006E4F4E" w:rsidRDefault="001E5A9A"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nominal de partidas fuera de balance en relación con la parte no utilizada de préstamos promocionales concedidos a</w:t>
            </w:r>
            <w:r>
              <w:rPr>
                <w:sz w:val="24"/>
              </w:rPr>
              <w:t xml:space="preserve"> </w:t>
            </w:r>
            <w:r>
              <w:rPr>
                <w:sz w:val="24"/>
                <w:rFonts w:ascii="Times New Roman" w:hAnsi="Times New Roman"/>
              </w:rPr>
              <w:t xml:space="preserve">administraciones centrales, cuando la entidad sea una entidad pública de crédito al desarrollo.</w:t>
            </w:r>
          </w:p>
          <w:p w14:paraId="60CCF55C" w14:textId="65935CC3" w:rsidR="001E5A9A" w:rsidRPr="000B66BC" w:rsidRDefault="001E5A9A" w:rsidP="006E4F4E">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importes nominales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bCs/>
                <w:sz w:val="24"/>
                <w:szCs w:val="24"/>
                <w:rFonts w:ascii="Times New Roman" w:hAnsi="Times New Roman"/>
              </w:rPr>
            </w:pPr>
            <w:r>
              <w:rPr>
                <w:sz w:val="24"/>
                <w:rFonts w:ascii="Times New Roman" w:hAnsi="Times New Roman"/>
              </w:rPr>
              <w:t xml:space="preserve">{0320;0010}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Préstamos promocionales — Créditos frente a administraciones regionales — Valor contable según balance</w:t>
            </w:r>
          </w:p>
          <w:p w14:paraId="23DFAEA6" w14:textId="77777777" w:rsidR="006E4F4E" w:rsidRDefault="00D126C3" w:rsidP="006E4F4E">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administraciones regionales en relación con préstamos promocionales, cuando la entidad sea una entidad pública de crédito al desarrollo.</w:t>
            </w:r>
          </w:p>
          <w:p w14:paraId="5822DF0E" w14:textId="16DA8EF0" w:rsidR="00D126C3" w:rsidRPr="000B66BC" w:rsidRDefault="00D126C3" w:rsidP="006918E9">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bCs/>
                <w:sz w:val="24"/>
                <w:szCs w:val="24"/>
                <w:rFonts w:ascii="Times New Roman" w:hAnsi="Times New Roman"/>
              </w:rPr>
            </w:pPr>
            <w:r>
              <w:rPr>
                <w:sz w:val="24"/>
                <w:rFonts w:ascii="Times New Roman" w:hAnsi="Times New Roman"/>
              </w:rPr>
              <w:t xml:space="preserve">{0320;0070}</w:t>
            </w:r>
          </w:p>
        </w:tc>
        <w:tc>
          <w:tcPr>
            <w:tcW w:w="7620" w:type="dxa"/>
          </w:tcPr>
          <w:p w14:paraId="5C83E384" w14:textId="76BED22D" w:rsidR="001943A2" w:rsidRPr="000B66BC" w:rsidRDefault="001943A2"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Préstamos promocionales — Créditos frente a administraciones regionales — Importe nocional/valor nominal</w:t>
            </w:r>
          </w:p>
          <w:p w14:paraId="645C841D" w14:textId="1E4EDCB5" w:rsidR="006918E9" w:rsidRDefault="001943A2"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nominal de partidas fuera de balance en relación con la parte no utilizada de préstamos promocionales concedidos a</w:t>
            </w:r>
            <w:r>
              <w:rPr>
                <w:sz w:val="24"/>
              </w:rPr>
              <w:t xml:space="preserve"> </w:t>
            </w:r>
            <w:r>
              <w:rPr>
                <w:sz w:val="24"/>
                <w:rFonts w:ascii="Times New Roman" w:hAnsi="Times New Roman"/>
              </w:rPr>
              <w:t xml:space="preserve">administraciones regionales, cuando la entidad sea una entidad pública de crédito al desarrollo.</w:t>
            </w:r>
          </w:p>
          <w:p w14:paraId="2D66318A" w14:textId="19721B69" w:rsidR="000A486B" w:rsidRPr="000B66BC" w:rsidRDefault="001943A2" w:rsidP="006918E9">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importes nominales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bCs/>
                <w:sz w:val="24"/>
                <w:szCs w:val="24"/>
                <w:rFonts w:ascii="Times New Roman" w:hAnsi="Times New Roman"/>
              </w:rPr>
            </w:pPr>
            <w:r>
              <w:rPr>
                <w:sz w:val="24"/>
                <w:rFonts w:ascii="Times New Roman" w:hAnsi="Times New Roman"/>
              </w:rPr>
              <w:t xml:space="preserve">{0330;0010}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Préstamos promocionales — Créditos frente a autoridades locales — Valor contable según balance</w:t>
            </w:r>
          </w:p>
          <w:p w14:paraId="04327041" w14:textId="6CF71B42" w:rsidR="006918E9" w:rsidRDefault="00D126C3" w:rsidP="000B66BC">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autoridades locales en relación con préstamos promocionales, cuando la entidad sea una entidad pública de crédito al desarrollo.</w:t>
            </w:r>
          </w:p>
          <w:p w14:paraId="3B5B1EC0" w14:textId="304F0DBC" w:rsidR="00D126C3" w:rsidRPr="000B66BC" w:rsidRDefault="00D126C3" w:rsidP="006918E9">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bCs/>
                <w:sz w:val="24"/>
                <w:szCs w:val="24"/>
                <w:rFonts w:ascii="Times New Roman" w:hAnsi="Times New Roman"/>
              </w:rPr>
            </w:pPr>
            <w:r>
              <w:rPr>
                <w:sz w:val="24"/>
                <w:rFonts w:ascii="Times New Roman" w:hAnsi="Times New Roman"/>
              </w:rPr>
              <w:t xml:space="preserve">{0330;0070}</w:t>
            </w:r>
          </w:p>
        </w:tc>
        <w:tc>
          <w:tcPr>
            <w:tcW w:w="7620" w:type="dxa"/>
          </w:tcPr>
          <w:p w14:paraId="0211D136" w14:textId="747BD7FE" w:rsidR="001943A2" w:rsidRPr="000B66BC" w:rsidRDefault="001943A2"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Préstamos promocionales — Créditos frente a autoridades locales — Importe nocional/valor nominal</w:t>
            </w:r>
          </w:p>
          <w:p w14:paraId="38BCF0DC" w14:textId="6D975688" w:rsidR="006918E9" w:rsidRDefault="001943A2"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nominal de partidas fuera de balance en relación con la parte no utilizada de préstamos promocionales concedidos a</w:t>
            </w:r>
            <w:r>
              <w:rPr>
                <w:sz w:val="24"/>
              </w:rPr>
              <w:t xml:space="preserve"> </w:t>
            </w:r>
            <w:r>
              <w:rPr>
                <w:sz w:val="24"/>
                <w:rFonts w:ascii="Times New Roman" w:hAnsi="Times New Roman"/>
              </w:rPr>
              <w:t xml:space="preserve">autoridades locales, cuando la entidad sea una entidad pública de crédito al desarrollo.</w:t>
            </w:r>
          </w:p>
          <w:p w14:paraId="4054A803" w14:textId="7D1F66F0" w:rsidR="001943A2" w:rsidRPr="000B66BC" w:rsidRDefault="001943A2" w:rsidP="000B66BC">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importes nominales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bCs/>
                <w:sz w:val="24"/>
                <w:szCs w:val="24"/>
                <w:rFonts w:ascii="Times New Roman" w:hAnsi="Times New Roman"/>
              </w:rPr>
            </w:pPr>
            <w:r>
              <w:rPr>
                <w:sz w:val="24"/>
                <w:rFonts w:ascii="Times New Roman" w:hAnsi="Times New Roman"/>
              </w:rPr>
              <w:t xml:space="preserve">{0340;0010}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Préstamos promocionales — Créditos frente a entes del sector público — Valor contable según balance</w:t>
            </w:r>
          </w:p>
          <w:p w14:paraId="01C18437" w14:textId="77777777" w:rsidR="006918E9" w:rsidRDefault="00D126C3" w:rsidP="006918E9">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entes del sector público en relación con préstamos promocionales, cuando la entidad sea una entidad pública de crédito al desarrollo.</w:t>
            </w:r>
          </w:p>
          <w:p w14:paraId="271873F2" w14:textId="69D63A33" w:rsidR="00D126C3" w:rsidRPr="000B66BC" w:rsidRDefault="00D126C3" w:rsidP="006918E9">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bCs/>
                <w:sz w:val="24"/>
                <w:szCs w:val="24"/>
                <w:rFonts w:ascii="Times New Roman" w:hAnsi="Times New Roman"/>
              </w:rPr>
            </w:pPr>
            <w:r>
              <w:rPr>
                <w:sz w:val="24"/>
                <w:rFonts w:ascii="Times New Roman" w:hAnsi="Times New Roman"/>
              </w:rPr>
              <w:t xml:space="preserve">{0340;0070}</w:t>
            </w:r>
          </w:p>
        </w:tc>
        <w:tc>
          <w:tcPr>
            <w:tcW w:w="7620" w:type="dxa"/>
          </w:tcPr>
          <w:p w14:paraId="6383FA4C" w14:textId="78CEFFA7" w:rsidR="001943A2" w:rsidRPr="000B66BC" w:rsidRDefault="001943A2"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Préstamos promocionales — Créditos frente a entes del sector público — Importe nocional/valor nominal</w:t>
            </w:r>
          </w:p>
          <w:p w14:paraId="5C047141" w14:textId="77777777" w:rsidR="006918E9" w:rsidRDefault="001943A2" w:rsidP="006918E9">
            <w:pPr>
              <w:pStyle w:val="BodyText1"/>
              <w:spacing w:after="240" w:line="240" w:lineRule="auto"/>
              <w:rPr>
                <w:bCs/>
                <w:sz w:val="24"/>
                <w:szCs w:val="24"/>
                <w:rFonts w:ascii="Times New Roman" w:hAnsi="Times New Roman"/>
              </w:rPr>
            </w:pPr>
            <w:r>
              <w:rPr>
                <w:sz w:val="24"/>
                <w:rFonts w:ascii="Times New Roman" w:hAnsi="Times New Roman"/>
              </w:rPr>
              <w:t xml:space="preserve">Importe nominal de partidas fuera de balance en relación con la parte no utilizada de préstamos promocionales concedidos a</w:t>
            </w:r>
            <w:r>
              <w:rPr>
                <w:sz w:val="24"/>
              </w:rPr>
              <w:t xml:space="preserve"> </w:t>
            </w:r>
            <w:r>
              <w:rPr>
                <w:sz w:val="24"/>
                <w:rFonts w:ascii="Times New Roman" w:hAnsi="Times New Roman"/>
              </w:rPr>
              <w:t xml:space="preserve">entes del sector público, cuando la entidad sea una entidad pública de crédito al desarrollo</w:t>
            </w:r>
          </w:p>
          <w:p w14:paraId="28AF0C76" w14:textId="43B760BA" w:rsidR="001943A2" w:rsidRPr="000B66BC" w:rsidRDefault="001943A2" w:rsidP="006918E9">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importes nominales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bCs/>
                <w:sz w:val="24"/>
                <w:szCs w:val="24"/>
                <w:rFonts w:ascii="Times New Roman" w:hAnsi="Times New Roman"/>
              </w:rPr>
            </w:pPr>
            <w:r>
              <w:rPr>
                <w:sz w:val="24"/>
                <w:rFonts w:ascii="Times New Roman" w:hAnsi="Times New Roman"/>
              </w:rPr>
              <w:t xml:space="preserve">{0350;0010}</w:t>
            </w:r>
          </w:p>
        </w:tc>
        <w:tc>
          <w:tcPr>
            <w:tcW w:w="7620" w:type="dxa"/>
          </w:tcPr>
          <w:p w14:paraId="3CAFC6DC" w14:textId="096127A3" w:rsidR="00462408" w:rsidRPr="000B66BC" w:rsidRDefault="00462408"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Préstamos promocionales — Créditos frente a sociedades no financieras — Valor contable según balance</w:t>
            </w:r>
          </w:p>
          <w:p w14:paraId="38EC1D3F" w14:textId="77777777" w:rsidR="006918E9" w:rsidRDefault="00462408" w:rsidP="006918E9">
            <w:pPr>
              <w:pStyle w:val="BodyText1"/>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sociedades no financieras en relación con préstamos promocionales, cuando la entidad sea una entidad pública de crédito al desarrollo.</w:t>
            </w:r>
          </w:p>
          <w:p w14:paraId="6BF179ED" w14:textId="2C4CB2A0" w:rsidR="00462408" w:rsidRPr="000B66BC" w:rsidRDefault="00462408" w:rsidP="006918E9">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bCs/>
                <w:sz w:val="24"/>
                <w:szCs w:val="24"/>
                <w:rFonts w:ascii="Times New Roman" w:hAnsi="Times New Roman"/>
              </w:rPr>
            </w:pPr>
            <w:r>
              <w:rPr>
                <w:sz w:val="24"/>
                <w:rFonts w:ascii="Times New Roman" w:hAnsi="Times New Roman"/>
              </w:rPr>
              <w:t xml:space="preserve">{0350;0070}</w:t>
            </w:r>
          </w:p>
        </w:tc>
        <w:tc>
          <w:tcPr>
            <w:tcW w:w="7620" w:type="dxa"/>
          </w:tcPr>
          <w:p w14:paraId="26540368" w14:textId="2C1D23F7" w:rsidR="00A7136D" w:rsidRPr="000B66BC" w:rsidRDefault="00A7136D"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Préstamos promocionales — Créditos frente a sociedades no financieras — Importe nocional/valor nominal</w:t>
            </w:r>
          </w:p>
          <w:p w14:paraId="054BF407" w14:textId="212AEBBD" w:rsidR="00A7136D" w:rsidRPr="000B66BC" w:rsidRDefault="00A7136D"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nominal de partidas fuera de balance en relación con la parte no utilizada de préstamos promocionales concedidos a</w:t>
            </w:r>
            <w:r>
              <w:rPr>
                <w:sz w:val="24"/>
              </w:rPr>
              <w:t xml:space="preserve"> </w:t>
            </w:r>
            <w:r>
              <w:rPr>
                <w:sz w:val="24"/>
                <w:rFonts w:ascii="Times New Roman" w:hAnsi="Times New Roman"/>
              </w:rPr>
              <w:t xml:space="preserve">sociedades no financieras, cuando la entidad sea una entidad pública de crédito al desarrollo.</w:t>
            </w:r>
          </w:p>
          <w:p w14:paraId="41A92F44" w14:textId="7D39B959" w:rsidR="00A7136D" w:rsidRPr="000B66BC" w:rsidRDefault="00A7136D" w:rsidP="006918E9">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importes nominales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bCs/>
                <w:sz w:val="24"/>
                <w:szCs w:val="24"/>
                <w:rFonts w:ascii="Times New Roman" w:hAnsi="Times New Roman"/>
              </w:rPr>
            </w:pPr>
            <w:r>
              <w:rPr>
                <w:sz w:val="24"/>
                <w:rFonts w:ascii="Times New Roman" w:hAnsi="Times New Roman"/>
              </w:rPr>
              <w:t xml:space="preserve">{0360;0010}</w:t>
            </w:r>
          </w:p>
        </w:tc>
        <w:tc>
          <w:tcPr>
            <w:tcW w:w="7620" w:type="dxa"/>
          </w:tcPr>
          <w:p w14:paraId="1C554FC7" w14:textId="1F3CBF52" w:rsidR="00462408" w:rsidRPr="000B66BC" w:rsidRDefault="00462408"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Préstamos promocionales — Créditos frente a hogares — Valor contable según balance</w:t>
            </w:r>
          </w:p>
          <w:p w14:paraId="55D67008" w14:textId="77777777" w:rsidR="006918E9" w:rsidRDefault="00462408" w:rsidP="006918E9">
            <w:pPr>
              <w:pStyle w:val="BodyText1"/>
              <w:spacing w:after="240" w:line="240" w:lineRule="auto"/>
              <w:rPr>
                <w:bCs/>
                <w:sz w:val="24"/>
                <w:szCs w:val="24"/>
                <w:rFonts w:ascii="Times New Roman" w:hAnsi="Times New Roman"/>
              </w:rPr>
            </w:pPr>
            <w:r>
              <w:rPr>
                <w:sz w:val="24"/>
                <w:rFonts w:ascii="Times New Roman" w:hAnsi="Times New Roman"/>
              </w:rPr>
              <w:t xml:space="preserve">Valor contable según balance, con arreglo al marco contable aplicable, de los activos que constituyan créditos frente a hogares en relación con préstamos promocionales, cuando la entidad sea una entidad pública de crédito al desarrollo.</w:t>
            </w:r>
          </w:p>
          <w:p w14:paraId="77B96BEE" w14:textId="794E8F25" w:rsidR="00462408" w:rsidRPr="000B66BC" w:rsidRDefault="00462408" w:rsidP="006918E9">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bCs/>
                <w:sz w:val="24"/>
                <w:szCs w:val="24"/>
                <w:rFonts w:ascii="Times New Roman" w:hAnsi="Times New Roman"/>
              </w:rPr>
            </w:pPr>
            <w:r>
              <w:rPr>
                <w:sz w:val="24"/>
                <w:rFonts w:ascii="Times New Roman" w:hAnsi="Times New Roman"/>
              </w:rPr>
              <w:t xml:space="preserve">{0360;0070}</w:t>
            </w:r>
          </w:p>
        </w:tc>
        <w:tc>
          <w:tcPr>
            <w:tcW w:w="7620" w:type="dxa"/>
          </w:tcPr>
          <w:p w14:paraId="5FFB5CC5" w14:textId="0AFA9088" w:rsidR="00D126C3" w:rsidRPr="000B66BC" w:rsidRDefault="00D126C3" w:rsidP="000B66BC">
            <w:pPr>
              <w:pStyle w:val="BodyText1"/>
              <w:tabs>
                <w:tab w:val="left" w:pos="4755"/>
              </w:tabs>
              <w:spacing w:after="240" w:line="240" w:lineRule="auto"/>
              <w:rPr>
                <w:color w:val="auto"/>
                <w:sz w:val="24"/>
                <w:szCs w:val="24"/>
                <w:rFonts w:ascii="Times New Roman" w:hAnsi="Times New Roman"/>
              </w:rPr>
            </w:pPr>
            <w:r>
              <w:rPr>
                <w:b/>
                <w:sz w:val="24"/>
                <w:rFonts w:ascii="Times New Roman" w:hAnsi="Times New Roman"/>
              </w:rPr>
              <w:t xml:space="preserve">Préstamos promocionales — Créditos frente a hogares — Importe nocional/valor nominal</w:t>
            </w:r>
          </w:p>
          <w:p w14:paraId="5C098B17" w14:textId="561EFEA4" w:rsidR="00D126C3" w:rsidRPr="000B66BC" w:rsidRDefault="00D126C3"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nominal de partidas fuera de balance en relación con la parte no utilizada de préstamos promocionales concedidos a</w:t>
            </w:r>
            <w:r>
              <w:rPr>
                <w:sz w:val="24"/>
              </w:rPr>
              <w:t xml:space="preserve"> </w:t>
            </w:r>
            <w:r>
              <w:rPr>
                <w:sz w:val="24"/>
                <w:rFonts w:ascii="Times New Roman" w:hAnsi="Times New Roman"/>
              </w:rPr>
              <w:t xml:space="preserve">hogares, cuando la entidad sea una entidad pública de crédito al desarrollo.</w:t>
            </w:r>
          </w:p>
          <w:p w14:paraId="635041B3" w14:textId="7B16BC5F" w:rsidR="00D126C3" w:rsidRPr="000B66BC" w:rsidRDefault="00D126C3" w:rsidP="006918E9">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importes nominales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bCs/>
                <w:sz w:val="24"/>
                <w:szCs w:val="24"/>
                <w:rFonts w:ascii="Times New Roman" w:hAnsi="Times New Roman"/>
              </w:rPr>
            </w:pPr>
            <w:r>
              <w:rPr>
                <w:sz w:val="24"/>
                <w:rFonts w:ascii="Times New Roman" w:hAnsi="Times New Roman"/>
              </w:rPr>
              <w:t xml:space="preserve">{0370;0010}</w:t>
            </w:r>
          </w:p>
        </w:tc>
        <w:tc>
          <w:tcPr>
            <w:tcW w:w="7620" w:type="dxa"/>
          </w:tcPr>
          <w:p w14:paraId="3F005630" w14:textId="77777777" w:rsidR="00462408" w:rsidRPr="000B66BC" w:rsidRDefault="00462408" w:rsidP="000B66BC">
            <w:pPr>
              <w:pStyle w:val="BodyText1"/>
              <w:tabs>
                <w:tab w:val="left" w:pos="4755"/>
              </w:tabs>
              <w:spacing w:after="240" w:line="240" w:lineRule="auto"/>
              <w:rPr>
                <w:b/>
                <w:bCs/>
                <w:sz w:val="24"/>
                <w:szCs w:val="24"/>
                <w:rFonts w:ascii="Times New Roman" w:hAnsi="Times New Roman"/>
              </w:rPr>
            </w:pPr>
            <w:r>
              <w:rPr>
                <w:sz w:val="24"/>
                <w:b/>
                <w:rFonts w:ascii="Times New Roman" w:hAnsi="Times New Roman"/>
              </w:rPr>
              <w:t xml:space="preserve">Préstamos promocionales — Subrogación —</w:t>
            </w:r>
            <w:r>
              <w:rPr>
                <w:sz w:val="24"/>
              </w:rPr>
              <w:t xml:space="preserve"> </w:t>
            </w:r>
            <w:r>
              <w:rPr>
                <w:sz w:val="24"/>
                <w:b/>
                <w:rFonts w:ascii="Times New Roman" w:hAnsi="Times New Roman"/>
              </w:rPr>
              <w:t xml:space="preserve">Valor contable según balance</w:t>
            </w:r>
          </w:p>
          <w:p w14:paraId="77AE875C" w14:textId="77777777" w:rsidR="006918E9" w:rsidRDefault="00462408" w:rsidP="006918E9">
            <w:pPr>
              <w:pStyle w:val="BodyText1"/>
              <w:spacing w:after="240" w:line="240" w:lineRule="auto"/>
              <w:rPr>
                <w:color w:val="auto"/>
                <w:sz w:val="24"/>
                <w:szCs w:val="24"/>
                <w:rFonts w:ascii="Times New Roman" w:hAnsi="Times New Roman"/>
              </w:rPr>
            </w:pPr>
            <w:r>
              <w:rPr>
                <w:sz w:val="24"/>
                <w:rFonts w:ascii="Times New Roman" w:hAnsi="Times New Roman"/>
              </w:rPr>
              <w:t xml:space="preserve">Valor contable </w:t>
            </w:r>
            <w:r>
              <w:rPr>
                <w:sz w:val="24"/>
                <w:color w:val="auto"/>
                <w:rFonts w:ascii="Times New Roman" w:hAnsi="Times New Roman"/>
              </w:rPr>
              <w:t xml:space="preserve">según </w:t>
            </w:r>
            <w:r>
              <w:rPr>
                <w:sz w:val="24"/>
                <w:rFonts w:ascii="Times New Roman" w:hAnsi="Times New Roman"/>
              </w:rPr>
              <w:t xml:space="preserve">balance, con arreglo al marco contable aplicable,</w:t>
            </w:r>
            <w:r>
              <w:rPr>
                <w:sz w:val="24"/>
                <w:color w:val="auto"/>
                <w:rFonts w:ascii="Times New Roman" w:hAnsi="Times New Roman"/>
              </w:rPr>
              <w:t xml:space="preserve"> de préstamos promocionales subrogados, cuando los préstamos promocionales no hayan sido concedidos por la propia entidad y esta sea una entidad pública de crédito al desarrollo.</w:t>
            </w:r>
          </w:p>
          <w:p w14:paraId="13D74794" w14:textId="2A0E0A51" w:rsidR="00462408" w:rsidRPr="000B66BC" w:rsidRDefault="00462408" w:rsidP="006918E9">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bCs/>
                <w:sz w:val="24"/>
                <w:szCs w:val="24"/>
                <w:highlight w:val="yellow"/>
                <w:rFonts w:ascii="Times New Roman" w:hAnsi="Times New Roman"/>
              </w:rPr>
            </w:pPr>
            <w:r>
              <w:rPr>
                <w:sz w:val="24"/>
                <w:rFonts w:ascii="Times New Roman" w:hAnsi="Times New Roman"/>
              </w:rPr>
              <w:t xml:space="preserve">{0370;0070}</w:t>
            </w:r>
          </w:p>
        </w:tc>
        <w:tc>
          <w:tcPr>
            <w:tcW w:w="7620" w:type="dxa"/>
          </w:tcPr>
          <w:p w14:paraId="0CA54233" w14:textId="2370225D" w:rsidR="004A107B" w:rsidRPr="000B66BC" w:rsidRDefault="004A107B" w:rsidP="000B66BC">
            <w:pPr>
              <w:pStyle w:val="BodyText1"/>
              <w:tabs>
                <w:tab w:val="left" w:pos="4755"/>
              </w:tabs>
              <w:spacing w:after="240" w:line="240" w:lineRule="auto"/>
              <w:rPr>
                <w:b/>
                <w:bCs/>
                <w:sz w:val="24"/>
                <w:szCs w:val="24"/>
                <w:rFonts w:ascii="Times New Roman" w:hAnsi="Times New Roman"/>
              </w:rPr>
            </w:pPr>
            <w:r>
              <w:rPr>
                <w:sz w:val="24"/>
                <w:b/>
                <w:rFonts w:ascii="Times New Roman" w:hAnsi="Times New Roman"/>
              </w:rPr>
              <w:t xml:space="preserve">Préstamos promocionales — Subrogación —</w:t>
            </w:r>
            <w:r>
              <w:rPr>
                <w:sz w:val="24"/>
              </w:rPr>
              <w:t xml:space="preserve"> </w:t>
            </w:r>
            <w:r>
              <w:rPr>
                <w:sz w:val="24"/>
                <w:b/>
                <w:rFonts w:ascii="Times New Roman" w:hAnsi="Times New Roman"/>
              </w:rPr>
              <w:t xml:space="preserve">Importe nocional/valor nominal</w:t>
            </w:r>
          </w:p>
          <w:p w14:paraId="67DCF513" w14:textId="77777777" w:rsidR="006918E9" w:rsidRDefault="004A107B" w:rsidP="006918E9">
            <w:pPr>
              <w:pStyle w:val="BodyText1"/>
              <w:spacing w:after="240" w:line="240" w:lineRule="auto"/>
              <w:rPr>
                <w:color w:val="auto"/>
                <w:sz w:val="24"/>
                <w:szCs w:val="24"/>
                <w:rFonts w:ascii="Times New Roman" w:hAnsi="Times New Roman"/>
              </w:rPr>
            </w:pPr>
            <w:r>
              <w:rPr>
                <w:sz w:val="24"/>
                <w:rFonts w:ascii="Times New Roman" w:hAnsi="Times New Roman"/>
              </w:rPr>
              <w:t xml:space="preserve">Importe nominal </w:t>
            </w:r>
            <w:r>
              <w:rPr>
                <w:sz w:val="24"/>
                <w:color w:val="auto"/>
                <w:rFonts w:ascii="Times New Roman" w:hAnsi="Times New Roman"/>
              </w:rPr>
              <w:t xml:space="preserve">de </w:t>
            </w:r>
            <w:r>
              <w:rPr>
                <w:sz w:val="24"/>
                <w:rFonts w:ascii="Times New Roman" w:hAnsi="Times New Roman"/>
              </w:rPr>
              <w:t xml:space="preserve">partidas fuera de balance, en relación con la parte no utilizada</w:t>
            </w:r>
            <w:r>
              <w:rPr>
                <w:sz w:val="24"/>
                <w:color w:val="auto"/>
                <w:rFonts w:ascii="Times New Roman" w:hAnsi="Times New Roman"/>
              </w:rPr>
              <w:t xml:space="preserve"> de préstamos promocionales subrogados, cuando los préstamos promocionales no hayan sido concedidos por la propia entidad y esta sea una entidad pública de crédito al desarrollo.</w:t>
            </w:r>
          </w:p>
          <w:p w14:paraId="75F9BF76" w14:textId="0F97AE35" w:rsidR="004A107B" w:rsidRPr="000B66BC" w:rsidRDefault="0033642B" w:rsidP="006918E9">
            <w:pPr>
              <w:pStyle w:val="BodyText1"/>
              <w:spacing w:after="240" w:line="240" w:lineRule="auto"/>
              <w:rPr>
                <w:b/>
                <w:bCs/>
                <w:sz w:val="24"/>
                <w:szCs w:val="24"/>
                <w:rFonts w:ascii="Times New Roman" w:hAnsi="Times New Roman"/>
              </w:rPr>
            </w:pPr>
            <w:r>
              <w:rPr>
                <w:sz w:val="24"/>
                <w:rFonts w:ascii="Times New Roman" w:hAnsi="Times New Roman"/>
              </w:rPr>
              <w:t xml:space="preserve">También se tendrán en cuenta los importes nominales de la unidad de una entidad a la que una autoridad competente trate como entidad pública de crédito al desarrollo de conformidad con el último párrafo del artículo 429 </w:t>
            </w:r>
            <w:r>
              <w:rPr>
                <w:sz w:val="24"/>
                <w:i/>
                <w:rFonts w:ascii="Times New Roman" w:hAnsi="Times New Roman"/>
              </w:rPr>
              <w:t xml:space="preserve">bis</w:t>
            </w:r>
            <w:r>
              <w:rPr>
                <w:sz w:val="24"/>
                <w:rFonts w:ascii="Times New Roman" w:hAnsi="Times New Roman"/>
              </w:rPr>
              <w:t xml:space="preserve">, apartado 2.</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bCs/>
                <w:sz w:val="24"/>
                <w:szCs w:val="24"/>
                <w:rFonts w:ascii="Times New Roman" w:hAnsi="Times New Roman"/>
              </w:rPr>
            </w:pPr>
            <w:r>
              <w:rPr>
                <w:sz w:val="24"/>
                <w:rFonts w:ascii="Times New Roman" w:hAnsi="Times New Roman"/>
              </w:rPr>
              <w:t xml:space="preserve">{0380;0010}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b/>
                <w:bCs/>
                <w:sz w:val="24"/>
                <w:szCs w:val="24"/>
                <w:rFonts w:ascii="Times New Roman" w:hAnsi="Times New Roman"/>
              </w:rPr>
            </w:pPr>
            <w:r>
              <w:rPr>
                <w:sz w:val="24"/>
                <w:b/>
                <w:rFonts w:ascii="Times New Roman" w:hAnsi="Times New Roman"/>
              </w:rPr>
              <w:t xml:space="preserve">Exposiciones frente a bancos centrales —</w:t>
            </w:r>
            <w:r>
              <w:rPr>
                <w:sz w:val="24"/>
              </w:rPr>
              <w:t xml:space="preserve"> </w:t>
            </w:r>
            <w:r>
              <w:rPr>
                <w:sz w:val="24"/>
                <w:b/>
                <w:rFonts w:ascii="Times New Roman" w:hAnsi="Times New Roman"/>
              </w:rPr>
              <w:t xml:space="preserve">Valor contable según balance</w:t>
            </w:r>
          </w:p>
          <w:p w14:paraId="68FD6F4B" w14:textId="013AB044" w:rsidR="007F3838" w:rsidRPr="000B66BC" w:rsidRDefault="007F3838" w:rsidP="000B66BC">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Las entidades comunicará, con arreglo al marco contable aplicable, el valor de las siguientes exposiciones frente al banco central de la entidad:</w:t>
            </w:r>
            <w:r>
              <w:rPr>
                <w:sz w:val="24"/>
                <w:rFonts w:ascii="Times New Roman" w:hAnsi="Times New Roman"/>
              </w:rPr>
              <w:t xml:space="preserve"> </w:t>
            </w:r>
            <w:r>
              <w:rPr>
                <w:sz w:val="24"/>
                <w:rFonts w:ascii="Times New Roman" w:hAnsi="Times New Roman"/>
              </w:rPr>
              <w:t xml:space="preserve">i) las monedas y los billetes de curso legal en la jurisdicción del banco central; ii) activos que representan créditos frente al banco central, incluidas las reservas en el banco central.</w:t>
            </w:r>
          </w:p>
          <w:p w14:paraId="6DEE1984" w14:textId="4388DF7E" w:rsidR="009F67E9" w:rsidRPr="000B66BC" w:rsidRDefault="007F3838" w:rsidP="000B66BC">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Las entidades incluirán únicamente exposiciones que cumplan las dos condiciones siguientes:</w:t>
            </w:r>
            <w:r>
              <w:rPr>
                <w:sz w:val="24"/>
                <w:rFonts w:ascii="Times New Roman" w:hAnsi="Times New Roman"/>
              </w:rPr>
              <w:t xml:space="preserve"> </w:t>
            </w:r>
            <w:r>
              <w:rPr>
                <w:sz w:val="24"/>
                <w:rFonts w:ascii="Times New Roman" w:hAnsi="Times New Roman"/>
              </w:rPr>
              <w:t xml:space="preserve">a) estarán denominadas en la misma divisa que los depósitos de la entidad; b) su vencimiento medio no superará significativamente el de los depósitos de la entidad.</w:t>
            </w:r>
          </w:p>
          <w:p w14:paraId="1572123D" w14:textId="79750841" w:rsidR="007F3838" w:rsidRPr="000B66BC" w:rsidRDefault="009F67E9"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comunicarán estas exposiciones con independencia de si están excluidas de la medida de la exposición total en virtud del artículo 429 </w:t>
            </w:r>
            <w:r>
              <w:rPr>
                <w:sz w:val="24"/>
                <w:i/>
                <w:iCs/>
                <w:rFonts w:ascii="Times New Roman" w:hAnsi="Times New Roman"/>
              </w:rPr>
              <w:t xml:space="preserve">bis</w:t>
            </w:r>
            <w:r>
              <w:rPr>
                <w:sz w:val="24"/>
                <w:rFonts w:ascii="Times New Roman" w:hAnsi="Times New Roman"/>
              </w:rPr>
              <w:t xml:space="preserve">, apartados 5 y 6, del Reglamento (UE) n.º 575/2013.</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bCs/>
                <w:sz w:val="24"/>
                <w:szCs w:val="24"/>
                <w:rFonts w:ascii="Times New Roman" w:hAnsi="Times New Roman"/>
              </w:rPr>
            </w:pPr>
            <w:r>
              <w:rPr>
                <w:sz w:val="24"/>
                <w:rFonts w:ascii="Times New Roman" w:hAnsi="Times New Roman"/>
              </w:rPr>
              <w:t xml:space="preserve">{0390;0140}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Valor de las exposiciones frente al banco central utilizado para calcular el requisito de ratio de apalancamiento ajustado mencionado en el artículo 429 </w:t>
            </w:r>
            <w:r>
              <w:rPr>
                <w:b/>
                <w:sz w:val="24"/>
                <w:i/>
                <w:rFonts w:ascii="Times New Roman" w:hAnsi="Times New Roman"/>
              </w:rPr>
              <w:t xml:space="preserve">bis</w:t>
            </w:r>
            <w:r>
              <w:rPr>
                <w:b/>
                <w:sz w:val="24"/>
                <w:rFonts w:ascii="Times New Roman" w:hAnsi="Times New Roman"/>
              </w:rPr>
              <w:t xml:space="preserve">, apartado 7, del RRC — Importe de la exposición correspondiente a la ratio de apalancamiento</w:t>
            </w:r>
          </w:p>
          <w:p w14:paraId="0EDC2D5D" w14:textId="0F8FC5EF" w:rsidR="00DD51E7" w:rsidRPr="000B66BC" w:rsidRDefault="00DD51E7" w:rsidP="000B66BC">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Valor total medio diario de las exposiciones de la entidad frente a su banco central,</w:t>
            </w:r>
            <w:r>
              <w:rPr>
                <w:sz w:val="24"/>
              </w:rPr>
              <w:t xml:space="preserve"> </w:t>
            </w:r>
            <w:r>
              <w:rPr>
                <w:sz w:val="24"/>
                <w:rFonts w:ascii="Times New Roman" w:hAnsi="Times New Roman"/>
              </w:rPr>
              <w:t xml:space="preserve">calculado durante todo el período de mantenimiento de reservas del banco central inmediatamente anterior a la fecha mencionada en el artículo 429 </w:t>
            </w:r>
            <w:r>
              <w:rPr>
                <w:sz w:val="24"/>
                <w:i/>
                <w:iCs/>
                <w:rFonts w:ascii="Times New Roman" w:hAnsi="Times New Roman"/>
              </w:rPr>
              <w:t xml:space="preserve">bis</w:t>
            </w:r>
            <w:r>
              <w:rPr>
                <w:sz w:val="24"/>
                <w:rFonts w:ascii="Times New Roman" w:hAnsi="Times New Roman"/>
              </w:rPr>
              <w:t xml:space="preserve">, apartado 5, letra c), del Reglamento (UE) n.º 575/2013, que se pueda excluir de conformidad con el artículo 429 </w:t>
            </w:r>
            <w:r>
              <w:rPr>
                <w:sz w:val="24"/>
                <w:i/>
                <w:iCs/>
                <w:rFonts w:ascii="Times New Roman" w:hAnsi="Times New Roman"/>
              </w:rPr>
              <w:t xml:space="preserve">bis</w:t>
            </w:r>
            <w:r>
              <w:rPr>
                <w:sz w:val="24"/>
                <w:rFonts w:ascii="Times New Roman" w:hAnsi="Times New Roman"/>
              </w:rPr>
              <w:t xml:space="preserve">, apartado 1, letra n), del mismo Reglamento.</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bCs/>
                <w:sz w:val="24"/>
                <w:szCs w:val="24"/>
                <w:rFonts w:ascii="Times New Roman" w:hAnsi="Times New Roman"/>
              </w:rPr>
            </w:pPr>
            <w:r>
              <w:rPr>
                <w:sz w:val="24"/>
                <w:rFonts w:ascii="Times New Roman" w:hAnsi="Times New Roman"/>
              </w:rPr>
              <w:t xml:space="preserve">{0400;0140}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Medida de la exposición correspondiente a la ratio de apalancamiento usada para el cálculo del requisito de ratio de apalancamiento ajustado mencionado en el artículo 429 </w:t>
            </w:r>
            <w:r>
              <w:rPr>
                <w:b/>
                <w:sz w:val="24"/>
                <w:i/>
                <w:rFonts w:ascii="Times New Roman" w:hAnsi="Times New Roman"/>
              </w:rPr>
              <w:t xml:space="preserve">bis</w:t>
            </w:r>
            <w:r>
              <w:rPr>
                <w:b/>
                <w:sz w:val="24"/>
                <w:rFonts w:ascii="Times New Roman" w:hAnsi="Times New Roman"/>
              </w:rPr>
              <w:t xml:space="preserve">, apartado 7, del RRC — Importe de la exposición correspondiente a la ratio de apalancamiento</w:t>
            </w:r>
          </w:p>
          <w:p w14:paraId="7F49B2B2" w14:textId="6908FD98" w:rsidR="000A486B" w:rsidRPr="000B66BC" w:rsidRDefault="00DD51E7" w:rsidP="006918E9">
            <w:pPr>
              <w:pStyle w:val="BodyText1"/>
              <w:tabs>
                <w:tab w:val="left" w:pos="4755"/>
              </w:tabs>
              <w:spacing w:after="240" w:line="240" w:lineRule="auto"/>
              <w:rPr>
                <w:b/>
                <w:bCs/>
                <w:sz w:val="24"/>
                <w:szCs w:val="24"/>
                <w:rFonts w:ascii="Times New Roman" w:hAnsi="Times New Roman"/>
              </w:rPr>
            </w:pPr>
            <w:r>
              <w:rPr>
                <w:sz w:val="24"/>
                <w:rFonts w:ascii="Times New Roman" w:hAnsi="Times New Roman"/>
              </w:rPr>
              <w:t xml:space="preserve">La medida de la exposición total de la entidad, según la definición del artículo 429, apartado 4, del Reglamento (UE) n.º 575/2013, incluida toda exposición excluida en virtud del artículo 429, apartado 1, letra n), en la fecha establecida en el artículo 429 </w:t>
            </w:r>
            <w:r>
              <w:rPr>
                <w:sz w:val="24"/>
                <w:i/>
                <w:iCs/>
                <w:rFonts w:ascii="Times New Roman" w:hAnsi="Times New Roman"/>
              </w:rPr>
              <w:t xml:space="preserve">bis</w:t>
            </w:r>
            <w:r>
              <w:rPr>
                <w:sz w:val="24"/>
                <w:rFonts w:ascii="Times New Roman" w:hAnsi="Times New Roman"/>
              </w:rPr>
              <w:t xml:space="preserve">, apartado 5, letra c), de dicho Reglamento.</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bCs/>
                <w:sz w:val="24"/>
                <w:szCs w:val="24"/>
                <w:rFonts w:ascii="Times New Roman" w:hAnsi="Times New Roman"/>
              </w:rPr>
            </w:pPr>
            <w:r>
              <w:rPr>
                <w:sz w:val="24"/>
                <w:rFonts w:ascii="Times New Roman" w:hAnsi="Times New Roman"/>
              </w:rPr>
              <w:t xml:space="preserve">{0410;0010}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b/>
                <w:bCs/>
                <w:sz w:val="24"/>
                <w:szCs w:val="24"/>
                <w:rFonts w:ascii="Times New Roman" w:hAnsi="Times New Roman"/>
              </w:rPr>
            </w:pPr>
            <w:r>
              <w:rPr>
                <w:b/>
                <w:sz w:val="24"/>
                <w:rFonts w:ascii="Times New Roman" w:hAnsi="Times New Roman"/>
              </w:rPr>
              <w:t xml:space="preserve">Total activo</w:t>
            </w:r>
            <w:r>
              <w:rPr>
                <w:b/>
                <w:sz w:val="24"/>
                <w:rFonts w:ascii="Times New Roman" w:hAnsi="Times New Roman"/>
              </w:rPr>
              <w:t xml:space="preserve"> </w:t>
            </w:r>
          </w:p>
          <w:p w14:paraId="6B941506" w14:textId="67257FB8" w:rsidR="00086398" w:rsidRPr="000B66BC" w:rsidRDefault="000C01E8" w:rsidP="000B66BC">
            <w:pPr>
              <w:pStyle w:val="BodyText1"/>
              <w:tabs>
                <w:tab w:val="left" w:pos="4755"/>
              </w:tabs>
              <w:spacing w:after="240" w:line="240" w:lineRule="auto"/>
              <w:rPr>
                <w:bCs/>
                <w:sz w:val="24"/>
                <w:szCs w:val="24"/>
                <w:rFonts w:ascii="Times New Roman" w:hAnsi="Times New Roman"/>
              </w:rPr>
            </w:pPr>
            <w:r>
              <w:rPr>
                <w:sz w:val="24"/>
                <w:rFonts w:ascii="Times New Roman" w:hAnsi="Times New Roman"/>
              </w:rPr>
              <w:t xml:space="preserve">Las entidades comunicarán en esta partida los activos totales dentro del ámbito utilizado en los estados financieros publicados.</w:t>
            </w:r>
          </w:p>
        </w:tc>
      </w:tr>
    </w:tbl>
    <w:p w14:paraId="03B5554A" w14:textId="77777777" w:rsidR="00462408" w:rsidRPr="000B66BC" w:rsidRDefault="00462408" w:rsidP="000B66BC">
      <w:pPr>
        <w:pStyle w:val="BodyText1"/>
        <w:spacing w:after="240"/>
        <w:rPr>
          <w:b/>
          <w:sz w:val="24"/>
          <w:szCs w:val="24"/>
          <w:rFonts w:ascii="Times New Roman" w:hAnsi="Times New Roman"/>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b/>
          <w:sz w:val="24"/>
          <w:szCs w:val="24"/>
          <w:rFonts w:ascii="Times New Roman" w:hAnsi="Times New Roman"/>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52461754"/>
      <w:bookmarkStart w:id="73" w:name="_Toc322533879"/>
      <w:bookmarkEnd w:id="57"/>
      <w:bookmarkEnd w:id="65"/>
      <w:bookmarkEnd w:id="66"/>
      <w:bookmarkEnd w:id="67"/>
      <w:r>
        <w:rPr>
          <w:b/>
          <w:sz w:val="24"/>
          <w:rFonts w:ascii="Times New Roman" w:hAnsi="Times New Roman"/>
        </w:rPr>
        <w:t xml:space="preserve">5.</w:t>
      </w:r>
      <w:r>
        <w:rPr>
          <w:b/>
          <w:sz w:val="24"/>
          <w:rFonts w:ascii="Times New Roman" w:hAnsi="Times New Roman"/>
        </w:rPr>
        <w:tab/>
      </w:r>
      <w:r>
        <w:rPr>
          <w:b/>
          <w:sz w:val="24"/>
          <w:rFonts w:ascii="Times New Roman" w:hAnsi="Times New Roman"/>
        </w:rPr>
        <w:t xml:space="preserve">C 43.00 — Desglose alternativo de los componentes de la medida de la exposición correspondiente a la ratio de apalancamiento</w:t>
      </w:r>
      <w:bookmarkEnd w:id="68"/>
      <w:bookmarkEnd w:id="69"/>
      <w:bookmarkEnd w:id="70"/>
      <w:r>
        <w:rPr>
          <w:b/>
          <w:sz w:val="24"/>
          <w:rFonts w:ascii="Times New Roman" w:hAnsi="Times New Roman"/>
        </w:rPr>
        <w:t xml:space="preserve"> (LR4)</w:t>
      </w:r>
      <w:bookmarkEnd w:id="71"/>
      <w:bookmarkEnd w:id="72"/>
    </w:p>
    <w:p w14:paraId="28B96BA9" w14:textId="5AF52E0B" w:rsidR="004E437E" w:rsidRPr="000B66BC" w:rsidRDefault="00500508" w:rsidP="000B66BC">
      <w:pPr>
        <w:pStyle w:val="BodyText1"/>
        <w:spacing w:after="240"/>
        <w:ind w:left="720" w:hanging="360"/>
        <w:rPr>
          <w:sz w:val="24"/>
          <w:szCs w:val="24"/>
          <w:rFonts w:ascii="Times New Roman" w:hAnsi="Times New Roman"/>
        </w:rPr>
      </w:pPr>
      <w:r>
        <w:rPr>
          <w:sz w:val="24"/>
          <w:rFonts w:ascii="Times New Roman" w:hAnsi="Times New Roman"/>
        </w:rPr>
        <w:t xml:space="preserve">24.</w:t>
      </w:r>
      <w:r>
        <w:rPr>
          <w:sz w:val="24"/>
          <w:rFonts w:ascii="Times New Roman" w:hAnsi="Times New Roman"/>
        </w:rPr>
        <w:tab/>
      </w:r>
      <w:r>
        <w:rPr>
          <w:sz w:val="24"/>
          <w:rFonts w:ascii="Times New Roman" w:hAnsi="Times New Roman"/>
        </w:rPr>
        <w:t xml:space="preserve">Las entidades comunicarán los valores de exposición de la ratio de apalancamiento en LR4 tras la aplicación de las exclusiones y deducciones de la plantilla LRCalc, es decir, las partidas que tengan un signo negativo de conformidad con la convención sobre los signos del punto 9 de la parte I del presente anexo, con la excepción de las filas </w:t>
      </w:r>
      <w:r>
        <w:rPr>
          <w:sz w:val="24"/>
          <w:rFonts w:ascii="Times New Roman" w:hAnsi="Times New Roman"/>
        </w:rPr>
        <w:t xml:space="preserve">{0270;0010} {0280;0010}.</w:t>
      </w:r>
    </w:p>
    <w:p w14:paraId="69B9194E" w14:textId="636E268C" w:rsidR="00A54449" w:rsidRPr="000B66BC" w:rsidRDefault="00500508"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25.</w:t>
      </w:r>
      <w:r>
        <w:rPr>
          <w:sz w:val="24"/>
          <w:rFonts w:ascii="Times New Roman" w:hAnsi="Times New Roman"/>
        </w:rPr>
        <w:tab/>
      </w:r>
      <w:r>
        <w:rPr>
          <w:sz w:val="24"/>
          <w:rFonts w:ascii="Times New Roman" w:hAnsi="Times New Roman"/>
        </w:rPr>
        <w:t xml:space="preserve">Para evitar la doble contabilización, las entidades mantendrán la ecuación siguiente:</w:t>
      </w:r>
    </w:p>
    <w:p w14:paraId="6C63F05C" w14:textId="18F59633" w:rsidR="00F4754B" w:rsidRPr="000B66BC" w:rsidRDefault="00287E34"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La suma de todas las filas de {0010;</w:t>
      </w:r>
      <w:r>
        <w:rPr>
          <w:sz w:val="24"/>
          <w:rFonts w:ascii="Times New Roman" w:hAnsi="Times New Roman"/>
        </w:rPr>
        <w:t xml:space="preserve"> </w:t>
      </w:r>
      <w:r>
        <w:rPr>
          <w:sz w:val="24"/>
          <w:rFonts w:ascii="Times New Roman" w:hAnsi="Times New Roman"/>
        </w:rPr>
        <w:t xml:space="preserve">0010}</w:t>
      </w:r>
      <w:r>
        <w:rPr>
          <w:sz w:val="24"/>
          <w:rFonts w:ascii="Times New Roman" w:hAnsi="Times New Roman"/>
        </w:rPr>
        <w:t xml:space="preserve"> a </w:t>
      </w:r>
      <w:r>
        <w:rPr>
          <w:sz w:val="24"/>
          <w:rFonts w:ascii="Times New Roman" w:hAnsi="Times New Roman"/>
        </w:rPr>
        <w:t xml:space="preserve">{0269;</w:t>
      </w:r>
      <w:r>
        <w:rPr>
          <w:sz w:val="24"/>
          <w:rFonts w:ascii="Times New Roman" w:hAnsi="Times New Roman"/>
        </w:rPr>
        <w:t xml:space="preserve">0010}</w:t>
      </w:r>
      <w:r>
        <w:rPr>
          <w:sz w:val="24"/>
          <w:rFonts w:ascii="Times New Roman" w:hAnsi="Times New Roman"/>
        </w:rPr>
        <w:t xml:space="preserve"> en la plantilla LRCalc será igual a</w:t>
      </w:r>
      <w:r>
        <w:rPr>
          <w:sz w:val="24"/>
          <w:rFonts w:ascii="Times New Roman" w:hAnsi="Times New Roman"/>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sz w:val="24"/>
          <w:szCs w:val="24"/>
          <w:rFonts w:ascii="Times New Roman" w:hAnsi="Times New Roman"/>
        </w:rPr>
      </w:pPr>
      <w:r>
        <w:rPr>
          <w:sz w:val="24"/>
          <w:rFonts w:ascii="Times New Roman" w:hAnsi="Times New Roman"/>
        </w:rPr>
        <w:t xml:space="preserve">26.</w:t>
      </w:r>
      <w:r>
        <w:rPr>
          <w:sz w:val="24"/>
          <w:rFonts w:ascii="Times New Roman" w:hAnsi="Times New Roman"/>
        </w:rPr>
        <w:tab/>
      </w:r>
      <w:r>
        <w:rPr>
          <w:sz w:val="24"/>
          <w:rFonts w:ascii="Times New Roman" w:hAnsi="Times New Roman"/>
        </w:rPr>
        <w:t xml:space="preserve">Para que sean coherentes con los valores de la exposición correspondiente a la ratio de apalancamiento, los importes ponderados por riesgo de las exposiciones se comunicarán al completarse el proceso de introducción gradual.</w:t>
      </w:r>
      <w:r>
        <w:rPr>
          <w:sz w:val="24"/>
          <w:rFonts w:ascii="Times New Roman" w:hAnsi="Times New Roman"/>
        </w:rPr>
        <w:t xml:space="preserve"> </w:t>
      </w:r>
      <w:r>
        <w:rPr>
          <w:sz w:val="24"/>
          <w:rFonts w:ascii="Times New Roman" w:hAnsi="Times New Roman"/>
        </w:rPr>
        <w:t xml:space="preserve">Los ajustes debidos al suelo de los activos ponderados por riesgo no se tendrán en cuenta a efectos de esta plantilla.</w:t>
      </w:r>
      <w:r>
        <w:rPr>
          <w:sz w:val="24"/>
          <w:rFonts w:ascii="Times New Roman" w:hAnsi="Times New Roman"/>
        </w:rPr>
        <w:t xml:space="preserve"> </w:t>
      </w:r>
    </w:p>
    <w:p w14:paraId="794DC095" w14:textId="4A4B07F0" w:rsidR="003B1611" w:rsidRPr="000B66BC" w:rsidRDefault="003B1611" w:rsidP="000B66BC">
      <w:pPr>
        <w:pStyle w:val="BodyText1"/>
        <w:spacing w:after="240"/>
        <w:ind w:left="720" w:hanging="360"/>
        <w:rPr>
          <w:sz w:val="24"/>
          <w:szCs w:val="24"/>
          <w:rFonts w:ascii="Times New Roman" w:hAnsi="Times New Roman"/>
        </w:rPr>
      </w:pPr>
      <w:r>
        <w:rPr>
          <w:sz w:val="24"/>
          <w:rFonts w:ascii="Times New Roman" w:hAnsi="Times New Roman"/>
        </w:rPr>
        <w:t xml:space="preserve">27.</w:t>
      </w:r>
      <w:r>
        <w:rPr>
          <w:sz w:val="24"/>
          <w:rFonts w:ascii="Times New Roman" w:hAnsi="Times New Roman"/>
        </w:rPr>
        <w:t xml:space="preserve"> </w:t>
      </w:r>
      <w:r>
        <w:rPr>
          <w:sz w:val="24"/>
          <w:rFonts w:ascii="Times New Roman" w:hAnsi="Times New Roman"/>
        </w:rPr>
        <w:t xml:space="preserve">Las entidades comunicarán la contraparte con relación al importe de la exposición ponderada por riesgo (RWEA, por sus siglas en inglés) tras aplicación de técnicas de reducción del riesgo de crédito con efectos de sustitución.</w:t>
      </w:r>
      <w:r>
        <w:rPr>
          <w:sz w:val="24"/>
          <w:rFonts w:ascii="Times New Roman" w:hAnsi="Times New Roman"/>
        </w:rPr>
        <w:t xml:space="preserve"> </w:t>
      </w:r>
      <w:r>
        <w:rPr>
          <w:sz w:val="24"/>
          <w:rFonts w:ascii="Times New Roman" w:hAnsi="Times New Roman"/>
        </w:rPr>
        <w:t xml:space="preserve">Las entidades comunicarán la contraparte en relación con exposiciones correspondientes a la ratio de apalancamiento de acuerdo con la contraparte original, es decir, sin tener en cuenta ninguna CRM o efecto de sustitución aplicable al RWEA.</w:t>
      </w:r>
      <w:r>
        <w:rPr>
          <w:sz w:val="24"/>
          <w:rFonts w:ascii="Times New Roman" w:hAnsi="Times New Roman"/>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b/>
                <w:bCs/>
                <w:i/>
                <w:sz w:val="24"/>
                <w:szCs w:val="24"/>
                <w:rFonts w:ascii="Times New Roman" w:hAnsi="Times New Roman"/>
              </w:rPr>
            </w:pPr>
            <w:r>
              <w:rPr>
                <w:b/>
                <w:sz w:val="24"/>
                <w:rFonts w:ascii="Times New Roman" w:hAnsi="Times New Roman"/>
              </w:rPr>
              <w:t xml:space="preserve">Fila y columna</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b/>
                <w:bCs/>
                <w:i/>
                <w:sz w:val="24"/>
                <w:szCs w:val="24"/>
                <w:rFonts w:ascii="Times New Roman" w:hAnsi="Times New Roman"/>
              </w:rPr>
            </w:pPr>
            <w:r>
              <w:rPr>
                <w:b/>
                <w:sz w:val="24"/>
                <w:rFonts w:ascii="Times New Roman" w:hAnsi="Times New Roman"/>
              </w:rPr>
              <w:t xml:space="preserve">Referencias legales e instrucciones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{0010;0010}</w:t>
            </w:r>
          </w:p>
        </w:tc>
        <w:tc>
          <w:tcPr>
            <w:tcW w:w="7406" w:type="dxa"/>
            <w:shd w:val="clear" w:color="auto" w:fill="FFFFFF"/>
          </w:tcPr>
          <w:p w14:paraId="1750A9AE" w14:textId="2B686C42" w:rsidR="00F4754B"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Partidas fuera de balance — Valor de exposición correspondiente a la ratio de apalancamiento</w:t>
            </w:r>
          </w:p>
          <w:p w14:paraId="158DBAF4" w14:textId="1A1A8F2F" w:rsidR="002509B1"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calculado como la suma de {LRCalc;0150;0010}, {LRCalc;0160;0010}, {LRCalc;0165;0010} {LRCalc;0170;0010} y {LRCalc;0180;0010}, con exclusión de las respectivas exposiciones intragrupo (en base individual) excluidas conforme al artículo 429 </w:t>
            </w:r>
            <w:r>
              <w:rPr>
                <w:sz w:val="24"/>
                <w:i/>
                <w:iCs/>
                <w:rFonts w:ascii="Times New Roman" w:hAnsi="Times New Roman"/>
              </w:rPr>
              <w:t xml:space="preserve">bis</w:t>
            </w:r>
            <w:r>
              <w:rPr>
                <w:sz w:val="24"/>
                <w:rFonts w:ascii="Times New Roman" w:hAnsi="Times New Roman"/>
              </w:rPr>
              <w:t xml:space="preserve">, apartado 1, letras c) y c </w:t>
            </w:r>
            <w:r>
              <w:rPr>
                <w:sz w:val="24"/>
                <w:i/>
                <w:iCs/>
                <w:rFonts w:ascii="Times New Roman" w:hAnsi="Times New Roman"/>
              </w:rPr>
              <w:t xml:space="preserve">bis</w:t>
            </w:r>
            <w:r>
              <w:rPr>
                <w:sz w:val="24"/>
                <w:rFonts w:ascii="Times New Roman" w:hAnsi="Times New Roman"/>
              </w:rPr>
              <w:t xml:space="preserve">), del Reglamento (UE) n.º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{0010;0020}</w:t>
            </w:r>
          </w:p>
        </w:tc>
        <w:tc>
          <w:tcPr>
            <w:tcW w:w="7406" w:type="dxa"/>
            <w:shd w:val="clear" w:color="auto" w:fill="FFFFFF"/>
          </w:tcPr>
          <w:p w14:paraId="01D12FD7" w14:textId="094E74CB" w:rsidR="00F4754B"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Partidas fuera de balance — RWEA</w:t>
            </w:r>
          </w:p>
          <w:p w14:paraId="672047D9" w14:textId="29F80B05"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Importe de la exposición ponderada por riesgo de las partidas fuera de balance —excluidas las SFT y los derivados— calculado de conformidad con el método estándar y el método IRB.</w:t>
            </w:r>
            <w:r>
              <w:rPr>
                <w:sz w:val="24"/>
                <w:rFonts w:ascii="Times New Roman" w:hAnsi="Times New Roman"/>
              </w:rPr>
              <w:t xml:space="preserve"> </w:t>
            </w:r>
            <w:r>
              <w:rPr>
                <w:sz w:val="24"/>
                <w:rFonts w:ascii="Times New Roman" w:hAnsi="Times New Roman"/>
              </w:rPr>
              <w:t xml:space="preserve">En las exposiciones valoradas por el método estándar, las entidades determinarán el importe de la exposición ponderada por riesgo con arreglo a lo dispuesto en la parte tercera, título II, capítulo 2, del Reglamento (UE) n.º 575/2013.</w:t>
            </w:r>
            <w:r>
              <w:rPr>
                <w:sz w:val="24"/>
                <w:rFonts w:ascii="Times New Roman" w:hAnsi="Times New Roman"/>
              </w:rPr>
              <w:t xml:space="preserve"> </w:t>
            </w:r>
            <w:r>
              <w:rPr>
                <w:sz w:val="24"/>
                <w:rFonts w:ascii="Times New Roman" w:hAnsi="Times New Roman"/>
              </w:rPr>
              <w:t xml:space="preserve">En las exposiciones valoradas por el método IRB, las entidades determinarán el importe de la exposición ponderada por riesgo con arreglo a lo dispuesto en la parte tercera, título II, capítulo 3, del Reglamento (UE) n.º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{0020;0010}</w:t>
            </w:r>
          </w:p>
        </w:tc>
        <w:tc>
          <w:tcPr>
            <w:tcW w:w="7406" w:type="dxa"/>
            <w:shd w:val="clear" w:color="auto" w:fill="FFFFFF"/>
          </w:tcPr>
          <w:p w14:paraId="08539F0E" w14:textId="34DD4FEA" w:rsidR="00F4754B" w:rsidRPr="000B66BC" w:rsidRDefault="005E7B7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Financiación comercial</w:t>
            </w:r>
            <w:r>
              <w:rPr>
                <w:b/>
                <w:sz w:val="24"/>
                <w:rFonts w:ascii="Times New Roman" w:hAnsi="Times New Roman"/>
              </w:rPr>
              <w:t xml:space="preserve"> — Valor de exposición correspondiente a la ratio de apalancamiento</w:t>
            </w:r>
          </w:p>
          <w:p w14:paraId="645ACACC" w14:textId="77777777" w:rsidR="00F21A85" w:rsidRDefault="00F4754B" w:rsidP="00F21A85">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las partidas fuera de balance relacionadas con la financiación comercial.</w:t>
            </w:r>
          </w:p>
          <w:p w14:paraId="133382BF" w14:textId="754E9FF1" w:rsidR="002509B1" w:rsidRPr="000B66BC" w:rsidRDefault="00F4754B" w:rsidP="00F21A85">
            <w:pPr>
              <w:pStyle w:val="BodyText1"/>
              <w:spacing w:after="240" w:line="240" w:lineRule="auto"/>
              <w:rPr>
                <w:bCs/>
                <w:sz w:val="24"/>
                <w:szCs w:val="24"/>
                <w:rFonts w:ascii="Times New Roman" w:hAnsi="Times New Roman"/>
              </w:rPr>
            </w:pPr>
            <w:r>
              <w:rPr>
                <w:sz w:val="24"/>
                <w:rFonts w:ascii="Times New Roman" w:hAnsi="Times New Roman"/>
              </w:rPr>
              <w:t xml:space="preserve">A efectos de la comunicación en LR4, se considerarán partidas fuera de balance relacionadas con la financiación comercial las referidas a cartas de crédito de importación y exportación emitidas y confirmadas, que sean a corto plazo y autoliquidables, y las operaciones similares.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{0020;0020}</w:t>
            </w:r>
          </w:p>
        </w:tc>
        <w:tc>
          <w:tcPr>
            <w:tcW w:w="7406" w:type="dxa"/>
            <w:shd w:val="clear" w:color="auto" w:fill="FFFFFF"/>
          </w:tcPr>
          <w:p w14:paraId="249BC5D0" w14:textId="48587F9F" w:rsidR="002509B1" w:rsidRPr="000B66BC" w:rsidRDefault="005E7B7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Financiación comercial — RWEA</w:t>
            </w:r>
          </w:p>
          <w:p w14:paraId="6D7F09A8" w14:textId="77777777" w:rsidR="006918E9" w:rsidRDefault="00F4754B" w:rsidP="006918E9">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las partidas fuera de balance —excluidas las SFT y los derivados— relacionadas con la financiación comercial.</w:t>
            </w:r>
          </w:p>
          <w:p w14:paraId="38C84AEF" w14:textId="78316124" w:rsidR="002509B1" w:rsidRPr="000B66BC" w:rsidRDefault="00F4754B" w:rsidP="00F21A85">
            <w:pPr>
              <w:pStyle w:val="BodyText1"/>
              <w:spacing w:after="240" w:line="240" w:lineRule="auto"/>
              <w:rPr>
                <w:b/>
                <w:bCs/>
                <w:sz w:val="24"/>
                <w:szCs w:val="24"/>
                <w:u w:val="single"/>
                <w:rFonts w:ascii="Times New Roman" w:hAnsi="Times New Roman"/>
              </w:rPr>
            </w:pPr>
            <w:r>
              <w:rPr>
                <w:sz w:val="24"/>
                <w:rFonts w:ascii="Times New Roman" w:hAnsi="Times New Roman"/>
              </w:rPr>
              <w:t xml:space="preserve">A efectos de la comunicación en LR4, se considerarán partidas fuera de balance relacionadas con la financiación comercial las referidas a cartas de crédito de importación y exportación emitidas y confirmadas, que sean a corto plazo y autoliquidables, y las operaciones similares.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{0030;0010}</w:t>
            </w:r>
          </w:p>
        </w:tc>
        <w:tc>
          <w:tcPr>
            <w:tcW w:w="7406" w:type="dxa"/>
            <w:shd w:val="clear" w:color="auto" w:fill="FFFFFF"/>
          </w:tcPr>
          <w:p w14:paraId="48F51CF2" w14:textId="4EB6A65B" w:rsidR="002509B1" w:rsidRPr="000B66BC" w:rsidRDefault="005E7B7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 cual:</w:t>
            </w:r>
            <w:r>
              <w:rPr>
                <w:b/>
                <w:sz w:val="24"/>
                <w:rFonts w:ascii="Times New Roman" w:hAnsi="Times New Roman"/>
              </w:rPr>
              <w:t xml:space="preserve"> </w:t>
            </w:r>
            <w:r>
              <w:rPr>
                <w:b/>
                <w:sz w:val="24"/>
                <w:rFonts w:ascii="Times New Roman" w:hAnsi="Times New Roman"/>
              </w:rPr>
              <w:t xml:space="preserve">En el marco de un seguro oficial de crédito a la exportación </w:t>
            </w:r>
            <w:r>
              <w:rPr>
                <w:b/>
                <w:sz w:val="24"/>
                <w:rFonts w:ascii="Times New Roman" w:hAnsi="Times New Roman"/>
              </w:rPr>
              <w:t xml:space="preserve">— Valor de exposición correspondiente a la ratio de apalancamiento</w:t>
            </w:r>
          </w:p>
          <w:p w14:paraId="6B70A020" w14:textId="3C72A663" w:rsidR="001F28E7" w:rsidRPr="000B66BC" w:rsidRDefault="00F4754B" w:rsidP="000B66BC">
            <w:pPr>
              <w:pStyle w:val="BodyText1"/>
              <w:spacing w:after="240" w:line="240" w:lineRule="auto"/>
              <w:rPr>
                <w:sz w:val="24"/>
                <w:szCs w:val="24"/>
                <w:rFonts w:ascii="Times New Roman" w:hAnsi="Times New Roman"/>
              </w:rPr>
            </w:pPr>
            <w:r>
              <w:rPr>
                <w:sz w:val="24"/>
                <w:rFonts w:ascii="Times New Roman" w:hAnsi="Times New Roman"/>
              </w:rPr>
              <w:t xml:space="preserve">Valor de exposición correspondiente a la ratio de apalancamiento</w:t>
            </w:r>
            <w:r>
              <w:rPr>
                <w:sz w:val="24"/>
                <w:b/>
                <w:rFonts w:ascii="Times New Roman" w:hAnsi="Times New Roman"/>
              </w:rPr>
              <w:t xml:space="preserve"> </w:t>
            </w:r>
            <w:r>
              <w:rPr>
                <w:sz w:val="24"/>
                <w:rFonts w:ascii="Times New Roman" w:hAnsi="Times New Roman"/>
              </w:rPr>
              <w:t xml:space="preserve">de las partidas fuera de balance relacionadas con la financiación comercial en el marco de un sistema oficial de seguro de crédito a la exportación.</w:t>
            </w:r>
          </w:p>
          <w:p w14:paraId="71BE2A86" w14:textId="52B3D7F7"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A efectos de la comunicación en LR4, se considerará sistema oficial </w:t>
            </w:r>
            <w:r>
              <w:rPr>
                <w:sz w:val="24"/>
                <w:rFonts w:ascii="Times New Roman" w:hAnsi="Times New Roman"/>
              </w:rPr>
              <w:t xml:space="preserve">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{0030;0020}</w:t>
            </w:r>
          </w:p>
        </w:tc>
        <w:tc>
          <w:tcPr>
            <w:tcW w:w="7406" w:type="dxa"/>
            <w:shd w:val="clear" w:color="auto" w:fill="FFFFFF"/>
          </w:tcPr>
          <w:p w14:paraId="071CF42C" w14:textId="4BD5D1B3" w:rsidR="00F4754B" w:rsidRPr="000B66BC" w:rsidRDefault="005E7B7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 cual:</w:t>
            </w:r>
            <w:r>
              <w:rPr>
                <w:b/>
                <w:sz w:val="24"/>
                <w:rFonts w:ascii="Times New Roman" w:hAnsi="Times New Roman"/>
              </w:rPr>
              <w:t xml:space="preserve"> </w:t>
            </w:r>
            <w:r>
              <w:rPr>
                <w:b/>
                <w:sz w:val="24"/>
                <w:rFonts w:ascii="Times New Roman" w:hAnsi="Times New Roman"/>
              </w:rPr>
              <w:t xml:space="preserve">En el marco de un sistema oficial de seguro de crédito a la exportación — RWEA</w:t>
            </w:r>
          </w:p>
          <w:p w14:paraId="0E7BC811" w14:textId="6F1A953F" w:rsidR="001F28E7" w:rsidRPr="000B66BC" w:rsidRDefault="00F4754B" w:rsidP="000B66BC">
            <w:pPr>
              <w:pStyle w:val="BodyText1"/>
              <w:spacing w:after="240" w:line="240" w:lineRule="auto"/>
              <w:rPr>
                <w:sz w:val="24"/>
                <w:szCs w:val="24"/>
                <w:rFonts w:ascii="Times New Roman" w:hAnsi="Times New Roman"/>
              </w:rPr>
            </w:pPr>
            <w:r>
              <w:rPr>
                <w:sz w:val="24"/>
                <w:rFonts w:ascii="Times New Roman" w:hAnsi="Times New Roman"/>
              </w:rPr>
              <w:t xml:space="preserve">Importe de la exposición ponderada por riesgo de las partidas fuera de balance —excluidas las SFT y los derivados— relacionadas con la financiación comercial en el marco de un </w:t>
            </w:r>
            <w:r>
              <w:rPr>
                <w:sz w:val="24"/>
                <w:rFonts w:ascii="Times New Roman" w:hAnsi="Times New Roman"/>
              </w:rPr>
              <w:t xml:space="preserve">sistema oficial de seguro de crédito a la exportación.</w:t>
            </w:r>
          </w:p>
          <w:p w14:paraId="2D3ADF55" w14:textId="478E84F7"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{0040;0010}</w:t>
            </w:r>
          </w:p>
        </w:tc>
        <w:tc>
          <w:tcPr>
            <w:tcW w:w="7406" w:type="dxa"/>
            <w:shd w:val="clear" w:color="auto" w:fill="FFFFFF"/>
          </w:tcPr>
          <w:p w14:paraId="70B328B5" w14:textId="418FD16C"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y SFT sujetos a un acuerdo de compensación entre productos </w:t>
            </w:r>
            <w:r>
              <w:rPr>
                <w:b/>
                <w:sz w:val="24"/>
                <w:rFonts w:ascii="Times New Roman" w:hAnsi="Times New Roman"/>
              </w:rPr>
              <w:t xml:space="preserve">— Valor de exposición correspondiente a la ratio de apalancamiento</w:t>
            </w:r>
          </w:p>
          <w:p w14:paraId="04D3A7BA" w14:textId="2BCB7AFC" w:rsidR="002509B1" w:rsidRPr="000B66BC" w:rsidRDefault="00F4754B" w:rsidP="00F21A85">
            <w:pPr>
              <w:pStyle w:val="BodyText1"/>
              <w:spacing w:after="240" w:line="240" w:lineRule="auto"/>
              <w:rPr>
                <w:b/>
                <w:bCs/>
                <w:sz w:val="24"/>
                <w:szCs w:val="24"/>
                <w:u w:val="single"/>
                <w:rFonts w:ascii="Times New Roman" w:hAnsi="Times New Roman"/>
              </w:rPr>
            </w:pPr>
            <w:r>
              <w:rPr>
                <w:sz w:val="24"/>
                <w:rFonts w:ascii="Times New Roman" w:hAnsi="Times New Roman"/>
              </w:rPr>
              <w:t xml:space="preserve">Valor de exposición correspondiente a la ratio de apalancamiento de los derivados y las SFT si están sujetos a un acuerdo de compensación entre productos, tal como se define en el artículo 272, punto 25, del Reglamento (UE) n.º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{0040;0020}</w:t>
            </w:r>
          </w:p>
        </w:tc>
        <w:tc>
          <w:tcPr>
            <w:tcW w:w="7406" w:type="dxa"/>
            <w:shd w:val="clear" w:color="auto" w:fill="FFFFFF"/>
          </w:tcPr>
          <w:p w14:paraId="6A93DC52" w14:textId="5A4C8705"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y SFT sujetos a un acuerdo de compensación entre productos — RWEA</w:t>
            </w:r>
          </w:p>
          <w:p w14:paraId="2D88BC4B" w14:textId="20CFA414"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Importes de la exposición ponderada por riesgo frente al riesgo de crédito y de contraparte de los derivados y las SFT, calculado de conformidad con la parte tercera, título II, del Reglamento (UE) n.º 575/2013, incluidas las partidas fuera de balance, si están sujetos a un acuerdo de compensación entre productos, tal como se define en el artículo 272, punto 25, de dicho Reglamento.</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{0050;0010}</w:t>
            </w:r>
          </w:p>
        </w:tc>
        <w:tc>
          <w:tcPr>
            <w:tcW w:w="7406" w:type="dxa"/>
            <w:shd w:val="clear" w:color="auto" w:fill="FFFFFF"/>
          </w:tcPr>
          <w:p w14:paraId="37A53F91" w14:textId="1692A468"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no sujetos a un acuerdo de compensación entre productos </w:t>
            </w:r>
            <w:r>
              <w:rPr>
                <w:b/>
                <w:sz w:val="24"/>
                <w:rFonts w:ascii="Times New Roman" w:hAnsi="Times New Roman"/>
              </w:rPr>
              <w:t xml:space="preserve">— Valor de exposición correspondiente a la ratio de apalancamiento</w:t>
            </w:r>
          </w:p>
          <w:p w14:paraId="48BC0234" w14:textId="58D66696" w:rsidR="002509B1" w:rsidRPr="000B66BC" w:rsidRDefault="00F4754B" w:rsidP="000B66BC">
            <w:pPr>
              <w:pStyle w:val="BodyText1"/>
              <w:spacing w:after="240" w:line="240" w:lineRule="auto"/>
              <w:rPr>
                <w:b/>
                <w:bCs/>
                <w:sz w:val="24"/>
                <w:szCs w:val="24"/>
                <w:rFonts w:ascii="Times New Roman" w:hAnsi="Times New Roman"/>
              </w:rPr>
            </w:pPr>
            <w:r>
              <w:rPr>
                <w:sz w:val="24"/>
                <w:rFonts w:ascii="Times New Roman" w:hAnsi="Times New Roman"/>
              </w:rPr>
              <w:t xml:space="preserve">Valor de exposición correspondiente a la ratio de apalancamiento de los derivados si no están sujetos a un acuerdo de compensación entre productos, tal como se define en el artículo 272, punto 25, del Reglamento (UE) n.º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{0050;0020}</w:t>
            </w:r>
          </w:p>
        </w:tc>
        <w:tc>
          <w:tcPr>
            <w:tcW w:w="7406" w:type="dxa"/>
            <w:shd w:val="clear" w:color="auto" w:fill="FFFFFF"/>
          </w:tcPr>
          <w:p w14:paraId="128CF8E8" w14:textId="0277DB7A"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Derivados no sujetos a un acuerdo de compensación entre productos — RWEA</w:t>
            </w:r>
          </w:p>
          <w:p w14:paraId="328E1A83" w14:textId="58F42996" w:rsidR="002509B1" w:rsidRPr="000B66BC" w:rsidRDefault="00F4754B" w:rsidP="00F21A85">
            <w:pPr>
              <w:pStyle w:val="BodyText1"/>
              <w:spacing w:after="240" w:line="240" w:lineRule="auto"/>
              <w:rPr>
                <w:b/>
                <w:bCs/>
                <w:sz w:val="24"/>
                <w:szCs w:val="24"/>
                <w:rFonts w:ascii="Times New Roman" w:hAnsi="Times New Roman"/>
              </w:rPr>
            </w:pPr>
            <w:r>
              <w:rPr>
                <w:sz w:val="24"/>
                <w:rFonts w:ascii="Times New Roman" w:hAnsi="Times New Roman"/>
              </w:rPr>
              <w:t xml:space="preserve">Importe de la exposición ponderada por riesgo frente al riesgo de crédito y de contraparte de los derivados, calculado de conformidad con la parte tercera, título II, del Reglamento (UE) n.º 575/2013, incluidas las partidas fuera de balance, si no están sujetos a un acuerdo de compensación entre productos, tal como se define en el artículo 272, punto 25, de dicho Reglamento.</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{0060;0010}</w:t>
            </w:r>
          </w:p>
        </w:tc>
        <w:tc>
          <w:tcPr>
            <w:tcW w:w="7406" w:type="dxa"/>
            <w:shd w:val="clear" w:color="auto" w:fill="FFFFFF"/>
          </w:tcPr>
          <w:p w14:paraId="62FDB809" w14:textId="5F25550B"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SFT no sujetas a un acuerdo de compensación entre productos </w:t>
            </w:r>
            <w:r>
              <w:rPr>
                <w:b/>
                <w:sz w:val="24"/>
                <w:rFonts w:ascii="Times New Roman" w:hAnsi="Times New Roman"/>
              </w:rPr>
              <w:t xml:space="preserve">— Valor de exposición correspondiente a la ratio de apalancamiento</w:t>
            </w:r>
          </w:p>
          <w:p w14:paraId="621A4651" w14:textId="29EC337D" w:rsidR="000A486B" w:rsidRPr="000B66BC" w:rsidRDefault="00F4754B" w:rsidP="000B66BC">
            <w:pPr>
              <w:pStyle w:val="BodyText1"/>
              <w:spacing w:after="240" w:line="240" w:lineRule="auto"/>
              <w:rPr>
                <w:b/>
                <w:bCs/>
                <w:sz w:val="24"/>
                <w:szCs w:val="24"/>
                <w:rFonts w:ascii="Times New Roman" w:hAnsi="Times New Roman"/>
              </w:rPr>
            </w:pPr>
            <w:r>
              <w:rPr>
                <w:sz w:val="24"/>
                <w:rFonts w:ascii="Times New Roman" w:hAnsi="Times New Roman"/>
              </w:rPr>
              <w:t xml:space="preserve">Valor de exposición correspondiente a la ratio de apalancamiento de las SFT si no están sujetas a un acuerdo de compensación entre productos, tal como se define en el artículo 272, punto 25, del Reglamento (UE) n.º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{0060;0020}</w:t>
            </w:r>
          </w:p>
        </w:tc>
        <w:tc>
          <w:tcPr>
            <w:tcW w:w="7406" w:type="dxa"/>
            <w:shd w:val="clear" w:color="auto" w:fill="FFFFFF"/>
          </w:tcPr>
          <w:p w14:paraId="25095D40" w14:textId="2E4D9B74"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SFT no sujetas a un acuerdo de compensación entre productos — RWEA</w:t>
            </w:r>
          </w:p>
          <w:p w14:paraId="0358DACB" w14:textId="7C980E23" w:rsidR="002509B1" w:rsidRPr="000B66BC" w:rsidRDefault="00F4754B" w:rsidP="00F21A85">
            <w:pPr>
              <w:pStyle w:val="BodyText1"/>
              <w:spacing w:after="240" w:line="240" w:lineRule="auto"/>
              <w:rPr>
                <w:b/>
                <w:bCs/>
                <w:sz w:val="24"/>
                <w:szCs w:val="24"/>
                <w:rFonts w:ascii="Times New Roman" w:hAnsi="Times New Roman"/>
              </w:rPr>
            </w:pPr>
            <w:r>
              <w:rPr>
                <w:sz w:val="24"/>
                <w:rFonts w:ascii="Times New Roman" w:hAnsi="Times New Roman"/>
              </w:rPr>
              <w:t xml:space="preserve">Importe de la exposición ponderada por riesgo frente al riesgo de crédito y de contraparte de las SFT, calculado de conformidad con la parte tercera, título II, del Reglamento (UE) n.º 575/2013, incluidas las partidas fuera de balance, si no están sujetas a un acuerdo de compensación entre productos, tal como se define en el artículo 272, punto 25, de dicho Reglamento.</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bCs/>
                <w:sz w:val="24"/>
                <w:szCs w:val="24"/>
                <w:rFonts w:ascii="Times New Roman" w:hAnsi="Times New Roman"/>
              </w:rPr>
            </w:pPr>
            <w:r>
              <w:rPr>
                <w:sz w:val="24"/>
                <w:rFonts w:ascii="Times New Roman" w:hAnsi="Times New Roman"/>
              </w:rPr>
              <w:t xml:space="preserve">{0065;0010}</w:t>
            </w:r>
          </w:p>
        </w:tc>
        <w:tc>
          <w:tcPr>
            <w:tcW w:w="7406" w:type="dxa"/>
            <w:shd w:val="clear" w:color="auto" w:fill="FFFFFF"/>
          </w:tcPr>
          <w:p w14:paraId="40B65940" w14:textId="26A29B28" w:rsidR="004968DF" w:rsidRPr="000B66BC" w:rsidRDefault="004968DF"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Importes de las exposiciones resultantes del tratamiento adicional de los derivados de crédito </w:t>
            </w:r>
            <w:r>
              <w:rPr>
                <w:b/>
                <w:sz w:val="24"/>
                <w:rFonts w:ascii="Times New Roman" w:hAnsi="Times New Roman"/>
              </w:rPr>
              <w:t xml:space="preserve">— Valor de exposición correspondiente a la ratio de apalancamiento</w:t>
            </w:r>
          </w:p>
          <w:p w14:paraId="1E879EE4" w14:textId="70635271" w:rsidR="00EC2C14" w:rsidRPr="000B66BC" w:rsidRDefault="000D3973" w:rsidP="000B66BC">
            <w:pPr>
              <w:pStyle w:val="BodyText1"/>
              <w:spacing w:after="240" w:line="240" w:lineRule="auto"/>
              <w:rPr>
                <w:b/>
                <w:bCs/>
                <w:sz w:val="24"/>
                <w:szCs w:val="24"/>
                <w:rFonts w:ascii="Times New Roman" w:hAnsi="Times New Roman"/>
              </w:rPr>
            </w:pPr>
            <w:r>
              <w:rPr>
                <w:sz w:val="24"/>
                <w:rFonts w:ascii="Times New Roman" w:hAnsi="Times New Roman"/>
              </w:rPr>
              <w:t xml:space="preserve">Esta celda será igual a la diferencia entre {LRCalc;0130;0010} y {LRCalc;0140;0010}, con exclusión de las respectivas exposiciones intragrupo (en base individual) excluidas conforme al artículo 429 </w:t>
            </w:r>
            <w:r>
              <w:rPr>
                <w:sz w:val="24"/>
                <w:i/>
                <w:iCs/>
                <w:rFonts w:ascii="Times New Roman" w:hAnsi="Times New Roman"/>
              </w:rPr>
              <w:t xml:space="preserve">bis</w:t>
            </w:r>
            <w:r>
              <w:rPr>
                <w:sz w:val="24"/>
                <w:rFonts w:ascii="Times New Roman" w:hAnsi="Times New Roman"/>
              </w:rPr>
              <w:t xml:space="preserve">, apartado 1, letra c), del Reglamento (UE) n.º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{0070;0010}</w:t>
            </w:r>
          </w:p>
        </w:tc>
        <w:tc>
          <w:tcPr>
            <w:tcW w:w="7406" w:type="dxa"/>
            <w:shd w:val="clear" w:color="auto" w:fill="FFFFFF"/>
          </w:tcPr>
          <w:p w14:paraId="330EEA74" w14:textId="3FC00B7E"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Otros activos pertenecientes a la cartera de negociación </w:t>
            </w:r>
            <w:r>
              <w:rPr>
                <w:b/>
                <w:sz w:val="24"/>
                <w:rFonts w:ascii="Times New Roman" w:hAnsi="Times New Roman"/>
              </w:rPr>
              <w:t xml:space="preserve">— Valor de exposición correspondiente a la ratio de apalancamiento</w:t>
            </w:r>
          </w:p>
          <w:p w14:paraId="1E037EEA" w14:textId="4585B1FF" w:rsidR="002509B1"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las partidas comunicadas en {LRCalc;0190;0010}, excluidas las de la cartera de inversión.</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{0070;0020}</w:t>
            </w:r>
          </w:p>
        </w:tc>
        <w:tc>
          <w:tcPr>
            <w:tcW w:w="7406" w:type="dxa"/>
            <w:shd w:val="clear" w:color="auto" w:fill="FFFFFF"/>
          </w:tcPr>
          <w:p w14:paraId="6FF1BCA1" w14:textId="350A5995"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Otros activos pertenecientes a la cartera de negociación — RWEA</w:t>
            </w:r>
          </w:p>
          <w:p w14:paraId="17C0B94C" w14:textId="2D5EB176"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Requisitos de fondos propios multiplicados por 12,5 de las partidas sujetas a la parte tercera, título IV, del Reglamento (UE) n.º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{0080;0010}</w:t>
            </w:r>
          </w:p>
        </w:tc>
        <w:tc>
          <w:tcPr>
            <w:tcW w:w="7406" w:type="dxa"/>
            <w:shd w:val="clear" w:color="auto" w:fill="FFFFFF"/>
          </w:tcPr>
          <w:p w14:paraId="02FC2330" w14:textId="10761471"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Bonos garantizados </w:t>
            </w:r>
            <w:r>
              <w:rPr>
                <w:b/>
                <w:sz w:val="24"/>
                <w:rFonts w:ascii="Times New Roman" w:hAnsi="Times New Roman"/>
              </w:rPr>
              <w:t xml:space="preserve">— Valor de exposición correspondiente a la ratio de apalancamiento — Exposiciones según el método estándar</w:t>
            </w:r>
          </w:p>
          <w:p w14:paraId="7DABED3A" w14:textId="24CAD1D0" w:rsidR="002509B1"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en forma de bonos garantizados, tal como se definen en el artículo 129 del Reglamento (UE) n.º 575/2013.</w:t>
            </w:r>
          </w:p>
          <w:p w14:paraId="1426D45B" w14:textId="0DF44122" w:rsidR="00086A8A"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{0080;0020}</w:t>
            </w:r>
          </w:p>
        </w:tc>
        <w:tc>
          <w:tcPr>
            <w:tcW w:w="7406" w:type="dxa"/>
            <w:shd w:val="clear" w:color="auto" w:fill="FFFFFF"/>
          </w:tcPr>
          <w:p w14:paraId="7BBB17AE"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Bonos garantizados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31EFC20D" w14:textId="13DFD927"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según el método IRB en forma de bonos garantizados, tal como se definen en el artículo 161, apartado 1, letra d), del Reglamento (UE) n.º 575/2013.</w:t>
            </w:r>
          </w:p>
          <w:p w14:paraId="69149D8B" w14:textId="5AF9D0AA" w:rsidR="002509B1"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{0080;0030}</w:t>
            </w:r>
          </w:p>
        </w:tc>
        <w:tc>
          <w:tcPr>
            <w:tcW w:w="7406" w:type="dxa"/>
            <w:shd w:val="clear" w:color="auto" w:fill="FFFFFF"/>
          </w:tcPr>
          <w:p w14:paraId="05046869" w14:textId="5880D72C"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Bonos garantizados — RWEA — Exposiciones según el método estándar</w:t>
            </w:r>
          </w:p>
          <w:p w14:paraId="6C4B05A8" w14:textId="0D9A76AD"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estándar en forma de bonos garantizados, tal como se definen en el artículo 129 del Reglamento (UE) n.º 575/2013.</w:t>
            </w:r>
          </w:p>
          <w:p w14:paraId="44B63283" w14:textId="34A33B6E" w:rsidR="00086A8A"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{0080;0040}</w:t>
            </w:r>
          </w:p>
        </w:tc>
        <w:tc>
          <w:tcPr>
            <w:tcW w:w="7406" w:type="dxa"/>
            <w:shd w:val="clear" w:color="auto" w:fill="FFFFFF"/>
          </w:tcPr>
          <w:p w14:paraId="513DAEE1" w14:textId="752BA960"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Bonos garantizados — RWEA — Exposiciones según el método IRB</w:t>
            </w:r>
          </w:p>
          <w:p w14:paraId="466ABC6A" w14:textId="79C78597"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IRB en forma de bonos garantizados, tal como se definen en el artículo 161, apartado 1, letra d), del Reglamento (UE) n.º 575/2013.</w:t>
            </w:r>
          </w:p>
          <w:p w14:paraId="64310FB6" w14:textId="6BA49164" w:rsidR="009C4E79"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{0090,0010}</w:t>
            </w:r>
          </w:p>
        </w:tc>
        <w:tc>
          <w:tcPr>
            <w:tcW w:w="7406" w:type="dxa"/>
            <w:shd w:val="clear" w:color="auto" w:fill="FFFFFF"/>
          </w:tcPr>
          <w:p w14:paraId="7C0C026C" w14:textId="236A8C03"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asimiladas a exposiciones frente a emisores soberanos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estándar</w:t>
            </w:r>
          </w:p>
          <w:p w14:paraId="0909B157" w14:textId="2673F018"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las celdas {0100,0010} a {0130,0010}.</w:t>
            </w:r>
          </w:p>
          <w:p w14:paraId="144D9E7A" w14:textId="795F478B" w:rsidR="002509B1" w:rsidRPr="000B66BC" w:rsidRDefault="00086A8A" w:rsidP="000B66BC">
            <w:pPr>
              <w:pStyle w:val="BodyText1"/>
              <w:spacing w:after="240" w:line="240" w:lineRule="auto"/>
              <w:rPr>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{0090;0020}</w:t>
            </w:r>
          </w:p>
        </w:tc>
        <w:tc>
          <w:tcPr>
            <w:tcW w:w="7406" w:type="dxa"/>
            <w:shd w:val="clear" w:color="auto" w:fill="FFFFFF"/>
          </w:tcPr>
          <w:p w14:paraId="015E5616"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asimiladas a exposiciones frente a emisores soberanos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361C00EC" w14:textId="191A9CA8"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las celdas {0100,0020} a {0130,0020}.</w:t>
            </w:r>
          </w:p>
          <w:p w14:paraId="4CE96745" w14:textId="2CF889E3"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{0090;0030}</w:t>
            </w:r>
          </w:p>
        </w:tc>
        <w:tc>
          <w:tcPr>
            <w:tcW w:w="7406" w:type="dxa"/>
            <w:shd w:val="clear" w:color="auto" w:fill="FFFFFF"/>
          </w:tcPr>
          <w:p w14:paraId="63538621" w14:textId="36E91980"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asimiladas a exposiciones frente a emisores soberanos — RWEA — Exposiciones según el método estándar</w:t>
            </w:r>
          </w:p>
          <w:p w14:paraId="2FE3A5A6" w14:textId="0A48A5C7"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las celdas {0100,0030} a {0130,0030}.</w:t>
            </w:r>
          </w:p>
          <w:p w14:paraId="576656CF" w14:textId="7109E0FD"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{0090;0040}</w:t>
            </w:r>
          </w:p>
        </w:tc>
        <w:tc>
          <w:tcPr>
            <w:tcW w:w="7406" w:type="dxa"/>
            <w:shd w:val="clear" w:color="auto" w:fill="FFFFFF"/>
          </w:tcPr>
          <w:p w14:paraId="7FD46908" w14:textId="76F6E52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asimiladas a exposiciones frente a emisores soberanos — RWEA — Exposiciones según el método IRB</w:t>
            </w:r>
          </w:p>
          <w:p w14:paraId="0EE39545" w14:textId="4A51FB51"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las celdas {0100,0040} a {0130,0040}.</w:t>
            </w:r>
          </w:p>
          <w:p w14:paraId="21E4ED70" w14:textId="10D77DF8"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{0100;0010}</w:t>
            </w:r>
          </w:p>
        </w:tc>
        <w:tc>
          <w:tcPr>
            <w:tcW w:w="7406" w:type="dxa"/>
            <w:shd w:val="clear" w:color="auto" w:fill="FFFFFF"/>
          </w:tcPr>
          <w:p w14:paraId="1F2266EE" w14:textId="77777777" w:rsidR="00F4754B" w:rsidRPr="000B66BC" w:rsidRDefault="00F4754B" w:rsidP="000B66BC">
            <w:pPr>
              <w:pStyle w:val="BodyText1"/>
              <w:spacing w:after="240" w:line="240" w:lineRule="auto"/>
              <w:rPr>
                <w:sz w:val="24"/>
                <w:szCs w:val="24"/>
                <w:rFonts w:ascii="Times New Roman" w:hAnsi="Times New Roman"/>
              </w:rPr>
            </w:pPr>
            <w:r>
              <w:rPr>
                <w:sz w:val="24"/>
                <w:b/>
                <w:rFonts w:ascii="Times New Roman" w:hAnsi="Times New Roman"/>
              </w:rPr>
              <w:t xml:space="preserve">Administraciones centrales y bancos centrales</w:t>
            </w:r>
            <w:r>
              <w:rPr>
                <w:sz w:val="24"/>
                <w:rFonts w:ascii="Times New Roman" w:hAnsi="Times New Roman"/>
              </w:rPr>
              <w:t xml:space="preserve"> </w:t>
            </w:r>
            <w:r>
              <w:rPr>
                <w:sz w:val="24"/>
                <w:b/>
                <w:rFonts w:ascii="Times New Roman" w:hAnsi="Times New Roman"/>
              </w:rPr>
              <w:t xml:space="preserve">— Valor de exposición correspondiente a la ratio de apalancamiento — Exposiciones según el método estándar</w:t>
            </w:r>
          </w:p>
          <w:p w14:paraId="6613A997" w14:textId="765CDB47"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según el método estándar frente a administraciones centrales o bancos centrales, tal como se definen en el artículo 114 del Reglamento (UE) n.º 575/2013.</w:t>
            </w:r>
          </w:p>
          <w:p w14:paraId="7F55138D" w14:textId="75576E6B"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{0100;0020}</w:t>
            </w:r>
          </w:p>
        </w:tc>
        <w:tc>
          <w:tcPr>
            <w:tcW w:w="7406" w:type="dxa"/>
            <w:shd w:val="clear" w:color="auto" w:fill="FFFFFF"/>
          </w:tcPr>
          <w:p w14:paraId="66A53D96" w14:textId="77777777" w:rsidR="00F4754B" w:rsidRPr="000B66BC" w:rsidRDefault="00F4754B" w:rsidP="000B66BC">
            <w:pPr>
              <w:pStyle w:val="BodyText1"/>
              <w:spacing w:after="240" w:line="240" w:lineRule="auto"/>
              <w:rPr>
                <w:sz w:val="24"/>
                <w:szCs w:val="24"/>
                <w:rFonts w:ascii="Times New Roman" w:hAnsi="Times New Roman"/>
              </w:rPr>
            </w:pPr>
            <w:r>
              <w:rPr>
                <w:sz w:val="24"/>
                <w:b/>
                <w:rFonts w:ascii="Times New Roman" w:hAnsi="Times New Roman"/>
              </w:rPr>
              <w:t xml:space="preserve">Administraciones centrales y bancos centrales</w:t>
            </w:r>
            <w:r>
              <w:rPr>
                <w:sz w:val="24"/>
                <w:rFonts w:ascii="Times New Roman" w:hAnsi="Times New Roman"/>
              </w:rPr>
              <w:t xml:space="preserve"> </w:t>
            </w:r>
            <w:r>
              <w:rPr>
                <w:sz w:val="24"/>
                <w:b/>
                <w:rFonts w:ascii="Times New Roman" w:hAnsi="Times New Roman"/>
              </w:rPr>
              <w:t xml:space="preserve">— Valor de exposición correspondiente a la ratio de apalancamiento — Exposiciones según el método IRB</w:t>
            </w:r>
          </w:p>
          <w:p w14:paraId="517FD145" w14:textId="63552282"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según el método IRB frente a administraciones centrales o bancos centrales, tal como se definen en el artículo 147, apartado 2, letra a), del Reglamento (UE) n.º 575/2013.</w:t>
            </w:r>
          </w:p>
          <w:p w14:paraId="0885AD1A" w14:textId="0035770A" w:rsidR="002509B1"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{0100;0030}</w:t>
            </w:r>
          </w:p>
        </w:tc>
        <w:tc>
          <w:tcPr>
            <w:tcW w:w="7406" w:type="dxa"/>
            <w:shd w:val="clear" w:color="auto" w:fill="FFFFFF"/>
          </w:tcPr>
          <w:p w14:paraId="26718359" w14:textId="1E245CA7" w:rsidR="002509B1" w:rsidRPr="000B66BC" w:rsidRDefault="00F4754B" w:rsidP="000B66BC">
            <w:pPr>
              <w:pStyle w:val="BodyText1"/>
              <w:spacing w:after="240" w:line="240" w:lineRule="auto"/>
              <w:rPr>
                <w:sz w:val="24"/>
                <w:szCs w:val="24"/>
                <w:rFonts w:ascii="Times New Roman" w:hAnsi="Times New Roman"/>
              </w:rPr>
            </w:pPr>
            <w:r>
              <w:rPr>
                <w:sz w:val="24"/>
                <w:b/>
                <w:rFonts w:ascii="Times New Roman" w:hAnsi="Times New Roman"/>
              </w:rPr>
              <w:t xml:space="preserve">Administraciones centrales y bancos centrales</w:t>
            </w:r>
            <w:r>
              <w:rPr>
                <w:sz w:val="24"/>
                <w:rFonts w:ascii="Times New Roman" w:hAnsi="Times New Roman"/>
              </w:rPr>
              <w:t xml:space="preserve"> </w:t>
            </w:r>
            <w:r>
              <w:rPr>
                <w:sz w:val="24"/>
                <w:b/>
                <w:rFonts w:ascii="Times New Roman" w:hAnsi="Times New Roman"/>
              </w:rPr>
              <w:t xml:space="preserve">— RWEA — Exposiciones según el método estándar</w:t>
            </w:r>
          </w:p>
          <w:p w14:paraId="1057171E" w14:textId="5419CED6"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estándar frente a administraciones centrales o bancos centrales con arreglo a lo dispuesto en el artículo 114 del Reglamento (UE) n.º 575/2013.</w:t>
            </w:r>
          </w:p>
          <w:p w14:paraId="47506B7A" w14:textId="150E5BC3"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{0100;0040}</w:t>
            </w:r>
          </w:p>
        </w:tc>
        <w:tc>
          <w:tcPr>
            <w:tcW w:w="7406" w:type="dxa"/>
            <w:shd w:val="clear" w:color="auto" w:fill="FFFFFF"/>
          </w:tcPr>
          <w:p w14:paraId="1EC1A3E9" w14:textId="34606682" w:rsidR="00F4754B" w:rsidRPr="000B66BC" w:rsidRDefault="00F4754B" w:rsidP="000B66BC">
            <w:pPr>
              <w:pStyle w:val="BodyText1"/>
              <w:spacing w:after="240" w:line="240" w:lineRule="auto"/>
              <w:rPr>
                <w:sz w:val="24"/>
                <w:szCs w:val="24"/>
                <w:rFonts w:ascii="Times New Roman" w:hAnsi="Times New Roman"/>
              </w:rPr>
            </w:pPr>
            <w:r>
              <w:rPr>
                <w:sz w:val="24"/>
                <w:b/>
                <w:rFonts w:ascii="Times New Roman" w:hAnsi="Times New Roman"/>
              </w:rPr>
              <w:t xml:space="preserve">Administraciones centrales y bancos centrales</w:t>
            </w:r>
            <w:r>
              <w:rPr>
                <w:sz w:val="24"/>
                <w:rFonts w:ascii="Times New Roman" w:hAnsi="Times New Roman"/>
              </w:rPr>
              <w:t xml:space="preserve"> </w:t>
            </w:r>
            <w:r>
              <w:rPr>
                <w:sz w:val="24"/>
                <w:b/>
                <w:rFonts w:ascii="Times New Roman" w:hAnsi="Times New Roman"/>
              </w:rPr>
              <w:t xml:space="preserve">— RWEA — Exposiciones según el método IRB</w:t>
            </w:r>
          </w:p>
          <w:p w14:paraId="47A75B9C" w14:textId="7D20BA03"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IRB frente a administraciones centrales o bancos centrales con arreglo a lo dispuesto en el artículo 147, apartado 2, letra a), del Reglamento (UE) n.º 575/2013.</w:t>
            </w:r>
          </w:p>
          <w:p w14:paraId="58C303E4" w14:textId="75B02A12"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{0110;0010}</w:t>
            </w:r>
          </w:p>
        </w:tc>
        <w:tc>
          <w:tcPr>
            <w:tcW w:w="7406" w:type="dxa"/>
            <w:shd w:val="clear" w:color="auto" w:fill="FFFFFF"/>
          </w:tcPr>
          <w:p w14:paraId="0A9C6204" w14:textId="024ADD98"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Administraciones regionales y autoridades locales asimiladas a emisores soberanos </w:t>
            </w:r>
            <w:r>
              <w:rPr>
                <w:b/>
                <w:sz w:val="24"/>
                <w:rFonts w:ascii="Times New Roman" w:hAnsi="Times New Roman"/>
              </w:rPr>
              <w:t xml:space="preserve">— Valor de exposición correspondiente a la ratio de apalancamiento — Exposiciones según el método estándar</w:t>
            </w:r>
          </w:p>
          <w:p w14:paraId="5294E5EC" w14:textId="6B8CEFDC"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frente a administraciones regionales o autoridades locales asimiladas a emisores soberanos, comprendidas en el artículo 115, apartados 2 y 4, del Reglamento (UE) n.º 575/2013.</w:t>
            </w:r>
          </w:p>
          <w:p w14:paraId="42456706" w14:textId="2E28EB95" w:rsidR="002509B1" w:rsidRPr="000B66BC" w:rsidRDefault="00086A8A" w:rsidP="000B66BC">
            <w:pPr>
              <w:pStyle w:val="BodyText1"/>
              <w:spacing w:after="240" w:line="240" w:lineRule="auto"/>
              <w:rPr>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{0110;0020}</w:t>
            </w:r>
          </w:p>
        </w:tc>
        <w:tc>
          <w:tcPr>
            <w:tcW w:w="7406" w:type="dxa"/>
            <w:shd w:val="clear" w:color="auto" w:fill="FFFFFF"/>
          </w:tcPr>
          <w:p w14:paraId="7E0B20E2"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Administraciones regionales y autoridades locales asimiladas a emisores soberanos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02346C27" w14:textId="18DAC4FC"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administraciones regionales y autoridades locales, comprendidas en el artículo 147, apartado 3, letra a), del Reglamento (UE) n.º 575/2013.</w:t>
            </w:r>
          </w:p>
          <w:p w14:paraId="3496D48C" w14:textId="78A55785"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{0110;0030}</w:t>
            </w:r>
          </w:p>
        </w:tc>
        <w:tc>
          <w:tcPr>
            <w:tcW w:w="7406" w:type="dxa"/>
            <w:shd w:val="clear" w:color="auto" w:fill="FFFFFF"/>
          </w:tcPr>
          <w:p w14:paraId="0A1E21BF" w14:textId="5863EAF2"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Administraciones regionales y autoridades locales asimiladas a emisores soberanos — RWEA — Exposiciones según el método estándar</w:t>
            </w:r>
          </w:p>
          <w:p w14:paraId="38C283FD" w14:textId="1BC3A6FB"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frente a administraciones regionales y autoridades locales asimiladas a emisores soberanos, comprendidas en el artículo 115, apartados 2 y 4, del Reglamento (UE) n.º 575/2013.</w:t>
            </w:r>
          </w:p>
          <w:p w14:paraId="6D7AEF3D" w14:textId="0D5AC65C"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{0110;0040}</w:t>
            </w:r>
          </w:p>
        </w:tc>
        <w:tc>
          <w:tcPr>
            <w:tcW w:w="7406" w:type="dxa"/>
            <w:shd w:val="clear" w:color="auto" w:fill="FFFFFF"/>
          </w:tcPr>
          <w:p w14:paraId="0A1135F8" w14:textId="6E787456"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Administraciones regionales y autoridades locales asimiladas a emisores soberanos — RWEA — Exposiciones según el método IRB</w:t>
            </w:r>
          </w:p>
          <w:p w14:paraId="099D799F" w14:textId="3BE99DD6"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IRB frente a administraciones regionales y autoridades locales, comprendidas en el artículo 147, apartado 3, letra a), del Reglamento (UE) n.º 575/2013.</w:t>
            </w:r>
          </w:p>
          <w:p w14:paraId="77DFB307" w14:textId="152C7BA5"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{0120;0010}</w:t>
            </w:r>
          </w:p>
        </w:tc>
        <w:tc>
          <w:tcPr>
            <w:tcW w:w="7406" w:type="dxa"/>
            <w:shd w:val="clear" w:color="auto" w:fill="FFFFFF"/>
          </w:tcPr>
          <w:p w14:paraId="4E16BD03" w14:textId="66901F1D" w:rsidR="002509B1"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Bancos multilaterales de desarrollo y organizaciones internacionales asimilados a emisores soberanos </w:t>
            </w:r>
            <w:r>
              <w:rPr>
                <w:b/>
                <w:sz w:val="24"/>
                <w:rFonts w:ascii="Times New Roman" w:hAnsi="Times New Roman"/>
              </w:rPr>
              <w:t xml:space="preserve">— Valor de exposición correspondiente a la ratio de apalancamiento — Exposiciones según el método estándar</w:t>
            </w:r>
          </w:p>
          <w:p w14:paraId="595E0D3B" w14:textId="0C58EC7E"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frente a bancos multilaterales de desarrollo y organizaciones internacionales, comprendidas en el artículo 117, apartado 2, y en el artículo 118 del Reglamento (UE) n.º 575/2013.</w:t>
            </w:r>
          </w:p>
          <w:p w14:paraId="4013B069" w14:textId="0EB1BFF4" w:rsidR="002509B1"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{0120;0020}</w:t>
            </w:r>
          </w:p>
        </w:tc>
        <w:tc>
          <w:tcPr>
            <w:tcW w:w="7406" w:type="dxa"/>
            <w:shd w:val="clear" w:color="auto" w:fill="FFFFFF"/>
          </w:tcPr>
          <w:p w14:paraId="76A1CB53" w14:textId="541DA8FD" w:rsidR="002509B1"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Bancos multilaterales de desarrollo y organizaciones internacionales asimilados a emisores soberanos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3802319A" w14:textId="4A7557C5"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bancos multilaterales de desarrollo y organizaciones internacionales, comprendidas en el artículo 147, apartado 3, letras b) y c), del Reglamento (UE) n.º 575/2013.</w:t>
            </w:r>
          </w:p>
          <w:p w14:paraId="4070105A" w14:textId="4FC040B2" w:rsidR="002509B1"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{0120;0030}</w:t>
            </w:r>
          </w:p>
        </w:tc>
        <w:tc>
          <w:tcPr>
            <w:tcW w:w="7406" w:type="dxa"/>
            <w:shd w:val="clear" w:color="auto" w:fill="FFFFFF"/>
          </w:tcPr>
          <w:p w14:paraId="297278EC" w14:textId="1D7EC442" w:rsidR="002509B1"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Bancos multilaterales de desarrollo y organizaciones internacionales asimilados a emisores soberanos — RWEA — Exposiciones según el método estándar</w:t>
            </w:r>
          </w:p>
          <w:p w14:paraId="37FB9B14" w14:textId="12B4EAAC"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frente a bancos multilaterales de desarrollo y organizaciones internacionales, comprendidas en el artículo 117, apartado 2, y en el artículo 118 del Reglamento (UE) n.º 575/2013.</w:t>
            </w:r>
          </w:p>
          <w:p w14:paraId="21D9C9F4" w14:textId="49EA3C70"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{1020;0040}</w:t>
            </w:r>
          </w:p>
        </w:tc>
        <w:tc>
          <w:tcPr>
            <w:tcW w:w="7406" w:type="dxa"/>
            <w:shd w:val="clear" w:color="auto" w:fill="FFFFFF"/>
          </w:tcPr>
          <w:p w14:paraId="25AE3663" w14:textId="3A1D7E0A" w:rsidR="002509B1"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Bancos multilaterales de desarrollo y organizaciones internacionales asimilados a emisores soberanos — RWEA — Exposiciones según el método IRB</w:t>
            </w:r>
          </w:p>
          <w:p w14:paraId="0A7C504F" w14:textId="419B949D"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IRB frente a bancos multilaterales de desarrollo y organizaciones internacionales, comprendidas en el artículo 147, apartado 3, letras b) y c), del Reglamento (UE) n.º 575/2013.</w:t>
            </w:r>
          </w:p>
          <w:p w14:paraId="4B60B3CB" w14:textId="76329F3C" w:rsidR="002509B1" w:rsidRPr="000B66BC" w:rsidRDefault="009C4E79"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{0130;0010}</w:t>
            </w:r>
          </w:p>
        </w:tc>
        <w:tc>
          <w:tcPr>
            <w:tcW w:w="7406" w:type="dxa"/>
            <w:shd w:val="clear" w:color="auto" w:fill="FFFFFF"/>
          </w:tcPr>
          <w:p w14:paraId="03377C61" w14:textId="0F13B636" w:rsidR="002509B1"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Entes del sector público asimilados a emisores soberanos </w:t>
            </w:r>
            <w:r>
              <w:rPr>
                <w:b/>
                <w:sz w:val="24"/>
                <w:rFonts w:ascii="Times New Roman" w:hAnsi="Times New Roman"/>
              </w:rPr>
              <w:t xml:space="preserve">— Valor de exposición correspondiente a la ratio de apalancamiento — Exposiciones según el método estándar</w:t>
            </w:r>
          </w:p>
          <w:p w14:paraId="7D8203A3" w14:textId="08A1137F"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frente a entes del sector público, comprendidas en el artículo 116, apartado 4, del Reglamento (UE) n.º 575/2013.</w:t>
            </w:r>
          </w:p>
          <w:p w14:paraId="4AA47B62" w14:textId="393B657D" w:rsidR="002509B1" w:rsidRPr="000B66BC" w:rsidRDefault="00086A8A"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{0130;0020}</w:t>
            </w:r>
          </w:p>
        </w:tc>
        <w:tc>
          <w:tcPr>
            <w:tcW w:w="7406" w:type="dxa"/>
            <w:shd w:val="clear" w:color="auto" w:fill="FFFFFF"/>
          </w:tcPr>
          <w:p w14:paraId="3B63499B" w14:textId="36B14D4C" w:rsidR="002509B1"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Entes del sector público asimilados a emisores soberanos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6B0B91A7" w14:textId="2675950D" w:rsidR="002509B1"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entes del sector público, comprendidas en el artículo 147, apartado 3, letra a), del Reglamento (UE) n.º 575/2013.</w:t>
            </w:r>
          </w:p>
          <w:p w14:paraId="359554CF" w14:textId="52EF4F24" w:rsidR="009C4E79"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{0130;0030}</w:t>
            </w:r>
          </w:p>
        </w:tc>
        <w:tc>
          <w:tcPr>
            <w:tcW w:w="7406" w:type="dxa"/>
            <w:shd w:val="clear" w:color="auto" w:fill="FFFFFF"/>
          </w:tcPr>
          <w:p w14:paraId="1DD3711A" w14:textId="41BC0A58" w:rsidR="002509B1"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Entes del sector público asimilados a emisores soberanos — RWEA — Exposiciones según el método estándar</w:t>
            </w:r>
          </w:p>
          <w:p w14:paraId="53A6C1B8" w14:textId="07E3EA1E"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frente a entes del sector público, comprendidas en el artículo 116, apartado 4, del Reglamento (UE) n.º 575/2013.</w:t>
            </w:r>
          </w:p>
          <w:p w14:paraId="432B1470" w14:textId="36FFD5BE"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{0130;0040}</w:t>
            </w:r>
          </w:p>
        </w:tc>
        <w:tc>
          <w:tcPr>
            <w:tcW w:w="7406" w:type="dxa"/>
            <w:shd w:val="clear" w:color="auto" w:fill="FFFFFF"/>
          </w:tcPr>
          <w:p w14:paraId="60977598" w14:textId="37A519F1" w:rsidR="00F4754B"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Entes del sector público asimilados a emisores soberanos — RWEA — Exposiciones según el método IRB</w:t>
            </w:r>
          </w:p>
          <w:p w14:paraId="0EAECD4A" w14:textId="4D9944EF"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IRB frente a entes del sector público, comprendidas en el artículo 147, apartado 3, letra a), del Reglamento (UE) n.º 575/2013.</w:t>
            </w:r>
          </w:p>
          <w:p w14:paraId="05B42B2C" w14:textId="7B404A8B"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{0140;0010}</w:t>
            </w:r>
          </w:p>
        </w:tc>
        <w:tc>
          <w:tcPr>
            <w:tcW w:w="7406" w:type="dxa"/>
            <w:shd w:val="clear" w:color="auto" w:fill="FFFFFF"/>
          </w:tcPr>
          <w:p w14:paraId="68676BE2" w14:textId="6C78BF9D"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administraciones regionales, bancos multilaterales de desarrollo, organizaciones internacionales y entes del sector público </w:t>
            </w:r>
            <w:r>
              <w:rPr>
                <w:b/>
                <w:sz w:val="24"/>
                <w:rFonts w:ascii="Times New Roman" w:hAnsi="Times New Roman"/>
              </w:rPr>
              <w:t xml:space="preserve">no</w:t>
            </w:r>
            <w:r>
              <w:rPr>
                <w:b/>
                <w:sz w:val="24"/>
                <w:rFonts w:ascii="Times New Roman" w:hAnsi="Times New Roman"/>
              </w:rPr>
              <w:t xml:space="preserve"> asimiladas a exposiciones frente a emisores soberanos </w:t>
            </w:r>
            <w:r>
              <w:rPr>
                <w:b/>
                <w:sz w:val="24"/>
                <w:rFonts w:ascii="Times New Roman" w:hAnsi="Times New Roman"/>
              </w:rPr>
              <w:t xml:space="preserve">— Valor de exposición correspondiente a la ratio de apalancamiento </w:t>
            </w:r>
            <w:r>
              <w:rPr>
                <w:b/>
                <w:sz w:val="24"/>
                <w:rFonts w:ascii="Times New Roman" w:hAnsi="Times New Roman"/>
              </w:rPr>
              <w:t xml:space="preserve">— Exposiciones según el método estándar</w:t>
            </w:r>
          </w:p>
          <w:p w14:paraId="16F7D104" w14:textId="442558D1"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las celdas </w:t>
            </w:r>
            <w:r>
              <w:rPr>
                <w:sz w:val="24"/>
                <w:rFonts w:ascii="Times New Roman" w:hAnsi="Times New Roman"/>
              </w:rPr>
              <w:t xml:space="preserve">{0150,0010} a {0170,0010}.</w:t>
            </w:r>
          </w:p>
          <w:p w14:paraId="56668309" w14:textId="21D6A0F4"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{0140;0020}</w:t>
            </w:r>
          </w:p>
        </w:tc>
        <w:tc>
          <w:tcPr>
            <w:tcW w:w="7406" w:type="dxa"/>
            <w:shd w:val="clear" w:color="auto" w:fill="FFFFFF"/>
          </w:tcPr>
          <w:p w14:paraId="16480F3A"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administraciones regionales, bancos multilaterales de desarrollo, organizaciones internacionales y entes del sector público </w:t>
            </w:r>
            <w:r>
              <w:rPr>
                <w:b/>
                <w:sz w:val="24"/>
                <w:rFonts w:ascii="Times New Roman" w:hAnsi="Times New Roman"/>
              </w:rPr>
              <w:t xml:space="preserve">no</w:t>
            </w:r>
            <w:r>
              <w:rPr>
                <w:b/>
                <w:sz w:val="24"/>
                <w:rFonts w:ascii="Times New Roman" w:hAnsi="Times New Roman"/>
              </w:rPr>
              <w:t xml:space="preserve"> asimiladas a exposiciones frente a emisores soberanos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01EFE154" w14:textId="37156240"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las celdas {0150,0020} a {0170,0020}.</w:t>
            </w:r>
          </w:p>
          <w:p w14:paraId="4BA214B6" w14:textId="386C4F7E"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{0140;0030}</w:t>
            </w:r>
          </w:p>
        </w:tc>
        <w:tc>
          <w:tcPr>
            <w:tcW w:w="7406" w:type="dxa"/>
            <w:shd w:val="clear" w:color="auto" w:fill="FFFFFF"/>
          </w:tcPr>
          <w:p w14:paraId="6D26AA72" w14:textId="198DF378"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administraciones regionales, bancos multilaterales de desarrollo, organizaciones internacionales y entes del sector público </w:t>
            </w:r>
            <w:r>
              <w:rPr>
                <w:b/>
                <w:sz w:val="24"/>
                <w:rFonts w:ascii="Times New Roman" w:hAnsi="Times New Roman"/>
              </w:rPr>
              <w:t xml:space="preserve">no</w:t>
            </w:r>
            <w:r>
              <w:rPr>
                <w:b/>
                <w:sz w:val="24"/>
                <w:rFonts w:ascii="Times New Roman" w:hAnsi="Times New Roman"/>
              </w:rPr>
              <w:t xml:space="preserve"> asimiladas a exposiciones frente a emisores soberanos — RWEA — Exposiciones según el método estándar</w:t>
            </w:r>
          </w:p>
          <w:p w14:paraId="001A76CB" w14:textId="449CD518"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las celdas {0150,0030} a {0170,0030}.</w:t>
            </w:r>
          </w:p>
          <w:p w14:paraId="0666DA98" w14:textId="42DCAEA8"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{0140;0040}</w:t>
            </w:r>
          </w:p>
        </w:tc>
        <w:tc>
          <w:tcPr>
            <w:tcW w:w="7406" w:type="dxa"/>
            <w:shd w:val="clear" w:color="auto" w:fill="FFFFFF"/>
          </w:tcPr>
          <w:p w14:paraId="28502CF8" w14:textId="27254544"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administraciones regionales, bancos multilaterales de desarrollo, organizaciones internacionales y entes del sector público </w:t>
            </w:r>
            <w:r>
              <w:rPr>
                <w:b/>
                <w:sz w:val="24"/>
                <w:rFonts w:ascii="Times New Roman" w:hAnsi="Times New Roman"/>
              </w:rPr>
              <w:t xml:space="preserve">no</w:t>
            </w:r>
            <w:r>
              <w:rPr>
                <w:b/>
                <w:sz w:val="24"/>
                <w:rFonts w:ascii="Times New Roman" w:hAnsi="Times New Roman"/>
              </w:rPr>
              <w:t xml:space="preserve"> asimiladas a exposiciones frente a emisores soberanos — RWEA — Exposiciones según el método IRB</w:t>
            </w:r>
          </w:p>
          <w:p w14:paraId="26D9E4F6" w14:textId="3F28B51E"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las celdas {0150,0040} a {0170,0040}.</w:t>
            </w:r>
          </w:p>
          <w:p w14:paraId="6B0E2A45" w14:textId="73754F98" w:rsidR="002509B1"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{0150;0010}</w:t>
            </w:r>
          </w:p>
        </w:tc>
        <w:tc>
          <w:tcPr>
            <w:tcW w:w="7406" w:type="dxa"/>
            <w:shd w:val="clear" w:color="auto" w:fill="FFFFFF"/>
          </w:tcPr>
          <w:p w14:paraId="6E882A95" w14:textId="42A5BAAA"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Administraciones regionales y autoridades locales </w:t>
            </w:r>
            <w:r>
              <w:rPr>
                <w:b/>
                <w:sz w:val="24"/>
                <w:rFonts w:ascii="Times New Roman" w:hAnsi="Times New Roman"/>
              </w:rPr>
              <w:t xml:space="preserve">no</w:t>
            </w:r>
            <w:r>
              <w:rPr>
                <w:b/>
                <w:sz w:val="24"/>
                <w:rFonts w:ascii="Times New Roman" w:hAnsi="Times New Roman"/>
              </w:rPr>
              <w:t xml:space="preserve"> asimiladas a emisores soberanos </w:t>
            </w:r>
            <w:r>
              <w:rPr>
                <w:b/>
                <w:sz w:val="24"/>
                <w:rFonts w:ascii="Times New Roman" w:hAnsi="Times New Roman"/>
              </w:rPr>
              <w:t xml:space="preserve">— Valor de exposición correspondiente a la ratio de apalancamiento — Exposiciones según el método estándar</w:t>
            </w:r>
          </w:p>
          <w:p w14:paraId="5997608A" w14:textId="0BF65BF8"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frente a administraciones regionales o autoridades locales no asimiladas a emisores soberanos, comprendidas en el artículo 115, apartados 1, 3 y 5, del Reglamento (UE) n.º 575/2013.</w:t>
            </w:r>
          </w:p>
          <w:p w14:paraId="2E409DCC" w14:textId="6CDA3B78" w:rsidR="002509B1"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{0150;0020}</w:t>
            </w:r>
          </w:p>
        </w:tc>
        <w:tc>
          <w:tcPr>
            <w:tcW w:w="7406" w:type="dxa"/>
            <w:shd w:val="clear" w:color="auto" w:fill="FFFFFF"/>
          </w:tcPr>
          <w:p w14:paraId="6DA1492F" w14:textId="77777777"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Administraciones regionales y autoridades locales </w:t>
            </w:r>
            <w:r>
              <w:rPr>
                <w:b/>
                <w:sz w:val="24"/>
                <w:rFonts w:ascii="Times New Roman" w:hAnsi="Times New Roman"/>
              </w:rPr>
              <w:t xml:space="preserve">no</w:t>
            </w:r>
            <w:r>
              <w:rPr>
                <w:b/>
                <w:sz w:val="24"/>
                <w:rFonts w:ascii="Times New Roman" w:hAnsi="Times New Roman"/>
              </w:rPr>
              <w:t xml:space="preserve"> asimiladas a emisores soberanos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05330C07" w14:textId="0532F617" w:rsidR="002509B1"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administraciones regionales y autoridades locales no asimiladas a emisores soberanos, comprendidas en el artículo 147, apartado 4, letra a), del Reglamento (UE) n.º 575/2013.</w:t>
            </w:r>
          </w:p>
          <w:p w14:paraId="64866D79" w14:textId="278A91F6" w:rsidR="00F4754B" w:rsidRPr="000B66BC" w:rsidDel="00F559E6"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r>
              <w:rPr>
                <w:sz w:val="24"/>
                <w:rFonts w:ascii="Times New Roman" w:hAnsi="Times New Roman"/>
              </w:rPr>
              <w:t xml:space="preserve">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{0150;0030}</w:t>
            </w:r>
          </w:p>
        </w:tc>
        <w:tc>
          <w:tcPr>
            <w:tcW w:w="7406" w:type="dxa"/>
            <w:shd w:val="clear" w:color="auto" w:fill="FFFFFF"/>
          </w:tcPr>
          <w:p w14:paraId="0E90CE61" w14:textId="6590FBE6"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Administraciones regionales y autoridades locales </w:t>
            </w:r>
            <w:r>
              <w:rPr>
                <w:b/>
                <w:sz w:val="24"/>
                <w:rFonts w:ascii="Times New Roman" w:hAnsi="Times New Roman"/>
              </w:rPr>
              <w:t xml:space="preserve">no</w:t>
            </w:r>
            <w:r>
              <w:rPr>
                <w:b/>
                <w:sz w:val="24"/>
                <w:rFonts w:ascii="Times New Roman" w:hAnsi="Times New Roman"/>
              </w:rPr>
              <w:t xml:space="preserve"> asimiladas a emisores soberanos — RWEA — Exposiciones según el método estándar</w:t>
            </w:r>
            <w:r>
              <w:rPr>
                <w:b/>
                <w:sz w:val="24"/>
                <w:rFonts w:ascii="Times New Roman" w:hAnsi="Times New Roman"/>
              </w:rPr>
              <w:t xml:space="preserve"> </w:t>
            </w:r>
          </w:p>
          <w:p w14:paraId="0C1281BF" w14:textId="0F177E4A"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estándar frente a administraciones regionales y autoridades locales no asimiladas a emisores soberanos, comprendidas en el artículo 115, apartados 1, 3 y 5, del Reglamento (UE) n.º 575/2013.</w:t>
            </w:r>
          </w:p>
          <w:p w14:paraId="594F13B1" w14:textId="615E6282"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{0150;0040}</w:t>
            </w:r>
          </w:p>
        </w:tc>
        <w:tc>
          <w:tcPr>
            <w:tcW w:w="7406" w:type="dxa"/>
            <w:shd w:val="clear" w:color="auto" w:fill="FFFFFF"/>
          </w:tcPr>
          <w:p w14:paraId="2F79CD95" w14:textId="1BA3728B"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Administraciones regionales y autoridades locales </w:t>
            </w:r>
            <w:r>
              <w:rPr>
                <w:b/>
                <w:sz w:val="24"/>
                <w:rFonts w:ascii="Times New Roman" w:hAnsi="Times New Roman"/>
              </w:rPr>
              <w:t xml:space="preserve">no</w:t>
            </w:r>
            <w:r>
              <w:rPr>
                <w:b/>
                <w:sz w:val="24"/>
                <w:rFonts w:ascii="Times New Roman" w:hAnsi="Times New Roman"/>
              </w:rPr>
              <w:t xml:space="preserve"> asimiladas a emisores soberanos — RWEA — Exposiciones según el método IRB</w:t>
            </w:r>
          </w:p>
          <w:p w14:paraId="51863919" w14:textId="13549DA0"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IRB frente a administraciones regionales y autoridades locales no asimiladas a emisores soberanos, comprendidas en el artículo 147, apartado 4, letra a), del Reglamento (UE) n.º 575/2013.</w:t>
            </w:r>
          </w:p>
          <w:p w14:paraId="2CE67E1E" w14:textId="02F8044F"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{0160;0010}</w:t>
            </w:r>
          </w:p>
        </w:tc>
        <w:tc>
          <w:tcPr>
            <w:tcW w:w="7406" w:type="dxa"/>
            <w:shd w:val="clear" w:color="auto" w:fill="FFFFFF"/>
          </w:tcPr>
          <w:p w14:paraId="382B2DE5"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Bancos multilaterales de desarrollo </w:t>
            </w:r>
            <w:r>
              <w:rPr>
                <w:b/>
                <w:sz w:val="24"/>
                <w:u w:val="single"/>
                <w:rFonts w:ascii="Times New Roman" w:hAnsi="Times New Roman"/>
              </w:rPr>
              <w:t xml:space="preserve">no</w:t>
            </w:r>
            <w:r>
              <w:rPr>
                <w:b/>
                <w:sz w:val="24"/>
                <w:rFonts w:ascii="Times New Roman" w:hAnsi="Times New Roman"/>
              </w:rPr>
              <w:t xml:space="preserve"> asimilados a emisores soberanos — Valor de exposición correspondiente a la ratio de apalancamiento — Exposiciones según el método estándar</w:t>
            </w:r>
          </w:p>
          <w:p w14:paraId="07928584" w14:textId="302FB434"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frente a bancos multilaterales de desarrollo, comprendidas en el artículo 117, apartados 1 y 3, del Reglamento (UE) n.º 575/2013.</w:t>
            </w:r>
          </w:p>
          <w:p w14:paraId="01E4041D" w14:textId="00B0727A" w:rsidR="002509B1"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{0160;0020}</w:t>
            </w:r>
          </w:p>
        </w:tc>
        <w:tc>
          <w:tcPr>
            <w:tcW w:w="7406" w:type="dxa"/>
            <w:shd w:val="clear" w:color="auto" w:fill="FFFFFF"/>
          </w:tcPr>
          <w:p w14:paraId="13E28A92" w14:textId="77777777" w:rsidR="00F4754B"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Bancos multilaterales de desarrollo </w:t>
            </w:r>
            <w:r>
              <w:rPr>
                <w:b/>
                <w:sz w:val="24"/>
                <w:u w:val="single"/>
                <w:rFonts w:ascii="Times New Roman" w:hAnsi="Times New Roman"/>
              </w:rPr>
              <w:t xml:space="preserve">no</w:t>
            </w:r>
            <w:r>
              <w:rPr>
                <w:b/>
                <w:sz w:val="24"/>
                <w:rFonts w:ascii="Times New Roman" w:hAnsi="Times New Roman"/>
              </w:rPr>
              <w:t xml:space="preserve"> asimilados a emisores soberanos — Valor de exposición correspondiente a la ratio de apalancamiento — Exposiciones según el método IRB</w:t>
            </w:r>
          </w:p>
          <w:p w14:paraId="6D2C0352" w14:textId="312107C2" w:rsidR="002509B1"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frente a bancos multilaterales de desarrollo no asimilados a emisores soberanos, comprendidas en el artículo 147, apartado 4, letra c), del Reglamento (UE) n.º 575/2013.</w:t>
            </w:r>
          </w:p>
          <w:p w14:paraId="74CFCB27" w14:textId="063441C0" w:rsidR="009C4E79" w:rsidRPr="000B66BC" w:rsidDel="009A4B38"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{0160;0030}</w:t>
            </w:r>
          </w:p>
        </w:tc>
        <w:tc>
          <w:tcPr>
            <w:tcW w:w="7406" w:type="dxa"/>
            <w:shd w:val="clear" w:color="auto" w:fill="FFFFFF"/>
          </w:tcPr>
          <w:p w14:paraId="1D2AE94F" w14:textId="3A23504D"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Bancos multilaterales de desarrollo </w:t>
            </w:r>
            <w:r>
              <w:rPr>
                <w:b/>
                <w:sz w:val="24"/>
                <w:rFonts w:ascii="Times New Roman" w:hAnsi="Times New Roman"/>
              </w:rPr>
              <w:t xml:space="preserve">no</w:t>
            </w:r>
            <w:r>
              <w:rPr>
                <w:b/>
                <w:sz w:val="24"/>
                <w:rFonts w:ascii="Times New Roman" w:hAnsi="Times New Roman"/>
              </w:rPr>
              <w:t xml:space="preserve"> asimilados a emisores soberanos — RWEA — Exposiciones según el método estándar</w:t>
            </w:r>
          </w:p>
          <w:p w14:paraId="4B127308" w14:textId="5B336149"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Importe de la exposición ponderada por riesgo de los activos que representan exposiciones según el método estándar frente a bancos multilaterales de desarrollo, comprendidas en el artículo 117, apartados 1 y 3, del Reglamento (UE) n.º 575/2013.</w:t>
            </w:r>
          </w:p>
          <w:p w14:paraId="6288F6E5" w14:textId="481F4915" w:rsidR="00086A8A"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{0160;0040}</w:t>
            </w:r>
          </w:p>
        </w:tc>
        <w:tc>
          <w:tcPr>
            <w:tcW w:w="7406" w:type="dxa"/>
            <w:shd w:val="clear" w:color="auto" w:fill="FFFFFF"/>
          </w:tcPr>
          <w:p w14:paraId="00619AFE" w14:textId="73438BF5"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Bancos multilaterales de desarrollo </w:t>
            </w:r>
            <w:r>
              <w:rPr>
                <w:b/>
                <w:sz w:val="24"/>
                <w:rFonts w:ascii="Times New Roman" w:hAnsi="Times New Roman"/>
              </w:rPr>
              <w:t xml:space="preserve">no</w:t>
            </w:r>
            <w:r>
              <w:rPr>
                <w:b/>
                <w:sz w:val="24"/>
                <w:rFonts w:ascii="Times New Roman" w:hAnsi="Times New Roman"/>
              </w:rPr>
              <w:t xml:space="preserve"> asimilados a emisores soberanos — RWEA — Exposiciones según el método IRB</w:t>
            </w:r>
          </w:p>
          <w:p w14:paraId="466ECD88" w14:textId="5D28161E"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IRB frente a bancos multilaterales de desarrollo no asimilados a emisores soberanos, comprendidas en el artículo 147, apartado 4, letra c), del Reglamento (UE) n.º 575/2013.</w:t>
            </w:r>
          </w:p>
          <w:p w14:paraId="72DDDF92" w14:textId="6FAD844E"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{0170;0010}</w:t>
            </w:r>
          </w:p>
        </w:tc>
        <w:tc>
          <w:tcPr>
            <w:tcW w:w="7406" w:type="dxa"/>
            <w:shd w:val="clear" w:color="auto" w:fill="FFFFFF"/>
          </w:tcPr>
          <w:p w14:paraId="63BC1CED"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Entes del sector público </w:t>
            </w:r>
            <w:r>
              <w:rPr>
                <w:b/>
                <w:sz w:val="24"/>
                <w:rFonts w:ascii="Times New Roman" w:hAnsi="Times New Roman"/>
              </w:rPr>
              <w:t xml:space="preserve">no</w:t>
            </w:r>
            <w:r>
              <w:rPr>
                <w:b/>
                <w:sz w:val="24"/>
                <w:rFonts w:ascii="Times New Roman" w:hAnsi="Times New Roman"/>
              </w:rPr>
              <w:t xml:space="preserve"> asimilados a emisores soberanos </w:t>
            </w:r>
            <w:r>
              <w:rPr>
                <w:b/>
                <w:sz w:val="24"/>
                <w:rFonts w:ascii="Times New Roman" w:hAnsi="Times New Roman"/>
              </w:rPr>
              <w:t xml:space="preserve">— Valor de exposición correspondiente a la ratio de apalancamiento — Exposiciones según el método estándar</w:t>
            </w:r>
          </w:p>
          <w:p w14:paraId="3FF6AAF1" w14:textId="65E56C9D"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según el método estándar frente a entes del sector público, comprendidas en el artículo 116, apartados 1, 2, 3 y 5, del Reglamento (UE) n.º 575/2013.</w:t>
            </w:r>
          </w:p>
          <w:p w14:paraId="7DF5A169" w14:textId="79FB274E" w:rsidR="000A486B" w:rsidRPr="000B66BC" w:rsidRDefault="00086A8A" w:rsidP="000B66BC">
            <w:pPr>
              <w:pStyle w:val="BodyText1"/>
              <w:spacing w:after="240" w:line="240" w:lineRule="auto"/>
              <w:rPr>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{0170;0020}</w:t>
            </w:r>
          </w:p>
        </w:tc>
        <w:tc>
          <w:tcPr>
            <w:tcW w:w="7406" w:type="dxa"/>
            <w:shd w:val="clear" w:color="auto" w:fill="FFFFFF"/>
          </w:tcPr>
          <w:p w14:paraId="426AE44C" w14:textId="331FC92F" w:rsidR="002509B1"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Entes del sector público </w:t>
            </w:r>
            <w:r>
              <w:rPr>
                <w:b/>
                <w:sz w:val="24"/>
                <w:rFonts w:ascii="Times New Roman" w:hAnsi="Times New Roman"/>
              </w:rPr>
              <w:t xml:space="preserve">no</w:t>
            </w:r>
            <w:r>
              <w:rPr>
                <w:b/>
                <w:sz w:val="24"/>
                <w:rFonts w:ascii="Times New Roman" w:hAnsi="Times New Roman"/>
              </w:rPr>
              <w:t xml:space="preserve"> asimilados a emisores soberanos</w:t>
            </w:r>
            <w:r>
              <w:rPr>
                <w:b/>
                <w:sz w:val="24"/>
                <w:rFonts w:ascii="Times New Roman" w:hAnsi="Times New Roman"/>
              </w:rPr>
              <w:t xml:space="preserve"> — Valor de exposición correspondiente a la ratio de apalancamiento</w:t>
            </w:r>
            <w:r>
              <w:rPr>
                <w:b/>
                <w:sz w:val="24"/>
                <w:rFonts w:ascii="Times New Roman" w:hAnsi="Times New Roman"/>
              </w:rPr>
              <w:t xml:space="preserve"> — Exposiciones según el método IRB</w:t>
            </w:r>
          </w:p>
          <w:p w14:paraId="19C4FD72" w14:textId="2D84BC92"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según el método IRB frente a entes del sector público no asimilados a emisores soberanos, comprendidas en el artículo 147, apartado 4, letra b), del Reglamento (UE) n.º 575/2013.</w:t>
            </w:r>
          </w:p>
          <w:p w14:paraId="21D9C4B6" w14:textId="738536C0" w:rsidR="009C4E79" w:rsidRPr="000B66BC" w:rsidDel="00973F19"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{0170;0030}</w:t>
            </w:r>
          </w:p>
        </w:tc>
        <w:tc>
          <w:tcPr>
            <w:tcW w:w="7406" w:type="dxa"/>
            <w:shd w:val="clear" w:color="auto" w:fill="FFFFFF"/>
          </w:tcPr>
          <w:p w14:paraId="2459C33D" w14:textId="7EE34236"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Entes del sector público </w:t>
            </w:r>
            <w:r>
              <w:rPr>
                <w:b/>
                <w:sz w:val="24"/>
                <w:rFonts w:ascii="Times New Roman" w:hAnsi="Times New Roman"/>
              </w:rPr>
              <w:t xml:space="preserve">no</w:t>
            </w:r>
            <w:r>
              <w:rPr>
                <w:b/>
                <w:sz w:val="24"/>
                <w:rFonts w:ascii="Times New Roman" w:hAnsi="Times New Roman"/>
              </w:rPr>
              <w:t xml:space="preserve"> asimilados a emisores soberanos — RWEA — Exposiciones según el método estándar</w:t>
            </w:r>
          </w:p>
          <w:p w14:paraId="7ED0D977" w14:textId="5842F857"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estándar frente a entes del sector público, comprendidas en el artículo 116, apartados 1, 2, 3 y 5, del Reglamento (UE) n.º 575/2013.</w:t>
            </w:r>
          </w:p>
          <w:p w14:paraId="2E4EB0DF" w14:textId="03959371"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{0170;0040}</w:t>
            </w:r>
          </w:p>
        </w:tc>
        <w:tc>
          <w:tcPr>
            <w:tcW w:w="7406" w:type="dxa"/>
            <w:shd w:val="clear" w:color="auto" w:fill="FFFFFF"/>
          </w:tcPr>
          <w:p w14:paraId="505DD8D8" w14:textId="3ADF1093"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Entes del sector público </w:t>
            </w:r>
            <w:r>
              <w:rPr>
                <w:b/>
                <w:sz w:val="24"/>
                <w:rFonts w:ascii="Times New Roman" w:hAnsi="Times New Roman"/>
              </w:rPr>
              <w:t xml:space="preserve">no</w:t>
            </w:r>
            <w:r>
              <w:rPr>
                <w:b/>
                <w:sz w:val="24"/>
                <w:rFonts w:ascii="Times New Roman" w:hAnsi="Times New Roman"/>
              </w:rPr>
              <w:t xml:space="preserve"> asimilados a emisores soberanos — RWEA — Exposiciones según el método IRB</w:t>
            </w:r>
          </w:p>
          <w:p w14:paraId="3B167735" w14:textId="1C3E1080"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IRB frente a entes del sector público no asimilados a emisores soberanos, comprendidas en el artículo 147, apartado 4, letra b), del Reglamento (UE) n.º 575/2013.</w:t>
            </w:r>
          </w:p>
          <w:p w14:paraId="786F9A83" w14:textId="4738A295"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{0180;0010}</w:t>
            </w:r>
          </w:p>
        </w:tc>
        <w:tc>
          <w:tcPr>
            <w:tcW w:w="7406" w:type="dxa"/>
            <w:shd w:val="clear" w:color="auto" w:fill="FFFFFF"/>
          </w:tcPr>
          <w:p w14:paraId="4C5AF924" w14:textId="77777777" w:rsidR="00F4754B"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Entidades — Valor de exposición correspondiente a la ratio de apalancamiento — Exposiciones según el método estándar</w:t>
            </w:r>
          </w:p>
          <w:p w14:paraId="285DE0DE" w14:textId="140BD1C0"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según el método estándar frente a entidades, comprendidas en los artículos 119 a 121 del Reglamento (UE) n.º 575/2013.</w:t>
            </w:r>
          </w:p>
          <w:p w14:paraId="718668CE" w14:textId="4B228AF6" w:rsidR="002509B1"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{0180;0020}</w:t>
            </w:r>
          </w:p>
        </w:tc>
        <w:tc>
          <w:tcPr>
            <w:tcW w:w="7406" w:type="dxa"/>
            <w:shd w:val="clear" w:color="auto" w:fill="FFFFFF"/>
          </w:tcPr>
          <w:p w14:paraId="5B3D67A0" w14:textId="77777777" w:rsidR="00F4754B" w:rsidRPr="000B66BC" w:rsidRDefault="00F4754B" w:rsidP="000B66BC">
            <w:pPr>
              <w:pStyle w:val="BodyText1"/>
              <w:spacing w:after="240" w:line="240" w:lineRule="auto"/>
              <w:rPr>
                <w:bCs/>
                <w:sz w:val="24"/>
                <w:szCs w:val="24"/>
                <w:rFonts w:ascii="Times New Roman" w:hAnsi="Times New Roman"/>
              </w:rPr>
            </w:pPr>
            <w:r>
              <w:rPr>
                <w:sz w:val="24"/>
                <w:b/>
                <w:rFonts w:ascii="Times New Roman" w:hAnsi="Times New Roman"/>
              </w:rPr>
              <w:t xml:space="preserve">Entidades</w:t>
            </w:r>
            <w:r>
              <w:rPr>
                <w:sz w:val="24"/>
                <w:rFonts w:ascii="Times New Roman" w:hAnsi="Times New Roman"/>
              </w:rPr>
              <w:t xml:space="preserve"> </w:t>
            </w:r>
            <w:r>
              <w:rPr>
                <w:sz w:val="24"/>
                <w:b/>
                <w:rFonts w:ascii="Times New Roman" w:hAnsi="Times New Roman"/>
              </w:rPr>
              <w:t xml:space="preserve">— Valor de exposición correspondiente a la ratio de apalancamiento — Exposiciones según el método IRB</w:t>
            </w:r>
          </w:p>
          <w:p w14:paraId="50027CF2" w14:textId="5920E641"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Valor de exposición correspondiente a la ratio de apalancamiento de los activos que son exposiciones según el método IRB frente a entidades contempladas en el artículo 147, apartado 2, letra b), del Reglamento (UE) n.º 575/2013 y no son exposiciones en forma de bonos garantizados según el artículo 161, apartado 1, letra d), de dicho Reglamento ni se incluyen en el artículo 147, apartado 4, letra c), del mismo Reglamento.</w:t>
            </w:r>
          </w:p>
          <w:p w14:paraId="74D3DFFE" w14:textId="50B07F0A"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{0180;0030}</w:t>
            </w:r>
          </w:p>
        </w:tc>
        <w:tc>
          <w:tcPr>
            <w:tcW w:w="7406" w:type="dxa"/>
            <w:shd w:val="clear" w:color="auto" w:fill="FFFFFF"/>
          </w:tcPr>
          <w:p w14:paraId="6B6B1A57" w14:textId="58330F91"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Entidades — RWEA — Exposiciones según el método estándar</w:t>
            </w:r>
          </w:p>
          <w:p w14:paraId="7CE29C3B" w14:textId="5E2E21C8"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representan exposiciones según el método estándar frente a entidades, comprendidas en los artículos 119 a 121 del Reglamento (UE) n.º 575/2013.</w:t>
            </w:r>
          </w:p>
          <w:p w14:paraId="6FA68F7E" w14:textId="7949A67B"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{0180;0040}</w:t>
            </w:r>
          </w:p>
        </w:tc>
        <w:tc>
          <w:tcPr>
            <w:tcW w:w="7406" w:type="dxa"/>
            <w:shd w:val="clear" w:color="auto" w:fill="FFFFFF"/>
          </w:tcPr>
          <w:p w14:paraId="73DCBC6C" w14:textId="7593C5D5"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Entidades — RWEA — Exposiciones según el método IRB</w:t>
            </w:r>
          </w:p>
          <w:p w14:paraId="5E814575" w14:textId="18C95566"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son exposiciones según el método IRB frente a entidades comprendidas en el artículo 147, apartado 2, letra b), del Reglamento (UE) n.º 575/2013 y </w:t>
            </w:r>
            <w:r>
              <w:rPr>
                <w:sz w:val="24"/>
                <w:rFonts w:ascii="Times New Roman" w:hAnsi="Times New Roman"/>
              </w:rPr>
              <w:t xml:space="preserve">no</w:t>
            </w:r>
            <w:r>
              <w:rPr>
                <w:sz w:val="24"/>
                <w:rFonts w:ascii="Times New Roman" w:hAnsi="Times New Roman"/>
              </w:rPr>
              <w:t xml:space="preserve"> son exposiciones en forma de bonos garantizados según el artículo 161, apartado 1, letra d), de dicho Reglamento </w:t>
            </w:r>
            <w:r>
              <w:rPr>
                <w:sz w:val="24"/>
                <w:rFonts w:ascii="Times New Roman" w:hAnsi="Times New Roman"/>
              </w:rPr>
              <w:t xml:space="preserve">ni</w:t>
            </w:r>
            <w:r>
              <w:rPr>
                <w:sz w:val="24"/>
                <w:rFonts w:ascii="Times New Roman" w:hAnsi="Times New Roman"/>
              </w:rPr>
              <w:t xml:space="preserve"> se incluyen en el artículo 147, apartado 4, letra c), del mismo Reglamento.</w:t>
            </w:r>
          </w:p>
          <w:p w14:paraId="1830B0D9" w14:textId="127A9738"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{0190;0010}</w:t>
            </w:r>
          </w:p>
        </w:tc>
        <w:tc>
          <w:tcPr>
            <w:tcW w:w="7406" w:type="dxa"/>
            <w:shd w:val="clear" w:color="auto" w:fill="FFFFFF"/>
          </w:tcPr>
          <w:p w14:paraId="1DB57456" w14:textId="01AD74E9"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garantizadas con hipotecas sobre bienes inmuebles y AUE — Valor de exposición correspondiente a la ratio de apalancamiento — Exposiciones según el método estándar</w:t>
            </w:r>
          </w:p>
          <w:p w14:paraId="17D67F5E" w14:textId="7EDDE2D9"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según el método estándar garantizadas por hipotecas sobre bienes inmuebles y AUE, comprendidas en los artículos 124 y 126 </w:t>
            </w:r>
            <w:r>
              <w:rPr>
                <w:sz w:val="24"/>
                <w:i/>
                <w:iCs/>
                <w:rFonts w:ascii="Times New Roman" w:hAnsi="Times New Roman"/>
              </w:rPr>
              <w:t xml:space="preserve">bis</w:t>
            </w:r>
            <w:r>
              <w:rPr>
                <w:sz w:val="24"/>
                <w:rFonts w:ascii="Times New Roman" w:hAnsi="Times New Roman"/>
              </w:rPr>
              <w:t xml:space="preserve"> del Reglamento (UE) n.º 575/2013.</w:t>
            </w:r>
          </w:p>
          <w:p w14:paraId="4640B57D" w14:textId="7B28B7DF" w:rsidR="000A486B"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{0190;0020}</w:t>
            </w:r>
          </w:p>
        </w:tc>
        <w:tc>
          <w:tcPr>
            <w:tcW w:w="7406" w:type="dxa"/>
            <w:shd w:val="clear" w:color="auto" w:fill="FFFFFF"/>
          </w:tcPr>
          <w:p w14:paraId="65802FBC" w14:textId="3578B747"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garantizadas con hipotecas sobre bienes inmuebles y AUE — Valor de exposición correspondiente a la ratio de apalancamiento — Exposiciones según el método IRB</w:t>
            </w:r>
          </w:p>
          <w:p w14:paraId="61A2701B" w14:textId="449442F8" w:rsidR="001E1518"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representan exposiciones según el método IRB frente a empresas con arreglo al artículo 147, apartado 2, letra c), o exposiciones minoristas con arreglo al artículo 147, apartado 2, letra d), inciso ii), del Reglamento (UE) n.º 575/2013, si esas exposiciones están garantizadas por hipotecas sobre bienes inmuebles y AUE de conformidad con el artículo 199, apartado 1, letra a), de dicho Reglamento.</w:t>
            </w:r>
          </w:p>
          <w:p w14:paraId="1A4EAAD1" w14:textId="25F5CC11" w:rsidR="009C4E79"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{0190;0030}</w:t>
            </w:r>
          </w:p>
        </w:tc>
        <w:tc>
          <w:tcPr>
            <w:tcW w:w="7406" w:type="dxa"/>
            <w:shd w:val="clear" w:color="auto" w:fill="FFFFFF"/>
          </w:tcPr>
          <w:p w14:paraId="660D9FEE" w14:textId="6E11FD18"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garantizadas con hipotecas sobre bienes inmuebles y AUE — RWEA — Exposiciones según el método estándar</w:t>
            </w:r>
          </w:p>
          <w:p w14:paraId="7FD54199" w14:textId="06D9ED87"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Importe de la exposición ponderada por riesgo de los activos que representan exposiciones según el método estándar garantizadas por hipotecas sobre bienes inmuebles y AUE, comprendidas en los artículos 124 y 126 </w:t>
            </w:r>
            <w:r>
              <w:rPr>
                <w:sz w:val="24"/>
                <w:i/>
                <w:iCs/>
                <w:rFonts w:ascii="Times New Roman" w:hAnsi="Times New Roman"/>
              </w:rPr>
              <w:t xml:space="preserve">bis</w:t>
            </w:r>
            <w:r>
              <w:rPr>
                <w:sz w:val="24"/>
                <w:rFonts w:ascii="Times New Roman" w:hAnsi="Times New Roman"/>
              </w:rPr>
              <w:t xml:space="preserve"> del Reglamento (UE) n.º 575/2013.</w:t>
            </w:r>
          </w:p>
          <w:p w14:paraId="19AB0004" w14:textId="5017684F" w:rsidR="00086A8A"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b/>
                <w:bCs/>
                <w:sz w:val="24"/>
                <w:szCs w:val="24"/>
                <w:rFonts w:ascii="Times New Roman" w:hAnsi="Times New Roman"/>
              </w:rPr>
            </w:pPr>
            <w:r>
              <w:rPr>
                <w:b/>
                <w:sz w:val="24"/>
                <w:rFonts w:ascii="Times New Roman" w:hAnsi="Times New Roman"/>
              </w:rPr>
              <w:t xml:space="preserve">Exposiciones garantizadas con hipotecas sobre bienes inmuebles y AUE — RWEA — Exposiciones según el método IRB</w:t>
            </w:r>
            <w:r>
              <w:rPr>
                <w:b/>
                <w:sz w:val="24"/>
                <w:rFonts w:ascii="Times New Roman" w:hAnsi="Times New Roman"/>
              </w:rPr>
              <w:tab/>
            </w:r>
          </w:p>
          <w:p w14:paraId="7586DF94" w14:textId="718ACA78" w:rsidR="009C4E79"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Importe de la exposición ponderada por riesgo de los activos que representan exposiciones según el método IRB frente a empresas con arreglo al artículo 147, apartado 2, letra c), o exposiciones minoristas con arreglo al artículo 147, apartado 2, letra d), inciso ii), del Reglamento (UE) n.º 575/2013, si esas exposiciones están garantizadas por hipotecas sobre bienes inmuebles de conformidad con el artículo 199, apartado 1, letra a), de dicho Reglamento. Las entidades excluirán de su comunicación las exposiciones según el método IRB en situación de impago.</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{0200;0010}</w:t>
            </w:r>
          </w:p>
        </w:tc>
        <w:tc>
          <w:tcPr>
            <w:tcW w:w="7406" w:type="dxa"/>
            <w:shd w:val="clear" w:color="auto" w:fill="FFFFFF"/>
          </w:tcPr>
          <w:p w14:paraId="584E92BF" w14:textId="77777777" w:rsidR="00F4754B" w:rsidRPr="000B66BC" w:rsidRDefault="00920DD9"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Garantizadas por hipotecas sobre bienes inmuebles residenciales </w:t>
            </w:r>
            <w:r>
              <w:rPr>
                <w:b/>
                <w:sz w:val="24"/>
                <w:rFonts w:ascii="Times New Roman" w:hAnsi="Times New Roman"/>
              </w:rPr>
              <w:t xml:space="preserve">— Valor de exposición correspondiente a la ratio de apalancamiento — Exposiciones según el método estándar</w:t>
            </w:r>
          </w:p>
          <w:p w14:paraId="6D68CB80" w14:textId="74864D02"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plena y completamente garantizadas por hipotecas sobre bienes inmuebles residenciales, comprendidas en el artículo 125 del Reglamento (UE) n.º 575/2013.</w:t>
            </w:r>
          </w:p>
          <w:p w14:paraId="76AD85E4" w14:textId="268C492C" w:rsidR="002509B1"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{0200;0020}</w:t>
            </w:r>
          </w:p>
        </w:tc>
        <w:tc>
          <w:tcPr>
            <w:tcW w:w="7406" w:type="dxa"/>
            <w:shd w:val="clear" w:color="auto" w:fill="FFFFFF"/>
          </w:tcPr>
          <w:p w14:paraId="32703B14" w14:textId="77777777" w:rsidR="00F4754B" w:rsidRPr="000B66BC" w:rsidRDefault="00920DD9" w:rsidP="000B66BC">
            <w:pPr>
              <w:pStyle w:val="BodyText1"/>
              <w:spacing w:after="240" w:line="240" w:lineRule="auto"/>
              <w:rPr>
                <w:b/>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Garantizadas por hipotecas sobre bienes inmuebles residenciales</w:t>
            </w:r>
            <w:r>
              <w:rPr>
                <w:b/>
                <w:sz w:val="24"/>
                <w:rFonts w:ascii="Times New Roman" w:hAnsi="Times New Roman"/>
              </w:rPr>
              <w:t xml:space="preserve"> — Valor de exposición correspondiente a la ratio de apalancamiento</w:t>
            </w:r>
            <w:r>
              <w:rPr>
                <w:b/>
                <w:sz w:val="24"/>
                <w:rFonts w:ascii="Times New Roman" w:hAnsi="Times New Roman"/>
              </w:rPr>
              <w:t xml:space="preserve"> — Exposiciones según el método IRB</w:t>
            </w:r>
          </w:p>
          <w:p w14:paraId="225F5A50" w14:textId="002E067D"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empresas con arreglo al artículo 147, apartado 2, letra c), o exposiciones minoristas con arreglo al artículo 147, apartado 2, letra d), inciso ii), del Reglamento (UE) n.º 575/2013, si esas exposiciones están garantizadas por hipotecas sobre bienes inmuebles residenciales de conformidad con el artículo 199, apartado 1, letra a), de dicho Reglamento.</w:t>
            </w:r>
          </w:p>
          <w:p w14:paraId="3F187E7D" w14:textId="2026D8AC" w:rsidR="004B064A" w:rsidRPr="000B66BC" w:rsidDel="003A59D6"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{0200;0030}</w:t>
            </w:r>
          </w:p>
        </w:tc>
        <w:tc>
          <w:tcPr>
            <w:tcW w:w="7406" w:type="dxa"/>
            <w:shd w:val="clear" w:color="auto" w:fill="FFFFFF"/>
          </w:tcPr>
          <w:p w14:paraId="1C91D3EE" w14:textId="0C703C50" w:rsidR="00F4754B" w:rsidRPr="000B66BC" w:rsidRDefault="00920DD9"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Garantizadas por hipotecas sobre bienes inmuebles residenciales — RWEA — Exposiciones según el método estándar</w:t>
            </w:r>
          </w:p>
          <w:p w14:paraId="2432C156" w14:textId="00BB8CEE"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plena y completamente garantizadas por hipotecas sobre bienes inmuebles residenciales, comprendidas en el artículo 125 del Reglamento (UE) n.º 575/2013.</w:t>
            </w:r>
          </w:p>
          <w:p w14:paraId="26D9FFCE" w14:textId="4577953E"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{0200;0040}</w:t>
            </w:r>
          </w:p>
        </w:tc>
        <w:tc>
          <w:tcPr>
            <w:tcW w:w="7406" w:type="dxa"/>
            <w:shd w:val="clear" w:color="auto" w:fill="FFFFFF"/>
          </w:tcPr>
          <w:p w14:paraId="35F16AA3" w14:textId="7277D856" w:rsidR="00F4754B" w:rsidRPr="000B66BC" w:rsidRDefault="00920DD9"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Garantizadas por hipotecas sobre bienes inmuebles residenciales — RWEA — Exposiciones según el método IRB</w:t>
            </w:r>
          </w:p>
          <w:p w14:paraId="17020383" w14:textId="27BD45C5"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IRB frente a empresas con arreglo al artículo 147, apartado 2, letra c), o exposiciones minoristas con arreglo al artículo 147, apartado 2, letra d), inciso ii), del Reglamento (UE) n.º 575/2013, si esas exposiciones están garantizadas por hipotecas sobre bienes inmuebles residenciales de conformidad con el artículo 199, apartado 1, letra a), de dicho Reglamento.</w:t>
            </w:r>
          </w:p>
          <w:p w14:paraId="434D72CF" w14:textId="69DE627D" w:rsidR="004250C0"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{0210;0010}</w:t>
            </w:r>
          </w:p>
        </w:tc>
        <w:tc>
          <w:tcPr>
            <w:tcW w:w="7406" w:type="dxa"/>
            <w:shd w:val="clear" w:color="auto" w:fill="FFFFFF"/>
          </w:tcPr>
          <w:p w14:paraId="29F4D22F" w14:textId="0AFB67CF"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minoristas</w:t>
            </w:r>
            <w:r>
              <w:rPr>
                <w:b/>
                <w:sz w:val="24"/>
                <w:rFonts w:ascii="Times New Roman" w:hAnsi="Times New Roman"/>
              </w:rPr>
              <w:t xml:space="preserve"> — Valor de exposición correspondiente a la ratio de apalancamiento — Exposiciones según el método estándar</w:t>
            </w:r>
          </w:p>
          <w:p w14:paraId="1C50F3CF" w14:textId="232A5189"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minoristas según el método estándar, comprendidas en el artículo 123 del Reglamento (UE) n.º 575/2013.</w:t>
            </w:r>
          </w:p>
          <w:p w14:paraId="467BDCEC" w14:textId="6EA2353B" w:rsidR="002509B1"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{0210;0020}</w:t>
            </w:r>
          </w:p>
        </w:tc>
        <w:tc>
          <w:tcPr>
            <w:tcW w:w="7406" w:type="dxa"/>
            <w:shd w:val="clear" w:color="auto" w:fill="FFFFFF"/>
          </w:tcPr>
          <w:p w14:paraId="31A6BB5D" w14:textId="22D5A816"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minoristas</w:t>
            </w:r>
            <w:r>
              <w:rPr>
                <w:b/>
                <w:sz w:val="24"/>
                <w:rFonts w:ascii="Times New Roman" w:hAnsi="Times New Roman"/>
              </w:rPr>
              <w:t xml:space="preserve"> — Valor de exposición correspondiente a la ratio de apalancamiento</w:t>
            </w:r>
            <w:r>
              <w:rPr>
                <w:b/>
                <w:sz w:val="24"/>
                <w:rFonts w:ascii="Times New Roman" w:hAnsi="Times New Roman"/>
              </w:rPr>
              <w:t xml:space="preserve"> — Exposiciones según el método IRB</w:t>
            </w:r>
          </w:p>
          <w:p w14:paraId="2F48B2D6" w14:textId="33692B94"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minoristas según el método IRB con arreglo al artículo 147, apartado 2, letra d), incisos i), iii) y iv), del Reglamento (UE) n.º 575/2013, si tales exposiciones no están garantizadas por hipotecas sobre bienes inmuebles de conformidad con el artículo 199, apartado 1, letra a), de dicho Reglamento.</w:t>
            </w:r>
          </w:p>
          <w:p w14:paraId="3E24EEB1" w14:textId="56A3B7C1" w:rsidR="002509B1"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{0210;0030}</w:t>
            </w:r>
          </w:p>
        </w:tc>
        <w:tc>
          <w:tcPr>
            <w:tcW w:w="7406" w:type="dxa"/>
            <w:shd w:val="clear" w:color="auto" w:fill="FFFFFF"/>
          </w:tcPr>
          <w:p w14:paraId="289B0ED6" w14:textId="3F634A78"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minoristas — RWEA — Exposiciones según el método estándar</w:t>
            </w:r>
          </w:p>
          <w:p w14:paraId="078B0D1B" w14:textId="64B99A17"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minoristas según el método estándar, comprendidas en el artículo 123 del Reglamento (UE) n.º 575/2013.</w:t>
            </w:r>
          </w:p>
          <w:p w14:paraId="32C0AC0A" w14:textId="1D4C9F45"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{0210;0040}</w:t>
            </w:r>
          </w:p>
        </w:tc>
        <w:tc>
          <w:tcPr>
            <w:tcW w:w="7406" w:type="dxa"/>
            <w:shd w:val="clear" w:color="auto" w:fill="FFFFFF"/>
          </w:tcPr>
          <w:p w14:paraId="3829C860" w14:textId="1B4CBE35"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minoristas — RWEA — Exposiciones según el método IRB</w:t>
            </w:r>
          </w:p>
          <w:p w14:paraId="270C61EF" w14:textId="63E1319E"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minoristas según el método IRB con arreglo al artículo 147, apartado 2, letra d), incisos i), iii) y iv), del Reglamento (UE) n.º 575/2013, si tales exposiciones no están garantizadas por hipotecas sobre bienes inmuebles de conformidad con el artículo 199, apartado 1, letra a), de dicho Reglamento.</w:t>
            </w:r>
          </w:p>
          <w:p w14:paraId="46460615" w14:textId="10D30752"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{0220;0010}</w:t>
            </w:r>
          </w:p>
        </w:tc>
        <w:tc>
          <w:tcPr>
            <w:tcW w:w="7406" w:type="dxa"/>
            <w:shd w:val="clear" w:color="auto" w:fill="FFFFFF"/>
          </w:tcPr>
          <w:p w14:paraId="7AF700CC" w14:textId="77777777" w:rsidR="00F4754B" w:rsidRPr="000B66BC" w:rsidRDefault="00920DD9" w:rsidP="000B66BC">
            <w:pPr>
              <w:pStyle w:val="BodyText1"/>
              <w:spacing w:after="240" w:line="240" w:lineRule="auto"/>
              <w:rPr>
                <w:b/>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Exposiciones minoristas frente a pymes — Valor de exposición correspondiente a la ratio de apalancamiento — Exposiciones según el método estándar</w:t>
            </w:r>
          </w:p>
          <w:p w14:paraId="30054418" w14:textId="51396120" w:rsidR="00BB5324"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minoristas según el método estándar frente a pequeñas y medianas empresas, comprendidas en el artículo 123 del Reglamento (UE) n.º 575/2013.</w:t>
            </w:r>
          </w:p>
          <w:p w14:paraId="55120FDB" w14:textId="214FE397" w:rsidR="004B653A" w:rsidRPr="000B66BC" w:rsidRDefault="004B653A"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esta celda, las entidades usarán el término «pequeñas y medianas empresas» según se define en el artículo 501, apartado 2, letra b), del Reglamento (UE) n.º 575/2013.</w:t>
            </w:r>
          </w:p>
          <w:p w14:paraId="4231C6F4" w14:textId="7E0CACE5" w:rsidR="002509B1" w:rsidRPr="000B66BC" w:rsidRDefault="00086A8A"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{0220;0020}</w:t>
            </w:r>
          </w:p>
        </w:tc>
        <w:tc>
          <w:tcPr>
            <w:tcW w:w="7406" w:type="dxa"/>
            <w:shd w:val="clear" w:color="auto" w:fill="FFFFFF"/>
          </w:tcPr>
          <w:p w14:paraId="08A88D6A" w14:textId="77777777" w:rsidR="00F4754B" w:rsidRPr="000B66BC" w:rsidRDefault="00920DD9"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Exposiciones minoristas frente a pymes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781E0C73" w14:textId="533752F7"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minoristas según el método IRB con arreglo al artículo 147, apartado 2, letra d), incisos i), iii) y iv), del Reglamento (UE) n.º 575/2013, si tales exposiciones son exposiciones frente a pequeñas y medianas y no están garantizadas por hipotecas sobre bienes inmuebles de conformidad con el artículo 199, apartado 1, letra a), de dicho Reglamento.</w:t>
            </w:r>
          </w:p>
          <w:p w14:paraId="33D07FA1" w14:textId="0C76B163" w:rsidR="004B653A" w:rsidRPr="000B66BC" w:rsidRDefault="004B653A"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esta celda, las entidades usarán el término «pequeñas y medianas empresas» según se define en el artículo 501, apartado 2, letra b), del Reglamento (UE) n.º 575/2013.</w:t>
            </w:r>
          </w:p>
          <w:p w14:paraId="04884D64" w14:textId="407FECC5" w:rsidR="002509B1" w:rsidRPr="000B66BC" w:rsidDel="00EC6E42"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{0220;0030}</w:t>
            </w:r>
          </w:p>
        </w:tc>
        <w:tc>
          <w:tcPr>
            <w:tcW w:w="7406" w:type="dxa"/>
            <w:shd w:val="clear" w:color="auto" w:fill="FFFFFF"/>
          </w:tcPr>
          <w:p w14:paraId="54B8F22A" w14:textId="1D4B13D9" w:rsidR="002509B1" w:rsidRPr="000B66BC" w:rsidRDefault="00920DD9"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Exposiciones minoristas frente a pymes —RWEA — Exposiciones según el método estándar</w:t>
            </w:r>
          </w:p>
          <w:p w14:paraId="6A3FD743" w14:textId="06AB1830" w:rsidR="00BB5324"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minoristas frente a pequeñas y medianas empresas según el método estándar, comprendidas en el artículo 123 del Reglamento (UE) n.º 575/2013.</w:t>
            </w:r>
          </w:p>
          <w:p w14:paraId="550AD4D7" w14:textId="6CCB9C03" w:rsidR="00086A8A" w:rsidRPr="000B66BC" w:rsidRDefault="004B653A"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esta celda, las entidades usarán el término «pequeñas y medianas empresas» según se define en el artículo 501, apartado 2, letra b), del Reglamento (UE) n.º 575/2013.</w:t>
            </w:r>
          </w:p>
          <w:p w14:paraId="1B6B32F8" w14:textId="14F01D19"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{0220;0040}</w:t>
            </w:r>
          </w:p>
        </w:tc>
        <w:tc>
          <w:tcPr>
            <w:tcW w:w="7406" w:type="dxa"/>
            <w:shd w:val="clear" w:color="auto" w:fill="FFFFFF"/>
          </w:tcPr>
          <w:p w14:paraId="59E62599" w14:textId="6893B06F" w:rsidR="00F4754B" w:rsidRPr="000B66BC" w:rsidRDefault="00920DD9"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Exposiciones minoristas frente a pymes —RWEA — Exposiciones según el método IRB</w:t>
            </w:r>
          </w:p>
          <w:p w14:paraId="4092922E" w14:textId="4FF18F2A" w:rsidR="00BB5324"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minoristas según el método IRB con arreglo al artículo 147, apartado 2, letra d), incisos i), iii) y iv), del Reglamento (UE) n.º 575/2013, si tales exposiciones son exposiciones frente a pequeñas y medianas y no están garantizadas por hipotecas sobre bienes inmuebles de conformidad con el artículo 199, apartado 1, letra a), de dicho Reglamento.</w:t>
            </w:r>
          </w:p>
          <w:p w14:paraId="51FEC3D4" w14:textId="010E27FC" w:rsidR="004B653A" w:rsidRPr="000B66BC" w:rsidRDefault="004B653A"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esta celda, las entidades usarán el término «pequeñas y medianas empresas» según se define en el artículo 501, apartado 2, letra b), del Reglamento (UE) n.º 575/2013.</w:t>
            </w:r>
          </w:p>
          <w:p w14:paraId="15449195" w14:textId="06E7A313"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{0230;0010}</w:t>
            </w:r>
          </w:p>
        </w:tc>
        <w:tc>
          <w:tcPr>
            <w:tcW w:w="7406" w:type="dxa"/>
            <w:shd w:val="clear" w:color="auto" w:fill="FFFFFF"/>
          </w:tcPr>
          <w:p w14:paraId="73CCE449" w14:textId="775C5A74"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Empresas </w:t>
            </w:r>
            <w:r>
              <w:rPr>
                <w:b/>
                <w:sz w:val="24"/>
                <w:rFonts w:ascii="Times New Roman" w:hAnsi="Times New Roman"/>
              </w:rPr>
              <w:t xml:space="preserve">— Valor de exposición correspondiente a la ratio de apalancamiento — Exposiciones según el método estándar</w:t>
            </w:r>
          </w:p>
          <w:p w14:paraId="4918C822" w14:textId="3B8F07B4" w:rsidR="00F4754B" w:rsidRPr="000B66BC" w:rsidRDefault="00F4754B" w:rsidP="000B66BC">
            <w:pPr>
              <w:pStyle w:val="BodyText1"/>
              <w:spacing w:after="240" w:line="240" w:lineRule="auto"/>
              <w:rPr>
                <w:sz w:val="24"/>
                <w:szCs w:val="24"/>
                <w:rFonts w:ascii="Times New Roman" w:hAnsi="Times New Roman"/>
              </w:rPr>
            </w:pPr>
            <w:r>
              <w:rPr>
                <w:sz w:val="24"/>
                <w:rFonts w:ascii="Times New Roman" w:hAnsi="Times New Roman"/>
              </w:rPr>
              <w:t xml:space="preserve">Es la suma de {0240,0010} y {0250,0010}.</w:t>
            </w:r>
          </w:p>
          <w:p w14:paraId="0E0CFA07" w14:textId="6CB7CDAF"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{0230;0020}</w:t>
            </w:r>
          </w:p>
        </w:tc>
        <w:tc>
          <w:tcPr>
            <w:tcW w:w="7406" w:type="dxa"/>
            <w:shd w:val="clear" w:color="auto" w:fill="FFFFFF"/>
          </w:tcPr>
          <w:p w14:paraId="6362ED1C" w14:textId="48ECB6BB"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Empresas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3219ACC2" w14:textId="4FF4B098"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{0240,0020} y {0250,0020}.</w:t>
            </w:r>
          </w:p>
          <w:p w14:paraId="4E2F97BD" w14:textId="057F742F"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{0230;0030}</w:t>
            </w:r>
          </w:p>
        </w:tc>
        <w:tc>
          <w:tcPr>
            <w:tcW w:w="7406" w:type="dxa"/>
            <w:shd w:val="clear" w:color="auto" w:fill="FFFFFF"/>
          </w:tcPr>
          <w:p w14:paraId="44E9C1D0" w14:textId="47E5782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Empresas — RWEA — Exposiciones según el método estándar</w:t>
            </w:r>
          </w:p>
          <w:p w14:paraId="327E6857" w14:textId="7197BBC3"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{0240,0030} y {0250,0030}.</w:t>
            </w:r>
          </w:p>
          <w:p w14:paraId="730ED24A" w14:textId="291AC1EA"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{0230;0040}</w:t>
            </w:r>
          </w:p>
        </w:tc>
        <w:tc>
          <w:tcPr>
            <w:tcW w:w="7406" w:type="dxa"/>
            <w:shd w:val="clear" w:color="auto" w:fill="FFFFFF"/>
          </w:tcPr>
          <w:p w14:paraId="0B759A94" w14:textId="0A1DE6FC"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Empresas — RWEA — Exposiciones según el método IRB</w:t>
            </w:r>
          </w:p>
          <w:p w14:paraId="1D494120" w14:textId="6A9832C6"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{0240,0040} y {0250,0040}.</w:t>
            </w:r>
          </w:p>
          <w:p w14:paraId="1F4A9AA4" w14:textId="53069870"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{0240;0010}</w:t>
            </w:r>
          </w:p>
        </w:tc>
        <w:tc>
          <w:tcPr>
            <w:tcW w:w="7406" w:type="dxa"/>
            <w:shd w:val="clear" w:color="auto" w:fill="FFFFFF"/>
          </w:tcPr>
          <w:p w14:paraId="6E90DECA" w14:textId="3F12F294"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Financieras — Valor de exposición correspondiente a la ratio de apalancamiento — Exposiciones según el método estándar</w:t>
            </w:r>
          </w:p>
          <w:p w14:paraId="7CAB4F9A" w14:textId="1720AD57" w:rsidR="008A5C87"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frente a empresas financieras, comprendidas en el artículo 122 del Reglamento (UE) n.º 575/2013.</w:t>
            </w:r>
          </w:p>
          <w:p w14:paraId="48ACEE9F" w14:textId="5BA69E53"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la comunicación en LR4, se entenderá por empresas financieras las empresas reguladas y no reguladas, distintas de las entidades mencionadas en {0180;0010}, cuya actividad principal sea la adquisición de participaciones o la realización de una o varias de las actividades enumeradas en el anexo I de la Directiva 2013/36/UE, así como las empresas definidas en el artículo 4, apartado 1, punto 27, del Reglamento (UE) n.º 575/2013 distintas de las entidades mencionadas en {0180;0010}.</w:t>
            </w:r>
            <w:r>
              <w:rPr>
                <w:sz w:val="24"/>
                <w:rFonts w:ascii="Times New Roman" w:hAnsi="Times New Roman"/>
              </w:rPr>
              <w:t xml:space="preserve"> </w:t>
            </w:r>
          </w:p>
          <w:p w14:paraId="34C751F5" w14:textId="603A8953"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{0240;0020}</w:t>
            </w:r>
          </w:p>
        </w:tc>
        <w:tc>
          <w:tcPr>
            <w:tcW w:w="7406" w:type="dxa"/>
            <w:shd w:val="clear" w:color="auto" w:fill="FFFFFF"/>
          </w:tcPr>
          <w:p w14:paraId="4094858A"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Financieras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058EB000" w14:textId="0F13A073" w:rsidR="008A5C87"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empresas financieras con arreglo al artículo 147, apartado 2, letra c), del Reglamento (UE) n.º 575/2013, si tales exposiciones no están garantizadas por hipotecas sobre bienes inmuebles de conformidad con el artículo 199, apartado 1, letra a), de dicho Reglamento.</w:t>
            </w:r>
          </w:p>
          <w:p w14:paraId="07B8C8CE" w14:textId="7EFF1698"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la comunicación en LR4, se entenderá por empresas financieras las empresas reguladas y no reguladas, distintas de las entidades mencionadas en {0180;0010}, cuya actividad principal sea la adquisición de participaciones o la realización de una o varias de las actividades enumeradas en el anexo I de la Directiva 2013/36/UE, así como las empresas definidas en el artículo 4, apartado 1, punto 27, del Reglamento (UE) n.º 575/2013 distintas de las entidades mencionadas en {0180;0010}.</w:t>
            </w:r>
            <w:r>
              <w:rPr>
                <w:sz w:val="24"/>
                <w:rFonts w:ascii="Times New Roman" w:hAnsi="Times New Roman"/>
              </w:rPr>
              <w:t xml:space="preserve"> </w:t>
            </w:r>
          </w:p>
          <w:p w14:paraId="51655C6D" w14:textId="31474CF4"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{0240;0030}</w:t>
            </w:r>
          </w:p>
        </w:tc>
        <w:tc>
          <w:tcPr>
            <w:tcW w:w="7406" w:type="dxa"/>
            <w:shd w:val="clear" w:color="auto" w:fill="FFFFFF"/>
          </w:tcPr>
          <w:p w14:paraId="3EFA5487" w14:textId="705A4662"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Financieras — RWEA — Exposiciones según el método estándar</w:t>
            </w:r>
          </w:p>
          <w:p w14:paraId="08FF6980" w14:textId="1B12B59D" w:rsidR="008A5C87"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frente a empresas financieras, comprendidas en el artículo 122 del Reglamento (UE) n.º 575/2013.</w:t>
            </w:r>
          </w:p>
          <w:p w14:paraId="4DE325F6" w14:textId="37CE0D32"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la comunicación en LR4, se entenderá por empresas financieras las empresas reguladas y no reguladas, distintas de las entidades mencionadas en {0180;0010}, cuya actividad principal sea la adquisición de participaciones o la realización de una o varias de las actividades enumeradas en el anexo I de la Directiva 2013/36/UE, así como las empresas definidas en el artículo 4, apartado 1, punto 27, del Reglamento (UE) n.º 575/2013 distintas de las entidades mencionadas en {0180;0010}.</w:t>
            </w:r>
            <w:r>
              <w:rPr>
                <w:sz w:val="24"/>
                <w:rFonts w:ascii="Times New Roman" w:hAnsi="Times New Roman"/>
              </w:rPr>
              <w:t xml:space="preserve"> </w:t>
            </w:r>
          </w:p>
          <w:p w14:paraId="6B38D45F" w14:textId="591397CC"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{0240;0040}</w:t>
            </w:r>
          </w:p>
        </w:tc>
        <w:tc>
          <w:tcPr>
            <w:tcW w:w="7406" w:type="dxa"/>
            <w:shd w:val="clear" w:color="auto" w:fill="FFFFFF"/>
          </w:tcPr>
          <w:p w14:paraId="0D42EAF2" w14:textId="4C7FF3CE"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Financieras — RWEA — Exposiciones según el método IRB</w:t>
            </w:r>
          </w:p>
          <w:p w14:paraId="2E63CDE0" w14:textId="17E55BEE" w:rsidR="008A5C87"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IRB frente a empresas financieras con arreglo al artículo 147, apartado 2, letra c), del Reglamento (UE) n.º 575/2013, si tales exposiciones no están garantizadas por hipotecas sobre bienes inmuebles de conformidad con el artículo 199, apartado 1, letra a), de dicho Reglamento.</w:t>
            </w:r>
          </w:p>
          <w:p w14:paraId="717CB3D1" w14:textId="55046D16"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la comunicación en LR4, se entenderá por empresas financieras las empresas reguladas y no reguladas, distintas de las entidades mencionadas en {0180;0010}, cuya actividad principal sea la adquisición de participaciones o la realización de una o varias de las actividades enumeradas en el anexo I de la Directiva 2013/36/UE, así como las empresas definidas en el artículo 4, apartado 1, punto 27, del Reglamento (UE) n.º 575/2013 distintas de las entidades mencionadas en {0180;0010}.</w:t>
            </w:r>
          </w:p>
          <w:p w14:paraId="46CE9414" w14:textId="0957AC2F"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{0250;0010}</w:t>
            </w:r>
          </w:p>
        </w:tc>
        <w:tc>
          <w:tcPr>
            <w:tcW w:w="7406" w:type="dxa"/>
            <w:shd w:val="clear" w:color="auto" w:fill="FFFFFF"/>
          </w:tcPr>
          <w:p w14:paraId="50FEF333" w14:textId="081F5C0C" w:rsidR="00F4754B" w:rsidRPr="000B66BC" w:rsidRDefault="00CD1DA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No financieras</w:t>
            </w:r>
            <w:r>
              <w:rPr>
                <w:b/>
                <w:sz w:val="24"/>
                <w:rFonts w:ascii="Times New Roman" w:hAnsi="Times New Roman"/>
              </w:rPr>
              <w:t xml:space="preserve"> — Valor de exposición correspondiente a la ratio de apalancamiento</w:t>
            </w:r>
            <w:r>
              <w:rPr>
                <w:b/>
                <w:sz w:val="24"/>
                <w:rFonts w:ascii="Times New Roman" w:hAnsi="Times New Roman"/>
              </w:rPr>
              <w:t xml:space="preserve"> — Exposiciones según el método estándar</w:t>
            </w:r>
          </w:p>
          <w:p w14:paraId="79750DB3" w14:textId="25D9C49A" w:rsidR="00FA71D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frente a empresas no financieras, comprendidas en el artículo 122 del Reglamento (UE) n.º 575/2013.</w:t>
            </w:r>
          </w:p>
          <w:p w14:paraId="1A9B7F32" w14:textId="42798EB9"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{0260,0010} y {0270,0010}.</w:t>
            </w:r>
          </w:p>
          <w:p w14:paraId="69CDF75C" w14:textId="4C652EE4"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{0250;0020}</w:t>
            </w:r>
          </w:p>
        </w:tc>
        <w:tc>
          <w:tcPr>
            <w:tcW w:w="7406" w:type="dxa"/>
            <w:shd w:val="clear" w:color="auto" w:fill="FFFFFF"/>
          </w:tcPr>
          <w:p w14:paraId="25E6520A" w14:textId="3CB20ED1" w:rsidR="00F4754B" w:rsidRPr="000B66BC" w:rsidRDefault="00CD1DA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No financieras</w:t>
            </w:r>
            <w:r>
              <w:rPr>
                <w:b/>
                <w:sz w:val="24"/>
                <w:rFonts w:ascii="Times New Roman" w:hAnsi="Times New Roman"/>
              </w:rPr>
              <w:t xml:space="preserve"> — Valor de exposición correspondiente a la ratio de apalancamiento</w:t>
            </w:r>
            <w:r>
              <w:rPr>
                <w:b/>
                <w:sz w:val="24"/>
                <w:rFonts w:ascii="Times New Roman" w:hAnsi="Times New Roman"/>
              </w:rPr>
              <w:t xml:space="preserve"> — Exposiciones según el método estándar</w:t>
            </w:r>
          </w:p>
          <w:p w14:paraId="1615C090" w14:textId="04C77CB2" w:rsidR="00BE6AC4"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empresas no financieras con arreglo al artículo 147, apartado 2, letra c), del Reglamento (UE) n.º 575/2013, si tales exposiciones no están garantizadas por hipotecas sobre bienes inmuebles de conformidad con el artículo 199, apartado 1, letra a), de dicho Reglamento.</w:t>
            </w:r>
          </w:p>
          <w:p w14:paraId="5B891D71" w14:textId="425CD8A7"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{0260,0020} y {0270,0020}.</w:t>
            </w:r>
          </w:p>
          <w:p w14:paraId="4A94BD25" w14:textId="7EF0446C"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{0250;0030}</w:t>
            </w:r>
          </w:p>
        </w:tc>
        <w:tc>
          <w:tcPr>
            <w:tcW w:w="7406" w:type="dxa"/>
            <w:shd w:val="clear" w:color="auto" w:fill="FFFFFF"/>
          </w:tcPr>
          <w:p w14:paraId="68E7D79C" w14:textId="33D6CD05" w:rsidR="00F4754B" w:rsidRPr="000B66BC" w:rsidRDefault="00CD1DA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No financieras — RWEA — Exposiciones según el método estándar</w:t>
            </w:r>
          </w:p>
          <w:p w14:paraId="49E48609" w14:textId="74077D5F"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frente a empresas no financieras, comprendidas en el artículo 122 del Reglamento (UE) n.º 575/2013.</w:t>
            </w:r>
          </w:p>
          <w:p w14:paraId="11F55E3D" w14:textId="2D4C4F8A"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{0260,0030} y {0270,0030}.</w:t>
            </w:r>
          </w:p>
          <w:p w14:paraId="153E6308" w14:textId="63943BB8" w:rsidR="002509B1" w:rsidRPr="000B66BC" w:rsidDel="00504CFF"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{0250;0040}</w:t>
            </w:r>
          </w:p>
        </w:tc>
        <w:tc>
          <w:tcPr>
            <w:tcW w:w="7406" w:type="dxa"/>
            <w:shd w:val="clear" w:color="auto" w:fill="FFFFFF"/>
          </w:tcPr>
          <w:p w14:paraId="2B0BB9F0" w14:textId="041EA5D1" w:rsidR="00F4754B" w:rsidRPr="000B66BC" w:rsidRDefault="00CD1DA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No financieras — RWEA — Exposiciones según el método IRB</w:t>
            </w:r>
          </w:p>
          <w:p w14:paraId="4DD9CC03" w14:textId="609E2BFE" w:rsidR="00FA71D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IRB frente a empresas no financieras con arreglo al artículo 147, apartado 2, letra c), del Reglamento (UE) n.º 575/2013, si tales exposiciones no están garantizadas por hipotecas sobre bienes inmuebles de conformidad con el artículo 199, apartado 1, letra a), de dicho Reglamento.</w:t>
            </w:r>
          </w:p>
          <w:p w14:paraId="072F6C8B" w14:textId="7E5B0C7D"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Es la suma de {0260,0040} y {0270,0040}.</w:t>
            </w:r>
          </w:p>
          <w:p w14:paraId="2B36DB12" w14:textId="48954611" w:rsidR="002509B1" w:rsidRPr="000B66BC" w:rsidDel="00504CFF"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{0260;0010}</w:t>
            </w:r>
          </w:p>
        </w:tc>
        <w:tc>
          <w:tcPr>
            <w:tcW w:w="7406" w:type="dxa"/>
            <w:shd w:val="clear" w:color="auto" w:fill="FFFFFF"/>
          </w:tcPr>
          <w:p w14:paraId="16D3DD87" w14:textId="77777777" w:rsidR="00F4754B" w:rsidRPr="000B66BC" w:rsidRDefault="00F4754B" w:rsidP="000B66BC">
            <w:pPr>
              <w:pStyle w:val="BodyText1"/>
              <w:spacing w:after="240" w:line="240" w:lineRule="auto"/>
              <w:rPr>
                <w:b/>
                <w:sz w:val="24"/>
                <w:szCs w:val="24"/>
                <w:rFonts w:ascii="Times New Roman" w:hAnsi="Times New Roman"/>
              </w:rPr>
            </w:pPr>
            <w:r>
              <w:rPr>
                <w:b/>
                <w:sz w:val="24"/>
                <w:rFonts w:ascii="Times New Roman" w:hAnsi="Times New Roman"/>
              </w:rPr>
              <w:t xml:space="preserve">Exposiciones frente a pymes — Valor de exposición correspondiente a la ratio de apalancamiento — Exposiciones según el método estándar</w:t>
            </w:r>
          </w:p>
          <w:p w14:paraId="1237A324" w14:textId="2F0A86F1"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frente a empresas que sean pequeñas y medianas empresas, comprendidas en el artículo 122 del Reglamento (UE) n.º 575/2013.</w:t>
            </w:r>
          </w:p>
          <w:p w14:paraId="5E29251B" w14:textId="41E792F5" w:rsidR="00086A8A" w:rsidRPr="000B66BC" w:rsidRDefault="004F39F5"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esta celda, las entidades usarán el término «pequeñas y medianas empresas» según se define en el artículo 501, apartado 2, letra b), del Reglamento (UE) n.º 575/2013.</w:t>
            </w:r>
          </w:p>
          <w:p w14:paraId="5FAEA464" w14:textId="7B77BBC5" w:rsidR="002509B1"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{0260;0020}</w:t>
            </w:r>
          </w:p>
        </w:tc>
        <w:tc>
          <w:tcPr>
            <w:tcW w:w="7406" w:type="dxa"/>
            <w:shd w:val="clear" w:color="auto" w:fill="FFFFFF"/>
          </w:tcPr>
          <w:p w14:paraId="4E8AC377"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pymes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16526905" w14:textId="7BC27B48" w:rsidR="00FA71D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empresas con arreglo al artículo 147, apartado 2, letra c), del Reglamento (UE) n.º 575/2013, si tales exposiciones son exposiciones frente a pequeñas y medianas empresas y no están garantizadas por hipotecas sobre bienes inmuebles de conformidad con el artículo 199, apartado 1, letra a), de dicho Reglamento.</w:t>
            </w:r>
          </w:p>
          <w:p w14:paraId="729394D8" w14:textId="6F0084BF" w:rsidR="002509B1" w:rsidRPr="000B66BC" w:rsidRDefault="004F39F5"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A efectos de esta celda, las entidades usarán el término «pequeñas y medianas empresas» según se define en el artículo 501, apartado 2, letra b), del Reglamento (UE) n.º 575/2013.</w:t>
            </w:r>
          </w:p>
          <w:p w14:paraId="542463BD" w14:textId="165C2619" w:rsidR="009C4E79" w:rsidRPr="000B66BC" w:rsidDel="00504CFF"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{0260;0030}</w:t>
            </w:r>
          </w:p>
        </w:tc>
        <w:tc>
          <w:tcPr>
            <w:tcW w:w="7406" w:type="dxa"/>
            <w:shd w:val="clear" w:color="auto" w:fill="FFFFFF"/>
          </w:tcPr>
          <w:p w14:paraId="0D365078" w14:textId="540263EE"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pymes — RWEA — Exposiciones según el método estándar</w:t>
            </w:r>
          </w:p>
          <w:p w14:paraId="47967B81" w14:textId="01F17C84" w:rsidR="00FA71D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frente a empresas que sean pequeñas y medianas empresas, comprendidas en el artículo 122 del Reglamento (UE) n.º 575/2013.</w:t>
            </w:r>
          </w:p>
          <w:p w14:paraId="4E35047C" w14:textId="28428170" w:rsidR="00086A8A" w:rsidRPr="000B66BC" w:rsidRDefault="004F39F5"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esta celda, las entidades usarán el término «pequeñas y medianas empresas» según se define en el artículo 501, apartado 2, letra b), del Reglamento (UE) n.º 575/2013.</w:t>
            </w:r>
          </w:p>
          <w:p w14:paraId="2B25463D" w14:textId="56CC7FBB"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{0260;0040}</w:t>
            </w:r>
          </w:p>
        </w:tc>
        <w:tc>
          <w:tcPr>
            <w:tcW w:w="7406" w:type="dxa"/>
            <w:shd w:val="clear" w:color="auto" w:fill="FFFFFF"/>
          </w:tcPr>
          <w:p w14:paraId="72107293" w14:textId="2B92F95D"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pymes — RWEA — Exposiciones según el método IRB</w:t>
            </w:r>
          </w:p>
          <w:p w14:paraId="61D071ED" w14:textId="4B1E17FE" w:rsidR="00FA71D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IRB frente a empresas con arreglo al artículo 147, apartado 2, letra c), del Reglamento (UE) n.º 575/2013, si tales exposiciones son exposiciones frente a pequeñas y medianas empresas y no están garantizadas por hipotecas sobre bienes inmuebles de conformidad con el artículo 199, apartado 1, letra a), de dicho Reglamento.</w:t>
            </w:r>
          </w:p>
          <w:p w14:paraId="14AF8756" w14:textId="5C8B38D3" w:rsidR="004F39F5" w:rsidRPr="000B66BC" w:rsidRDefault="004F39F5" w:rsidP="000B66BC">
            <w:pPr>
              <w:pStyle w:val="BodyText1"/>
              <w:spacing w:after="240" w:line="240" w:lineRule="auto"/>
              <w:rPr>
                <w:bCs/>
                <w:sz w:val="24"/>
                <w:szCs w:val="24"/>
                <w:rFonts w:ascii="Times New Roman" w:hAnsi="Times New Roman"/>
              </w:rPr>
            </w:pPr>
            <w:r>
              <w:rPr>
                <w:sz w:val="24"/>
                <w:rFonts w:ascii="Times New Roman" w:hAnsi="Times New Roman"/>
              </w:rPr>
              <w:t xml:space="preserve">A efectos de esta celda, las entidades usarán el término «pequeñas y medianas empresas» según se define en el artículo 501, apartado 2, letra b), del Reglamento (UE) n.º 575/2013.</w:t>
            </w:r>
          </w:p>
          <w:p w14:paraId="0EF08F24" w14:textId="18E4DC92"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{0270;0010}</w:t>
            </w:r>
          </w:p>
        </w:tc>
        <w:tc>
          <w:tcPr>
            <w:tcW w:w="7406" w:type="dxa"/>
            <w:shd w:val="clear" w:color="auto" w:fill="FFFFFF"/>
          </w:tcPr>
          <w:p w14:paraId="368904F3" w14:textId="1EEE993E" w:rsidR="002509B1" w:rsidRPr="000B66BC" w:rsidRDefault="00BE6AC4" w:rsidP="000B66BC">
            <w:pPr>
              <w:pStyle w:val="BodyText1"/>
              <w:spacing w:after="240" w:line="240" w:lineRule="auto"/>
              <w:rPr>
                <w:b/>
                <w:sz w:val="24"/>
                <w:szCs w:val="24"/>
                <w:rFonts w:ascii="Times New Roman" w:hAnsi="Times New Roman"/>
              </w:rPr>
            </w:pPr>
            <w:r>
              <w:rPr>
                <w:b/>
                <w:sz w:val="24"/>
                <w:rFonts w:ascii="Times New Roman" w:hAnsi="Times New Roman"/>
              </w:rPr>
              <w:t xml:space="preserve">Exposiciones frente a empresas que no sean</w:t>
            </w:r>
            <w:r>
              <w:rPr>
                <w:b/>
                <w:sz w:val="24"/>
                <w:rFonts w:ascii="Times New Roman" w:hAnsi="Times New Roman"/>
              </w:rPr>
              <w:t xml:space="preserve"> pymes</w:t>
            </w:r>
            <w:r>
              <w:rPr>
                <w:b/>
                <w:sz w:val="24"/>
                <w:rFonts w:ascii="Times New Roman" w:hAnsi="Times New Roman"/>
              </w:rPr>
              <w:t xml:space="preserve">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estándar</w:t>
            </w:r>
          </w:p>
          <w:p w14:paraId="41FBC40B" w14:textId="640FD06A"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frente a empresas, comprendidas en el artículo 122 del Reglamento (UE) n.º 575/2013 y que no se comuniquen en{0230;0040} y {0250;0040}.</w:t>
            </w:r>
          </w:p>
          <w:p w14:paraId="01FC3B49" w14:textId="5139686F"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{0270;0020}</w:t>
            </w:r>
          </w:p>
        </w:tc>
        <w:tc>
          <w:tcPr>
            <w:tcW w:w="7406" w:type="dxa"/>
            <w:shd w:val="clear" w:color="auto" w:fill="FFFFFF"/>
          </w:tcPr>
          <w:p w14:paraId="2A27297A" w14:textId="77777777" w:rsidR="00F4754B" w:rsidRPr="000B66BC" w:rsidRDefault="00BE6AC4"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empresas que no sean pymes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585E711E" w14:textId="28E7DBEA" w:rsidR="009C4E79"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frente a empresas con arreglo al artículo 147, apartado 2, letra c), del Reglamento (UE) n.º 575/2013, si tales exposiciones no están garantizadas por hipotecas sobre bienes inmuebles de conformidad con el artículo 199, apartado 1, letra a), de dicho Reglamento y no se han comunicado en {0230;0040} y {0250;0040}.</w:t>
            </w:r>
          </w:p>
          <w:p w14:paraId="714190FD" w14:textId="58141E55"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{0270;0030}</w:t>
            </w:r>
          </w:p>
        </w:tc>
        <w:tc>
          <w:tcPr>
            <w:tcW w:w="7406" w:type="dxa"/>
            <w:shd w:val="clear" w:color="auto" w:fill="FFFFFF"/>
          </w:tcPr>
          <w:p w14:paraId="214E8F81" w14:textId="267DF9F2" w:rsidR="00F4754B" w:rsidRPr="000B66BC" w:rsidRDefault="00BE6AC4"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empresas que no sean pymes — RWEA — Exposiciones según el método estándar</w:t>
            </w:r>
          </w:p>
          <w:p w14:paraId="10BEA73F" w14:textId="61EC6DDB"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frente a empresas comprendidas en el artículo 122 del Reglamento (UE) n.º 575/2013 y que no se comuniquen en {0230;0040} y {0250;0040}.</w:t>
            </w:r>
          </w:p>
          <w:p w14:paraId="3BF86EC4" w14:textId="255E5CDC"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{0270;0040}</w:t>
            </w:r>
          </w:p>
        </w:tc>
        <w:tc>
          <w:tcPr>
            <w:tcW w:w="7406" w:type="dxa"/>
            <w:shd w:val="clear" w:color="auto" w:fill="FFFFFF"/>
          </w:tcPr>
          <w:p w14:paraId="4D405A64" w14:textId="301D30BA" w:rsidR="002509B1" w:rsidRPr="000B66BC" w:rsidRDefault="00BE6AC4"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frente a empresas que no sean pymes — RWEA — Exposiciones según el método IRB</w:t>
            </w:r>
          </w:p>
          <w:p w14:paraId="66C72176" w14:textId="085A3EC0" w:rsidR="002509B1" w:rsidRPr="000B66BC" w:rsidRDefault="00F4754B"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Importe de la exposición ponderada por riesgo de los activos que representen exposiciones según el método IRB frente a empresas con arreglo al artículo 147, apartado 2, letra c), del Reglamento (UE) n.º 575/2013, si tales exposiciones no están garantizadas por hipotecas sobre bienes inmuebles de conformidad con el artículo 199, apartado 1, letra a), de dicho Reglamento y no se han comunicado en {0230;0040} y {0250;0040}.</w:t>
            </w:r>
          </w:p>
          <w:p w14:paraId="56E24BD9" w14:textId="23040902"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{0280;0010}</w:t>
            </w:r>
          </w:p>
        </w:tc>
        <w:tc>
          <w:tcPr>
            <w:tcW w:w="7406" w:type="dxa"/>
            <w:shd w:val="clear" w:color="auto" w:fill="FFFFFF"/>
          </w:tcPr>
          <w:p w14:paraId="3643375B"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en situación de impago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estándar</w:t>
            </w:r>
          </w:p>
          <w:p w14:paraId="19F3FE8B" w14:textId="09260466" w:rsidR="002509B1" w:rsidRPr="000B66BC" w:rsidRDefault="00FC5086"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comunicarán el valor de exposición correspondiente a la ratio de apalancamiento de los activos que representen exposiciones según el método estándar en situación de impago y que, por lo tanto, estén comprendidas en el artículo 127 del Reglamento (UE) n.º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{0280;0020}</w:t>
            </w:r>
          </w:p>
        </w:tc>
        <w:tc>
          <w:tcPr>
            <w:tcW w:w="7406" w:type="dxa"/>
            <w:shd w:val="clear" w:color="auto" w:fill="FFFFFF"/>
          </w:tcPr>
          <w:p w14:paraId="5B5C9DCF"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en situación de impago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35C502CA" w14:textId="59584DDE" w:rsidR="002509B1" w:rsidRPr="000B66BC" w:rsidRDefault="00FC5086"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comunicarán el valor de exposición correspondiente a la ratio de apalancamiento de los activos clasificados en las categorías de exposición enumeradas en el artículo 147, apartado 2, del Reglamento (UE) n.º 575/2013, si se ha producido un impago de conformidad con el artículo 178 de dicho Reglamento.</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{0280;0030}</w:t>
            </w:r>
          </w:p>
        </w:tc>
        <w:tc>
          <w:tcPr>
            <w:tcW w:w="7406" w:type="dxa"/>
            <w:shd w:val="clear" w:color="auto" w:fill="FFFFFF"/>
          </w:tcPr>
          <w:p w14:paraId="327CD6C9" w14:textId="16A698EF" w:rsidR="002509B1"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en situación de impago — RWEA — Exposiciones según el método estándar</w:t>
            </w:r>
          </w:p>
          <w:p w14:paraId="4ECD736F" w14:textId="2BB025BA" w:rsidR="002509B1" w:rsidRPr="000B66BC" w:rsidRDefault="00FC5086"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comunicarán el importe de la exposición ponderada por riesgo de los activos que representen exposiciones en situación de impago y que, por lo tanto, estén comprendidas en el artículo 127 del Reglamento (UE) n.º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{0280;0040}</w:t>
            </w:r>
          </w:p>
        </w:tc>
        <w:tc>
          <w:tcPr>
            <w:tcW w:w="7406" w:type="dxa"/>
            <w:shd w:val="clear" w:color="auto" w:fill="FFFFFF"/>
          </w:tcPr>
          <w:p w14:paraId="480D541C" w14:textId="39237169"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Exposiciones en situación de impago — RWEA — Exposiciones según el método IRB</w:t>
            </w:r>
          </w:p>
          <w:p w14:paraId="5EF9576D" w14:textId="73F3DE3E" w:rsidR="002509B1" w:rsidRPr="000B66BC" w:rsidRDefault="00FC5086"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comunicarán el importe de la exposición ponderada por riesgo de los activos clasificados en las categorías de exposición enumeradas en el artículo 147, apartado 2, del Reglamento (UE) n.º 575/2013, si se ha producido un impago de conformidad con el artículo 178 de dicho Reglamento.</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Otras exposiciones</w:t>
            </w:r>
            <w:r>
              <w:rPr>
                <w:b/>
                <w:sz w:val="24"/>
                <w:rFonts w:ascii="Times New Roman" w:hAnsi="Times New Roman"/>
              </w:rPr>
              <w:t xml:space="preserve"> — Valor de exposición correspondiente a la ratio de apalancamiento</w:t>
            </w:r>
            <w:r>
              <w:rPr>
                <w:b/>
                <w:sz w:val="24"/>
                <w:rFonts w:ascii="Times New Roman" w:hAnsi="Times New Roman"/>
              </w:rPr>
              <w:t xml:space="preserve"> — Exposiciones según el método estándar</w:t>
            </w:r>
          </w:p>
          <w:p w14:paraId="59E2187D" w14:textId="6DA1DF91"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clasificados en las categorías de exposición enumeradas en el artículo 112, letras k), m), n), o), p) y q), del Reglamento (UE) n.º 575/2013.</w:t>
            </w:r>
          </w:p>
          <w:p w14:paraId="243415E4" w14:textId="6BDA1162" w:rsidR="002509B1" w:rsidRPr="000B66BC" w:rsidRDefault="00482670"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comunicarán aquí los activos que se deducen de los fondos propios (por ejemplo, activos intangibles) pero que no entran en ninguna otra clasificación, aunque tal clasificación no sea necesaria para determinar los requisitos de fondos propios basados en el riesgo en las columnas {*; 0030} y {*; 0040}.</w:t>
            </w:r>
          </w:p>
          <w:p w14:paraId="7B7E64BF" w14:textId="27D9DDDB" w:rsidR="00086A8A"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{0290;0020}</w:t>
            </w:r>
          </w:p>
        </w:tc>
        <w:tc>
          <w:tcPr>
            <w:tcW w:w="7406" w:type="dxa"/>
            <w:shd w:val="clear" w:color="auto" w:fill="FFFFFF"/>
          </w:tcPr>
          <w:p w14:paraId="04B12DFD" w14:textId="7640F749"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Otras exposiciones</w:t>
            </w:r>
            <w:r>
              <w:rPr>
                <w:b/>
                <w:sz w:val="24"/>
                <w:rFonts w:ascii="Times New Roman" w:hAnsi="Times New Roman"/>
              </w:rPr>
              <w:t xml:space="preserve"> — Valor de exposición correspondiente a la ratio de apalancamiento</w:t>
            </w:r>
            <w:r>
              <w:rPr>
                <w:b/>
                <w:sz w:val="24"/>
                <w:rFonts w:ascii="Times New Roman" w:hAnsi="Times New Roman"/>
              </w:rPr>
              <w:t xml:space="preserve"> — Exposiciones según el método IRB</w:t>
            </w:r>
          </w:p>
          <w:p w14:paraId="509BE205" w14:textId="760A9F01" w:rsidR="00482670"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correspondiente a la ratio de apalancamiento de los activos clasificados en las categorías de exposición enumeradas en el artículo 147, apartado 2, letras e), </w:t>
            </w:r>
            <w:r>
              <w:rPr>
                <w:sz w:val="24"/>
                <w:rFonts w:ascii="Times New Roman" w:hAnsi="Times New Roman"/>
              </w:rPr>
              <w:t xml:space="preserve">e1)</w:t>
            </w:r>
            <w:r>
              <w:rPr>
                <w:sz w:val="24"/>
                <w:rFonts w:ascii="Times New Roman" w:hAnsi="Times New Roman"/>
              </w:rPr>
              <w:t xml:space="preserve">, f) y g), del Reglamento (UE) n.º 575/2013.</w:t>
            </w:r>
          </w:p>
          <w:p w14:paraId="71F126DD" w14:textId="4375AAF5" w:rsidR="00BB388D" w:rsidRPr="000B66BC" w:rsidRDefault="00482670"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comunicarán aquí los activos que se deducen de los fondos propios (por ejemplo, activos intangibles) pero que no entran en ninguna otra clasificación, aunque tal clasificación no sea necesaria para determinar los requisitos de fondos propios basados en el riesgo en las columnas {*; 0030} y {*; 0040}.</w:t>
            </w:r>
          </w:p>
          <w:p w14:paraId="2C772C0F" w14:textId="142C485B" w:rsidR="002509B1" w:rsidRPr="000B66BC" w:rsidRDefault="00BB388D"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{0290;0030}</w:t>
            </w:r>
          </w:p>
        </w:tc>
        <w:tc>
          <w:tcPr>
            <w:tcW w:w="7406" w:type="dxa"/>
            <w:shd w:val="clear" w:color="auto" w:fill="FFFFFF"/>
          </w:tcPr>
          <w:p w14:paraId="75145255" w14:textId="3F615415" w:rsidR="00F4754B" w:rsidRPr="000B66BC" w:rsidRDefault="00F4754B" w:rsidP="000B66BC">
            <w:pPr>
              <w:pStyle w:val="BodyText1"/>
              <w:spacing w:after="240" w:line="240" w:lineRule="auto"/>
              <w:rPr>
                <w:bCs/>
                <w:sz w:val="24"/>
                <w:szCs w:val="24"/>
                <w:rFonts w:ascii="Times New Roman" w:hAnsi="Times New Roman"/>
              </w:rPr>
            </w:pPr>
            <w:r>
              <w:rPr>
                <w:b/>
                <w:sz w:val="24"/>
                <w:rFonts w:ascii="Times New Roman" w:hAnsi="Times New Roman"/>
              </w:rPr>
              <w:t xml:space="preserve">Otras exposiciones — RWEA — Exposiciones según el método estándar</w:t>
            </w:r>
          </w:p>
          <w:p w14:paraId="61F5D6CA" w14:textId="1082E7C5"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clasificados en las categorías de exposición enumeradas en el artículo 112, letras k), m), n), o), p) y q), del Reglamento (UE) n.º 575/2013.</w:t>
            </w:r>
          </w:p>
          <w:p w14:paraId="1A7DE9B0" w14:textId="1E7127C7"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{0290;0040}</w:t>
            </w:r>
          </w:p>
        </w:tc>
        <w:tc>
          <w:tcPr>
            <w:tcW w:w="7406" w:type="dxa"/>
            <w:shd w:val="clear" w:color="auto" w:fill="FFFFFF"/>
          </w:tcPr>
          <w:p w14:paraId="4D50DB6F" w14:textId="42326087" w:rsidR="00F4754B" w:rsidRPr="000B66BC" w:rsidRDefault="00F4754B" w:rsidP="000B66BC">
            <w:pPr>
              <w:pStyle w:val="BodyText1"/>
              <w:spacing w:after="240" w:line="240" w:lineRule="auto"/>
              <w:rPr>
                <w:bCs/>
                <w:sz w:val="24"/>
                <w:szCs w:val="24"/>
                <w:rFonts w:ascii="Times New Roman" w:hAnsi="Times New Roman"/>
              </w:rPr>
            </w:pPr>
            <w:r>
              <w:rPr>
                <w:b/>
                <w:sz w:val="24"/>
                <w:rFonts w:ascii="Times New Roman" w:hAnsi="Times New Roman"/>
              </w:rPr>
              <w:t xml:space="preserve">Otras exposiciones — RWEA — Exposiciones según el método IRB</w:t>
            </w:r>
          </w:p>
          <w:p w14:paraId="047D3368" w14:textId="09023488" w:rsidR="00BB388D"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la exposición ponderada por riesgo de los activos clasificados en las categorías de exposición enumeradas en el artículo 147, apartado 2, letras e), </w:t>
            </w:r>
            <w:r>
              <w:rPr>
                <w:sz w:val="24"/>
                <w:rFonts w:ascii="Times New Roman" w:hAnsi="Times New Roman"/>
              </w:rPr>
              <w:t xml:space="preserve">e1)</w:t>
            </w:r>
            <w:r>
              <w:rPr>
                <w:sz w:val="24"/>
                <w:rFonts w:ascii="Times New Roman" w:hAnsi="Times New Roman"/>
              </w:rPr>
              <w:t xml:space="preserve">, f) y g), del Reglamento (UE) n.º 575/2013.</w:t>
            </w:r>
          </w:p>
          <w:p w14:paraId="2891CC60" w14:textId="54E32862" w:rsidR="002509B1" w:rsidRPr="000B66BC" w:rsidRDefault="00BB388D"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{0300;0010}</w:t>
            </w:r>
          </w:p>
        </w:tc>
        <w:tc>
          <w:tcPr>
            <w:tcW w:w="7406" w:type="dxa"/>
            <w:shd w:val="clear" w:color="auto" w:fill="FFFFFF"/>
          </w:tcPr>
          <w:p w14:paraId="3D18A2F9" w14:textId="29912885" w:rsidR="002509B1" w:rsidRPr="000B66BC" w:rsidRDefault="005A052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Exposiciones de titulización — Valor de exposición correspondiente a la ratio de apalancamiento — Exposiciones según el método estándar</w:t>
            </w:r>
          </w:p>
          <w:p w14:paraId="7530F6A8" w14:textId="34A5EF38"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estándar correspondientes a posiciones de titulización, comprendidas en el artículo 112, letra m), del Reglamento (UE) n.º 575/2013.</w:t>
            </w:r>
          </w:p>
          <w:p w14:paraId="2DE0AC42" w14:textId="77A211EB" w:rsidR="009C4E79"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{0300;0020}</w:t>
            </w:r>
          </w:p>
        </w:tc>
        <w:tc>
          <w:tcPr>
            <w:tcW w:w="7406" w:type="dxa"/>
            <w:shd w:val="clear" w:color="auto" w:fill="FFFFFF"/>
          </w:tcPr>
          <w:p w14:paraId="12C4E302" w14:textId="1F965943" w:rsidR="002509B1" w:rsidRPr="000B66BC" w:rsidRDefault="005A052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Exposiciones de titulización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52AFEF6A" w14:textId="5CD6F874" w:rsidR="009C4E79"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los activos que representen exposiciones según el método IRB correspondientes a posiciones de titulización, comprendidas en el artículo 147, apartado 2, letra f), del Reglamento (UE) n.º 575/2013.</w:t>
            </w:r>
          </w:p>
          <w:p w14:paraId="5A4CEC64" w14:textId="084E95CE" w:rsidR="002509B1" w:rsidRPr="000B66BC" w:rsidDel="00B9734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{0300;0030}</w:t>
            </w:r>
          </w:p>
        </w:tc>
        <w:tc>
          <w:tcPr>
            <w:tcW w:w="7406" w:type="dxa"/>
            <w:shd w:val="clear" w:color="auto" w:fill="FFFFFF"/>
          </w:tcPr>
          <w:p w14:paraId="0195360F" w14:textId="4CF13008" w:rsidR="00F4754B" w:rsidRPr="000B66BC" w:rsidRDefault="005A052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Exposiciones de titulización — RWEA — Exposiciones según el método estándar</w:t>
            </w:r>
          </w:p>
          <w:p w14:paraId="583F2964" w14:textId="3E06746D"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estándar correspondientes a posiciones de titulización, comprendidas en el artículo 112, letra m), del Reglamento (UE) n.º 575/2013.</w:t>
            </w:r>
          </w:p>
          <w:p w14:paraId="34AEB620" w14:textId="279486FE"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{0300;0040}</w:t>
            </w:r>
          </w:p>
        </w:tc>
        <w:tc>
          <w:tcPr>
            <w:tcW w:w="7406" w:type="dxa"/>
            <w:shd w:val="clear" w:color="auto" w:fill="FFFFFF"/>
          </w:tcPr>
          <w:p w14:paraId="546F46AF" w14:textId="111BE038" w:rsidR="00F4754B" w:rsidRPr="000B66BC" w:rsidRDefault="005A052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las cuales:</w:t>
            </w:r>
            <w:r>
              <w:rPr>
                <w:b/>
                <w:sz w:val="24"/>
                <w:rFonts w:ascii="Times New Roman" w:hAnsi="Times New Roman"/>
              </w:rPr>
              <w:t xml:space="preserve"> </w:t>
            </w:r>
            <w:r>
              <w:rPr>
                <w:b/>
                <w:sz w:val="24"/>
                <w:rFonts w:ascii="Times New Roman" w:hAnsi="Times New Roman"/>
              </w:rPr>
              <w:t xml:space="preserve">Exposiciones de titulización — RWEA — Exposiciones según el método IRB</w:t>
            </w:r>
          </w:p>
          <w:p w14:paraId="745FCC52" w14:textId="18AD3DDC"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los activos que representen exposiciones según el método IRB correspondientes a posiciones de titulización, comprendidas en el artículo 147, apartado 2, letra f), del Reglamento (UE) n.º 575/2013.</w:t>
            </w:r>
          </w:p>
          <w:p w14:paraId="6DCC2024" w14:textId="3E5BF347"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{0310;0010}</w:t>
            </w:r>
          </w:p>
        </w:tc>
        <w:tc>
          <w:tcPr>
            <w:tcW w:w="7406" w:type="dxa"/>
            <w:shd w:val="clear" w:color="auto" w:fill="FFFFFF"/>
          </w:tcPr>
          <w:p w14:paraId="1F726694" w14:textId="75DDDC08"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Financiación comercial (pro memoria)</w:t>
            </w:r>
            <w:r>
              <w:rPr>
                <w:b/>
                <w:sz w:val="24"/>
                <w:rFonts w:ascii="Times New Roman" w:hAnsi="Times New Roman"/>
              </w:rPr>
              <w:t xml:space="preserve"> — Valor de exposición correspondiente a la ratio de apalancamiento — Exposiciones según el método estándar</w:t>
            </w:r>
          </w:p>
          <w:p w14:paraId="40329EE0" w14:textId="6890CB13" w:rsidR="002509B1"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las partidas en balance relacionadas con préstamos a un exportador o importador de productos o servicios mediante créditos a la exportación o a la importación y operaciones similares.</w:t>
            </w:r>
          </w:p>
          <w:p w14:paraId="07887909" w14:textId="376C2A24" w:rsidR="00086A8A"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{0310;0020}</w:t>
            </w:r>
          </w:p>
        </w:tc>
        <w:tc>
          <w:tcPr>
            <w:tcW w:w="7406" w:type="dxa"/>
            <w:shd w:val="clear" w:color="auto" w:fill="FFFFFF"/>
          </w:tcPr>
          <w:p w14:paraId="3DC59FB7" w14:textId="38AD74CC"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Financiación comercial (pro memoria)</w:t>
            </w:r>
            <w:r>
              <w:rPr>
                <w:b/>
                <w:sz w:val="24"/>
                <w:rFonts w:ascii="Times New Roman" w:hAnsi="Times New Roman"/>
              </w:rPr>
              <w:t xml:space="preserve"> — Valor de exposición correspondiente a la ratio de apalancamiento</w:t>
            </w:r>
            <w:r>
              <w:rPr>
                <w:b/>
                <w:sz w:val="24"/>
                <w:rFonts w:ascii="Times New Roman" w:hAnsi="Times New Roman"/>
              </w:rPr>
              <w:t xml:space="preserve"> — Exposiciones según el método IRB</w:t>
            </w:r>
          </w:p>
          <w:p w14:paraId="0A442979" w14:textId="3B301CAB" w:rsidR="00BE6AC4"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las partidas en balance relacionadas con préstamos a un exportador o importador de productos o servicios mediante créditos a la exportación o a la importación y operaciones similares.</w:t>
            </w:r>
          </w:p>
          <w:p w14:paraId="009892EF" w14:textId="4CD440BB" w:rsidR="009C4E79" w:rsidRPr="000B66BC" w:rsidRDefault="009C4E79"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{0310;0030}</w:t>
            </w:r>
          </w:p>
        </w:tc>
        <w:tc>
          <w:tcPr>
            <w:tcW w:w="7406" w:type="dxa"/>
            <w:shd w:val="clear" w:color="auto" w:fill="FFFFFF"/>
          </w:tcPr>
          <w:p w14:paraId="2CAEEABE" w14:textId="362B2A0C"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Financiación comercial (pro memoria) — RWEA — Exposiciones según el método estándar</w:t>
            </w:r>
          </w:p>
          <w:p w14:paraId="08DFF23E" w14:textId="3FC89434" w:rsidR="00086A8A"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las partidas en balance relacionadas con préstamos a un exportador o importador de productos o servicios mediante créditos a la exportación o a la importación y operaciones similares.</w:t>
            </w:r>
          </w:p>
          <w:p w14:paraId="1392FEC6" w14:textId="0CEA5EB1"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{0310;0040}</w:t>
            </w:r>
          </w:p>
        </w:tc>
        <w:tc>
          <w:tcPr>
            <w:tcW w:w="7406" w:type="dxa"/>
            <w:shd w:val="clear" w:color="auto" w:fill="FFFFFF"/>
          </w:tcPr>
          <w:p w14:paraId="6234B372" w14:textId="0FE9A0F4"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Financiación comercial (pro memoria) — RWEA — Exposiciones según el método IRB</w:t>
            </w:r>
          </w:p>
          <w:p w14:paraId="7C41D05F" w14:textId="163F70F0"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las partidas en balance relacionadas con préstamos a un exportador o importador de productos o servicios mediante créditos a la exportación o a la importación y operaciones similares.</w:t>
            </w:r>
          </w:p>
          <w:p w14:paraId="69D1BF8F" w14:textId="1ADC695A" w:rsidR="009C4E79"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{0320;0010}</w:t>
            </w:r>
          </w:p>
        </w:tc>
        <w:tc>
          <w:tcPr>
            <w:tcW w:w="7406" w:type="dxa"/>
            <w:shd w:val="clear" w:color="auto" w:fill="FFFFFF"/>
          </w:tcPr>
          <w:p w14:paraId="68BD9684" w14:textId="77777777" w:rsidR="00F4754B" w:rsidRPr="000B66BC" w:rsidRDefault="005A052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 la cual:</w:t>
            </w:r>
            <w:r>
              <w:rPr>
                <w:b/>
                <w:sz w:val="24"/>
                <w:rFonts w:ascii="Times New Roman" w:hAnsi="Times New Roman"/>
              </w:rPr>
              <w:t xml:space="preserve"> </w:t>
            </w:r>
            <w:r>
              <w:rPr>
                <w:b/>
                <w:sz w:val="24"/>
                <w:rFonts w:ascii="Times New Roman" w:hAnsi="Times New Roman"/>
              </w:rPr>
              <w:t xml:space="preserve">En el marco de un sistema oficial de seguro de crédito a la exportación </w:t>
            </w:r>
            <w:r>
              <w:rPr>
                <w:b/>
                <w:sz w:val="24"/>
                <w:rFonts w:ascii="Times New Roman" w:hAnsi="Times New Roman"/>
              </w:rPr>
              <w:t xml:space="preserve">— Valor de exposición correspondiente a la ratio de apalancamiento — Exposiciones según el método estándar</w:t>
            </w:r>
          </w:p>
          <w:p w14:paraId="77C2AA79" w14:textId="008650ED" w:rsidR="00FC5086"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las partidas en balance relacionadas con la financiación comercial en el marco de un sistema oficial de seguro de crédito a la</w:t>
            </w:r>
            <w:r>
              <w:rPr>
                <w:sz w:val="24"/>
                <w:rFonts w:ascii="Times New Roman" w:hAnsi="Times New Roman"/>
              </w:rPr>
              <w:t xml:space="preserve"> exportación.</w:t>
            </w:r>
          </w:p>
          <w:p w14:paraId="724169CB" w14:textId="4B72375C" w:rsidR="00F4754B" w:rsidRPr="000B66BC" w:rsidRDefault="00C90B14" w:rsidP="000B66BC">
            <w:pPr>
              <w:pStyle w:val="BodyText1"/>
              <w:spacing w:after="240" w:line="240" w:lineRule="auto"/>
              <w:rPr>
                <w:sz w:val="24"/>
                <w:szCs w:val="24"/>
                <w:rFonts w:ascii="Times New Roman" w:hAnsi="Times New Roman"/>
              </w:rPr>
            </w:pPr>
            <w:r>
              <w:rPr>
                <w:sz w:val="24"/>
                <w:rFonts w:ascii="Times New Roman" w:hAnsi="Times New Roman"/>
              </w:rPr>
              <w:t xml:space="preserve">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r>
              <w:rPr>
                <w:sz w:val="24"/>
                <w:rFonts w:ascii="Times New Roman" w:hAnsi="Times New Roman"/>
              </w:rPr>
              <w:t xml:space="preserve"> </w:t>
            </w:r>
          </w:p>
          <w:p w14:paraId="6749A4E0" w14:textId="3BDB38AA" w:rsidR="002509B1" w:rsidRPr="000B66BC" w:rsidRDefault="00086A8A"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{0320;0020}</w:t>
            </w:r>
          </w:p>
        </w:tc>
        <w:tc>
          <w:tcPr>
            <w:tcW w:w="7406" w:type="dxa"/>
            <w:shd w:val="clear" w:color="auto" w:fill="FFFFFF"/>
          </w:tcPr>
          <w:p w14:paraId="487C59EC" w14:textId="64199DCF" w:rsidR="002509B1" w:rsidRPr="000B66BC" w:rsidRDefault="005A052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del cual:</w:t>
            </w:r>
            <w:r>
              <w:rPr>
                <w:b/>
                <w:sz w:val="24"/>
                <w:rFonts w:ascii="Times New Roman" w:hAnsi="Times New Roman"/>
              </w:rPr>
              <w:t xml:space="preserve"> </w:t>
            </w:r>
            <w:r>
              <w:rPr>
                <w:b/>
                <w:sz w:val="24"/>
                <w:rFonts w:ascii="Times New Roman" w:hAnsi="Times New Roman"/>
              </w:rPr>
              <w:t xml:space="preserve">En el marco de un sistema oficial de seguro de crédito a la exportación </w:t>
            </w:r>
            <w:r>
              <w:rPr>
                <w:b/>
                <w:sz w:val="24"/>
                <w:rFonts w:ascii="Times New Roman" w:hAnsi="Times New Roman"/>
              </w:rPr>
              <w:t xml:space="preserve">— Valor de exposición correspondiente a la ratio de apalancamiento</w:t>
            </w:r>
            <w:r>
              <w:rPr>
                <w:b/>
                <w:sz w:val="24"/>
                <w:rFonts w:ascii="Times New Roman" w:hAnsi="Times New Roman"/>
              </w:rPr>
              <w:t xml:space="preserve"> — Exposiciones según el método IRB</w:t>
            </w:r>
          </w:p>
          <w:p w14:paraId="28C477A6" w14:textId="45C80184" w:rsidR="00FC5086"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Valor de exposición correspondiente a la ratio de apalancamiento de las partidas en balance relacionadas con la financiación comercial en el marco de un sistema oficial de seguro de crédito a la</w:t>
            </w:r>
            <w:r>
              <w:rPr>
                <w:sz w:val="24"/>
                <w:rFonts w:ascii="Times New Roman" w:hAnsi="Times New Roman"/>
              </w:rPr>
              <w:t xml:space="preserve"> exportación.</w:t>
            </w:r>
            <w:r>
              <w:rPr>
                <w:sz w:val="24"/>
                <w:rFonts w:ascii="Times New Roman" w:hAnsi="Times New Roman"/>
              </w:rPr>
              <w:t xml:space="preserve"> </w:t>
            </w:r>
          </w:p>
          <w:p w14:paraId="453591E6" w14:textId="24EEED56" w:rsidR="009C4E79" w:rsidRPr="000B66BC" w:rsidRDefault="00C90B14" w:rsidP="000B66BC">
            <w:pPr>
              <w:pStyle w:val="BodyText1"/>
              <w:spacing w:after="240" w:line="240" w:lineRule="auto"/>
              <w:rPr>
                <w:sz w:val="24"/>
                <w:szCs w:val="24"/>
                <w:rFonts w:ascii="Times New Roman" w:hAnsi="Times New Roman"/>
              </w:rPr>
            </w:pPr>
            <w:r>
              <w:rPr>
                <w:sz w:val="24"/>
                <w:rFonts w:ascii="Times New Roman" w:hAnsi="Times New Roman"/>
              </w:rPr>
              <w:t xml:space="preserve">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p>
          <w:p w14:paraId="121B09A0" w14:textId="7D13C18C" w:rsidR="002509B1" w:rsidRPr="000B66BC" w:rsidDel="00600AB1"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{0320;0030}</w:t>
            </w:r>
          </w:p>
        </w:tc>
        <w:tc>
          <w:tcPr>
            <w:tcW w:w="7406" w:type="dxa"/>
            <w:shd w:val="clear" w:color="auto" w:fill="FFFFFF"/>
          </w:tcPr>
          <w:p w14:paraId="1BC55C9E" w14:textId="018B97B0" w:rsidR="00F4754B" w:rsidRPr="000B66BC" w:rsidRDefault="005A052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del cual:</w:t>
            </w:r>
            <w:r>
              <w:rPr>
                <w:b/>
                <w:sz w:val="24"/>
                <w:rFonts w:ascii="Times New Roman" w:hAnsi="Times New Roman"/>
              </w:rPr>
              <w:t xml:space="preserve"> </w:t>
            </w:r>
            <w:r>
              <w:rPr>
                <w:b/>
                <w:sz w:val="24"/>
                <w:rFonts w:ascii="Times New Roman" w:hAnsi="Times New Roman"/>
              </w:rPr>
              <w:t xml:space="preserve">En el marco de un sistema oficial de seguro de crédito a la exportación — RWEA — Exposiciones según el método estándar</w:t>
            </w:r>
          </w:p>
          <w:p w14:paraId="5BDA0B92" w14:textId="79F518BC" w:rsidR="005E0E4A"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las partidas en balance relacionadas con la financiación comercial en el marco de un sistema oficial de seguro de crédito a la</w:t>
            </w:r>
            <w:r>
              <w:rPr>
                <w:sz w:val="24"/>
                <w:rFonts w:ascii="Times New Roman" w:hAnsi="Times New Roman"/>
              </w:rPr>
              <w:t xml:space="preserve"> exportación.</w:t>
            </w:r>
            <w:r>
              <w:rPr>
                <w:sz w:val="24"/>
                <w:rFonts w:ascii="Times New Roman" w:hAnsi="Times New Roman"/>
              </w:rPr>
              <w:t xml:space="preserve"> </w:t>
            </w:r>
          </w:p>
          <w:p w14:paraId="04A05DE3" w14:textId="09DF700B" w:rsidR="00F4754B" w:rsidRPr="000B66BC" w:rsidRDefault="00C90B14" w:rsidP="000B66BC">
            <w:pPr>
              <w:pStyle w:val="BodyText1"/>
              <w:spacing w:after="240" w:line="240" w:lineRule="auto"/>
              <w:rPr>
                <w:sz w:val="24"/>
                <w:szCs w:val="24"/>
                <w:rFonts w:ascii="Times New Roman" w:hAnsi="Times New Roman"/>
              </w:rPr>
            </w:pPr>
            <w:r>
              <w:rPr>
                <w:sz w:val="24"/>
                <w:rFonts w:ascii="Times New Roman" w:hAnsi="Times New Roman"/>
              </w:rPr>
              <w:t xml:space="preserve">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r>
              <w:rPr>
                <w:sz w:val="24"/>
                <w:rFonts w:ascii="Times New Roman" w:hAnsi="Times New Roman"/>
              </w:rPr>
              <w:t xml:space="preserve"> </w:t>
            </w:r>
          </w:p>
          <w:p w14:paraId="4F35ADC9" w14:textId="4AC2CE52" w:rsidR="002509B1" w:rsidRPr="000B66BC" w:rsidRDefault="00086A8A"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estándar en situación de impago.</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sz w:val="24"/>
                <w:szCs w:val="24"/>
                <w:rFonts w:ascii="Times New Roman" w:hAnsi="Times New Roman"/>
              </w:rPr>
            </w:pPr>
            <w:r>
              <w:rPr>
                <w:sz w:val="24"/>
                <w:rFonts w:ascii="Times New Roman" w:hAnsi="Times New Roman"/>
              </w:rPr>
              <w:t xml:space="preserve">{0320;0040}</w:t>
            </w:r>
          </w:p>
        </w:tc>
        <w:tc>
          <w:tcPr>
            <w:tcW w:w="7406" w:type="dxa"/>
            <w:shd w:val="clear" w:color="auto" w:fill="FFFFFF"/>
          </w:tcPr>
          <w:p w14:paraId="02837300" w14:textId="087FB5C1" w:rsidR="00F4754B" w:rsidRPr="000B66BC" w:rsidRDefault="005A052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del cual:</w:t>
            </w:r>
            <w:r>
              <w:rPr>
                <w:b/>
                <w:sz w:val="24"/>
                <w:rFonts w:ascii="Times New Roman" w:hAnsi="Times New Roman"/>
              </w:rPr>
              <w:t xml:space="preserve"> </w:t>
            </w:r>
            <w:r>
              <w:rPr>
                <w:b/>
                <w:sz w:val="24"/>
                <w:rFonts w:ascii="Times New Roman" w:hAnsi="Times New Roman"/>
              </w:rPr>
              <w:t xml:space="preserve">En el marco de un sistema oficial de seguro de crédito a la exportación — RWEA — Exposiciones según el método IRB</w:t>
            </w:r>
          </w:p>
          <w:p w14:paraId="7E51B295" w14:textId="2E71FA87" w:rsidR="005E0E4A"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Importe de la exposición ponderada por riesgo de las partidas en balance relacionadas con la financiación comercial en el marco de un sistema oficial de seguro</w:t>
            </w:r>
            <w:r>
              <w:rPr>
                <w:sz w:val="24"/>
                <w:rFonts w:ascii="Times New Roman" w:hAnsi="Times New Roman"/>
              </w:rPr>
              <w:t xml:space="preserve"> de crédito a la exportación.</w:t>
            </w:r>
            <w:r>
              <w:rPr>
                <w:sz w:val="24"/>
                <w:rFonts w:ascii="Times New Roman" w:hAnsi="Times New Roman"/>
              </w:rPr>
              <w:t xml:space="preserve"> </w:t>
            </w:r>
          </w:p>
          <w:p w14:paraId="22173B42" w14:textId="69585F6C" w:rsidR="009C4E79" w:rsidRPr="000B66BC" w:rsidRDefault="00C90B14" w:rsidP="000B66BC">
            <w:pPr>
              <w:pStyle w:val="BodyText1"/>
              <w:spacing w:after="240" w:line="240" w:lineRule="auto"/>
              <w:rPr>
                <w:sz w:val="24"/>
                <w:szCs w:val="24"/>
                <w:rFonts w:ascii="Times New Roman" w:hAnsi="Times New Roman"/>
              </w:rPr>
            </w:pPr>
            <w:r>
              <w:rPr>
                <w:sz w:val="24"/>
                <w:rFonts w:ascii="Times New Roman" w:hAnsi="Times New Roman"/>
              </w:rPr>
              <w:t xml:space="preserve">A efectos de la comunicación en LR4, se considerará sistema oficial 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r>
              <w:rPr>
                <w:sz w:val="24"/>
                <w:rFonts w:ascii="Times New Roman" w:hAnsi="Times New Roman"/>
              </w:rPr>
              <w:t xml:space="preserve"> </w:t>
            </w:r>
          </w:p>
          <w:p w14:paraId="16D3A7FB" w14:textId="65A4E59B" w:rsidR="002509B1" w:rsidRPr="000B66BC" w:rsidRDefault="009C4E79" w:rsidP="000B66BC">
            <w:pPr>
              <w:pStyle w:val="BodyText1"/>
              <w:spacing w:after="240" w:line="240" w:lineRule="auto"/>
              <w:rPr>
                <w:b/>
                <w:bCs/>
                <w:sz w:val="24"/>
                <w:szCs w:val="24"/>
                <w:u w:val="single"/>
                <w:rFonts w:ascii="Times New Roman" w:hAnsi="Times New Roman"/>
              </w:rPr>
            </w:pPr>
            <w:r>
              <w:rPr>
                <w:sz w:val="24"/>
                <w:rFonts w:ascii="Times New Roman" w:hAnsi="Times New Roman"/>
              </w:rPr>
              <w:t xml:space="preserve">Las entidades excluirán de su comunicación las exposiciones según el método IRB en situación de impago.</w:t>
            </w:r>
          </w:p>
        </w:tc>
      </w:tr>
    </w:tbl>
    <w:p w14:paraId="6F5938BB" w14:textId="71A3874E" w:rsidR="004C0459" w:rsidRPr="000B66BC" w:rsidRDefault="004C0459" w:rsidP="000B66BC">
      <w:pPr>
        <w:pStyle w:val="BodyText1"/>
        <w:spacing w:after="240"/>
        <w:ind w:left="720"/>
        <w:rPr>
          <w:b/>
          <w:sz w:val="24"/>
          <w:szCs w:val="24"/>
          <w:rFonts w:ascii="Times New Roman" w:hAnsi="Times New Roman"/>
        </w:rPr>
      </w:pPr>
      <w:bookmarkStart w:id="74" w:name="_Toc351048511"/>
      <w:bookmarkStart w:id="75" w:name="_Toc359414290"/>
      <w:bookmarkStart w:id="76" w:name="_Toc423089075"/>
      <w:bookmarkEnd w:id="73"/>
    </w:p>
    <w:p w14:paraId="3B957644" w14:textId="7AA08C09" w:rsidR="00217D1F" w:rsidRPr="000B66BC" w:rsidRDefault="005F4574" w:rsidP="000B66BC">
      <w:pPr>
        <w:pStyle w:val="BodyText1"/>
        <w:spacing w:after="240"/>
        <w:ind w:left="357" w:hanging="357"/>
        <w:outlineLvl w:val="1"/>
        <w:rPr>
          <w:b/>
          <w:sz w:val="24"/>
          <w:szCs w:val="24"/>
          <w:rFonts w:ascii="Times New Roman" w:hAnsi="Times New Roman"/>
        </w:rPr>
      </w:pPr>
      <w:bookmarkStart w:id="77" w:name="_Toc52461755"/>
      <w:r>
        <w:rPr>
          <w:b/>
          <w:sz w:val="24"/>
          <w:rFonts w:ascii="Times New Roman" w:hAnsi="Times New Roman"/>
        </w:rPr>
        <w:t xml:space="preserve">6.</w:t>
      </w:r>
      <w:r>
        <w:rPr>
          <w:b/>
          <w:sz w:val="24"/>
          <w:rFonts w:ascii="Times New Roman" w:hAnsi="Times New Roman"/>
        </w:rPr>
        <w:tab/>
      </w:r>
      <w:r>
        <w:rPr>
          <w:b/>
          <w:sz w:val="24"/>
          <w:rFonts w:ascii="Times New Roman" w:hAnsi="Times New Roman"/>
        </w:rPr>
        <w:t xml:space="preserve">C 44.00 — Información general</w:t>
      </w:r>
      <w:bookmarkEnd w:id="74"/>
      <w:bookmarkEnd w:id="75"/>
      <w:r>
        <w:rPr>
          <w:b/>
          <w:sz w:val="24"/>
          <w:rFonts w:ascii="Times New Roman" w:hAnsi="Times New Roman"/>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28.</w:t>
      </w:r>
      <w:r>
        <w:rPr>
          <w:sz w:val="24"/>
          <w:rFonts w:ascii="Times New Roman" w:hAnsi="Times New Roman"/>
        </w:rPr>
        <w:tab/>
      </w:r>
      <w:r>
        <w:rPr>
          <w:sz w:val="24"/>
          <w:rFonts w:ascii="Times New Roman" w:hAnsi="Times New Roman"/>
        </w:rPr>
        <w:t xml:space="preserve">Se recoge aquí información adicional para clasificar las actividades de la entidad y las opciones reglamentarias que haya elegido.</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b/>
                <w:sz w:val="24"/>
                <w:szCs w:val="24"/>
                <w:rFonts w:ascii="Times New Roman" w:hAnsi="Times New Roman"/>
              </w:rPr>
            </w:pPr>
            <w:r>
              <w:rPr>
                <w:b/>
                <w:sz w:val="24"/>
                <w:rFonts w:ascii="Times New Roman" w:hAnsi="Times New Roman"/>
              </w:rPr>
              <w:t xml:space="preserve">Fila</w:t>
            </w:r>
            <w:r>
              <w:rPr>
                <w:b/>
                <w:sz w:val="24"/>
                <w:rFonts w:ascii="Times New Roman" w:hAnsi="Times New Roman"/>
              </w:rPr>
              <w:t xml:space="preserve"> </w:t>
            </w:r>
          </w:p>
          <w:p w14:paraId="3ADE932A" w14:textId="77777777" w:rsidR="00F4754B" w:rsidRPr="000B66BC" w:rsidRDefault="00F4754B" w:rsidP="000B66BC">
            <w:pPr>
              <w:pStyle w:val="BodyText1"/>
              <w:spacing w:after="240"/>
              <w:rPr>
                <w:b/>
                <w:bCs/>
                <w:sz w:val="24"/>
                <w:szCs w:val="24"/>
                <w:rFonts w:ascii="Times New Roman" w:hAnsi="Times New Roman"/>
              </w:rPr>
            </w:pPr>
            <w:r>
              <w:rPr>
                <w:b/>
                <w:sz w:val="24"/>
                <w:rFonts w:ascii="Times New Roman" w:hAnsi="Times New Roman"/>
              </w:rPr>
              <w:t xml:space="preserve">y columna</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b/>
                <w:bCs/>
                <w:sz w:val="24"/>
                <w:szCs w:val="24"/>
                <w:rFonts w:ascii="Times New Roman" w:hAnsi="Times New Roman"/>
              </w:rPr>
            </w:pPr>
            <w:r>
              <w:rPr>
                <w:b/>
                <w:sz w:val="24"/>
                <w:rFonts w:ascii="Times New Roman" w:hAnsi="Times New Roman"/>
              </w:rPr>
              <w:t xml:space="preserve">Instrucciones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{0010;0010}</w:t>
            </w:r>
          </w:p>
        </w:tc>
        <w:tc>
          <w:tcPr>
            <w:tcW w:w="7308" w:type="dxa"/>
          </w:tcPr>
          <w:p w14:paraId="4DA873F1"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Estructura societaria de la entidad</w:t>
            </w:r>
          </w:p>
          <w:p w14:paraId="64CCC795" w14:textId="77777777"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La entidad clasificará su estructura societaria con arreglo a las categorías siguientes:</w:t>
            </w:r>
          </w:p>
          <w:p w14:paraId="1F1192E5" w14:textId="77777777" w:rsidR="00F4754B" w:rsidRPr="000B66BC" w:rsidRDefault="00500508"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sociedad anónima,</w:t>
            </w:r>
          </w:p>
          <w:p w14:paraId="003D2706" w14:textId="77777777" w:rsidR="00F4754B" w:rsidRPr="000B66BC" w:rsidRDefault="00500508"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mutualidad/cooperativa,</w:t>
            </w:r>
          </w:p>
          <w:p w14:paraId="6192BE9A" w14:textId="31FF6E20" w:rsidR="00BE6AC4" w:rsidRPr="000B66BC" w:rsidRDefault="00500508"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otra sociedad no anónima.</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{0020;0010}</w:t>
            </w:r>
          </w:p>
        </w:tc>
        <w:tc>
          <w:tcPr>
            <w:tcW w:w="7308" w:type="dxa"/>
          </w:tcPr>
          <w:p w14:paraId="6E8478E9"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Tratamiento de los derivados</w:t>
            </w:r>
          </w:p>
          <w:p w14:paraId="32814C5E" w14:textId="77777777"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La entidad especificará el tratamiento reglamentario de los derivados con arreglo a las categorías siguientes:</w:t>
            </w:r>
          </w:p>
          <w:p w14:paraId="255B888B" w14:textId="0A6301B4" w:rsidR="00B04A5F" w:rsidRPr="000B66BC" w:rsidRDefault="00B04A5F" w:rsidP="000B66BC">
            <w:pPr>
              <w:pStyle w:val="BodyText1"/>
              <w:spacing w:after="240" w:line="240" w:lineRule="auto"/>
              <w:rPr>
                <w:bCs/>
                <w:sz w:val="24"/>
                <w:szCs w:val="24"/>
                <w:rFonts w:ascii="Times New Roman" w:hAnsi="Times New Roman"/>
              </w:rPr>
            </w:pPr>
            <w:r>
              <w:rPr>
                <w:sz w:val="24"/>
                <w:rFonts w:ascii="Times New Roman" w:hAnsi="Times New Roman"/>
              </w:rPr>
              <w:t xml:space="preserve">método estándar para el riesgo de crédito de contraparte,</w:t>
            </w:r>
          </w:p>
          <w:p w14:paraId="43920088" w14:textId="66D48971" w:rsidR="00B04A5F" w:rsidRPr="000B66BC" w:rsidRDefault="00B04A5F" w:rsidP="000B66BC">
            <w:pPr>
              <w:pStyle w:val="BodyText1"/>
              <w:spacing w:after="240" w:line="240" w:lineRule="auto"/>
              <w:rPr>
                <w:bCs/>
                <w:sz w:val="24"/>
                <w:szCs w:val="24"/>
                <w:rFonts w:ascii="Times New Roman" w:hAnsi="Times New Roman"/>
              </w:rPr>
            </w:pPr>
            <w:r>
              <w:rPr>
                <w:sz w:val="24"/>
                <w:rFonts w:ascii="Times New Roman" w:hAnsi="Times New Roman"/>
              </w:rPr>
              <w:t xml:space="preserve">método estándar simplificado para el riesgo de crédito de contraparte,</w:t>
            </w:r>
          </w:p>
          <w:p w14:paraId="7A9DB046" w14:textId="7690E86C" w:rsidR="00BE6AC4" w:rsidRPr="000B66BC" w:rsidRDefault="00500508"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método de la exposición original.</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bCs/>
                <w:sz w:val="24"/>
                <w:szCs w:val="24"/>
                <w:rFonts w:ascii="Times New Roman" w:hAnsi="Times New Roman"/>
              </w:rPr>
            </w:pPr>
            <w:r>
              <w:rPr>
                <w:sz w:val="24"/>
                <w:rFonts w:ascii="Times New Roman" w:hAnsi="Times New Roman"/>
              </w:rPr>
              <w:t xml:space="preserve">{0040;0010}</w:t>
            </w:r>
          </w:p>
        </w:tc>
        <w:tc>
          <w:tcPr>
            <w:tcW w:w="7308" w:type="dxa"/>
          </w:tcPr>
          <w:p w14:paraId="3154A9B3" w14:textId="77777777" w:rsidR="00F4754B" w:rsidRPr="000B66BC" w:rsidRDefault="00F4754B"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Tipo de entidad</w:t>
            </w:r>
          </w:p>
          <w:p w14:paraId="2C15E916" w14:textId="77777777" w:rsidR="00F4754B" w:rsidRPr="000B66BC" w:rsidRDefault="00F4754B" w:rsidP="000B66BC">
            <w:pPr>
              <w:pStyle w:val="BodyText1"/>
              <w:spacing w:after="240" w:line="240" w:lineRule="auto"/>
              <w:rPr>
                <w:bCs/>
                <w:sz w:val="24"/>
                <w:szCs w:val="24"/>
                <w:rFonts w:ascii="Times New Roman" w:hAnsi="Times New Roman"/>
              </w:rPr>
            </w:pPr>
            <w:r>
              <w:rPr>
                <w:sz w:val="24"/>
                <w:rFonts w:ascii="Times New Roman" w:hAnsi="Times New Roman"/>
              </w:rPr>
              <w:t xml:space="preserve">La entidad clasificará el tipo de entidad al que pertenece con arreglo a las categorías siguientes:</w:t>
            </w:r>
          </w:p>
          <w:p w14:paraId="5F9BB21A" w14:textId="77777777" w:rsidR="00F4754B" w:rsidRPr="000B66BC" w:rsidRDefault="00500508"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banca universal (banca minorista/comercial y de inversión),</w:t>
            </w:r>
          </w:p>
          <w:p w14:paraId="730C89BA" w14:textId="77777777" w:rsidR="00F4754B" w:rsidRPr="000B66BC" w:rsidRDefault="00500508"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banca minorista/comercial,</w:t>
            </w:r>
          </w:p>
          <w:p w14:paraId="430C8F32" w14:textId="77777777" w:rsidR="00F4754B" w:rsidRPr="000B66BC" w:rsidRDefault="00500508"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banca de inversión,</w:t>
            </w:r>
          </w:p>
          <w:p w14:paraId="53DE36EC" w14:textId="5929A7F1" w:rsidR="00875832" w:rsidRPr="000B66BC" w:rsidRDefault="00500508"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prestamista especializado,</w:t>
            </w:r>
          </w:p>
          <w:p w14:paraId="5E1BA609" w14:textId="431EB72A" w:rsidR="005D66B3" w:rsidRPr="000B66BC" w:rsidRDefault="00546848" w:rsidP="000B66BC">
            <w:pPr>
              <w:pStyle w:val="BodyText1"/>
              <w:spacing w:after="240" w:line="240" w:lineRule="auto"/>
              <w:ind w:left="360" w:hanging="360"/>
              <w:rPr>
                <w:color w:val="auto"/>
                <w:sz w:val="24"/>
                <w:szCs w:val="24"/>
                <w:rFonts w:ascii="Times New Roman" w:hAnsi="Times New Roman"/>
              </w:rPr>
            </w:pPr>
            <w:r>
              <w:rPr>
                <w:sz w:val="24"/>
                <w:rFonts w:ascii="Times New Roman" w:hAnsi="Times New Roman"/>
              </w:rPr>
              <w:t xml:space="preserve">entidades públicas </w:t>
            </w:r>
            <w:r>
              <w:rPr>
                <w:sz w:val="24"/>
                <w:color w:val="auto"/>
                <w:rFonts w:ascii="Times New Roman" w:hAnsi="Times New Roman"/>
              </w:rPr>
              <w:t xml:space="preserve">de crédito al desarrollo,</w:t>
            </w:r>
          </w:p>
          <w:p w14:paraId="55C552F6" w14:textId="725A2101" w:rsidR="00BE6AC4" w:rsidRPr="000B66BC" w:rsidRDefault="00875832" w:rsidP="000B66BC">
            <w:pPr>
              <w:pStyle w:val="BodyText1"/>
              <w:spacing w:after="240" w:line="240" w:lineRule="auto"/>
              <w:ind w:left="360" w:hanging="360"/>
              <w:rPr>
                <w:bCs/>
                <w:sz w:val="24"/>
                <w:szCs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otro modelo de negocio.</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bCs/>
                <w:sz w:val="24"/>
                <w:szCs w:val="24"/>
                <w:rFonts w:ascii="Times New Roman" w:hAnsi="Times New Roman"/>
              </w:rPr>
            </w:pPr>
            <w:r>
              <w:rPr>
                <w:sz w:val="24"/>
                <w:rFonts w:ascii="Times New Roman" w:hAnsi="Times New Roman"/>
              </w:rPr>
              <w:t xml:space="preserve">{0070;0010}</w:t>
            </w:r>
          </w:p>
        </w:tc>
        <w:tc>
          <w:tcPr>
            <w:tcW w:w="7308" w:type="dxa"/>
          </w:tcPr>
          <w:p w14:paraId="31DC1601" w14:textId="77777777" w:rsidR="006316AD" w:rsidRPr="000B66BC" w:rsidRDefault="006316A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Entidades con una unidad pública de desarrollo</w:t>
            </w:r>
          </w:p>
          <w:p w14:paraId="6D39363C" w14:textId="06B12418" w:rsidR="006316AD" w:rsidRPr="000B66BC" w:rsidRDefault="006316AD"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que no sean entidades públicas </w:t>
            </w:r>
            <w:r>
              <w:rPr>
                <w:sz w:val="24"/>
                <w:color w:val="auto"/>
                <w:rFonts w:ascii="Times New Roman" w:hAnsi="Times New Roman"/>
              </w:rPr>
              <w:t xml:space="preserve">de crédito al desarrollo </w:t>
            </w:r>
            <w:r>
              <w:rPr>
                <w:sz w:val="24"/>
                <w:rFonts w:ascii="Times New Roman" w:hAnsi="Times New Roman"/>
              </w:rPr>
              <w:t xml:space="preserve">indicarán si cuentan con una unidad pública de desarrollo.</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bCs/>
                <w:sz w:val="24"/>
                <w:szCs w:val="24"/>
                <w:rFonts w:ascii="Times New Roman" w:hAnsi="Times New Roman"/>
              </w:rPr>
            </w:pPr>
            <w:r>
              <w:rPr>
                <w:sz w:val="24"/>
                <w:rFonts w:ascii="Times New Roman" w:hAnsi="Times New Roman"/>
              </w:rPr>
              <w:t xml:space="preserve">{0080;0010},</w:t>
            </w:r>
          </w:p>
          <w:p w14:paraId="0E404C36" w14:textId="3C546BDB" w:rsidR="003A13D1" w:rsidRPr="000B66BC" w:rsidRDefault="003A13D1" w:rsidP="000B66BC">
            <w:pPr>
              <w:pStyle w:val="BodyText1"/>
              <w:spacing w:after="240"/>
              <w:rPr>
                <w:bCs/>
                <w:sz w:val="24"/>
                <w:szCs w:val="24"/>
                <w:rFonts w:ascii="Times New Roman" w:hAnsi="Times New Roman"/>
              </w:rPr>
            </w:pPr>
            <w:r>
              <w:rPr>
                <w:sz w:val="24"/>
                <w:rFonts w:ascii="Times New Roman" w:hAnsi="Times New Roman"/>
              </w:rPr>
              <w:t xml:space="preserve">{00090;0010},</w:t>
            </w:r>
          </w:p>
          <w:p w14:paraId="53B876FA" w14:textId="06E5D9AE" w:rsidR="003A13D1" w:rsidRPr="000B66BC" w:rsidRDefault="003A13D1" w:rsidP="000B66BC">
            <w:pPr>
              <w:pStyle w:val="BodyText1"/>
              <w:spacing w:after="240"/>
              <w:rPr>
                <w:bCs/>
                <w:sz w:val="24"/>
                <w:szCs w:val="24"/>
                <w:rFonts w:ascii="Times New Roman" w:hAnsi="Times New Roman"/>
              </w:rPr>
            </w:pPr>
            <w:r>
              <w:rPr>
                <w:sz w:val="24"/>
                <w:rFonts w:ascii="Times New Roman" w:hAnsi="Times New Roman"/>
              </w:rPr>
              <w:t xml:space="preserve">{0100;0010}</w:t>
            </w:r>
          </w:p>
        </w:tc>
        <w:tc>
          <w:tcPr>
            <w:tcW w:w="7308" w:type="dxa"/>
          </w:tcPr>
          <w:p w14:paraId="66B939F9" w14:textId="6084E1B7" w:rsidR="003A13D1" w:rsidRPr="000B66BC" w:rsidRDefault="003A13D1"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Entidad que garantiza la entidad/unidad pública de crédito al desarrollo de conformidad con el artículo 429 </w:t>
            </w:r>
            <w:r>
              <w:rPr>
                <w:b/>
                <w:sz w:val="24"/>
                <w:i/>
                <w:rFonts w:ascii="Times New Roman" w:hAnsi="Times New Roman"/>
              </w:rPr>
              <w:t xml:space="preserve">bis</w:t>
            </w:r>
            <w:r>
              <w:rPr>
                <w:b/>
                <w:sz w:val="24"/>
                <w:rFonts w:ascii="Times New Roman" w:hAnsi="Times New Roman"/>
              </w:rPr>
              <w:t xml:space="preserve">, apartado 2, letra d), del RRC:</w:t>
            </w:r>
            <w:r>
              <w:rPr>
                <w:b/>
                <w:sz w:val="24"/>
                <w:rFonts w:ascii="Times New Roman" w:hAnsi="Times New Roman"/>
              </w:rPr>
              <w:t xml:space="preserve"> </w:t>
            </w:r>
            <w:r>
              <w:rPr>
                <w:b/>
                <w:sz w:val="24"/>
                <w:rFonts w:ascii="Times New Roman" w:hAnsi="Times New Roman"/>
              </w:rPr>
              <w:t xml:space="preserve">administración central, administración regional, autoridad local</w:t>
            </w:r>
          </w:p>
          <w:p w14:paraId="5D4C6A0E" w14:textId="404D2BB3" w:rsidR="00092325" w:rsidRPr="000B66BC" w:rsidRDefault="00092325" w:rsidP="000B66BC">
            <w:pPr>
              <w:pStyle w:val="BodyText1"/>
              <w:spacing w:after="240" w:line="240" w:lineRule="auto"/>
              <w:rPr>
                <w:bCs/>
                <w:sz w:val="24"/>
                <w:szCs w:val="24"/>
                <w:rFonts w:ascii="Times New Roman" w:hAnsi="Times New Roman"/>
              </w:rPr>
            </w:pPr>
            <w:r>
              <w:rPr>
                <w:sz w:val="24"/>
                <w:rFonts w:ascii="Times New Roman" w:hAnsi="Times New Roman"/>
              </w:rPr>
              <w:t xml:space="preserve">Las entidades que sean entidades públicas </w:t>
            </w:r>
            <w:r>
              <w:rPr>
                <w:sz w:val="24"/>
                <w:color w:val="auto"/>
                <w:rFonts w:ascii="Times New Roman" w:hAnsi="Times New Roman"/>
              </w:rPr>
              <w:t xml:space="preserve">de crédito al desarrollo </w:t>
            </w:r>
            <w:r>
              <w:rPr>
                <w:sz w:val="24"/>
                <w:rFonts w:ascii="Times New Roman" w:hAnsi="Times New Roman"/>
              </w:rPr>
              <w:t xml:space="preserve">o que tengan un unidad pública de desarrollo comunicarán si están garantizadas por una administración central, una administración regional o una autoridad local.</w:t>
            </w:r>
          </w:p>
          <w:p w14:paraId="493FBA55" w14:textId="6B923AA1" w:rsidR="003B054D" w:rsidRPr="000B66BC" w:rsidRDefault="00092325"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indicarán «VERDADERO» en la fila correspondiente a los tipos aplicables de prestadores de cobertura y «FALSO» en las demás.</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bCs/>
                <w:sz w:val="24"/>
                <w:szCs w:val="24"/>
                <w:rFonts w:ascii="Times New Roman" w:hAnsi="Times New Roman"/>
              </w:rPr>
            </w:pPr>
            <w:r>
              <w:rPr>
                <w:sz w:val="24"/>
                <w:rFonts w:ascii="Times New Roman" w:hAnsi="Times New Roman"/>
              </w:rPr>
              <w:t xml:space="preserve">{0080;0010}</w:t>
            </w:r>
          </w:p>
        </w:tc>
        <w:tc>
          <w:tcPr>
            <w:tcW w:w="7308" w:type="dxa"/>
          </w:tcPr>
          <w:p w14:paraId="763F7485" w14:textId="7D0968A1" w:rsidR="00B04A5F" w:rsidRPr="000B66BC" w:rsidRDefault="00B132DC"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Entidad/unidad pública de </w:t>
            </w:r>
            <w:r>
              <w:rPr>
                <w:b/>
                <w:sz w:val="24"/>
                <w:color w:val="auto"/>
                <w:rFonts w:ascii="Times New Roman" w:hAnsi="Times New Roman"/>
              </w:rPr>
              <w:t xml:space="preserve">crédito al desarrollo garantizada por una</w:t>
            </w:r>
            <w:r>
              <w:rPr>
                <w:b/>
                <w:sz w:val="24"/>
                <w:rFonts w:ascii="Times New Roman" w:hAnsi="Times New Roman"/>
              </w:rPr>
              <w:t xml:space="preserve"> administración central</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bCs/>
                <w:sz w:val="24"/>
                <w:szCs w:val="24"/>
                <w:rFonts w:ascii="Times New Roman" w:hAnsi="Times New Roman"/>
              </w:rPr>
            </w:pPr>
            <w:r>
              <w:rPr>
                <w:sz w:val="24"/>
                <w:rFonts w:ascii="Times New Roman" w:hAnsi="Times New Roman"/>
              </w:rPr>
              <w:t xml:space="preserve">{0090;0010}</w:t>
            </w:r>
          </w:p>
        </w:tc>
        <w:tc>
          <w:tcPr>
            <w:tcW w:w="7308" w:type="dxa"/>
          </w:tcPr>
          <w:p w14:paraId="12648551" w14:textId="723AC193" w:rsidR="00B132DC" w:rsidRPr="000B66BC" w:rsidRDefault="000A5B0A"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Entidad/unidad pública de </w:t>
            </w:r>
            <w:r>
              <w:rPr>
                <w:b/>
                <w:sz w:val="24"/>
                <w:color w:val="auto"/>
                <w:rFonts w:ascii="Times New Roman" w:hAnsi="Times New Roman"/>
              </w:rPr>
              <w:t xml:space="preserve">crédito al desarrollo garantizada por una</w:t>
            </w:r>
            <w:r>
              <w:rPr>
                <w:b/>
                <w:sz w:val="24"/>
                <w:rFonts w:ascii="Times New Roman" w:hAnsi="Times New Roman"/>
              </w:rPr>
              <w:t xml:space="preserve"> administración regional</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bCs/>
                <w:sz w:val="24"/>
                <w:szCs w:val="24"/>
                <w:rFonts w:ascii="Times New Roman" w:hAnsi="Times New Roman"/>
              </w:rPr>
            </w:pPr>
            <w:r>
              <w:rPr>
                <w:sz w:val="24"/>
                <w:rFonts w:ascii="Times New Roman" w:hAnsi="Times New Roman"/>
              </w:rPr>
              <w:t xml:space="preserve">{0100;0010}</w:t>
            </w:r>
          </w:p>
        </w:tc>
        <w:tc>
          <w:tcPr>
            <w:tcW w:w="7308" w:type="dxa"/>
          </w:tcPr>
          <w:p w14:paraId="3DBA105A" w14:textId="07763F33" w:rsidR="00B132DC" w:rsidRPr="000B66BC" w:rsidRDefault="004D70D0"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Entidad/unidad pública de </w:t>
            </w:r>
            <w:r>
              <w:rPr>
                <w:b/>
                <w:sz w:val="24"/>
                <w:color w:val="auto"/>
                <w:rFonts w:ascii="Times New Roman" w:hAnsi="Times New Roman"/>
              </w:rPr>
              <w:t xml:space="preserve">crédito al desarrollo garantizada por una</w:t>
            </w:r>
            <w:r>
              <w:rPr>
                <w:b/>
                <w:sz w:val="24"/>
                <w:rFonts w:ascii="Times New Roman" w:hAnsi="Times New Roman"/>
              </w:rPr>
              <w:t xml:space="preserve"> autoridad local</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bCs/>
                <w:sz w:val="24"/>
                <w:szCs w:val="24"/>
                <w:rFonts w:ascii="Times New Roman" w:hAnsi="Times New Roman"/>
              </w:rPr>
            </w:pPr>
            <w:r>
              <w:rPr>
                <w:sz w:val="24"/>
                <w:rFonts w:ascii="Times New Roman" w:hAnsi="Times New Roman"/>
              </w:rPr>
              <w:t xml:space="preserve">{0110;0010};</w:t>
            </w:r>
          </w:p>
          <w:p w14:paraId="4E5E6B84" w14:textId="41699235" w:rsidR="00F966CA" w:rsidRPr="000B66BC" w:rsidRDefault="00F966CA" w:rsidP="000B66BC">
            <w:pPr>
              <w:pStyle w:val="BodyText1"/>
              <w:spacing w:after="240"/>
              <w:rPr>
                <w:bCs/>
                <w:sz w:val="24"/>
                <w:szCs w:val="24"/>
                <w:rFonts w:ascii="Times New Roman" w:hAnsi="Times New Roman"/>
              </w:rPr>
            </w:pPr>
            <w:r>
              <w:rPr>
                <w:sz w:val="24"/>
                <w:rFonts w:ascii="Times New Roman" w:hAnsi="Times New Roman"/>
              </w:rPr>
              <w:t xml:space="preserve">{0120;0010};</w:t>
            </w:r>
          </w:p>
          <w:p w14:paraId="174F75EE" w14:textId="42C2EAF1" w:rsidR="00F966CA" w:rsidRPr="000B66BC" w:rsidRDefault="00F966CA" w:rsidP="000B66BC">
            <w:pPr>
              <w:pStyle w:val="BodyText1"/>
              <w:spacing w:after="240"/>
              <w:rPr>
                <w:bCs/>
                <w:sz w:val="24"/>
                <w:szCs w:val="24"/>
                <w:rFonts w:ascii="Times New Roman" w:hAnsi="Times New Roman"/>
              </w:rPr>
            </w:pPr>
            <w:r>
              <w:rPr>
                <w:sz w:val="24"/>
                <w:rFonts w:ascii="Times New Roman" w:hAnsi="Times New Roman"/>
              </w:rPr>
              <w:t xml:space="preserve">{0130;0010}</w:t>
            </w:r>
          </w:p>
        </w:tc>
        <w:tc>
          <w:tcPr>
            <w:tcW w:w="7308" w:type="dxa"/>
          </w:tcPr>
          <w:p w14:paraId="5E6BF02B" w14:textId="2863BEEC" w:rsidR="003B054D" w:rsidRPr="000B66BC" w:rsidRDefault="003B054D"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Tipo de garantía personal recibida con arreglo al artículo 429 </w:t>
            </w:r>
            <w:r>
              <w:rPr>
                <w:b/>
                <w:sz w:val="24"/>
                <w:i/>
                <w:rFonts w:ascii="Times New Roman" w:hAnsi="Times New Roman"/>
              </w:rPr>
              <w:t xml:space="preserve">bis</w:t>
            </w:r>
            <w:r>
              <w:rPr>
                <w:b/>
                <w:sz w:val="24"/>
                <w:rFonts w:ascii="Times New Roman" w:hAnsi="Times New Roman"/>
              </w:rPr>
              <w:t xml:space="preserve">, apartado 2, letra d), del RRC</w:t>
            </w:r>
          </w:p>
          <w:p w14:paraId="6AD424FF" w14:textId="63E03310" w:rsidR="003B054D" w:rsidRPr="000B66BC" w:rsidRDefault="003B054D"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que sean una entidad pública </w:t>
            </w:r>
            <w:r>
              <w:rPr>
                <w:sz w:val="24"/>
                <w:color w:val="auto"/>
                <w:rFonts w:ascii="Times New Roman" w:hAnsi="Times New Roman"/>
              </w:rPr>
              <w:t xml:space="preserve">de crédito al desarrollo </w:t>
            </w:r>
            <w:r>
              <w:rPr>
                <w:sz w:val="24"/>
                <w:rFonts w:ascii="Times New Roman" w:hAnsi="Times New Roman"/>
              </w:rPr>
              <w:t xml:space="preserve">o tengan una unidad pública de desarrollo comunicarán el tipo de cobertura que reciben.</w:t>
            </w:r>
          </w:p>
          <w:p w14:paraId="70381FB6" w14:textId="2B13E154" w:rsidR="003B054D" w:rsidRPr="000B66BC" w:rsidRDefault="003B054D" w:rsidP="000B66BC">
            <w:pPr>
              <w:pStyle w:val="BodyText1"/>
              <w:spacing w:after="240" w:line="240" w:lineRule="auto"/>
              <w:rPr>
                <w:b/>
                <w:bCs/>
                <w:sz w:val="24"/>
                <w:szCs w:val="24"/>
                <w:rFonts w:ascii="Times New Roman" w:hAnsi="Times New Roman"/>
              </w:rPr>
            </w:pPr>
            <w:r>
              <w:rPr>
                <w:sz w:val="24"/>
                <w:rFonts w:ascii="Times New Roman" w:hAnsi="Times New Roman"/>
              </w:rPr>
              <w:t xml:space="preserve">Las entidades indicarán «VERDADERO» en la fila correspondiente a los tipos aplicables de cobertura y «FALSO» en las demás.</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bCs/>
                <w:sz w:val="24"/>
                <w:szCs w:val="24"/>
                <w:rFonts w:ascii="Times New Roman" w:hAnsi="Times New Roman"/>
              </w:rPr>
            </w:pPr>
            <w:r>
              <w:rPr>
                <w:sz w:val="24"/>
                <w:rFonts w:ascii="Times New Roman" w:hAnsi="Times New Roman"/>
              </w:rPr>
              <w:t xml:space="preserve">{0110;0010}</w:t>
            </w:r>
          </w:p>
        </w:tc>
        <w:tc>
          <w:tcPr>
            <w:tcW w:w="7308" w:type="dxa"/>
          </w:tcPr>
          <w:p w14:paraId="29D5A7E2" w14:textId="34B8184D" w:rsidR="004D70D0" w:rsidRPr="000B66BC" w:rsidRDefault="004D70D0"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Obligación de proteger la viabilidad de la entidad de crédito</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bCs/>
                <w:sz w:val="24"/>
                <w:szCs w:val="24"/>
                <w:rFonts w:ascii="Times New Roman" w:hAnsi="Times New Roman"/>
              </w:rPr>
            </w:pPr>
            <w:r>
              <w:rPr>
                <w:sz w:val="24"/>
                <w:rFonts w:ascii="Times New Roman" w:hAnsi="Times New Roman"/>
              </w:rPr>
              <w:t xml:space="preserve">{0120;0010}</w:t>
            </w:r>
          </w:p>
        </w:tc>
        <w:tc>
          <w:tcPr>
            <w:tcW w:w="7308" w:type="dxa"/>
          </w:tcPr>
          <w:p w14:paraId="01E19ED4" w14:textId="2C530F26" w:rsidR="00F966CA" w:rsidRPr="000B66BC" w:rsidRDefault="004D70D0"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Garantía personal directa de los requisitos de fondos propios, requisitos de financiación o préstamos promocionales concedidos de la entidad de crédito</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bCs/>
                <w:sz w:val="24"/>
                <w:szCs w:val="24"/>
                <w:rFonts w:ascii="Times New Roman" w:hAnsi="Times New Roman"/>
              </w:rPr>
            </w:pPr>
            <w:r>
              <w:rPr>
                <w:sz w:val="24"/>
                <w:rFonts w:ascii="Times New Roman" w:hAnsi="Times New Roman"/>
              </w:rPr>
              <w:t xml:space="preserve">{0130;0010}</w:t>
            </w:r>
          </w:p>
        </w:tc>
        <w:tc>
          <w:tcPr>
            <w:tcW w:w="7308" w:type="dxa"/>
          </w:tcPr>
          <w:p w14:paraId="6809ECEE" w14:textId="15891213" w:rsidR="002C169A" w:rsidRPr="000B66BC" w:rsidRDefault="004D70D0" w:rsidP="000B66BC">
            <w:pPr>
              <w:pStyle w:val="BodyText1"/>
              <w:spacing w:after="240" w:line="240" w:lineRule="auto"/>
              <w:rPr>
                <w:b/>
                <w:bCs/>
                <w:sz w:val="24"/>
                <w:szCs w:val="24"/>
                <w:rFonts w:ascii="Times New Roman" w:hAnsi="Times New Roman"/>
              </w:rPr>
            </w:pPr>
            <w:r>
              <w:rPr>
                <w:b/>
                <w:sz w:val="24"/>
                <w:rFonts w:ascii="Times New Roman" w:hAnsi="Times New Roman"/>
              </w:rPr>
              <w:t xml:space="preserve">Garantía personal indirecta de los requisitos de fondos propios, requisitos de financiación o préstamos promocionales concedidos de la entidad de crédito</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b/>
          <w:sz w:val="24"/>
          <w:szCs w:val="24"/>
          <w:rFonts w:ascii="Times New Roman" w:hAnsi="Times New Roman"/>
        </w:rPr>
      </w:pPr>
      <w:bookmarkStart w:id="78" w:name="_Toc52461756"/>
      <w:r>
        <w:rPr>
          <w:b/>
          <w:sz w:val="24"/>
          <w:rFonts w:ascii="Times New Roman" w:hAnsi="Times New Roman"/>
        </w:rPr>
        <w:t xml:space="preserve">7.</w:t>
      </w:r>
      <w:r>
        <w:rPr>
          <w:b/>
          <w:sz w:val="24"/>
          <w:rFonts w:ascii="Times New Roman" w:hAnsi="Times New Roman"/>
        </w:rPr>
        <w:tab/>
      </w:r>
      <w:r>
        <w:rPr>
          <w:b/>
          <w:sz w:val="24"/>
          <w:rFonts w:ascii="Times New Roman" w:hAnsi="Times New Roman"/>
        </w:rPr>
        <w:t xml:space="preserve">C 48.00 Volatilidad de la ratio de apalancamiento</w:t>
      </w:r>
      <w:r>
        <w:rPr>
          <w:b/>
          <w:sz w:val="24"/>
          <w:rFonts w:ascii="Times New Roman" w:hAnsi="Times New Roman"/>
        </w:rPr>
        <w:t xml:space="preserve"> (LR6)</w:t>
      </w:r>
      <w:bookmarkEnd w:id="78"/>
    </w:p>
    <w:p w14:paraId="4D3787F1" w14:textId="2C3256EB" w:rsidR="00700DB7" w:rsidRPr="000B66BC" w:rsidRDefault="00143C6A"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29.</w:t>
      </w:r>
      <w:r>
        <w:rPr>
          <w:sz w:val="24"/>
          <w:rFonts w:ascii="Times New Roman" w:hAnsi="Times New Roman"/>
        </w:rPr>
        <w:tab/>
      </w:r>
      <w:r>
        <w:rPr>
          <w:sz w:val="24"/>
          <w:rFonts w:ascii="Times New Roman" w:hAnsi="Times New Roman"/>
        </w:rPr>
        <w:t xml:space="preserve">Se recoge información al objeto de supervisar la volatilidad de la ratio de apalancamiento.</w:t>
      </w:r>
      <w:r>
        <w:rPr>
          <w:sz w:val="24"/>
          <w:rFonts w:ascii="Times New Roman" w:hAnsi="Times New Roman"/>
        </w:rPr>
        <w:t xml:space="preserve"> </w:t>
      </w:r>
      <w:r>
        <w:rPr>
          <w:sz w:val="24"/>
          <w:rFonts w:ascii="Times New Roman" w:hAnsi="Times New Roman"/>
        </w:rPr>
        <w:t xml:space="preserve">Solo las entidades de gran tamaño comunicarán la información.</w:t>
      </w:r>
      <w:r>
        <w:rPr>
          <w:sz w:val="24"/>
          <w:rFonts w:ascii="Times New Roman" w:hAnsi="Times New Roman"/>
        </w:rPr>
        <w:t xml:space="preserve"> </w:t>
      </w:r>
    </w:p>
    <w:p w14:paraId="16B16093" w14:textId="5ABFB2E9" w:rsidR="000472E7" w:rsidRPr="000B66BC" w:rsidRDefault="005F4574" w:rsidP="000B66BC">
      <w:pPr>
        <w:pStyle w:val="BodyText1"/>
        <w:spacing w:after="240"/>
        <w:ind w:left="357" w:hanging="357"/>
        <w:outlineLvl w:val="1"/>
        <w:rPr>
          <w:b/>
          <w:sz w:val="24"/>
          <w:szCs w:val="24"/>
          <w:rFonts w:ascii="Times New Roman" w:hAnsi="Times New Roman"/>
        </w:rPr>
      </w:pPr>
      <w:bookmarkStart w:id="79" w:name="_Toc52461757"/>
      <w:r>
        <w:rPr>
          <w:b/>
          <w:sz w:val="24"/>
          <w:rFonts w:ascii="Times New Roman" w:hAnsi="Times New Roman"/>
        </w:rPr>
        <w:t xml:space="preserve">8.</w:t>
      </w:r>
      <w:r>
        <w:rPr>
          <w:b/>
          <w:sz w:val="24"/>
          <w:rFonts w:ascii="Times New Roman" w:hAnsi="Times New Roman"/>
        </w:rPr>
        <w:tab/>
      </w:r>
      <w:r>
        <w:rPr>
          <w:b/>
          <w:sz w:val="24"/>
          <w:rFonts w:ascii="Times New Roman" w:hAnsi="Times New Roman"/>
        </w:rPr>
        <w:t xml:space="preserve">C 48.01 Volatilidad de la ratio de apalancamiento:</w:t>
      </w:r>
      <w:r>
        <w:rPr>
          <w:b/>
          <w:sz w:val="24"/>
          <w:rFonts w:ascii="Times New Roman" w:hAnsi="Times New Roman"/>
        </w:rPr>
        <w:t xml:space="preserve"> </w:t>
      </w:r>
      <w:r>
        <w:rPr>
          <w:b/>
          <w:sz w:val="24"/>
          <w:rFonts w:ascii="Times New Roman" w:hAnsi="Times New Roman"/>
        </w:rPr>
        <w:t xml:space="preserve">Valor medio en el período de notificación</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b/>
                <w:bCs/>
                <w:sz w:val="24"/>
                <w:szCs w:val="24"/>
                <w:rFonts w:ascii="Times New Roman" w:hAnsi="Times New Roman"/>
              </w:rPr>
            </w:pPr>
            <w:r>
              <w:rPr>
                <w:b/>
                <w:sz w:val="24"/>
                <w:rFonts w:ascii="Times New Roman" w:hAnsi="Times New Roman"/>
              </w:rPr>
              <w:t xml:space="preserve">Fila</w:t>
            </w:r>
            <w:r>
              <w:rPr>
                <w:b/>
                <w:sz w:val="24"/>
                <w:rFonts w:ascii="Times New Roman" w:hAnsi="Times New Roman"/>
              </w:rPr>
              <w:t xml:space="preserve"> </w:t>
            </w:r>
          </w:p>
          <w:p w14:paraId="188CF35D" w14:textId="77777777" w:rsidR="001D7541" w:rsidRPr="000B66BC" w:rsidRDefault="001D7541" w:rsidP="000B66BC">
            <w:pPr>
              <w:pStyle w:val="BodyText1"/>
              <w:spacing w:after="240"/>
              <w:rPr>
                <w:bCs/>
                <w:sz w:val="24"/>
                <w:szCs w:val="24"/>
                <w:rFonts w:ascii="Times New Roman" w:hAnsi="Times New Roman"/>
              </w:rPr>
            </w:pPr>
            <w:r>
              <w:rPr>
                <w:b/>
                <w:sz w:val="24"/>
                <w:rFonts w:ascii="Times New Roman" w:hAnsi="Times New Roman"/>
              </w:rPr>
              <w:t xml:space="preserve">y columna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b/>
                <w:color w:val="auto"/>
                <w:sz w:val="24"/>
                <w:szCs w:val="24"/>
                <w:rFonts w:ascii="Times New Roman" w:hAnsi="Times New Roman"/>
              </w:rPr>
            </w:pPr>
            <w:r>
              <w:rPr>
                <w:b/>
                <w:sz w:val="24"/>
                <w:rFonts w:ascii="Times New Roman" w:hAnsi="Times New Roman"/>
              </w:rPr>
              <w:t xml:space="preserve">Instrucciones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bCs/>
                <w:sz w:val="24"/>
                <w:szCs w:val="24"/>
                <w:rFonts w:ascii="Times New Roman" w:hAnsi="Times New Roman"/>
              </w:rPr>
            </w:pPr>
            <w:r>
              <w:rPr>
                <w:sz w:val="24"/>
                <w:rFonts w:ascii="Times New Roman" w:hAnsi="Times New Roman"/>
              </w:rPr>
              <w:t xml:space="preserve">{0010;0010}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Valor medio en el período de notificación — Valor de exposición de las SFT</w:t>
            </w:r>
          </w:p>
          <w:p w14:paraId="27CD001D" w14:textId="4B020038" w:rsidR="001D7541" w:rsidRPr="000B66BC" w:rsidRDefault="005E0E4A" w:rsidP="000B66BC">
            <w:pPr>
              <w:pStyle w:val="BodyText1"/>
              <w:spacing w:after="240" w:line="240" w:lineRule="auto"/>
              <w:rPr>
                <w:color w:val="auto"/>
                <w:sz w:val="24"/>
                <w:szCs w:val="24"/>
                <w:u w:val="single"/>
                <w:rFonts w:ascii="Times New Roman" w:hAnsi="Times New Roman"/>
              </w:rPr>
            </w:pPr>
            <w:r>
              <w:rPr>
                <w:color w:val="auto"/>
                <w:sz w:val="24"/>
                <w:rFonts w:ascii="Times New Roman" w:hAnsi="Times New Roman"/>
              </w:rPr>
              <w:t xml:space="preserve">Las entidades comunicarán el valor medio diario, durante el trimestre de referencia, de las exposiciones de las SFT previa deducción del componente de ECC de las exposiciones de negociación compensadas por el cliente según lo indicado en las filas 0010 y 0050 de la plantilla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bCs/>
                <w:sz w:val="24"/>
                <w:szCs w:val="24"/>
                <w:rFonts w:ascii="Times New Roman" w:hAnsi="Times New Roman"/>
              </w:rPr>
            </w:pPr>
            <w:r>
              <w:rPr>
                <w:sz w:val="24"/>
                <w:rFonts w:ascii="Times New Roman" w:hAnsi="Times New Roman"/>
              </w:rPr>
              <w:t xml:space="preserve">{0010;0020}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b/>
                <w:color w:val="auto"/>
                <w:sz w:val="24"/>
                <w:szCs w:val="24"/>
                <w:rFonts w:ascii="Times New Roman" w:hAnsi="Times New Roman"/>
              </w:rPr>
            </w:pPr>
            <w:r>
              <w:rPr>
                <w:sz w:val="24"/>
                <w:b/>
                <w:color w:val="auto"/>
                <w:rFonts w:ascii="Times New Roman" w:hAnsi="Times New Roman"/>
              </w:rPr>
              <w:t xml:space="preserve">Valor medio del período de referencia —</w:t>
            </w:r>
            <w:r>
              <w:rPr>
                <w:sz w:val="24"/>
              </w:rPr>
              <w:t xml:space="preserve"> </w:t>
            </w:r>
            <w:r>
              <w:rPr>
                <w:sz w:val="24"/>
                <w:b/>
                <w:color w:val="auto"/>
                <w:rFonts w:ascii="Times New Roman" w:hAnsi="Times New Roman"/>
              </w:rPr>
              <w:t xml:space="preserve">Ajustes por SFT contabilizadas como ventas</w:t>
            </w:r>
            <w:r>
              <w:rPr>
                <w:sz w:val="24"/>
                <w:b/>
                <w:color w:val="auto"/>
                <w:rFonts w:ascii="Times New Roman" w:hAnsi="Times New Roman"/>
              </w:rPr>
              <w:t xml:space="preserve"> </w:t>
            </w:r>
          </w:p>
          <w:p w14:paraId="53B119C8" w14:textId="5C8C9F92" w:rsidR="001D7541" w:rsidRPr="000B66BC" w:rsidRDefault="005E0E4A" w:rsidP="000B66BC">
            <w:pPr>
              <w:pStyle w:val="BodyText1"/>
              <w:spacing w:after="240" w:line="240" w:lineRule="auto"/>
              <w:rPr>
                <w:color w:val="auto"/>
                <w:sz w:val="24"/>
                <w:szCs w:val="24"/>
                <w:u w:val="single"/>
                <w:rFonts w:ascii="Times New Roman" w:hAnsi="Times New Roman"/>
              </w:rPr>
            </w:pPr>
            <w:r>
              <w:rPr>
                <w:sz w:val="24"/>
                <w:color w:val="auto"/>
                <w:rFonts w:ascii="Times New Roman" w:hAnsi="Times New Roman"/>
              </w:rPr>
              <w:t xml:space="preserve">Las entidades comunicarán el valor medio diario, durante el trimestre de referencia, de los ajustes por SFT contabilizadas como ventas, según lo indicado en la fila 0230 </w:t>
            </w:r>
            <w:r>
              <w:rPr>
                <w:sz w:val="24"/>
                <w:rFonts w:ascii="Times New Roman" w:hAnsi="Times New Roman"/>
              </w:rPr>
              <w:t xml:space="preserve">de la plantilla C47.00</w:t>
            </w:r>
            <w:r>
              <w:rPr>
                <w:sz w:val="24"/>
                <w:color w:val="auto"/>
                <w:rFonts w:ascii="Times New Roman" w:hAnsi="Times New Roman"/>
              </w:rPr>
              <w:t xml:space="preserve">.</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b/>
          <w:sz w:val="24"/>
          <w:szCs w:val="24"/>
          <w:rFonts w:ascii="Times New Roman" w:hAnsi="Times New Roman"/>
        </w:rPr>
      </w:pPr>
      <w:bookmarkStart w:id="80" w:name="_Toc52461758"/>
      <w:r>
        <w:rPr>
          <w:b/>
          <w:sz w:val="24"/>
          <w:rFonts w:ascii="Times New Roman" w:hAnsi="Times New Roman"/>
        </w:rPr>
        <w:t xml:space="preserve">9.</w:t>
      </w:r>
      <w:r>
        <w:rPr>
          <w:b/>
          <w:sz w:val="24"/>
          <w:rFonts w:ascii="Times New Roman" w:hAnsi="Times New Roman"/>
        </w:rPr>
        <w:tab/>
      </w:r>
      <w:r>
        <w:rPr>
          <w:b/>
          <w:sz w:val="24"/>
          <w:rFonts w:ascii="Times New Roman" w:hAnsi="Times New Roman"/>
        </w:rPr>
        <w:t xml:space="preserve">C 48.02 Volatilidad de la ratio de apalancamiento:</w:t>
      </w:r>
      <w:r>
        <w:rPr>
          <w:b/>
          <w:sz w:val="24"/>
          <w:rFonts w:ascii="Times New Roman" w:hAnsi="Times New Roman"/>
        </w:rPr>
        <w:t xml:space="preserve"> </w:t>
      </w:r>
      <w:r>
        <w:rPr>
          <w:b/>
          <w:sz w:val="24"/>
          <w:rFonts w:ascii="Times New Roman" w:hAnsi="Times New Roman"/>
        </w:rPr>
        <w:t xml:space="preserve">valores diarios en el período de referencia</w:t>
      </w:r>
      <w:bookmarkEnd w:id="80"/>
    </w:p>
    <w:p w14:paraId="1BD85257" w14:textId="38D419A9" w:rsidR="001D7541" w:rsidRPr="000B66BC" w:rsidRDefault="00FA475C" w:rsidP="000B66BC">
      <w:pPr>
        <w:pStyle w:val="BodyText1"/>
        <w:spacing w:after="240" w:line="240" w:lineRule="auto"/>
        <w:ind w:left="720" w:hanging="360"/>
        <w:rPr>
          <w:sz w:val="24"/>
          <w:szCs w:val="24"/>
          <w:rFonts w:ascii="Times New Roman" w:hAnsi="Times New Roman"/>
        </w:rPr>
      </w:pPr>
      <w:r>
        <w:rPr>
          <w:sz w:val="24"/>
          <w:rFonts w:ascii="Times New Roman" w:hAnsi="Times New Roman"/>
        </w:rPr>
        <w:t xml:space="preserve">30.</w:t>
      </w:r>
      <w:r>
        <w:rPr>
          <w:sz w:val="24"/>
          <w:rFonts w:ascii="Times New Roman" w:hAnsi="Times New Roman"/>
        </w:rPr>
        <w:tab/>
      </w:r>
      <w:r>
        <w:rPr>
          <w:sz w:val="24"/>
          <w:rFonts w:ascii="Times New Roman" w:hAnsi="Times New Roman"/>
        </w:rPr>
        <w:t xml:space="preserve">Se comunicarán los valores diarios a lo largo del trimestre.</w:t>
      </w:r>
      <w:r>
        <w:rPr>
          <w:sz w:val="24"/>
          <w:rFonts w:ascii="Times New Roman" w:hAnsi="Times New Roman"/>
        </w:rPr>
        <w:t xml:space="preserve">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b/>
                <w:bCs/>
                <w:sz w:val="24"/>
                <w:szCs w:val="24"/>
                <w:rFonts w:ascii="Times New Roman" w:hAnsi="Times New Roman"/>
              </w:rPr>
            </w:pPr>
            <w:r>
              <w:rPr>
                <w:b/>
                <w:sz w:val="24"/>
                <w:rFonts w:ascii="Times New Roman" w:hAnsi="Times New Roman"/>
              </w:rPr>
              <w:t xml:space="preserve">Fila</w:t>
            </w:r>
            <w:r>
              <w:rPr>
                <w:b/>
                <w:sz w:val="24"/>
                <w:rFonts w:ascii="Times New Roman" w:hAnsi="Times New Roman"/>
              </w:rPr>
              <w:t xml:space="preserve"> </w:t>
            </w:r>
          </w:p>
          <w:p w14:paraId="4A69CF68" w14:textId="77777777" w:rsidR="001D7541" w:rsidRPr="000B66BC" w:rsidRDefault="001D7541" w:rsidP="000B66BC">
            <w:pPr>
              <w:pStyle w:val="BodyText1"/>
              <w:spacing w:after="240"/>
              <w:rPr>
                <w:bCs/>
                <w:sz w:val="24"/>
                <w:szCs w:val="24"/>
                <w:rFonts w:ascii="Times New Roman" w:hAnsi="Times New Roman"/>
              </w:rPr>
            </w:pPr>
            <w:r>
              <w:rPr>
                <w:b/>
                <w:sz w:val="24"/>
                <w:rFonts w:ascii="Times New Roman" w:hAnsi="Times New Roman"/>
              </w:rPr>
              <w:t xml:space="preserve">y columna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b/>
                <w:color w:val="auto"/>
                <w:sz w:val="24"/>
                <w:szCs w:val="24"/>
                <w:rFonts w:ascii="Times New Roman" w:hAnsi="Times New Roman"/>
              </w:rPr>
            </w:pPr>
            <w:r>
              <w:rPr>
                <w:b/>
                <w:sz w:val="24"/>
                <w:rFonts w:ascii="Times New Roman" w:hAnsi="Times New Roman"/>
              </w:rPr>
              <w:t xml:space="preserve">Instrucciones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bCs/>
                <w:sz w:val="24"/>
                <w:szCs w:val="24"/>
                <w:rFonts w:ascii="Times New Roman" w:hAnsi="Times New Roman"/>
              </w:rPr>
            </w:pPr>
            <w:r>
              <w:rPr>
                <w:sz w:val="24"/>
                <w:rFonts w:ascii="Times New Roman" w:hAnsi="Times New Roman"/>
              </w:rPr>
              <w:t xml:space="preserve">{0010;0010}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Fecha de referencia dentro del período de referencia</w:t>
            </w:r>
          </w:p>
          <w:p w14:paraId="11691437" w14:textId="6CB0BDCD" w:rsidR="001D7541" w:rsidRPr="000B66BC" w:rsidRDefault="005E0E4A" w:rsidP="000B66BC">
            <w:pPr>
              <w:pStyle w:val="BodyText1"/>
              <w:spacing w:after="240" w:line="240" w:lineRule="auto"/>
              <w:rPr>
                <w:b/>
                <w:color w:val="auto"/>
                <w:sz w:val="24"/>
                <w:szCs w:val="24"/>
                <w:rFonts w:ascii="Times New Roman" w:hAnsi="Times New Roman"/>
              </w:rPr>
            </w:pPr>
            <w:r>
              <w:rPr>
                <w:color w:val="auto"/>
                <w:sz w:val="24"/>
                <w:rFonts w:ascii="Times New Roman" w:hAnsi="Times New Roman"/>
              </w:rPr>
              <w:t xml:space="preserve">Las entidades indicarán la fecha a que se refiere el valor diario comunicado.</w:t>
            </w:r>
            <w:r>
              <w:rPr>
                <w:color w:val="auto"/>
                <w:sz w:val="24"/>
                <w:rFonts w:ascii="Times New Roman" w:hAnsi="Times New Roman"/>
              </w:rPr>
              <w:t xml:space="preserve"> </w:t>
            </w:r>
            <w:r>
              <w:rPr>
                <w:color w:val="auto"/>
                <w:sz w:val="24"/>
                <w:rFonts w:ascii="Times New Roman" w:hAnsi="Times New Roman"/>
              </w:rPr>
              <w:t xml:space="preserve">Se indicará cada día del período de referencia.</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bCs/>
                <w:color w:val="auto"/>
                <w:sz w:val="24"/>
                <w:szCs w:val="24"/>
                <w:rFonts w:ascii="Times New Roman" w:hAnsi="Times New Roman"/>
              </w:rPr>
            </w:pPr>
            <w:r>
              <w:rPr>
                <w:color w:val="auto"/>
                <w:sz w:val="24"/>
                <w:rFonts w:ascii="Times New Roman" w:hAnsi="Times New Roman"/>
              </w:rPr>
              <w:t xml:space="preserve">{0010;0020}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Valor de exposición de las SFT</w:t>
            </w:r>
          </w:p>
          <w:p w14:paraId="56D707C5" w14:textId="5C4FBC5B" w:rsidR="001D7541" w:rsidRPr="000B66BC" w:rsidRDefault="005E0E4A" w:rsidP="000B66BC">
            <w:pPr>
              <w:pStyle w:val="BodyText1"/>
              <w:spacing w:after="240" w:line="240" w:lineRule="auto"/>
              <w:rPr>
                <w:color w:val="auto"/>
                <w:sz w:val="24"/>
                <w:szCs w:val="24"/>
                <w:u w:val="single"/>
                <w:rFonts w:ascii="Times New Roman" w:hAnsi="Times New Roman"/>
              </w:rPr>
            </w:pPr>
            <w:r>
              <w:rPr>
                <w:color w:val="auto"/>
                <w:sz w:val="24"/>
                <w:rFonts w:ascii="Times New Roman" w:hAnsi="Times New Roman"/>
              </w:rPr>
              <w:t xml:space="preserve">Las entidades comunicarán los valores diarios, durante el trimestre de referencia, de las exposiciones de las SFT previa deducción del componente de ECC de las exposiciones de negociación compensadas por el cliente según lo indicado en las filas 0010 y 0050 de la plantilla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bCs/>
                <w:sz w:val="24"/>
                <w:szCs w:val="24"/>
                <w:rFonts w:ascii="Times New Roman" w:hAnsi="Times New Roman"/>
              </w:rPr>
            </w:pPr>
            <w:r>
              <w:rPr>
                <w:sz w:val="24"/>
                <w:rFonts w:ascii="Times New Roman" w:hAnsi="Times New Roman"/>
              </w:rPr>
              <w:t xml:space="preserve">{0010;0030}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b/>
                <w:color w:val="auto"/>
                <w:sz w:val="24"/>
                <w:szCs w:val="24"/>
                <w:rFonts w:ascii="Times New Roman" w:hAnsi="Times New Roman"/>
              </w:rPr>
            </w:pPr>
            <w:r>
              <w:rPr>
                <w:b/>
                <w:color w:val="auto"/>
                <w:sz w:val="24"/>
                <w:rFonts w:ascii="Times New Roman" w:hAnsi="Times New Roman"/>
              </w:rPr>
              <w:t xml:space="preserve">Ajustes por SFT contabilizadas como ventas</w:t>
            </w:r>
          </w:p>
          <w:p w14:paraId="757C080D" w14:textId="4E51B80D" w:rsidR="00926849" w:rsidRPr="000B66BC" w:rsidRDefault="005E0E4A" w:rsidP="000B66BC">
            <w:pPr>
              <w:pStyle w:val="BodyText1"/>
              <w:spacing w:after="240" w:line="240" w:lineRule="auto"/>
              <w:rPr>
                <w:color w:val="auto"/>
                <w:sz w:val="24"/>
                <w:szCs w:val="24"/>
                <w:u w:val="single"/>
                <w:rFonts w:ascii="Times New Roman" w:hAnsi="Times New Roman"/>
              </w:rPr>
            </w:pPr>
            <w:r>
              <w:rPr>
                <w:sz w:val="24"/>
                <w:color w:val="auto"/>
                <w:rFonts w:ascii="Times New Roman" w:hAnsi="Times New Roman"/>
              </w:rPr>
              <w:t xml:space="preserve">Las entidades comunicarán los valores diarios, durante el trimestre de referencia, de los ajustes por SFT contabilizadas como ventas, según lo indicado en la fila 0230 </w:t>
            </w:r>
            <w:r>
              <w:rPr>
                <w:sz w:val="24"/>
                <w:rFonts w:ascii="Times New Roman" w:hAnsi="Times New Roman"/>
              </w:rPr>
              <w:t xml:space="preserve">de la plantilla C 47.00</w:t>
            </w:r>
            <w:r>
              <w:rPr>
                <w:sz w:val="24"/>
                <w:color w:val="auto"/>
                <w:rFonts w:ascii="Times New Roman" w:hAnsi="Times New Roman"/>
              </w:rPr>
              <w:t xml:space="preserve">.</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sz w:val="20"/>
            <w:rFonts w:ascii="Times New Roman" w:hAnsi="Times New Roman"/>
          </w:rPr>
        </w:pPr>
        <w:r w:rsidRPr="009A78F0">
          <w:rPr>
            <w:sz w:val="20"/>
            <w:rFonts w:ascii="Times New Roman" w:hAnsi="Times New Roman"/>
          </w:rPr>
          <w:fldChar w:fldCharType="begin"/>
        </w:r>
        <w:r w:rsidRPr="009A78F0">
          <w:rPr>
            <w:sz w:val="20"/>
            <w:rFonts w:ascii="Times New Roman" w:hAnsi="Times New Roman"/>
          </w:rPr>
          <w:instrText xml:space="preserve"> PAGE   \* MERGEFORMAT </w:instrText>
        </w:r>
        <w:r w:rsidRPr="009A78F0">
          <w:rPr>
            <w:sz w:val="20"/>
            <w:rFonts w:ascii="Times New Roman" w:hAnsi="Times New Roman"/>
          </w:rPr>
          <w:fldChar w:fldCharType="separate"/>
        </w:r>
        <w:r w:rsidR="00A84D67">
          <w:rPr>
            <w:sz w:val="20"/>
            <w:rFonts w:ascii="Times New Roman" w:hAnsi="Times New Roman"/>
          </w:rPr>
          <w:t>3</w:t>
        </w:r>
        <w:r w:rsidRPr="009A78F0">
          <w:rPr>
            <w:sz w:val="20"/>
            <w:rFonts w:ascii="Times New Roman" w:hAnsi="Times New Roma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359B9" w14:textId="4F64E569" w:rsidR="000B66BC" w:rsidRDefault="001F5E87">
    <w:pPr>
      <w:pStyle w:val="Header"/>
    </w:pPr>
    <w: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Title:  - Description: Uso habitual de la A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F71AD" w14:textId="5352D09C" w:rsidR="000B66BC" w:rsidRPr="00B93D0F" w:rsidRDefault="001F5E87" w:rsidP="00B93D0F">
    <w:pPr>
      <w:pStyle w:val="Header"/>
    </w:pPr>
    <w: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Title:  - Description: Uso habitual de la AB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32A18" w14:textId="244788FF" w:rsidR="000B66BC" w:rsidRPr="000B66BC" w:rsidRDefault="001F5E87" w:rsidP="000B66BC">
    <w:pPr>
      <w:pStyle w:val="Header"/>
    </w:pPr>
    <w: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Title:  - Description: Uso habitual de la A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0DCE" w14:textId="0A918D55" w:rsidR="001F5E87" w:rsidRDefault="001F5E87">
    <w:pPr>
      <w:pStyle w:val="Header"/>
    </w:pPr>
    <w: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Title:  - Description: Uso habitual de la AB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E0FDF" w14:textId="1BA26D02" w:rsidR="001F5E87" w:rsidRDefault="001F5E87">
    <w:pPr>
      <w:pStyle w:val="Header"/>
    </w:pPr>
    <w: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Title:  - Description: Uso habitual de la AB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B18FA" w14:textId="0DC306E7" w:rsidR="000B66BC" w:rsidRDefault="001F5E87">
    <w:pPr>
      <w:pStyle w:val="Header"/>
      <w:tabs>
        <w:tab w:val="clear" w:pos="8306"/>
        <w:tab w:val="right" w:pos="9072"/>
      </w:tabs>
      <w:jc w:val="right"/>
      <w:rPr>
        <w:noProof/>
      </w:rPr>
    </w:pPr>
    <w: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Title:  - Description: Uso habitual de la AB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noProof/>
                        <w:sz w:val="24"/>
                        <w:szCs w:val="24"/>
                        <w:rFonts w:ascii="Calibri" w:eastAsia="Calibri" w:hAnsi="Calibri" w:cs="Calibri"/>
                      </w:rPr>
                    </w:pPr>
                    <w:r>
                      <w:rPr>
                        <w:sz w:val="24"/>
                        <w:rFonts w:ascii="Calibri" w:hAnsi="Calibri"/>
                      </w:rPr>
                      <w:t xml:space="preserve">Uso habitual de la ABE</w:t>
                    </w:r>
                  </w:p>
                </w:txbxContent>
              </v:textbox>
              <w10:wrap anchorx="page" anchory="page"/>
            </v:shape>
          </w:pict>
        </mc:Fallback>
      </mc:AlternateContent>
    </w:r>
    <w: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 w:eastAsia="es-ES_tradnl"/>
    </w:rPr>
  </w:style>
  <w:style w:type="character" w:customStyle="1" w:styleId="PlainTextChar">
    <w:name w:val="Plain Text Char"/>
    <w:basedOn w:val="DefaultParagraphFont"/>
    <w:link w:val="PlainText"/>
    <w:uiPriority w:val="99"/>
    <w:rsid w:val="00F4754B"/>
    <w:rPr>
      <w:rFonts w:ascii="Verdana" w:hAnsi="Verdana"/>
      <w:lang w:val="es-ES"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s-E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es-ES"/>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s-ES"/>
    </w:rPr>
  </w:style>
  <w:style w:type="paragraph" w:customStyle="1" w:styleId="CM3">
    <w:name w:val="CM3"/>
    <w:basedOn w:val="Default"/>
    <w:next w:val="Default"/>
    <w:uiPriority w:val="99"/>
    <w:rsid w:val="00F4754B"/>
    <w:rPr>
      <w:rFonts w:ascii="EUAlbertina" w:eastAsiaTheme="minorHAnsi" w:hAnsi="EUAlbertina" w:cstheme="minorBidi"/>
      <w:color w:val="auto"/>
      <w:lang w:val="es-ES"/>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s-E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s-E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s-ES"/>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5F9CD8B4-053A-43F6-9560-6F9223B7325D}"/>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68</Pages>
  <Words>20757</Words>
  <Characters>119561</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140038</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