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CAB54" w14:textId="77777777" w:rsidR="00023C1E" w:rsidRDefault="00023C1E" w:rsidP="00023C1E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MT</w:t>
      </w:r>
    </w:p>
    <w:p w14:paraId="26E578F4" w14:textId="77777777" w:rsidR="00023C1E" w:rsidRDefault="00023C1E" w:rsidP="00023C1E">
      <w:pPr>
        <w:rPr>
          <w:rFonts w:asciiTheme="minorHAnsi" w:hAnsiTheme="minorHAnsi"/>
          <w:sz w:val="22"/>
        </w:rPr>
      </w:pPr>
    </w:p>
    <w:p w14:paraId="2814ADEA" w14:textId="77777777" w:rsidR="00EC5F08" w:rsidRPr="00037E7B" w:rsidRDefault="00EC5F08" w:rsidP="00EC5F0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ANNESS II</w:t>
      </w:r>
    </w:p>
    <w:p w14:paraId="3C60A640" w14:textId="77777777" w:rsidR="00EC5F08" w:rsidRPr="00037E7B" w:rsidRDefault="00EC5F08" w:rsidP="00EC5F08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“ANNESS II</w:t>
      </w:r>
    </w:p>
    <w:p w14:paraId="62D6C096" w14:textId="77777777" w:rsidR="00EC5F08" w:rsidRPr="00037E7B" w:rsidRDefault="00EC5F08" w:rsidP="00EC5F08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STRUZZJONIJIET DWAR IR-RAPPORTAR DWAR FONDI PROPRJI U DWAR REKWIŻITI TA’ FONDI PROPRJI</w:t>
      </w:r>
    </w:p>
    <w:p w14:paraId="63A72470" w14:textId="77777777" w:rsidR="00EC5F08" w:rsidRDefault="00EC5F08" w:rsidP="00EC5F08"/>
    <w:p w14:paraId="1E2DD6C0" w14:textId="77777777" w:rsidR="00EC5F08" w:rsidRDefault="00EC5F08" w:rsidP="00EC5F08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PARTI II: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STRUZZJONIJIET RELATATI MAL-FORMOLA</w:t>
      </w:r>
    </w:p>
    <w:p w14:paraId="5F94331A" w14:textId="77777777" w:rsidR="00EC5F08" w:rsidRDefault="00EC5F08" w:rsidP="00EC5F08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537964DB" w14:textId="77777777" w:rsidR="00EC5F08" w:rsidRPr="00736637" w:rsidRDefault="00EC5F08" w:rsidP="00EC5F08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(…)</w:t>
      </w:r>
    </w:p>
    <w:p w14:paraId="541E439D" w14:textId="77777777" w:rsidR="00EC5F08" w:rsidRPr="002A677E" w:rsidRDefault="00EC5F08" w:rsidP="00BD16F2">
      <w:pPr>
        <w:rPr>
          <w:rStyle w:val="InstructionsTabelleText"/>
          <w:rFonts w:ascii="Times New Roman" w:hAnsi="Times New Roman"/>
          <w:sz w:val="24"/>
        </w:rPr>
      </w:pPr>
    </w:p>
    <w:p w14:paraId="329CE43D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0" w:name="_Toc473561055"/>
      <w:bookmarkStart w:id="1" w:name="_Toc151714522"/>
      <w:r>
        <w:rPr>
          <w:sz w:val="24"/>
          <w:u w:val="none"/>
          <w:rFonts w:ascii="Times New Roman" w:hAnsi="Times New Roman"/>
        </w:rPr>
        <w:t xml:space="preserve">7.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C 33.00 - Skopertura għal Gvernijiet Estiżi (GOV)</w:t>
      </w:r>
      <w:bookmarkEnd w:id="0"/>
      <w:bookmarkEnd w:id="1"/>
    </w:p>
    <w:p w14:paraId="47ECBF7E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ind w:left="357" w:hanging="357"/>
        <w:rPr>
          <w:sz w:val="24"/>
          <w:rFonts w:ascii="Times New Roman" w:hAnsi="Times New Roman" w:cs="Times New Roman"/>
        </w:rPr>
      </w:pPr>
      <w:bookmarkStart w:id="2" w:name="_Toc367202008"/>
      <w:bookmarkStart w:id="3" w:name="_Toc473561056"/>
      <w:bookmarkStart w:id="4" w:name="_Toc151714523"/>
      <w:r>
        <w:rPr>
          <w:sz w:val="24"/>
          <w:u w:val="none"/>
          <w:rFonts w:ascii="Times New Roman" w:hAnsi="Times New Roman"/>
        </w:rPr>
        <w:t xml:space="preserve">7.1.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Kummenti ġenerali</w:t>
      </w:r>
      <w:bookmarkEnd w:id="2"/>
      <w:bookmarkEnd w:id="3"/>
      <w:bookmarkEnd w:id="4"/>
      <w:r>
        <w:rPr>
          <w:sz w:val="24"/>
          <w:rFonts w:ascii="Times New Roman" w:hAnsi="Times New Roman"/>
        </w:rPr>
        <w:t xml:space="preserve"> </w:t>
      </w:r>
    </w:p>
    <w:p w14:paraId="607B1B9D" w14:textId="4D6DEBA3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191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L-informazzjoni għall-fini tal-formola C 33.00 għandha tkopri l-iskoperturi kollha għal “Gvernijiet estiżi” kif imsemmi fil-punt (b) tal-paragrafu 42 tal-Anness V ta’ dan ir-Regolament ta’ Implimentazzjoni.</w:t>
      </w:r>
    </w:p>
    <w:p w14:paraId="6DDF43E1" w14:textId="777647E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192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Meta l-iskoperturi għal “Gvernijiet estiżi” jkunu soġġetti għar-rekwiżiti ta’ fondi proprji f’konformità mal-Parti Tlieta, it-Titolu II tar-Regolament (UE) Nru 575/2013, l-iskoperturi għal “Gvernijiet estiżi” jiġu inklużi fi klassijiet differenti ta’ skoperturi f’konformità mal-Artikolu 112 u l-Artikolu 147 ta’ dan ir-Regolament, kif speċifikat mill-istruzzjonijiet għall-mili tal-formola C 07.00, C 08.01 u C 08.02.</w:t>
      </w:r>
      <w:r>
        <w:t xml:space="preserve"> </w:t>
      </w:r>
    </w:p>
    <w:p w14:paraId="293BF385" w14:textId="0FB1F10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193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It-Tabella 2 (Approċċ Standardizzat) u t-Tabella 3 (Approċċ IRB), inklużi fil-Parti 3 tal-Anness V ta’ dan ir-Regolament ta’ Implimentazzjoni, għandhom jiġu osservati għall-klassifikazzjoni tal-klassijiet tal-iskoperturi użati sabiex jiġu kkalkolati r-rekwiżiti ta’ kapital skont ir-Regolament (UE) Nu 575/2013 għas-settur tal-kontroparti “Gvernijiet estiżi”.</w:t>
      </w:r>
      <w:r>
        <w:t xml:space="preserve"> </w:t>
      </w:r>
    </w:p>
    <w:p w14:paraId="7BF9F4A1" w14:textId="3878F16A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194</w:t>
      </w:r>
      <w:r w:rsidRPr="005B57EC">
        <w:fldChar w:fldCharType="end"/>
      </w:r>
      <w:r>
        <w:t xml:space="preserve">.</w:t>
      </w:r>
      <w:r>
        <w:t xml:space="preserve"> </w:t>
      </w:r>
      <w:r>
        <w:t xml:space="preserve">Informazzjoni għandha tiġi rrapportata għall-aggregati tal-iskoperturi totali (jiġifieri s-somma ta’ kull pajjiż li fih il-bank ikollu skoperturi sovrani) u għal kull pajjiż fuq il-bażi tar-residenza tal-kontroparti fuq il-bażi tar-residenza tal-kontroparti immedjata.</w:t>
      </w:r>
      <w:r>
        <w:t xml:space="preserve"> </w:t>
      </w:r>
    </w:p>
    <w:p w14:paraId="3F2AB0FC" w14:textId="12D22EC0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195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L-allokazzjoni tal-iskoperturi għal klassijiet tal-iskoperturi jew il-ġurisdizzjonijiet għandha ssir mingħajr ma jitqiesu l-effetti ta’ mitigazzjoni u b’mod partikolari mingħajr ma jitqiesu l-effett ta’ sostituzzjoni.</w:t>
      </w:r>
      <w:r>
        <w:t xml:space="preserve"> </w:t>
      </w:r>
      <w:r>
        <w:t xml:space="preserve">Madankollu l-kalkolu tal-valuri tal-iskoperturi u l-ammonti ta’ skoperturi ponderati għal kull klassi ta’ skopertura u għal kull ġurisdizzjoni għandu jinkludi l-inċidenza ta’ tekniki tal-mitigazzjoni tar-riskju, inklużi effetti ta’ sostituzzjoni.</w:t>
      </w:r>
      <w:r>
        <w:t xml:space="preserve"> </w:t>
      </w:r>
    </w:p>
    <w:p w14:paraId="63D48DFC" w14:textId="24583AE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196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Ir-rapportar tal-informazzjoni dwar l-iskoperturi għal “Gvernijiet ġenerali” b’ġurisdizzjoni tar-residenza tal-kontroparti immedjata minbarra l-ġurisdizzjoni domestika tal-istituzzjoni tar-rapportar huwa soġġett għal-limiti stabbiliti fl-Artikolu 6(3) ta’ dan ir-Regolament ta’ Implimentazzjoni.</w:t>
      </w:r>
    </w:p>
    <w:p w14:paraId="6C57DF9A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5" w:name="_Toc367202009"/>
      <w:bookmarkStart w:id="6" w:name="_Toc473561057"/>
      <w:bookmarkStart w:id="7" w:name="_Toc151714524"/>
      <w:r>
        <w:rPr>
          <w:sz w:val="24"/>
          <w:u w:val="none"/>
          <w:rFonts w:ascii="Times New Roman" w:hAnsi="Times New Roman"/>
        </w:rPr>
        <w:t xml:space="preserve">7.2.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Kamp ta’ applikazzjoni tal-formola</w:t>
      </w:r>
      <w:bookmarkEnd w:id="5"/>
      <w:r>
        <w:rPr>
          <w:sz w:val="24"/>
          <w:rFonts w:ascii="Times New Roman" w:hAnsi="Times New Roman"/>
        </w:rPr>
        <w:t xml:space="preserve"> dwar l-iskoperturi għal “Gvernijiet estiżi”</w:t>
      </w:r>
      <w:bookmarkEnd w:id="6"/>
      <w:bookmarkEnd w:id="7"/>
    </w:p>
    <w:p w14:paraId="0229F5BC" w14:textId="67D90191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197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Il-kamp ta’ applikazzjoni tal-formola GOV ikopri skoperturi li jidhru jew ma jidhrux fil-karta bilanċjali u skoperturi minn derivattivi diretti għal “Gvernijiet estiżi” fil-portafoll bankarju u tan-negozjar.</w:t>
      </w:r>
      <w:r>
        <w:t xml:space="preserve"> </w:t>
      </w:r>
      <w:r>
        <w:t xml:space="preserve">Barra minn hekk entrata ta’ memorandum dwar skoperturi indiretti fil-forma ta’ derivattivi ta’ kreditu mibjugħa fuq skoperturi tal-gvern ġenerali huma mitluba wkoll.</w:t>
      </w:r>
    </w:p>
    <w:p w14:paraId="1EC4D83C" w14:textId="376B0B1B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198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Skopertura tkun skopertura diretta meta l-kontroparti immedjata tkun entità li hija “Gvern estiż” kif imsemmi fil-punt (b) tal-paragrafu 42 tal-Anness V ta’ dan ir-Regolament ta’ Implimentazzjoni.</w:t>
      </w:r>
      <w:r>
        <w:t xml:space="preserve"> </w:t>
      </w:r>
    </w:p>
    <w:p w14:paraId="00A82C5A" w14:textId="7F0E5E44" w:rsidR="00BD16F2" w:rsidRPr="002A677E" w:rsidRDefault="00BD16F2" w:rsidP="00BD16F2">
      <w:pPr>
        <w:pStyle w:val="InstructionsText2"/>
        <w:numPr>
          <w:ilvl w:val="0"/>
          <w:numId w:val="0"/>
        </w:numPr>
        <w:ind w:left="993"/>
      </w:pPr>
      <w:r w:rsidRPr="005B57EC">
        <w:fldChar w:fldCharType="begin" w:dirty="true"/>
      </w:r>
      <w:r w:rsidRPr="002A677E">
        <w:instrText xml:space="preserve"> seq paragraphs </w:instrText>
      </w:r>
      <w:r w:rsidRPr="005B57EC">
        <w:fldChar w:fldCharType="separate"/>
      </w:r>
      <w:r w:rsidRPr="002A677E">
        <w:t>199</w:t>
      </w:r>
      <w:r w:rsidRPr="005B57EC">
        <w:fldChar w:fldCharType="end"/>
      </w:r>
      <w:r>
        <w:t xml:space="preserve">.</w:t>
      </w:r>
      <w:r>
        <w:tab/>
      </w:r>
      <w:r>
        <w:t xml:space="preserve"> </w:t>
      </w:r>
      <w:r>
        <w:t xml:space="preserve">Il-formola hija maqsuma f’żewġ taqsimiet.</w:t>
      </w:r>
      <w:r>
        <w:t xml:space="preserve"> </w:t>
      </w:r>
      <w:r>
        <w:t xml:space="preserve">L-ewwel waħda hija bbażata fuq diżaggregazzjoni tal-iskoperturi skont ir-riskju, l-approċċ regolatorju u klassijiet ta’ skopertura filwaqt li t-tieni hija bbażata fuq diżaggregazzjoni skont il-maturità residwa.</w:t>
      </w:r>
    </w:p>
    <w:p w14:paraId="4EBA25CD" w14:textId="77777777" w:rsidR="00BD16F2" w:rsidRPr="002A677E" w:rsidRDefault="00BD16F2" w:rsidP="00BD16F2">
      <w:pPr>
        <w:pStyle w:val="Instructionsberschrift2"/>
        <w:numPr>
          <w:ilvl w:val="0"/>
          <w:numId w:val="0"/>
        </w:numPr>
        <w:rPr>
          <w:sz w:val="24"/>
          <w:rFonts w:ascii="Times New Roman" w:hAnsi="Times New Roman" w:cs="Times New Roman"/>
        </w:rPr>
      </w:pPr>
      <w:bookmarkStart w:id="8" w:name="_Toc473561058"/>
      <w:bookmarkStart w:id="9" w:name="_Toc151714525"/>
      <w:r>
        <w:rPr>
          <w:sz w:val="24"/>
          <w:u w:val="none"/>
          <w:rFonts w:ascii="Times New Roman" w:hAnsi="Times New Roman"/>
        </w:rPr>
        <w:t xml:space="preserve">7.3.</w:t>
      </w:r>
      <w:r>
        <w:rPr>
          <w:sz w:val="24"/>
          <w:u w:val="none"/>
          <w:rFonts w:ascii="Times New Roman" w:hAnsi="Times New Roman"/>
        </w:rPr>
        <w:tab/>
      </w:r>
      <w:r>
        <w:rPr>
          <w:sz w:val="24"/>
          <w:rFonts w:ascii="Times New Roman" w:hAnsi="Times New Roman"/>
        </w:rPr>
        <w:t xml:space="preserve">Istruzzjonijiet li jikkonċernaw pożizzjonijiet speċifiċi</w:t>
      </w:r>
      <w:bookmarkEnd w:id="8"/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BD16F2" w:rsidRPr="002A677E" w14:paraId="3E45D987" w14:textId="77777777" w:rsidTr="00E07FE9">
        <w:tc>
          <w:tcPr>
            <w:tcW w:w="1188" w:type="dxa"/>
            <w:shd w:val="pct25" w:color="auto" w:fill="auto"/>
          </w:tcPr>
          <w:p w14:paraId="564910A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Kolonni</w:t>
            </w:r>
          </w:p>
          <w:p w14:paraId="4C109A2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  <w:tc>
          <w:tcPr>
            <w:tcW w:w="8640" w:type="dxa"/>
            <w:shd w:val="pct25" w:color="auto" w:fill="auto"/>
          </w:tcPr>
          <w:p w14:paraId="33F7A37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BD16F2" w:rsidRPr="002A677E" w14:paraId="3DC0F33D" w14:textId="77777777" w:rsidTr="00E07FE9">
        <w:tc>
          <w:tcPr>
            <w:tcW w:w="1188" w:type="dxa"/>
            <w:tcBorders>
              <w:bottom w:val="single" w:sz="4" w:space="0" w:color="auto"/>
            </w:tcBorders>
          </w:tcPr>
          <w:p w14:paraId="18B6E1B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0010–0260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14:paraId="3AFE02DF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DIRETTI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D16F2" w:rsidRPr="002A677E" w14:paraId="1885F66F" w14:textId="77777777" w:rsidTr="00E07FE9">
        <w:tc>
          <w:tcPr>
            <w:tcW w:w="1188" w:type="dxa"/>
          </w:tcPr>
          <w:p w14:paraId="2E4036E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0010–0140</w:t>
            </w:r>
          </w:p>
        </w:tc>
        <w:tc>
          <w:tcPr>
            <w:tcW w:w="8640" w:type="dxa"/>
          </w:tcPr>
          <w:p w14:paraId="70877AF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FIL-KARTA BILANĊJALI</w:t>
            </w:r>
          </w:p>
        </w:tc>
      </w:tr>
      <w:tr w:rsidR="00BD16F2" w:rsidRPr="002A677E" w14:paraId="413E33AD" w14:textId="77777777" w:rsidTr="00E07FE9">
        <w:tc>
          <w:tcPr>
            <w:tcW w:w="1188" w:type="dxa"/>
          </w:tcPr>
          <w:p w14:paraId="664BAE8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640" w:type="dxa"/>
          </w:tcPr>
          <w:p w14:paraId="00745A34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gross totali riportat ta’ assi finanzjarji mhux derivattivi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0AB51D7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138F86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ammont riportat gross, kif determinat f’konformità mal-paragrafu 34 tal-Parti 1 tal-Anness V ta’ dan ir-Regolament ta’ Implimentazzjoni, ta’ assi finanzjarji nonderivattivi għal Gvernijiet estiżi, għall-portafolli kontabilistiċi kollha skont l-IFRS jew il-GAAP nazzjonali bbażati fuq id-Direttiva tal-Kunsill 86/635/KEE ddefiniti fil-paragrafi minn 15 sa 22 tal-Parti 1 tal-Anness V ta’ dan ir-Regolament ta’ Implimentazzjoni u elenkati fil-kolonni minn 0030 sa 0120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19EBBB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194E68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Aġġustamenti tal-valwazzjoni prudenti ma għandhiex tnaqqas l-ammont gross riportat ta’ skoperturi tan-negozjar u mhux tan-negozjar imkejlin b’valur ġust.</w:t>
            </w:r>
          </w:p>
          <w:p w14:paraId="685C8A9A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044EE26" w14:textId="77777777" w:rsidTr="00E07FE9">
        <w:tc>
          <w:tcPr>
            <w:tcW w:w="1188" w:type="dxa"/>
          </w:tcPr>
          <w:p w14:paraId="0A5145B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</w:t>
            </w:r>
          </w:p>
        </w:tc>
        <w:tc>
          <w:tcPr>
            <w:tcW w:w="8640" w:type="dxa"/>
          </w:tcPr>
          <w:p w14:paraId="6AED7851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totali riportat ta’ assi finanzjarji mhux derivattivi (netti ta’ pożizzjonijiet qosra)</w:t>
            </w:r>
          </w:p>
          <w:p w14:paraId="332DA3A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8EC0A9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tal-ammont riportat, kif imsemmi fil-paragrafu 27 tal-Parti 1 tal-Anness V ta’ dan ir-Regolament ta’ Implimentazzjoni, ta’ assi finanzjarji nonderivattivi għal Gvernijiet estiżi, għall-portafolli kontabilistiċi kollha skont l-IFRS jew il-GAAP nazzjonali bbażati fuq id-Direttiva tal-Kunsill 86/635/KEE definiti fil-paragrafi minn 15 sa 22 tal-Parti 1 tal-Anness V ta’ dan ir-Regolament ta’ Implimentazzjoni, u elenkati fil-kolonni minn 0030 sa 0120, netti ta’ pożizzjonijiet qosra.</w:t>
            </w:r>
          </w:p>
          <w:p w14:paraId="12603E2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13CD6E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Fejn l-istituzzjoni jkollha pożizzjoni qasira, għall-istess maturità residwa u għall-istess maturità residwa u għall-istess kontroparti immedjata li hija denominata fl-istess munita, l-ammont riportat tal-pożizzjoni qasira għandu jiġi nnettjat kontra l-ammont riportat tal-pożizzjoni diretta.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Dak l-ammont nett għandu jitqies bħala żero meta ma jkunx ammont negattiv.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Meta istituzzjoni jkollha pożizzjoni qasira mingħajr pożizzjoni diretta korrispondenti, l-ammont tal-pożizzjoni qasira għandu jitqies żero għall-finijiet ta’ din il-kolonna.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660D1E01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9C0277B" w14:textId="77777777" w:rsidTr="00E07FE9">
        <w:tc>
          <w:tcPr>
            <w:tcW w:w="1188" w:type="dxa"/>
          </w:tcPr>
          <w:p w14:paraId="0F70DCD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0030–0120</w:t>
            </w:r>
          </w:p>
        </w:tc>
        <w:tc>
          <w:tcPr>
            <w:tcW w:w="8640" w:type="dxa"/>
          </w:tcPr>
          <w:p w14:paraId="77D5881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NONDERIVATTIVI SKONT IL-PORTAFOLLI KONTABBILISTIĊI</w:t>
            </w:r>
          </w:p>
          <w:p w14:paraId="55D3901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04C586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aggregat ta’ assi finanzjarji nonderivattivi, kif definiti fir-ringiela fuq din it-tabella, għal Gvernijiet ġenerali, diżaggregat skont il-portafoll kontabilistiku taħt il-qafas tal-kontabbiltà.</w:t>
            </w:r>
          </w:p>
          <w:p w14:paraId="7BE8B6F7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4CB956EC" w14:textId="77777777" w:rsidTr="00E07FE9">
        <w:tc>
          <w:tcPr>
            <w:tcW w:w="1188" w:type="dxa"/>
          </w:tcPr>
          <w:p w14:paraId="4BB7560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640" w:type="dxa"/>
          </w:tcPr>
          <w:p w14:paraId="536B204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miżmuma għan-negozju</w:t>
            </w:r>
          </w:p>
          <w:p w14:paraId="4FC3362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F01BD5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7.8(a)(ii);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 Appendiċi A</w:t>
            </w:r>
          </w:p>
          <w:p w14:paraId="50C911B6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CBFCB6F" w14:textId="77777777" w:rsidTr="00E07FE9">
        <w:tc>
          <w:tcPr>
            <w:tcW w:w="1188" w:type="dxa"/>
          </w:tcPr>
          <w:p w14:paraId="7D48737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640" w:type="dxa"/>
          </w:tcPr>
          <w:p w14:paraId="5F82DDB2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tan-negozjar</w:t>
            </w:r>
          </w:p>
          <w:p w14:paraId="3A7FCF8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448598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L-Artikoli 32 u 33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Il-paragrafu 16 tal-Parti 1 tal-Anness V għal dan ir-Regolament ta’ Implimentazzjoni;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 tad-Direttiva 2013/34/UE</w:t>
            </w:r>
          </w:p>
          <w:p w14:paraId="769FB62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1C111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ikunu rrapportati mill-istituzzjonijiet skont il-Prinċipji tal-Kontabbiltà Ġeneralment Aċċettati (GAAP) biss.</w:t>
            </w:r>
          </w:p>
          <w:p w14:paraId="17C99E04" w14:textId="77777777" w:rsidR="00BD16F2" w:rsidRPr="002A677E" w:rsidDel="00FB1EBF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2CC2036" w14:textId="77777777" w:rsidTr="00E07FE9">
        <w:tc>
          <w:tcPr>
            <w:tcW w:w="1188" w:type="dxa"/>
          </w:tcPr>
          <w:p w14:paraId="54EC1BD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640" w:type="dxa"/>
          </w:tcPr>
          <w:p w14:paraId="00F501FE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mhux tan-negozjar b’mod obbligatorju fil-valur ġust permezz tal-profitt jew telf</w:t>
            </w:r>
          </w:p>
          <w:p w14:paraId="525A1C8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063EA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7.8(a)(ii);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9.4.1.4</w:t>
            </w:r>
          </w:p>
          <w:p w14:paraId="189EE53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0ABA4B2" w14:textId="77777777" w:rsidTr="00E07FE9">
        <w:tc>
          <w:tcPr>
            <w:tcW w:w="1188" w:type="dxa"/>
          </w:tcPr>
          <w:p w14:paraId="0BFC780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640" w:type="dxa"/>
          </w:tcPr>
          <w:p w14:paraId="6F969304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speċifikati fil-valur ġust permezz ta’ profitt jew telf</w:t>
            </w:r>
          </w:p>
          <w:p w14:paraId="7E92E9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520464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7.8(a)(i);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9.4.1.5 u l-Artikolu 8(1), il-punt (a) u l-Artikolu 8(6) tad-Direttiva 2013/34/UE</w:t>
            </w:r>
          </w:p>
          <w:p w14:paraId="2235AFF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BF23D09" w14:textId="77777777" w:rsidTr="00E07FE9">
        <w:tc>
          <w:tcPr>
            <w:tcW w:w="1188" w:type="dxa"/>
          </w:tcPr>
          <w:p w14:paraId="53D9E29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640" w:type="dxa"/>
          </w:tcPr>
          <w:p w14:paraId="68D73903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mhux għan-negozjar u mhux derivattivi mkejlin bil-valur ġust permezz ta’ profitt jew telf</w:t>
            </w:r>
          </w:p>
          <w:p w14:paraId="23B3123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7CD9D1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36(2)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8(1), il-punt (a) tad-Direttiva 2013/34/UE</w:t>
            </w:r>
          </w:p>
          <w:p w14:paraId="160F890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D08313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ikunu rrapportati mill-istituzzjonijiet skont il-Prinċipji tal-Kontabbiltà Ġeneralment Aċċettati (GAAP) biss.</w:t>
            </w:r>
          </w:p>
          <w:p w14:paraId="6E56331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3B60CBD" w14:textId="77777777" w:rsidTr="00E07FE9">
        <w:tc>
          <w:tcPr>
            <w:tcW w:w="1188" w:type="dxa"/>
          </w:tcPr>
          <w:p w14:paraId="171C7A1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640" w:type="dxa"/>
          </w:tcPr>
          <w:p w14:paraId="3A843C30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bil-valur ġust permezz ta’ introjtu komprensiv ieħor</w:t>
            </w:r>
          </w:p>
          <w:p w14:paraId="7E05DE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248A32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7.8(d);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9.4.1.2A</w:t>
            </w:r>
          </w:p>
          <w:p w14:paraId="77A7996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lang w:eastAsia="de-DE"/>
              </w:rPr>
            </w:pPr>
          </w:p>
        </w:tc>
      </w:tr>
      <w:tr w:rsidR="00BD16F2" w:rsidRPr="002A677E" w14:paraId="3D4CCA12" w14:textId="77777777" w:rsidTr="00E07FE9">
        <w:tc>
          <w:tcPr>
            <w:tcW w:w="1188" w:type="dxa"/>
          </w:tcPr>
          <w:p w14:paraId="2A13B19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640" w:type="dxa"/>
          </w:tcPr>
          <w:p w14:paraId="508FA160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mhux għan-negozjar u mhux derivattivi mkejlin bil-valur ġust għall-ekwità</w:t>
            </w:r>
          </w:p>
          <w:p w14:paraId="312EC55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A54FF1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8(1), il-punt (a) u l-Artikolu 8(8) tad-Direttiva 2013/34/UE</w:t>
            </w:r>
          </w:p>
          <w:p w14:paraId="59CB959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237639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ikunu rrapportati mill-istituzzjonijiet skont il-Prinċipji tal-Kontabbiltà Ġeneralment Aċċettati (GAAP) biss.</w:t>
            </w:r>
          </w:p>
          <w:p w14:paraId="51F4F44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2F74C49" w14:textId="77777777" w:rsidTr="00E07FE9">
        <w:tc>
          <w:tcPr>
            <w:tcW w:w="1188" w:type="dxa"/>
          </w:tcPr>
          <w:p w14:paraId="45F0F2C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640" w:type="dxa"/>
          </w:tcPr>
          <w:p w14:paraId="479F6948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fuq il-bażi tal-kost amortizzat</w:t>
            </w:r>
          </w:p>
          <w:p w14:paraId="4996BB9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6A72775" w14:textId="77777777" w:rsidR="00BD16F2" w:rsidRPr="002A677E" w:rsidDel="00501397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L-IFRS 7.8(f);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9.4.1.2;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Il-paragrafu 15 tal-Parti 1 tal-Anness V għal dan ir-Regolament ta’ Implimentazzjoni</w:t>
            </w:r>
          </w:p>
          <w:p w14:paraId="45A195A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390405B" w14:textId="77777777" w:rsidTr="00E07FE9">
        <w:tc>
          <w:tcPr>
            <w:tcW w:w="1188" w:type="dxa"/>
          </w:tcPr>
          <w:p w14:paraId="443668D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640" w:type="dxa"/>
          </w:tcPr>
          <w:p w14:paraId="766084D3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mhux għan-negozjar u mhux derivattivi mkejlin b’metodu bbażat fuq il-kost</w:t>
            </w:r>
          </w:p>
          <w:p w14:paraId="6FD47D7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5DF723D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35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6(1), il-punt (i) u l-Artikolu 8(2)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l-Anness V, il-parti 1, il-paragrafu 16 ta’ dan ir-Regolament ta’ Implimentazzjoni</w:t>
            </w:r>
          </w:p>
          <w:p w14:paraId="282E66CD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72A9BB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ikunu rrapportati mill-istituzzjonijiet skont il-Prinċipji tal-Kontabbiltà Ġeneralment Aċċettati (GAAP) biss.</w:t>
            </w:r>
          </w:p>
          <w:p w14:paraId="58A5969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B948604" w14:textId="77777777" w:rsidTr="00E07FE9">
        <w:tc>
          <w:tcPr>
            <w:tcW w:w="1188" w:type="dxa"/>
          </w:tcPr>
          <w:p w14:paraId="3001C0C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640" w:type="dxa"/>
          </w:tcPr>
          <w:p w14:paraId="4E4E0E80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Assi finanzjarji mhux għan-negozjar u mhux derivattivi oħrajn</w:t>
            </w:r>
          </w:p>
          <w:p w14:paraId="238F2DC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6DBE6A3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37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l-Artikolu 12(7) tad-Direttiva 2013/34/UE;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l-Anness V, il-parti 1, il-paragrafu 16 ta’ dan ir-Regolament ta’ Implimentazzjoni</w:t>
            </w:r>
          </w:p>
          <w:p w14:paraId="7D2BCFA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4CA551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Għandhom ikunu rrapportati mill-istituzzjonijiet skont il-Prinċipji tal-Kontabbiltà Ġeneralment Aċċettati (GAAP) biss.</w:t>
            </w:r>
          </w:p>
          <w:p w14:paraId="312E62E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7C8E3AA" w14:textId="77777777" w:rsidTr="00E07FE9">
        <w:tc>
          <w:tcPr>
            <w:tcW w:w="1188" w:type="dxa"/>
          </w:tcPr>
          <w:p w14:paraId="6BE6225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640" w:type="dxa"/>
          </w:tcPr>
          <w:p w14:paraId="76C04A1B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qosra</w:t>
            </w:r>
          </w:p>
          <w:p w14:paraId="49E7DA3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EABDCF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ta’ pożizzjonijiet qosra, kif definit fl-IFRS 9. BA.7(b) meta l-kontroparti diretta tkun Gvern ġenerali kif definit fil-paragrafi minn 155 sa 160 ta’ dan l-Anness.</w:t>
            </w:r>
          </w:p>
          <w:p w14:paraId="024950F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1B3EE0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qosra jinħolqu fejn l-istituzzjoni tbigħ titoli akkwistati f’selfa ta’ riakkwist invers, jew mislufa arranġamenti ta’ għoti ta’ self ta’ titoli.</w:t>
            </w:r>
          </w:p>
          <w:p w14:paraId="7EBF0AE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21370D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L-ammont riportat huwa l-valur ġust tal-pożizzjonijiet bin-nieqes.</w:t>
            </w:r>
          </w:p>
          <w:p w14:paraId="3EDD491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A4AC94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qosra għandhom ikunu rrapportati minn taqsima ta’ maturità residwa, kif elenkati fir-ringieli minn 0170 sa 0230, u mill-kontroparti immedjata.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218C7A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BAFBB6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Il-pożizzjonijiet qosra rrapportati f’din il-kolonna jistgħu jiġu nnettjati kontra pożizzjonijiet bl-istess maturità residwa u kontroparti immedjata u denominati fl-istess munita li huma rrapportati fil-kolonni minn 0030 sa 0120 sabiex tinkiseb il-pożizzjoni netta li hija rrapportata fil-kolonna 0020.</w:t>
            </w:r>
          </w:p>
          <w:p w14:paraId="1FB5AD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310B3391" w14:textId="77777777" w:rsidTr="00E07FE9">
        <w:tc>
          <w:tcPr>
            <w:tcW w:w="1188" w:type="dxa"/>
          </w:tcPr>
          <w:p w14:paraId="10D2B58C" w14:textId="77777777" w:rsidR="00BD16F2" w:rsidRPr="002A677E" w:rsidDel="00E97A51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640" w:type="dxa"/>
          </w:tcPr>
          <w:p w14:paraId="7E8B6597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Pożizzjonijiet qosra minn self ta’ retroakkwist klassifikat bħala miżmumin għan-negozju jew assi finanzjarji tan-negozjar</w:t>
            </w:r>
          </w:p>
          <w:p w14:paraId="44C558B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1E9AF9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ta’ pożizzjonijiet qosra, kif definit f’IFRS 9. BA.7(b), li jfeġġu meta l-istituzzjoni tbiegħ it-titoli akkwistati f’selfiet ta’ retroakkwist, meta l-kontroparti diretta ta’ dawk it-titoli hija Gvern ġenerali u li huma inklużi fil-portafolli kontabilistiċi fl-assi finanzjarji għan-negozju (il-kolonni 0030 jew 0040).</w:t>
            </w:r>
          </w:p>
          <w:p w14:paraId="5D02DDE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2086FF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qosra li jirriżultaw meta t-titoli mibjugħa kienu missellfa f’arranġament ta’ għoti ta’ self ta’ titoli ma għandhomx ikunu inklużi f’din il-kolonna.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8BB35C9" w14:textId="77777777" w:rsidR="00BD16F2" w:rsidRPr="002A677E" w:rsidDel="00E97A51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:rsidDel="004A25FD" w14:paraId="116E41A1" w14:textId="77777777" w:rsidTr="00E07FE9">
        <w:tc>
          <w:tcPr>
            <w:tcW w:w="1188" w:type="dxa"/>
          </w:tcPr>
          <w:p w14:paraId="15C60976" w14:textId="77777777" w:rsidR="00BD16F2" w:rsidRPr="002A677E" w:rsidDel="004A25FD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0150</w:t>
            </w:r>
          </w:p>
        </w:tc>
        <w:tc>
          <w:tcPr>
            <w:tcW w:w="8640" w:type="dxa"/>
          </w:tcPr>
          <w:p w14:paraId="6965A7CA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Indeboliment akkumulat</w:t>
            </w:r>
          </w:p>
          <w:p w14:paraId="7BE2EBD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B7F645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L-indeboliment akkumulat aggregat relatat mal-assi finanzjarji nonderivattivi rapportati fil-kolonni minn 0080 sa 0120 (il-paragrafi 70 u 71 tal-Parti 2 tal-Anness V ta’ dan ir-Regolament ta’ Implimentazzjoni)</w:t>
            </w:r>
          </w:p>
          <w:p w14:paraId="7138219C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07DBEB5" w14:textId="77777777" w:rsidTr="00E07FE9">
        <w:tc>
          <w:tcPr>
            <w:tcW w:w="1188" w:type="dxa"/>
          </w:tcPr>
          <w:p w14:paraId="4DD87CF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640" w:type="dxa"/>
          </w:tcPr>
          <w:p w14:paraId="053E70B7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Indeboliment akkumulat - li minnu: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minn assi finanzjarji fil-valur ġust permezz ta’ introjtu ieħor komprensiv jew minn assi finanzjarji nonderivattivi mhux għan-negozjar imkejlin fil-valur ġust għall-ekwità</w:t>
            </w:r>
          </w:p>
          <w:p w14:paraId="4776C85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32EF88D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indeboliment akkumulat relatat ma’ assi finanzjarji mhux derivattivi rrapportati fil-kolonni 0080 u 0090.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A62846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:rsidDel="004A25FD" w14:paraId="37982893" w14:textId="77777777" w:rsidTr="00E07FE9">
        <w:tc>
          <w:tcPr>
            <w:tcW w:w="1188" w:type="dxa"/>
          </w:tcPr>
          <w:p w14:paraId="1309D915" w14:textId="77777777" w:rsidR="00BD16F2" w:rsidRPr="002A677E" w:rsidDel="004A25FD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</w:t>
            </w:r>
          </w:p>
        </w:tc>
        <w:tc>
          <w:tcPr>
            <w:tcW w:w="8640" w:type="dxa"/>
          </w:tcPr>
          <w:p w14:paraId="7BD9BE5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Bidliet negattivi akkumulati fil-valur ġust minħabba riskju ta’ kreditu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B68D76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301CF16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bidliet negattivi akkumulati f’valur ġust minħabba riskju ta’ kreditu relatat ma’ pożizzjonijiet informati fil-kolonni, 0050, 0060, 0070, 0080 u 0090 (il-paragrafu 69 tal-Parti 2 tal-Anness V għal dan ir-Regolament ta’ Implimentazzjoni)</w:t>
            </w:r>
          </w:p>
          <w:p w14:paraId="61669612" w14:textId="77777777" w:rsidR="00BD16F2" w:rsidRPr="002A677E" w:rsidDel="004A25FD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273A3BB" w14:textId="77777777" w:rsidTr="00E07FE9">
        <w:tc>
          <w:tcPr>
            <w:tcW w:w="1188" w:type="dxa"/>
          </w:tcPr>
          <w:p w14:paraId="635968C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0180</w:t>
            </w:r>
          </w:p>
        </w:tc>
        <w:tc>
          <w:tcPr>
            <w:tcW w:w="8640" w:type="dxa"/>
          </w:tcPr>
          <w:p w14:paraId="781601F8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Bidliet negattivi akkumulati fil-valur ġust minħabba riskju ta’ kreditu -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minn assi finanzjarji mhux għan-negozjar b’mod obbligatorju fil-valur ġust permezz ta’ profitt jew telf, assi finanzjarji deżinjati fil-valur ġust permezz ta’ profitt jew telf jew minn assi finanzjarji mhux tan-negozjar imkejlin fil-valur ġust permezz ta’ profitt jew telf</w:t>
            </w:r>
          </w:p>
          <w:p w14:paraId="7F56793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74D8A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bidliet negattivi akkumulati f’valur ġust minħabba riskju ta’ kreditu relatat ma’ pożizzjonijiet informati fil-kolonni, 0050, 0060 u 0070.</w:t>
            </w:r>
          </w:p>
          <w:p w14:paraId="24A9000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D16F2" w:rsidRPr="002A677E" w14:paraId="500AF04F" w14:textId="77777777" w:rsidTr="00E07FE9">
        <w:tc>
          <w:tcPr>
            <w:tcW w:w="1188" w:type="dxa"/>
          </w:tcPr>
          <w:p w14:paraId="295CE87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0190</w:t>
            </w:r>
          </w:p>
        </w:tc>
        <w:tc>
          <w:tcPr>
            <w:tcW w:w="8640" w:type="dxa"/>
          </w:tcPr>
          <w:p w14:paraId="6C4F0B86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Bidliet negattivi akkumulati fil-valur ġust minħabba riskju ta’ kreditu - li minnhom: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minn assi finanzjarji fil-valur ġust permezz ta’ introjtu ieħor komprensiv jew minn assi finanzjarji nonderivattivi mhux għan-negozjar imkejlin fil-valur ġust għall-ekwità</w:t>
            </w:r>
          </w:p>
          <w:p w14:paraId="2F7A12E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934389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bidliet negattivi akkumulati f’valur ġust minħabba riskju ta’ kreditu relatat ma’ pożizzjonijiet informati fil-kolonni 0080 u 0090.</w:t>
            </w:r>
          </w:p>
          <w:p w14:paraId="636C627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162555E" w14:textId="77777777" w:rsidTr="00E07FE9">
        <w:tc>
          <w:tcPr>
            <w:tcW w:w="1188" w:type="dxa"/>
          </w:tcPr>
          <w:p w14:paraId="4EB1E88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0200–0230</w:t>
            </w:r>
          </w:p>
        </w:tc>
        <w:tc>
          <w:tcPr>
            <w:tcW w:w="8640" w:type="dxa"/>
          </w:tcPr>
          <w:p w14:paraId="1A3371F8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DERIVATI</w:t>
            </w:r>
          </w:p>
          <w:p w14:paraId="42A7FD8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1B5F3F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Pożizzjonijiet diretti derivattivi għandhom ikunu rrapportati fil-kolonni minn 0200 sa 0230.</w:t>
            </w:r>
          </w:p>
          <w:p w14:paraId="7C5E29D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437823C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Għar-rapportar ta’ derivattivi soġġetti kemm għal ħlasijiet ta’ riskju ta’ kreditu tal-kontroparti kif ukoll għal ħlasijiet ta’ riskju fuq is-suq kapitali, ara l-istruzzjonijiet għad-diżaggregazzjoni tar-ringiela.</w:t>
            </w:r>
          </w:p>
          <w:p w14:paraId="7300665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44164F01" w14:textId="77777777" w:rsidTr="00E07FE9">
        <w:tc>
          <w:tcPr>
            <w:tcW w:w="1188" w:type="dxa"/>
          </w:tcPr>
          <w:p w14:paraId="6471E17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0200–0210</w:t>
            </w:r>
          </w:p>
        </w:tc>
        <w:tc>
          <w:tcPr>
            <w:tcW w:w="8640" w:type="dxa"/>
          </w:tcPr>
          <w:p w14:paraId="7FE3AF34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pożittiv</w:t>
            </w:r>
          </w:p>
          <w:p w14:paraId="5CC54C5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80E4F3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derivattivi kollha b’kontroparti ta’ Gvern estiż b’valur ġust pożittiv għall-istituzzjoni fid-data ta’ rapportar, irrispettivament minn jekk dawk l-istrumenti jintużawx f’relazzjoni ta’ ħħeġġjar kwalifikanti, jinżammu għan-negozjar jew jiġu inklużi fil-portafoll tan-negozjar skont l-IFRS u l-GAAP Nazzjonali fuq il-bażi tad-Direttiva tal-Kunsill 86/635/KEE.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7800DD5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43965C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użati f’ħeġġjar ekonomiku għandhom jiġu rapportati hawn meta jiġu inklużi fil-portafoll tan-negozjar jew jinżammu f’portafolli tal-kontabilità tan-negozju (il-paragrafi 120, 124, 125 u minn 137 sa 140 tal-Parti 2 tal-Anness V ta’ dan ir-Regolament ta’ Implimentazzjoni).</w:t>
            </w:r>
          </w:p>
          <w:p w14:paraId="3903065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203987C2" w14:textId="77777777" w:rsidTr="00E07FE9">
        <w:tc>
          <w:tcPr>
            <w:tcW w:w="1188" w:type="dxa"/>
          </w:tcPr>
          <w:p w14:paraId="26E1C3B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0200</w:t>
            </w:r>
          </w:p>
        </w:tc>
        <w:tc>
          <w:tcPr>
            <w:tcW w:w="8640" w:type="dxa"/>
          </w:tcPr>
          <w:p w14:paraId="3E1D071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pożittiv: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riportat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7AA6A4A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07483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tad-derivattivi meqjusa bħala assi finanzjarji fid-data ta’ referenza ta’ 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06A9D5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5228B9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GAAP fuq il-bażi tad-Direttiva tal-Kunsill 86/635/KEE, derivattivi li għandhom jiġu rapportati f’dawn il-kolonni jinkludu l-istrumenti derivattivi mkejla skont il-kost jew skont liema huwa l-inqas bejn il-kost u l-valur tas-suq inklużi fil-portafoll tan-negozjar jew deżinjati bħala strumenti għall-iħħeġġjar.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2950EA4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64EEFF86" w14:textId="77777777" w:rsidTr="00E07FE9">
        <w:tc>
          <w:tcPr>
            <w:tcW w:w="1188" w:type="dxa"/>
          </w:tcPr>
          <w:p w14:paraId="5A19D3A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0210</w:t>
            </w:r>
          </w:p>
        </w:tc>
        <w:tc>
          <w:tcPr>
            <w:tcW w:w="8640" w:type="dxa"/>
          </w:tcPr>
          <w:p w14:paraId="2BD96DA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pożittiv: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nozzjonali</w:t>
            </w:r>
          </w:p>
          <w:p w14:paraId="4F50A48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3C437A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l-IFRS u l-GAAP nazzjonali fuq il-bażi tad-Direttiva tal-Kunsill 86/635/KEE, l-ammont nozzjonali, kif definit fil-paragrafi minn 133 sa 135 tal-Parti 2 tal-Anness V ta’ dan ir-Regolament ta’ Implimentazzjoni, tal-kuntratti derivattivi kollha konklużi u li għadhom mhumiex saldati fid-data ta’ referenza ta’ rapportar, meta l-kontroparti tkun Gvern estiż kif definit fil-paragrafi minn 191 sa 196 ta’ dan l-Anness u l-valur ġust tad-derivattiv, huwa pożittiv għall-istituzzjoni fid-data ta’ referenza.</w:t>
            </w:r>
          </w:p>
          <w:p w14:paraId="79985B2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ED8172B" w14:textId="77777777" w:rsidTr="00E07FE9">
        <w:tc>
          <w:tcPr>
            <w:tcW w:w="1188" w:type="dxa"/>
          </w:tcPr>
          <w:p w14:paraId="3FCDB5C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0220–0230</w:t>
            </w:r>
          </w:p>
        </w:tc>
        <w:tc>
          <w:tcPr>
            <w:tcW w:w="8640" w:type="dxa"/>
          </w:tcPr>
          <w:p w14:paraId="51C3AE65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negattiv</w:t>
            </w:r>
          </w:p>
          <w:p w14:paraId="5B063261" w14:textId="77777777" w:rsidR="00BD16F2" w:rsidRPr="002A677E" w:rsidDel="00501397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7C79D5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L-istrumenti derivattivi kollha b’kontroparti ta’ Gvern estiż b’valur ġust negattiv għall-istituzzjoni fid-data ta’ referenza ta’ rapportar, irrispettivament minn jekk l-istrumenti humiex użati f’relazzjoni ta’ ħħeġġjar kwalifikanti, jew jinżammu għan-negozjar jew jiġu inklużi fil-portafoll tan-negozjar skont l-IFRS u l-GAAP nazzjonali fuq il-bażi tad-Direttiva tal-Kunsill 86/635/KEE.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FEBCDD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445D7D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użati f’ħeġġjar ekonomiku għandhom jiġu rapportati hawn meta jiġu inklużi fil-portafoll tan-negozjar jew jinżammu f’portafolli tal-kontabilità tan-negozju (il-paragrafi 120, 124, 125 u minn 137 sa 140 tal-Parti 2 tal-Anness V ta’ dan ir-Regolament ta’ Implimentazzjoni).</w:t>
            </w:r>
          </w:p>
          <w:p w14:paraId="367698F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ADAA22F" w14:textId="77777777" w:rsidTr="00E07FE9">
        <w:tc>
          <w:tcPr>
            <w:tcW w:w="1188" w:type="dxa"/>
          </w:tcPr>
          <w:p w14:paraId="42FDD71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0220</w:t>
            </w:r>
          </w:p>
        </w:tc>
        <w:tc>
          <w:tcPr>
            <w:tcW w:w="8640" w:type="dxa"/>
          </w:tcPr>
          <w:p w14:paraId="1F315A9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negattiv: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riportat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36DD0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6E6FF8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tad-derivattivi meqjusa bħala obbligazzjonijiet finanzjarji fid-data ta’ referenza ta’ 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6E4AD8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DE15687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GAAP fuq il-bażi tad-Direttiva tal-Kunsill 86/635/KEE, derivattivi li għandhom jiġu rapportati f’dawn il-kolonni jinkludu l-istrumenti derivattivi mkejla skont il-kost jew skont liema huwa l-inqas bejn il-kost u l-valur tas-suq inklużi fil-portafoll tan-negozjar jew deżinjati bħala strumenti għall-iħħeġġjar.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8C14E0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D9D4E1E" w14:textId="77777777" w:rsidTr="00E07FE9">
        <w:tc>
          <w:tcPr>
            <w:tcW w:w="1188" w:type="dxa"/>
          </w:tcPr>
          <w:p w14:paraId="008C976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0230</w:t>
            </w:r>
          </w:p>
        </w:tc>
        <w:tc>
          <w:tcPr>
            <w:tcW w:w="8640" w:type="dxa"/>
          </w:tcPr>
          <w:p w14:paraId="2C9A0CD6" w14:textId="77777777" w:rsidR="00BD16F2" w:rsidRPr="002A677E" w:rsidRDefault="00BD16F2" w:rsidP="00E07FE9">
            <w:pPr>
              <w:spacing w:before="0" w:after="0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negattiv: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nozzjonali</w:t>
            </w:r>
          </w:p>
          <w:p w14:paraId="2CEB383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6D8B6D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l-IFRS u l-GAAP nazzjonali fuq il-bażi tad-Direttiva tal-Kunsill 86/635/KEE, l-ammont nozzjonali, kif definit fil-paragrafi minn 133 sa 135 tal-Parti 2 tal-Anness V ta’ dan ir-Regolament ta’ Implimentazzjoni, tal-kuntratti derivattivi kollha konklużi u li għadhom mhumiex saldati fid-data ta’ referenza, meta l-kontroparti tkun Gvern estiż kif definit fil-paragrafi minn 191 sa 196 ta’ dan l-Anness u l-valur ġust tad-derivattiv, huwa negattiv għall-istituzzjoni fid-data ta’ referenza.</w:t>
            </w:r>
          </w:p>
          <w:p w14:paraId="52EA326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3D6F0C0B" w14:textId="77777777" w:rsidTr="00E07FE9">
        <w:tc>
          <w:tcPr>
            <w:tcW w:w="1188" w:type="dxa"/>
          </w:tcPr>
          <w:p w14:paraId="16CAE2E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0240–0260</w:t>
            </w:r>
          </w:p>
        </w:tc>
        <w:tc>
          <w:tcPr>
            <w:tcW w:w="8640" w:type="dxa"/>
          </w:tcPr>
          <w:p w14:paraId="006F0066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LI MA JIDHRUX FIL-KARTA BILANĊJALI</w:t>
            </w:r>
          </w:p>
        </w:tc>
      </w:tr>
      <w:tr w:rsidR="00BD16F2" w:rsidRPr="002A677E" w14:paraId="3F090DAF" w14:textId="77777777" w:rsidTr="00E07FE9">
        <w:tc>
          <w:tcPr>
            <w:tcW w:w="1188" w:type="dxa"/>
          </w:tcPr>
          <w:p w14:paraId="682DC44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0240</w:t>
            </w:r>
          </w:p>
        </w:tc>
        <w:tc>
          <w:tcPr>
            <w:tcW w:w="8640" w:type="dxa"/>
          </w:tcPr>
          <w:p w14:paraId="3ED0E67D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nominali</w:t>
            </w:r>
          </w:p>
          <w:p w14:paraId="6F27107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8AEA06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l-kontroparti diretta tal-entrata li ma tidhirx fil-karta bilanċjali tkun Gvern estiż kif definit fil-paragrafi minn 155 sa 160 ta’ dan l-Anness, ammont nominali tal-impenji u l-garanziji finanzjarji li mhumiex meqjusa bħala derivattiv f’konformità mal-IFRS jew skont GAAP nazzjonali fuq il-bażi tad-Direttiva tal-Kunsill 86/635/KEE (il-paragrafi 102-119 tal-Parti 2 tal-Anness V ta’ dan ir-Regolament ta’ Implimentazzjoni).</w:t>
            </w:r>
          </w:p>
          <w:p w14:paraId="6E4BA7A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76B28D3" w14:textId="77777777" w:rsidR="00BD16F2" w:rsidRPr="002A677E" w:rsidDel="00501397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F’konformità mal-paragrafi 43 u 44 tal-Parti 2 tal-Anness V ta’ dan ir-Regolament ta’ Implimentazzjoni, il-Gvern estiż huwa l-kontroparti diretta: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(a) f’garanzija finanzjarja mogħtija, meta jkun il-kontroparti diretta tal-istrument ta’ dejn garantit, u (b) f’impenn ta’ self u impenji oħra mogħtija, meta jkun il-kontroparti li r-riskju ta’ kreditu tiegħu jkun preżunt mill-istituzzjoni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50A166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326667D" w14:textId="77777777" w:rsidTr="00E07FE9">
        <w:tc>
          <w:tcPr>
            <w:tcW w:w="1188" w:type="dxa"/>
          </w:tcPr>
          <w:p w14:paraId="595EBDE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0250</w:t>
            </w:r>
          </w:p>
        </w:tc>
        <w:tc>
          <w:tcPr>
            <w:tcW w:w="8640" w:type="dxa"/>
          </w:tcPr>
          <w:p w14:paraId="22A72945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Provvedimenti</w:t>
            </w:r>
          </w:p>
          <w:p w14:paraId="01E70F5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843425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L-Artikolu 4, “Obbligazzjonijiet”, il-punt (6)(c) u “Entrati li ma jidhrux fil-karta bilanċjali”, l-Artikoli 27(11), 28(8) u l-Artikolu 33 tad-Direttiva tal-Kunsill 86/635/KEE;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l-IFRS 9.4.2.1(c)(ii),(d)(ii), 9.5.5.20; l-IAS 37, l-IFRS 4, il-parti 2.11 tal-Anness V ta’ dan ir-Regolament ta’ Implimentazzjoni.</w:t>
            </w:r>
          </w:p>
          <w:p w14:paraId="6754A1A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4CA6E4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Provvedimenti fuq l-iskoperturi kollha li ma jidhrux fil-karta bilanċjali irrispettivament minn kif dawn jitkejlu, ħlief għal dawk li huma mkejla fil-valur ġust permezz ta’ profitt jew telf f’konformità mal-IFRS 9.</w:t>
            </w:r>
          </w:p>
          <w:p w14:paraId="54F5F8E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B5B9973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Skont l-IFRS, l-indeboliment ta’ impenn ta’ self mogħti għandu jiġi rapportat fil-kolonna 150 fejn l-istituzzjoni ma tkunx tista’ tidentifika b’mod separat telf mistenni mill-kreditu relatat mal-ammont prelevat u mhux tal-istrument ta’ dejn.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F’każ li t-telf ta’ kreditu kkombinat mistenni għal dak l-istrument finanzjarju jaqbeż l-ammont riportat gross ta’ self tal-komponent ta’ self tal-istrument, il-bilanċ li jifdal tat-telf ta’ kreditu mistenni għandu jiġi rapportat bħala provvediment fil-kolonna 0250.</w:t>
            </w:r>
          </w:p>
          <w:p w14:paraId="041ACC9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A83ECAE" w14:textId="77777777" w:rsidTr="00E07FE9">
        <w:tc>
          <w:tcPr>
            <w:tcW w:w="1188" w:type="dxa"/>
          </w:tcPr>
          <w:p w14:paraId="4336896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0260</w:t>
            </w:r>
          </w:p>
        </w:tc>
        <w:tc>
          <w:tcPr>
            <w:tcW w:w="8640" w:type="dxa"/>
          </w:tcPr>
          <w:p w14:paraId="1E41EC8B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Bidliet negattivi akkumulati fil-valur ġust minħabba riskju ta’ kreditu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621C45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71B055E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entrati barra l-karta bilanċjali mkejla f’valur ġust permezz ta’ profitt jew telf skont l-IFRS 9, bidliet negattivi akkumulati bil-valur ġust minħabba riskju ta’ kreditu (il-paragrafu 110 tal-Parti 2 tal-Anness V għal dan ir-Regolament ta’ Implimentazzjoni)</w:t>
            </w:r>
          </w:p>
          <w:p w14:paraId="14DC17A6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u w:val="single"/>
                <w:rFonts w:ascii="Times New Roman" w:hAnsi="Times New Roman"/>
              </w:rPr>
              <w:t xml:space="preserve"> </w:t>
            </w:r>
          </w:p>
        </w:tc>
      </w:tr>
      <w:tr w:rsidR="00BD16F2" w:rsidRPr="002A677E" w14:paraId="4127DE12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C3F4" w14:textId="77777777" w:rsidR="00BD16F2" w:rsidRPr="002A677E" w:rsidDel="008D1680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0270–280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1AF7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Entrata ta’ memorandum: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tal-kreditu mibjugħin fuq skoperturi tal-gvern ġenerali</w:t>
            </w:r>
          </w:p>
          <w:p w14:paraId="7FCC5FD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E8529A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Derivattivi ta’ kreditu li ma jissodisfawx id-definizzjoni ta’ garanziji finanzjarji fl-Anness V, il-parti 2, il-paragrafu 58 li l-istituzzjoni ta’ rapportar tkun issottoskriviet ma’ kontropartijiet li mhumiex Gvern estiż u li l-iskopertura ta’ referenza tkun Gvern estiż għandhom jiġu rapportati.</w:t>
            </w:r>
          </w:p>
          <w:p w14:paraId="359B92D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C5DB553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Dawn il-kolonni ma għandhomx ikunu rapportati għal skoperturi mqassmin skont ir-riskju, l-approċċ regolatorju u l-klassifika ta’ skopertura (ir-ringieli minn 0020 sa 0160).</w:t>
            </w:r>
          </w:p>
          <w:p w14:paraId="2201FBD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7CC37A20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2664" w14:textId="77777777" w:rsidR="00BD16F2" w:rsidRPr="002A677E" w:rsidDel="008D1680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0270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999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pożittiv - Ammont riportat</w:t>
            </w:r>
          </w:p>
          <w:p w14:paraId="2A41898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2F45DF21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aggregat tad-derivattivi tal-kreditu mibjugħin fuq skoperturi ta’ gvern ġenerali rrapportati li għandhom valur ġust pożittiv għall-istituzzjoni fid-data ta’ referenza ta’ rapportar, mingħajr ma jitqiesu aġġustament ta’ valwazzjoni prudenti.</w:t>
            </w:r>
          </w:p>
          <w:p w14:paraId="268DBBB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6676DA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derivattivi skont l-IFRS, l-ammont li għandu jiġi rrapportat f’din il-kolonna huwa l-ammont riportat mid-derivattivi li huma assi finanzjarji fid-data tar-rapportar.</w:t>
            </w:r>
          </w:p>
          <w:p w14:paraId="68E6FB3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0040020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derivattivi skont il-GAAP fuq il-bażi tad-Direttiva tal-Kunsill 86/635/KEE, l-ammont li għandu jiġi rapportat f’din il-kolonna għandu jkun il-valur ġust ta’ derivattivi b’valur ġust pożittiv fid-data ta’ referenza ta’ rapportar, irrispettivament minn kif ġew kontabilizzati.</w:t>
            </w:r>
          </w:p>
          <w:p w14:paraId="329AEEA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24EE2BDC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121F2" w14:textId="77777777" w:rsidR="00BD16F2" w:rsidRPr="002A677E" w:rsidDel="008D1680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0280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38B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Derivattivi b’valur ġust negattiv - Ammont riportat</w:t>
            </w:r>
          </w:p>
          <w:p w14:paraId="57BCFC2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08215F8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riportat aggregat tad-derivattivi tal-kreditu mibjugħin fuq skoperturi ta’ gvern ġenerali rrapportati li għandhom valur ġust negattiv għall-istituzzjoni fid-data ta’ referenza ta’ rapportar, mingħajr ma jitqiesu aġġustament ta’ valwazzjoni prudenti.</w:t>
            </w:r>
          </w:p>
          <w:p w14:paraId="035B44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F5AA11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derivattivi skont l-IFRS, l-ammont li għandu jiġi rrapportat f’din il-kolonna huwa l-ammont riportat mid-derivattivi li huma obbligazzjonijiet finanzjarji fid-data tar-rapportar.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32E1D7A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D19F5C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derivattivi skont il-GAAP fuq il-bażi tad-Direttiva tal-Kunsill 86/635/KEE, l-ammont li għandu jiġi rapportat f’din il-kolonna huwa l-valur ġust ta’ derivattivi b’valur ġust negattiv fid-data ta’ referenza ta’ rapportar, irrispettivament minn kif ġew kontabilizzati.</w:t>
            </w:r>
            <w:r>
              <w:rPr>
                <w:sz w:val="24"/>
                <w:b/>
                <w:u w:val="single"/>
                <w:rFonts w:ascii="Times New Roman" w:hAnsi="Times New Roman"/>
              </w:rPr>
              <w:t xml:space="preserve"> </w:t>
            </w:r>
          </w:p>
          <w:p w14:paraId="07F6DFA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65CC9729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60E0" w14:textId="77777777" w:rsidR="00BD16F2" w:rsidRPr="002A677E" w:rsidDel="008D1680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0290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255EE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Valur tal-iskopertura</w:t>
            </w:r>
          </w:p>
          <w:p w14:paraId="39175C2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50375C6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Valur tal-iskopertura għall-iskoperturi soġġetti għall-qafas ta’ riskju ta’ kreditu.</w:t>
            </w:r>
          </w:p>
          <w:p w14:paraId="76E178A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2DF255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skont l-Approċċ Standardizzat (SA):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l-Artikolu 111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skont l-Approċċ IRB: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l-Artikolu 166 u t-tieni sentenza tal-Artikolu 230(1)tar-Regolament (UE) Nru 575/2013.</w:t>
            </w:r>
          </w:p>
          <w:p w14:paraId="05A95AB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D09267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Għar-rapportar ta’ derivattivi soġġetti kemm għal ħlasijiet ta’ riskju ta’ kreditu tal-kontroparti kif ukoll għal ħlasijiet ta’ riskju fuq is-suq kapitali, ara l-istruzzjonijiet għad-diżaggregazzjoni tar-ringiela.</w:t>
            </w:r>
          </w:p>
          <w:p w14:paraId="7314BDB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DBE7781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rapportati fil-kolonni 0270 u 0280 ma għandhomx jitqiesu għall-finijiet ta’ din il-kolonna, billi l-valur f’din il-kolonna huwa bbażat biss fuq skoperturi diretti.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0EFB9D4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1A4C273" w14:textId="77777777" w:rsidTr="00E07FE9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E3D9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0300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4E182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Ammont tal-iskopertura ponderat għar-riskju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472C24C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038C878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Ammont tal-iskopertura ponderat għar-riskju għall-iskoperturi soġġetti għall-qafas ta’ riskju ta’ kreditu.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4137B1E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0B030A1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Għal skoperturi skont l-Approċċ Standardizzat (SA):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l-Artikolu 113, il-paragrafi minn 1 sa 5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Għal skoperturi skont l-Approċċ IRB: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ara l-Artikolu 153, il-paragrafi 1 u 3 tar-Regolament (UE) Nru 575/2013.</w:t>
            </w:r>
          </w:p>
          <w:p w14:paraId="524637D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AD8815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Għar-rapportar ta’ skoperturi diretti fil-kamp ta’ applikazzjoni tal-Artikolu 271 tar-Regolament (UE) Nru 575/2013 soġġett għar-rekwiżiti ta’ fondi proprji kemm għar-riskju ta’ kreditu tal-kontroparti kif ukoll għar-riskju tas-suq, ara l-istruzzjonijiet għat-diżaggregazzjoni għal kull ringiela.</w:t>
            </w:r>
          </w:p>
          <w:p w14:paraId="0EE74286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8EFC6A6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L-iskoperturi rapportati fil-kolonni 0270 u 0280 ma għandhomx jitqiesu għall-finijiet ta’ din il-kolonna, billi l-valur f’din il-kolonna huwa bbażat biss fuq skoperturi diretti.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</w:tbl>
    <w:p w14:paraId="28C457B9" w14:textId="77777777" w:rsidR="00BD16F2" w:rsidRPr="002A677E" w:rsidRDefault="00BD16F2" w:rsidP="00BD16F2">
      <w:pPr>
        <w:spacing w:before="0" w:after="0"/>
        <w:ind w:left="33"/>
        <w:rPr>
          <w:rFonts w:ascii="Times New Roman" w:hAnsi="Times New Roman"/>
          <w:bCs/>
          <w:sz w:val="24"/>
          <w:lang w:eastAsia="de-D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701"/>
      </w:tblGrid>
      <w:tr w:rsidR="00BD16F2" w:rsidRPr="002A677E" w14:paraId="5EC8FE92" w14:textId="77777777" w:rsidTr="00E07FE9">
        <w:tc>
          <w:tcPr>
            <w:tcW w:w="1188" w:type="dxa"/>
            <w:shd w:val="clear" w:color="auto" w:fill="CCCCCC"/>
          </w:tcPr>
          <w:p w14:paraId="0F66128D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Ringieli</w:t>
            </w:r>
          </w:p>
        </w:tc>
        <w:tc>
          <w:tcPr>
            <w:tcW w:w="8701" w:type="dxa"/>
            <w:shd w:val="clear" w:color="auto" w:fill="CCCCCC"/>
          </w:tcPr>
          <w:p w14:paraId="59E26EF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Struzzjonijiet</w:t>
            </w:r>
          </w:p>
        </w:tc>
      </w:tr>
      <w:tr w:rsidR="00BD16F2" w:rsidRPr="002A677E" w14:paraId="78A169A5" w14:textId="77777777" w:rsidTr="00E07FE9">
        <w:tc>
          <w:tcPr>
            <w:tcW w:w="9889" w:type="dxa"/>
            <w:gridSpan w:val="2"/>
          </w:tcPr>
          <w:p w14:paraId="5FDB059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DIŻAGREGAZZJONI TA’ SKOPERTURI SKONT L-APPROĊĊ REGOLATORJU</w:t>
            </w:r>
          </w:p>
          <w:p w14:paraId="7072A14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23D6E82" w14:textId="77777777" w:rsidTr="00E07FE9">
        <w:tc>
          <w:tcPr>
            <w:tcW w:w="1188" w:type="dxa"/>
            <w:shd w:val="clear" w:color="auto" w:fill="auto"/>
          </w:tcPr>
          <w:p w14:paraId="635EC4C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</w:t>
            </w:r>
          </w:p>
        </w:tc>
        <w:tc>
          <w:tcPr>
            <w:tcW w:w="8701" w:type="dxa"/>
            <w:shd w:val="clear" w:color="auto" w:fill="auto"/>
          </w:tcPr>
          <w:p w14:paraId="45AF8DB6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totali</w:t>
            </w:r>
          </w:p>
          <w:p w14:paraId="7ADC584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  <w:p w14:paraId="7233A1D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skoperturi għall-Gvernijiet estiżi, kif definiti fil-paragrafi minn 191 sa 196 ta’ dan l-Anness.</w:t>
            </w:r>
          </w:p>
          <w:p w14:paraId="41D48D4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5468D2EA" w14:textId="77777777" w:rsidTr="00E07FE9">
        <w:tc>
          <w:tcPr>
            <w:tcW w:w="1188" w:type="dxa"/>
          </w:tcPr>
          <w:p w14:paraId="59C5392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0020–0155</w:t>
            </w:r>
          </w:p>
        </w:tc>
        <w:tc>
          <w:tcPr>
            <w:tcW w:w="8701" w:type="dxa"/>
          </w:tcPr>
          <w:p w14:paraId="7E2E9BC1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skont il-qafas tar-riskju ta’ kreditu</w:t>
            </w:r>
          </w:p>
          <w:p w14:paraId="5D1A2E5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0711A9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Aggregat ta’ skoperturi għal Gvernijiet estiżi li għandhom jiġu ponderati għar-riskju f’konformità mal-Parti Tlieta, it-Titolu II tar-Regolament (UE) Nru 575/2013.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Skoperturi skont il-qafas tar-riskju ta’ kreditu jinkludu skoperturi kemm mill-portafoll mhux tan-negozjar kif ukoll mill-portafoll tan-negozjar soġġett għal allokazzjoni ta’ kapital għal riskju ta’ kreditu tal-kontroparti.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1E171D2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7C54CE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diretti fil-kamp ta’ applikazzjoni tal-Artikolu 271 tar-Regolament (UE) Nru 575/2013 soġġetti għar-rekwiżiti ta’ fondi proprji kemm għar-riskju ta’ kreditu tal-kontroparti kif ukoll għar-riskju tas-suq għandhom jiġu rapportati kemm f’ringieli tar-riskju ta’ kreditu (minn 0020 sa 0155) kif ukoll fir-ringiela tar-riskju tas-suq (ir-ringiela 0160):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l-iskoperturi minħabba r-riskju ta’ kreditu tal-kontroparti għandhom ikunu rapportati fir-ringieli tar-riskju ta’ kreditu, filwaqt li skoperturi minħabba r-riskju tas-suq għandhom ikunu rrapportati fir-ringiela tar-riskju tas-suq.</w:t>
            </w:r>
          </w:p>
          <w:p w14:paraId="6723686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3F4D72F" w14:textId="77777777" w:rsidTr="00E07FE9">
        <w:tc>
          <w:tcPr>
            <w:tcW w:w="1188" w:type="dxa"/>
          </w:tcPr>
          <w:p w14:paraId="54704E3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0030</w:t>
            </w:r>
          </w:p>
        </w:tc>
        <w:tc>
          <w:tcPr>
            <w:tcW w:w="8701" w:type="dxa"/>
          </w:tcPr>
          <w:p w14:paraId="7376AEA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Standardizzat</w:t>
            </w:r>
          </w:p>
          <w:p w14:paraId="2B17793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E91009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li għandhom ikunu ponderati għar-riskju f’konformità mal-Parti Tlieta, it-Titolu II, il-Kapitolu 2 tar-Regolament (UE) Nru 575/2013, inklużi skoperturi mill-portafoll mhux tan-negozjar li għalihom il-ponderazzjoni tar-riskju f’konformità ma’ dak il-Kapitolu tindirizza riskju ta’ kreditu tal-kontroparti.</w:t>
            </w:r>
          </w:p>
          <w:p w14:paraId="5BCFF4F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42D2A5D" w14:textId="77777777" w:rsidTr="00E07FE9">
        <w:tc>
          <w:tcPr>
            <w:tcW w:w="1188" w:type="dxa"/>
          </w:tcPr>
          <w:p w14:paraId="72EFF5C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0040</w:t>
            </w:r>
          </w:p>
        </w:tc>
        <w:tc>
          <w:tcPr>
            <w:tcW w:w="8701" w:type="dxa"/>
          </w:tcPr>
          <w:p w14:paraId="7AB57723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ċentrali</w:t>
            </w:r>
          </w:p>
          <w:p w14:paraId="1EA8667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D6E9FB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ġenerali li huma gvernijiet ċentrali.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l-iskoperturi huma allokati lill-klassi tal-iskoperturi “Gvernijiet ċentrali jew banek ċentrali” f’konformità mal-Artikoli 112 u 114 tar-Regolament (UE) Nru 575/2013, kif speċifikat bl-istruzzjonijiet għall-formola C 07.00,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57F319A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61B3D5FC" w14:textId="77777777" w:rsidTr="00E07FE9">
        <w:tc>
          <w:tcPr>
            <w:tcW w:w="1188" w:type="dxa"/>
          </w:tcPr>
          <w:p w14:paraId="73BEF8D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0050</w:t>
            </w:r>
          </w:p>
        </w:tc>
        <w:tc>
          <w:tcPr>
            <w:tcW w:w="8701" w:type="dxa"/>
          </w:tcPr>
          <w:p w14:paraId="005C4B43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reġjonali jew awtoritajiet lokali</w:t>
            </w:r>
          </w:p>
          <w:p w14:paraId="6FBFFB0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0DB2B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ġenerali li huma gvernijiet reġjonali jew awtoritajiet lokali.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l-iskoperturi huma allokati lill-klassi tal-iskoperturi “Gvernijiet reġjonali jew awtoritajiet lokali” f’konformità mal-Artikoli 112 u 115 tar-Regolament (UE) Nru 575/2013, kif speċifikat bl-istruzzjonijiet għall-formola C 07.00,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2F8D7AFC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EDA648E" w14:textId="77777777" w:rsidTr="00E07FE9">
        <w:tc>
          <w:tcPr>
            <w:tcW w:w="1188" w:type="dxa"/>
          </w:tcPr>
          <w:p w14:paraId="4B25067A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0060</w:t>
            </w:r>
          </w:p>
        </w:tc>
        <w:tc>
          <w:tcPr>
            <w:tcW w:w="8701" w:type="dxa"/>
          </w:tcPr>
          <w:p w14:paraId="66765FAB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pubbliku</w:t>
            </w:r>
          </w:p>
          <w:p w14:paraId="66410BCB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6E616E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ġenerali li huma entitajiet tas-settur pubbliku.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l-iskoperturi huma allokati lill-klassi tal-iskoperturi “Entitajiet tas-settur pubbliku” f’konformità mal-Artikoli 112 u 116 tar-Regolament (UE) Nru 575/2013, kif speċifikat bl-istruzzjonijiet għall-formola C 07.00,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6D9CAE5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5BEA94BC" w14:textId="77777777" w:rsidTr="00E07FE9">
        <w:tc>
          <w:tcPr>
            <w:tcW w:w="1188" w:type="dxa"/>
          </w:tcPr>
          <w:p w14:paraId="0B5060C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0070</w:t>
            </w:r>
          </w:p>
        </w:tc>
        <w:tc>
          <w:tcPr>
            <w:tcW w:w="8701" w:type="dxa"/>
          </w:tcPr>
          <w:p w14:paraId="259C4BF7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Organizzazzjonijiet Internazzjonali</w:t>
            </w:r>
          </w:p>
          <w:p w14:paraId="781B0EA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10D36C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Amministrazzjonijiet pubbliċi li huma organizzazzjonijiet internazzjonali.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Dawn l-iskoperturi huma allokati lill-klassijiet tal-iskoperturi “Organizzazzjoni internazzjonali” f’konformità mal-Artikoli 112 u 118 tar-Regolament (UE) Nru 575/2013, kif speċifikat bl-istruzzjonijiet għall-formola C 07.00,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32FAD5D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0865678B" w14:textId="77777777" w:rsidTr="00E07FE9">
        <w:tc>
          <w:tcPr>
            <w:tcW w:w="1188" w:type="dxa"/>
          </w:tcPr>
          <w:p w14:paraId="5158E54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0075</w:t>
            </w:r>
          </w:p>
        </w:tc>
        <w:tc>
          <w:tcPr>
            <w:tcW w:w="8701" w:type="dxa"/>
          </w:tcPr>
          <w:p w14:paraId="5A600392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oħra tal-gvern ġenerali soġġetti għall-Approċċ Standardizzat</w:t>
            </w:r>
          </w:p>
          <w:p w14:paraId="3075D5C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3396EFB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għajr għal dawk inklużi fir-ringieli minn 0040 sa 0070 ta’ hawn fuq, li huma allokati lil klassijiet ta’ skoperturi SA f’konformità mal-Artikolu 112 tar-Regolament (UE) Nru 575/2013 għall-finijiet tal-kalkolu tar-rekwiżiti ta’ fondi proprji.</w:t>
            </w:r>
          </w:p>
          <w:p w14:paraId="4075F5D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1B53F043" w14:textId="77777777" w:rsidTr="00E07FE9">
        <w:tc>
          <w:tcPr>
            <w:tcW w:w="1188" w:type="dxa"/>
          </w:tcPr>
          <w:p w14:paraId="3541ED9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0080</w:t>
            </w:r>
          </w:p>
        </w:tc>
        <w:tc>
          <w:tcPr>
            <w:tcW w:w="8701" w:type="dxa"/>
          </w:tcPr>
          <w:p w14:paraId="3D441571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Approċċ IRB</w:t>
            </w:r>
          </w:p>
          <w:p w14:paraId="77F75F3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80DF3DD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li għandhom ikunu ponderati għar-riskju f’konformità mal-Parti Tlieta, it-Titolu II, il-Kapitolu 3 tar-Regolament (UE) Nru 575/2013, inklużi skoperturi mill-portafoll mhux tan-negozjar li għalihom il-ponderazzjoni tar-riskju f’konformità ma’ dak il-Kapitolu tindirizza riskju ta’ kreditu tal-kontroparti.</w:t>
            </w:r>
          </w:p>
          <w:p w14:paraId="7A51486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181223B8" w14:textId="77777777" w:rsidTr="00E07FE9">
        <w:tc>
          <w:tcPr>
            <w:tcW w:w="1188" w:type="dxa"/>
          </w:tcPr>
          <w:p w14:paraId="7E350796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0090</w:t>
            </w:r>
          </w:p>
        </w:tc>
        <w:tc>
          <w:tcPr>
            <w:tcW w:w="8701" w:type="dxa"/>
          </w:tcPr>
          <w:p w14:paraId="5371101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ċentrali</w:t>
            </w:r>
          </w:p>
          <w:p w14:paraId="3383DD8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4D5AE2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li huma gvernijiet ċentrali u li huma allokati lill-klassi tal-iskoperturi “Gvernijiet ċentrali u banek ċentrali” f’konformità mal-Artikolu 147(3), il-punt (a) tar-Regolament (UE) Nru 575/2013, kif speċifikat fl-istruzzjonijiet għall-formola C 08.01 u C 08.02,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7487C80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EAF83A7" w14:textId="77777777" w:rsidTr="00E07FE9">
        <w:tc>
          <w:tcPr>
            <w:tcW w:w="1188" w:type="dxa"/>
          </w:tcPr>
          <w:p w14:paraId="0AF0F588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0100</w:t>
            </w:r>
          </w:p>
        </w:tc>
        <w:tc>
          <w:tcPr>
            <w:tcW w:w="8701" w:type="dxa"/>
          </w:tcPr>
          <w:p w14:paraId="590811E9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reġjonali jew awtoritajiet lokali [Gvernijiet ċentrali u banek ċentrali]</w:t>
            </w:r>
          </w:p>
          <w:p w14:paraId="25A3F7A1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E5FA91E" w14:textId="0BE4C425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li huma gvernijiet reġjonali jew awtoritajiet lokali u li huma allokati lill-klassi tal-iskoperturi “Gvernijiet ċentrali u banek ċentrali” f’konformità mal-Artikolu 147(3a) tar-Regolament (UE) Nru 575/2013, kif speċifikat fl-istruzzjonijiet għall-formola C 08.01 u C 08.02,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56E79E4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7C485D34" w14:textId="77777777" w:rsidTr="00E07FE9">
        <w:tc>
          <w:tcPr>
            <w:tcW w:w="1188" w:type="dxa"/>
          </w:tcPr>
          <w:p w14:paraId="7E5A553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0110</w:t>
            </w:r>
          </w:p>
        </w:tc>
        <w:tc>
          <w:tcPr>
            <w:tcW w:w="8701" w:type="dxa"/>
          </w:tcPr>
          <w:p w14:paraId="6A830321" w14:textId="624574DD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Gvernijiet reġjonali jew awtoritajiet lokali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F1BEA0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2CEDA446" w14:textId="14C13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reġjonali jew awtoritajiet lokali u li huma allokati lill-klassi ta’ skoperturi “Gvernijiet reġjonali jew awtoritajiet lokali” f’konformità mal-Artikolu 147(2), il-punt (a1) (i), tar-Regolament (UE) Nru 575/2013, kif speċifikat fl-istruzzjonijiet għall-formola C 08.01 u C 08.02, bl-eċċezzjoni tal-ispeċifikazzjonijiet fir-rigward tar-ridistribuzzjoni ta’ skopertura għal Gvernijiet estiżi għal klassijiet tal-iskoperturi oħrajn minħabba l-applikazzjoni ta’ tekniki ta’ mitigazzjoni tar-riskju ta’ kreditu b’effett ta’ sostituzzjoni fuq l-iskopertura, li ma għandhomx japplikaw.</w:t>
            </w:r>
          </w:p>
          <w:p w14:paraId="33C3DED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A29152B" w14:textId="77777777" w:rsidTr="00E07FE9">
        <w:tc>
          <w:tcPr>
            <w:tcW w:w="1188" w:type="dxa"/>
          </w:tcPr>
          <w:p w14:paraId="7F2C8D32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0120</w:t>
            </w:r>
          </w:p>
        </w:tc>
        <w:tc>
          <w:tcPr>
            <w:tcW w:w="8701" w:type="dxa"/>
          </w:tcPr>
          <w:p w14:paraId="6B31BA5C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pubbliku [Gvernijiet ċentrali u banek ċentrali]</w:t>
            </w:r>
          </w:p>
          <w:p w14:paraId="6DC75DB8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4635741" w14:textId="2A2CB536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ġenerali li huma entitajiet tas-settur pubbliku f’konformità mal-Artikolu 4(8) tar-Regolament (UE) Nru 575/2013 u li huma allokati lill-klassi ta’ skoperturi “Gvernijiet ċentrali u banek ċentrali” f’konformità mal-Artikolu 147(3a) ta’ dak ir-Regolament, kif speċifikat fl-istruzzjonijiet għall-formola C 08.01 u C 08.02, bl-eċċezzjoni tal-ispeċifikazzjonijiet fir-rigward tar-ridistribuzzjoni ta’ skopertura għal Gvernijiet estiżi għal klassijiet tal-iskoperturi oħrajn minħabba l-applikazzjoni ta’ tekniki ta’ mitigazzjoni tar-riskju ta’ kreditu b’effett ta’ sostituzzjoni fuq l-iskopertura, li ma għandhomx japplikaw.</w:t>
            </w:r>
          </w:p>
          <w:p w14:paraId="4217126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3E3401D5" w14:textId="77777777" w:rsidTr="00E07FE9">
        <w:tc>
          <w:tcPr>
            <w:tcW w:w="1188" w:type="dxa"/>
          </w:tcPr>
          <w:p w14:paraId="651DC4B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0130</w:t>
            </w:r>
          </w:p>
        </w:tc>
        <w:tc>
          <w:tcPr>
            <w:tcW w:w="8701" w:type="dxa"/>
          </w:tcPr>
          <w:p w14:paraId="4211C115" w14:textId="1030AFC3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Entitajiet tas-settur pubbliku</w:t>
            </w: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 </w:t>
            </w:r>
          </w:p>
          <w:p w14:paraId="3E291979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9C2FE70" w14:textId="0264C9F0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entitajiet tas-settur pubbliku f’konformità mal-Artikolu 4(8) tar-Regolament (UE) Nru 575/2013 u li huma allokati lill-klassi ta’ skoperturi “Entitajiet tas-settur pubbliku” f’konformità mal-Artikolu 147(2), il-punt (a1) (ii), ta’ dak ir-Regolament, kif speċifikat fl-istruzzjonijiet għall-formola C 08.01 u C 08.02, bl-eċċezzjoni tal-ispeċifikazzjonijiet fir-rigward tar-ridistribuzzjoni ta’ skopertura għal Gvernijiet estiżi għal klassijiet tal-iskoperturi oħrajn minħabba l-applikazzjoni ta’ tekniki ta’ mitigazzjoni tar-riskju ta’ kreditu b’effett ta’ sostituzzjoni fuq l-iskopertura, li ma għandhomx japplikaw.</w:t>
            </w:r>
          </w:p>
          <w:p w14:paraId="58A7F377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288128A9" w14:textId="77777777" w:rsidTr="00E07FE9">
        <w:tc>
          <w:tcPr>
            <w:tcW w:w="1188" w:type="dxa"/>
          </w:tcPr>
          <w:p w14:paraId="6C372DE8" w14:textId="77777777" w:rsidR="00BD16F2" w:rsidRPr="002A677E" w:rsidDel="00C211CB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0140</w:t>
            </w:r>
          </w:p>
        </w:tc>
        <w:tc>
          <w:tcPr>
            <w:tcW w:w="8701" w:type="dxa"/>
          </w:tcPr>
          <w:p w14:paraId="1BE8FBD8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Organizzazzjonijiet Internazzjonali [Gvernijiet ċentrali u banek ċentrali]</w:t>
            </w:r>
          </w:p>
          <w:p w14:paraId="541249E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CAB4611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li huma Organizzazzjonijiet Internazzjonali u li huma allokati lill-klassi tal-iskoperturi “Gvernijiet ċentrali u banek ċentrali” f’konformità mal-Artikolu 147(3), il-punt (c) tar-Regolament (UE) Nru 575/2013, kif speċifikat fl-istruzzjonijiet għall-formola C 08.01 u C 08.02, bl-eċċezzjoni tal-ispeċifikazzjonijiet fir-rigward tar-ridistribuzzjoni ta’ skoperturi għal Gvernijiet estiżi għal klassijiet tal-iskoperturi oħrajn minħabba l-applikazzjoni ta’ tekniki ta’ mitigazzjoni tar-riskju ta’ kreditu b’effetti ta’ sostituzzjoni fuq l-iskopertura, li ma għandhomx japplikaw.</w:t>
            </w:r>
          </w:p>
          <w:p w14:paraId="31ABD7C3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4923F409" w14:textId="77777777" w:rsidTr="00E07FE9">
        <w:tc>
          <w:tcPr>
            <w:tcW w:w="1188" w:type="dxa"/>
          </w:tcPr>
          <w:p w14:paraId="7E01A68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0155</w:t>
            </w:r>
          </w:p>
        </w:tc>
        <w:tc>
          <w:tcPr>
            <w:tcW w:w="8701" w:type="dxa"/>
          </w:tcPr>
          <w:p w14:paraId="205F29D2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oħra għal gvernijiet ġenerali soġġetti għal Approċċ IRB</w:t>
            </w:r>
          </w:p>
          <w:p w14:paraId="7DD4128F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BD8FDC5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estiżi għajr għal dawk inklużi fir-ringieli minn 0090 sa 0140 ta’ hawn fuq li huma allokati lil klassijiet ta’ skoperturi IRB f’konformità mal-Artikolu 147 tar-Regolament (UE) Nru 575/2013 għall-finijiet tal-kalkolu tar-rekwiżiti ta’ fondi proprji.</w:t>
            </w:r>
          </w:p>
          <w:p w14:paraId="5E8C584A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/>
                <w:bCs/>
                <w:sz w:val="24"/>
                <w:u w:val="single"/>
                <w:lang w:eastAsia="de-DE"/>
              </w:rPr>
            </w:pPr>
          </w:p>
        </w:tc>
      </w:tr>
      <w:tr w:rsidR="00BD16F2" w:rsidRPr="002A677E" w14:paraId="131E9AE8" w14:textId="77777777" w:rsidTr="00E07FE9">
        <w:tc>
          <w:tcPr>
            <w:tcW w:w="1188" w:type="dxa"/>
          </w:tcPr>
          <w:p w14:paraId="0355DF5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0160</w:t>
            </w:r>
          </w:p>
        </w:tc>
        <w:tc>
          <w:tcPr>
            <w:tcW w:w="8701" w:type="dxa"/>
          </w:tcPr>
          <w:p w14:paraId="1066509F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u w:val="single"/>
                <w:rFonts w:ascii="Times New Roman" w:hAnsi="Times New Roman"/>
              </w:rPr>
            </w:pPr>
            <w:r>
              <w:rPr>
                <w:b/>
                <w:sz w:val="24"/>
                <w:u w:val="single"/>
                <w:rFonts w:ascii="Times New Roman" w:hAnsi="Times New Roman"/>
              </w:rPr>
              <w:t xml:space="preserve">Skoperturi soġġetti għar-riskju tas-suq</w:t>
            </w:r>
          </w:p>
          <w:p w14:paraId="402F9DD5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7DC6C573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Din ir-ringiela tkopri pożizzjonijiet li għalihom huwa kkalkolat wieħed mir-rekwiżiti ta’ fondi proprji li ġejjin tal-Parti Tlieta, it-Titolu IV tar-Regolament (UE) Nru 575/2013:</w:t>
            </w:r>
          </w:p>
          <w:p w14:paraId="4D91BB25" w14:textId="77777777" w:rsidR="00BD16F2" w:rsidRPr="002A677E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Rekwiżiti ta’ fondi proprji għal riskju ta’ pożizzjoni f’konformità mal-Artikolu 326 tar-Regolament (UE) Nru 575/2013</w:t>
            </w:r>
          </w:p>
          <w:p w14:paraId="6AC569B5" w14:textId="6FA3AEB0" w:rsidR="00BD16F2" w:rsidRPr="000059B8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sz w:val="24"/>
                <w:rFonts w:ascii="Times New Roman" w:hAnsi="Times New Roman"/>
              </w:rPr>
              <w:t xml:space="preserve">Ir-rekwiżiti ta’ fondi proprji għal riskju speċifiku jew ġenerali f’konformità mal-Parti Tlieta, it-Titolu IV, il-Kapitolu 5, ta’ dak ir-Regolament;</w:t>
            </w:r>
          </w:p>
          <w:p w14:paraId="32753AD8" w14:textId="77777777" w:rsidR="00BD16F2" w:rsidRPr="008735B6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sz w:val="24"/>
                <w:rFonts w:ascii="Times New Roman" w:hAnsi="Times New Roman"/>
              </w:rPr>
              <w:t xml:space="preserve">Rekwiżiti ta’ fondi proprji għar-riskju ta’ firxiet tal-kreditu jew għar-riskju ta’ inadempjenza f’konformità mal-Parti Tlieta, it-Titolu IV, il-Kapitolu 1a ta’ dak ir-Regolament.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  <w:p w14:paraId="565F2E22" w14:textId="77777777" w:rsidR="00BD16F2" w:rsidRPr="002A677E" w:rsidRDefault="00BD16F2" w:rsidP="00BD16F2">
            <w:pPr>
              <w:pStyle w:val="ListParagraph"/>
              <w:numPr>
                <w:ilvl w:val="0"/>
                <w:numId w:val="19"/>
              </w:numPr>
              <w:contextualSpacing w:val="0"/>
            </w:pPr>
            <w:r>
              <w:rPr>
                <w:sz w:val="24"/>
                <w:rFonts w:ascii="Times New Roman" w:hAnsi="Times New Roman"/>
              </w:rPr>
              <w:t xml:space="preserve">Ir-rekwiżiti ta’ fondi proprji kkalkolati f’konformità mal-Parti Tlieta, it-Titolu IV, il-Kapitolu 1a ta’ dak ir-Regolament, meta l-pożizzjoni tkun affettwata minn fatturi ta’ riskju tal-firxiet ta’ kreditu tal-kategorija tal-fattur ta’ riskju wiesa’ jew inkluża fil-mudell intern tar-riskju ta’ inadempjenza tal-istituzzjoni.</w:t>
            </w:r>
          </w:p>
          <w:p w14:paraId="1C79BB00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diretti fil-kamp ta’ applikazzjoni tal-Artikolu 271 tar-Regolament (UE) Nru 575/2013 soġġetti għar-rekwiżiti ta’ fondi proprji kemm għar-riskju ta’ kreditu tal-kontroparti kif ukoll għar-riskju tas-suq għandhom jiġu rapportati kemm f’ringieli tar-riskju ta’ kreditu (minn 0020 sa 0155) kif ukoll fir-ringiela tar-riskju tas-suq (ir-ringiela 0160):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l-iskopertura minħabba r-riskju ta’ kreditu tal-kontroparti għandha tiġi rapportata fir-ringieli tar-riskju ta’ kreditu, filwaqt li skopertura minħabba r-riskju tas-suq tiġi rapportata fir-ringiela tar-riskju tas-suq.</w:t>
            </w:r>
          </w:p>
          <w:p w14:paraId="0507B104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</w:tc>
      </w:tr>
      <w:tr w:rsidR="00BD16F2" w:rsidRPr="002A677E" w14:paraId="02CFB1FE" w14:textId="77777777" w:rsidTr="00E07FE9">
        <w:tc>
          <w:tcPr>
            <w:tcW w:w="1188" w:type="dxa"/>
          </w:tcPr>
          <w:p w14:paraId="18296F74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0170–0230</w:t>
            </w:r>
          </w:p>
        </w:tc>
        <w:tc>
          <w:tcPr>
            <w:tcW w:w="8701" w:type="dxa"/>
          </w:tcPr>
          <w:p w14:paraId="08A57F53" w14:textId="77777777" w:rsidR="00BD16F2" w:rsidRPr="002A677E" w:rsidRDefault="00BD16F2" w:rsidP="00E07FE9">
            <w:pPr>
              <w:spacing w:before="0" w:after="0"/>
              <w:ind w:left="33"/>
              <w:rPr>
                <w:b/>
                <w:bCs/>
                <w:sz w:val="24"/>
                <w:rFonts w:ascii="Times New Roman" w:hAnsi="Times New Roman"/>
              </w:rPr>
            </w:pPr>
            <w:r>
              <w:rPr>
                <w:b/>
                <w:sz w:val="24"/>
                <w:rFonts w:ascii="Times New Roman" w:hAnsi="Times New Roman"/>
              </w:rPr>
              <w:t xml:space="preserve">DIŻAGREGAZZJONI TA’ SKOPERTURI SKONT IL-MATURITÀ RESIDWA</w:t>
            </w:r>
          </w:p>
          <w:p w14:paraId="50123FE2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6729ABCC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Il-maturità residwa għandha tiġi kkalkolata f’jiem bejn id-data kontrattwali ta’ maturità u d-data ta’ referenza ta’ rapportar għall-pożizzjonijiet kollha.</w:t>
            </w:r>
          </w:p>
          <w:p w14:paraId="44B0A420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4795327F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għal Gvernijiet ġenerali għandhom ikunu mqassma skont il-maturità residwa u allokati fit-taqsimiet ipprovduti kif ġej:</w:t>
            </w:r>
          </w:p>
          <w:p w14:paraId="41BF07EE" w14:textId="77777777" w:rsidR="00BD16F2" w:rsidRPr="002A677E" w:rsidRDefault="00BD16F2" w:rsidP="00E07FE9">
            <w:pPr>
              <w:spacing w:before="0" w:after="0"/>
              <w:ind w:left="33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8A00E79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[ 0 - 3X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Inqas minn 90 jum;</w:t>
            </w:r>
          </w:p>
          <w:p w14:paraId="0F583012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[ 3X - 1S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90 jum jew aktar, u inqas minn 365 jum;</w:t>
            </w:r>
          </w:p>
          <w:p w14:paraId="4538DC89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[ 1S – 2S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365 jum jew aktar, u inqas minn 730 jum;</w:t>
            </w:r>
          </w:p>
          <w:p w14:paraId="31713DE0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[ 2S – 3S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730 jum jew aktar, u inqas minn 1 095 jum;</w:t>
            </w:r>
          </w:p>
          <w:p w14:paraId="605F8680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[ 3S– 5S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1 095 jum jew aktar, u inqas minn 1 825 jum;</w:t>
            </w:r>
          </w:p>
          <w:p w14:paraId="4BB7CB52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[ 5S – 10S [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1 825 jum jew aktar, u inqas minn 3 650 jum;</w:t>
            </w:r>
          </w:p>
          <w:p w14:paraId="64FFD510" w14:textId="77777777" w:rsidR="00BD16F2" w:rsidRPr="002A677E" w:rsidRDefault="00BD16F2" w:rsidP="00E07FE9">
            <w:pPr>
              <w:spacing w:before="0" w:after="0"/>
              <w:ind w:left="808" w:hanging="36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Symbol" w:hAnsi="Symbol"/>
              </w:rPr>
              <w:t xml:space="preserve"></w:t>
            </w:r>
            <w:r>
              <w:rPr>
                <w:sz w:val="24"/>
                <w:rFonts w:ascii="Symbol" w:hAnsi="Symbol"/>
              </w:rPr>
              <w:tab/>
            </w:r>
            <w:r>
              <w:rPr>
                <w:sz w:val="24"/>
                <w:b/>
                <w:rFonts w:ascii="Times New Roman" w:hAnsi="Times New Roman"/>
              </w:rPr>
              <w:t xml:space="preserve">[ 10S – aktar</w:t>
            </w:r>
            <w:r>
              <w:rPr>
                <w:sz w:val="24"/>
                <w:rFonts w:ascii="Times New Roman" w:hAnsi="Times New Roman"/>
              </w:rPr>
              <w:t xml:space="preserve"> :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3 650 jum jew aktar.</w:t>
            </w:r>
          </w:p>
          <w:p w14:paraId="459DC391" w14:textId="77777777" w:rsidR="00BD16F2" w:rsidRPr="002A677E" w:rsidRDefault="00BD16F2" w:rsidP="00E07FE9">
            <w:pPr>
              <w:spacing w:before="0" w:after="0"/>
              <w:ind w:left="808" w:hanging="36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50647C13" w14:textId="77777777" w:rsidR="00BD16F2" w:rsidRPr="002A677E" w:rsidRDefault="00BD16F2" w:rsidP="00E07FE9">
            <w:pPr>
              <w:spacing w:before="0" w:after="0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Meta d-data kuntrattwali tal-maturità tkun qabel id-data ta’ referenza tar-rapportar (jiġifieri d-differenza bejn id-data ta’ referenza tar-rapportar u d-data tal-maturità tkun valur negattiv), l-iskopertura għandha tiġi allokata għat-taqsima [0 – 3X].</w:t>
            </w:r>
          </w:p>
          <w:p w14:paraId="39F8BC0B" w14:textId="77777777" w:rsidR="00BD16F2" w:rsidRPr="002A677E" w:rsidRDefault="00BD16F2" w:rsidP="00E07FE9">
            <w:pPr>
              <w:spacing w:before="0" w:after="0"/>
              <w:rPr>
                <w:rFonts w:ascii="Times New Roman" w:hAnsi="Times New Roman"/>
                <w:bCs/>
                <w:sz w:val="24"/>
                <w:lang w:eastAsia="de-DE"/>
              </w:rPr>
            </w:pPr>
          </w:p>
          <w:p w14:paraId="1652D55B" w14:textId="77777777" w:rsidR="00BD16F2" w:rsidRPr="002A677E" w:rsidRDefault="00BD16F2" w:rsidP="00E07FE9">
            <w:pPr>
              <w:spacing w:before="0" w:after="0"/>
              <w:ind w:left="33"/>
              <w:rPr>
                <w:bCs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Skoperturi mingħajr maturità residwa għandhom ikunu allokati għat-taqsima tal-maturità residwa fuq il-bażi tal-perjodu ta’ notifika tagħhom jew indikazzjonijiet kuntrattwali oħra dwar il-maturità.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Jekk ma jkun hemm l-ebda perjodu predefinit ta’ notifika u lanqas indikazzjoni kuntrattwali oħra dwar il-maturità, l-iskoperturi għandhom ikunu allokati għat-taqsima ta’ maturità residwa [10S – aktar].</w:t>
            </w:r>
          </w:p>
        </w:tc>
      </w:tr>
    </w:tbl>
    <w:p w14:paraId="74EC1E02" w14:textId="77777777" w:rsidR="00BD16F2" w:rsidRPr="002A677E" w:rsidRDefault="00BD16F2" w:rsidP="00BD16F2">
      <w:pPr>
        <w:spacing w:after="0"/>
        <w:rPr>
          <w:rStyle w:val="InstructionsTabelleText"/>
          <w:rFonts w:ascii="Times New Roman" w:hAnsi="Times New Roman"/>
          <w:sz w:val="24"/>
        </w:rPr>
      </w:pPr>
    </w:p>
    <w:p w14:paraId="2EAB6BA9" w14:textId="77777777" w:rsidR="00BD16F2" w:rsidRDefault="00BD16F2"/>
    <w:p w14:paraId="2871FFE7" w14:textId="77777777" w:rsidR="00BD16F2" w:rsidRDefault="00BD16F2"/>
    <w:sectPr w:rsidR="00BD16F2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CCD63" w14:textId="77777777" w:rsidR="00BD16F2" w:rsidRDefault="00BD16F2" w:rsidP="00BD16F2">
      <w:pPr>
        <w:spacing w:before="0" w:after="0"/>
      </w:pPr>
      <w:r>
        <w:separator/>
      </w:r>
    </w:p>
  </w:endnote>
  <w:endnote w:type="continuationSeparator" w:id="0">
    <w:p w14:paraId="3440A2E8" w14:textId="77777777" w:rsidR="00BD16F2" w:rsidRDefault="00BD16F2" w:rsidP="00BD16F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82513" w14:textId="77777777" w:rsidR="00BD16F2" w:rsidRDefault="00BD16F2" w:rsidP="00BD16F2">
      <w:pPr>
        <w:spacing w:before="0" w:after="0"/>
      </w:pPr>
      <w:r>
        <w:separator/>
      </w:r>
    </w:p>
  </w:footnote>
  <w:footnote w:type="continuationSeparator" w:id="0">
    <w:p w14:paraId="1717FC61" w14:textId="77777777" w:rsidR="00BD16F2" w:rsidRDefault="00BD16F2" w:rsidP="00BD16F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9A95A" w14:textId="6AF3BF07" w:rsidR="00BD16F2" w:rsidRDefault="00BD16F2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23F45FF0" wp14:editId="4B2C6AB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443840396" name="Text Box 2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C787B2" w14:textId="1CAD9F84" w:rsidR="00BD16F2" w:rsidRPr="00BD16F2" w:rsidRDefault="00BD16F2" w:rsidP="00BD16F2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F45F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Użu Regolari tal-EBA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57C787B2" w14:textId="1CAD9F84" w:rsidR="00BD16F2" w:rsidRPr="00BD16F2" w:rsidRDefault="00BD16F2" w:rsidP="00BD16F2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B9F67" w14:textId="6AACFABF" w:rsidR="00BD16F2" w:rsidRDefault="00BD16F2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091C5592" wp14:editId="3DFB3BCB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6617029" name="Text Box 3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E23C26" w14:textId="6E2A5638" w:rsidR="00BD16F2" w:rsidRPr="00BD16F2" w:rsidRDefault="00BD16F2" w:rsidP="00BD16F2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C55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Użu Regolari tal-EBA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5CE23C26" w14:textId="6E2A5638" w:rsidR="00BD16F2" w:rsidRPr="00BD16F2" w:rsidRDefault="00BD16F2" w:rsidP="00BD16F2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FBAF6" w14:textId="6E2DFCB8" w:rsidR="00BD16F2" w:rsidRDefault="00BD16F2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75451B99" wp14:editId="1844A30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18204340" name="Text Box 1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3F1759" w14:textId="756F627B" w:rsidR="00BD16F2" w:rsidRPr="00BD16F2" w:rsidRDefault="00BD16F2" w:rsidP="00BD16F2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451B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Użu Regolari tal-EBA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E3F1759" w14:textId="756F627B" w:rsidR="00BD16F2" w:rsidRPr="00BD16F2" w:rsidRDefault="00BD16F2" w:rsidP="00BD16F2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Użu Regolari tal-EBA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8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2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C3CAD"/>
    <w:multiLevelType w:val="hybridMultilevel"/>
    <w:tmpl w:val="9508F1A0"/>
    <w:lvl w:ilvl="0" w:tplc="F96AEA86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5776359">
    <w:abstractNumId w:val="3"/>
  </w:num>
  <w:num w:numId="2" w16cid:durableId="1733112609">
    <w:abstractNumId w:val="18"/>
  </w:num>
  <w:num w:numId="3" w16cid:durableId="286200695">
    <w:abstractNumId w:val="26"/>
  </w:num>
  <w:num w:numId="4" w16cid:durableId="487287975">
    <w:abstractNumId w:val="13"/>
  </w:num>
  <w:num w:numId="5" w16cid:durableId="1754350949">
    <w:abstractNumId w:val="21"/>
  </w:num>
  <w:num w:numId="6" w16cid:durableId="1507597667">
    <w:abstractNumId w:val="11"/>
  </w:num>
  <w:num w:numId="7" w16cid:durableId="139271283">
    <w:abstractNumId w:val="25"/>
  </w:num>
  <w:num w:numId="8" w16cid:durableId="763764270">
    <w:abstractNumId w:val="5"/>
  </w:num>
  <w:num w:numId="9" w16cid:durableId="1561986968">
    <w:abstractNumId w:val="19"/>
  </w:num>
  <w:num w:numId="10" w16cid:durableId="1349260748">
    <w:abstractNumId w:val="9"/>
  </w:num>
  <w:num w:numId="11" w16cid:durableId="1097991330">
    <w:abstractNumId w:val="15"/>
  </w:num>
  <w:num w:numId="12" w16cid:durableId="858469680">
    <w:abstractNumId w:val="6"/>
  </w:num>
  <w:num w:numId="13" w16cid:durableId="1485394352">
    <w:abstractNumId w:val="20"/>
  </w:num>
  <w:num w:numId="14" w16cid:durableId="881021889">
    <w:abstractNumId w:val="17"/>
  </w:num>
  <w:num w:numId="15" w16cid:durableId="1923681300">
    <w:abstractNumId w:val="8"/>
  </w:num>
  <w:num w:numId="16" w16cid:durableId="211188018">
    <w:abstractNumId w:val="14"/>
  </w:num>
  <w:num w:numId="17" w16cid:durableId="1615165847">
    <w:abstractNumId w:val="22"/>
  </w:num>
  <w:num w:numId="18" w16cid:durableId="429467310">
    <w:abstractNumId w:val="4"/>
  </w:num>
  <w:num w:numId="19" w16cid:durableId="1418819944">
    <w:abstractNumId w:val="27"/>
  </w:num>
  <w:num w:numId="20" w16cid:durableId="1079792157">
    <w:abstractNumId w:val="12"/>
  </w:num>
  <w:num w:numId="21" w16cid:durableId="1333265662">
    <w:abstractNumId w:val="2"/>
  </w:num>
  <w:num w:numId="22" w16cid:durableId="737484550">
    <w:abstractNumId w:val="10"/>
  </w:num>
  <w:num w:numId="23" w16cid:durableId="309210531">
    <w:abstractNumId w:val="24"/>
  </w:num>
  <w:num w:numId="24" w16cid:durableId="166527561">
    <w:abstractNumId w:val="1"/>
  </w:num>
  <w:num w:numId="25" w16cid:durableId="1544101633">
    <w:abstractNumId w:val="23"/>
  </w:num>
  <w:num w:numId="26" w16cid:durableId="44380249">
    <w:abstractNumId w:val="16"/>
  </w:num>
  <w:num w:numId="27" w16cid:durableId="1838038624">
    <w:abstractNumId w:val="0"/>
  </w:num>
  <w:num w:numId="28" w16cid:durableId="185626552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BD16F2"/>
    <w:rsid w:val="00017443"/>
    <w:rsid w:val="00023C1E"/>
    <w:rsid w:val="004E7B6F"/>
    <w:rsid w:val="00631623"/>
    <w:rsid w:val="00701E4C"/>
    <w:rsid w:val="00816CE5"/>
    <w:rsid w:val="00855551"/>
    <w:rsid w:val="00A6002C"/>
    <w:rsid w:val="00B71F25"/>
    <w:rsid w:val="00BD16F2"/>
    <w:rsid w:val="00E96819"/>
    <w:rsid w:val="00EC5F08"/>
    <w:rsid w:val="00ED4C8C"/>
    <w:rsid w:val="00EE5719"/>
    <w:rsid w:val="00EE75F2"/>
    <w:rsid w:val="00EF07A1"/>
    <w:rsid w:val="00F1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FF0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t-M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6F2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1">
    <w:name w:val="heading 1"/>
    <w:aliases w:val="Cover title white"/>
    <w:basedOn w:val="Normal"/>
    <w:next w:val="Normal"/>
    <w:link w:val="Heading1Char"/>
    <w:qFormat/>
    <w:rsid w:val="00BD1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D1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aliases w:val="Title 2"/>
    <w:basedOn w:val="Normal"/>
    <w:next w:val="Normal"/>
    <w:link w:val="Heading3Char"/>
    <w:uiPriority w:val="99"/>
    <w:unhideWhenUsed/>
    <w:qFormat/>
    <w:rsid w:val="00BD16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BD1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aliases w:val="Cover subtitle white"/>
    <w:basedOn w:val="Normal"/>
    <w:next w:val="Normal"/>
    <w:link w:val="Heading5Char"/>
    <w:uiPriority w:val="1"/>
    <w:unhideWhenUsed/>
    <w:qFormat/>
    <w:rsid w:val="00BD16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BD1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BD1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BD1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BD1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BD16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BD16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9"/>
    <w:rsid w:val="00BD16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BD16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aliases w:val="Cover subtitle white Char"/>
    <w:basedOn w:val="DefaultParagraphFont"/>
    <w:link w:val="Heading5"/>
    <w:uiPriority w:val="1"/>
    <w:rsid w:val="00BD16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D16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semiHidden/>
    <w:rsid w:val="00BD16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semiHidden/>
    <w:rsid w:val="00BD16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semiHidden/>
    <w:rsid w:val="00BD16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BD16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BD1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1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16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16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16F2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BD16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16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16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16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16F2"/>
    <w:rPr>
      <w:b/>
      <w:bCs/>
      <w:smallCaps/>
      <w:color w:val="0F4761" w:themeColor="accent1" w:themeShade="BF"/>
      <w:spacing w:val="5"/>
    </w:rPr>
  </w:style>
  <w:style w:type="paragraph" w:styleId="TableofFigures">
    <w:name w:val="table of figures"/>
    <w:basedOn w:val="Normal"/>
    <w:next w:val="Normal"/>
    <w:qFormat/>
    <w:rsid w:val="00BD16F2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BD16F2"/>
    <w:pPr>
      <w:numPr>
        <w:numId w:val="1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BD16F2"/>
    <w:pPr>
      <w:numPr>
        <w:numId w:val="2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BD16F2"/>
    <w:pPr>
      <w:numPr>
        <w:numId w:val="3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BD16F2"/>
    <w:pPr>
      <w:numPr>
        <w:numId w:val="4"/>
      </w:numPr>
      <w:spacing w:line="240" w:lineRule="exact"/>
    </w:pPr>
  </w:style>
  <w:style w:type="paragraph" w:styleId="FootnoteText">
    <w:name w:val="footnote text"/>
    <w:basedOn w:val="Normal"/>
    <w:link w:val="FootnoteTextChar"/>
    <w:qFormat/>
    <w:rsid w:val="00BD16F2"/>
    <w:pPr>
      <w:spacing w:line="180" w:lineRule="exact"/>
      <w:ind w:left="142" w:hanging="142"/>
    </w:pPr>
    <w:rPr>
      <w:rFonts w:ascii="Arial" w:eastAsia="Arial" w:hAnsi="Arial"/>
      <w:sz w:val="16"/>
      <w:szCs w:val="16"/>
      <w:lang w:val="mt-MT" w:eastAsia="de-DE"/>
    </w:rPr>
  </w:style>
  <w:style w:type="character" w:customStyle="1" w:styleId="FootnoteTextChar">
    <w:name w:val="Footnote Text Char"/>
    <w:basedOn w:val="DefaultParagraphFont"/>
    <w:link w:val="FootnoteText"/>
    <w:rsid w:val="00BD16F2"/>
    <w:rPr>
      <w:rFonts w:ascii="Arial" w:eastAsia="Arial" w:hAnsi="Arial" w:cs="Times New Roman"/>
      <w:kern w:val="0"/>
      <w:sz w:val="16"/>
      <w:szCs w:val="16"/>
      <w:lang w:val="mt-MT" w:eastAsia="de-DE"/>
      <w14:ligatures w14:val="non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qFormat/>
    <w:rsid w:val="00BD16F2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BD16F2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val="mt-MT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BD16F2"/>
    <w:rPr>
      <w:rFonts w:ascii="Arial" w:eastAsia="Arial" w:hAnsi="Arial" w:cs="Times New Roman"/>
      <w:kern w:val="0"/>
      <w:sz w:val="14"/>
      <w:szCs w:val="14"/>
      <w:lang w:val="mt-MT" w:eastAsia="de-DE"/>
      <w14:ligatures w14:val="none"/>
    </w:rPr>
  </w:style>
  <w:style w:type="paragraph" w:customStyle="1" w:styleId="GliederungmitAufzhlung">
    <w:name w:val="Gliederung mit Aufzählung"/>
    <w:basedOn w:val="Normal"/>
    <w:uiPriority w:val="1"/>
    <w:qFormat/>
    <w:rsid w:val="00BD16F2"/>
    <w:pPr>
      <w:numPr>
        <w:numId w:val="7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BD16F2"/>
    <w:pPr>
      <w:numPr>
        <w:numId w:val="8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BD16F2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BD16F2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BD16F2"/>
    <w:pPr>
      <w:spacing w:line="312" w:lineRule="auto"/>
      <w:ind w:left="1701" w:hanging="567"/>
    </w:pPr>
  </w:style>
  <w:style w:type="character" w:styleId="Hyperlink">
    <w:name w:val="Hyperlink"/>
    <w:uiPriority w:val="99"/>
    <w:rsid w:val="00BD16F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D16F2"/>
    <w:pPr>
      <w:tabs>
        <w:tab w:val="center" w:pos="4536"/>
        <w:tab w:val="right" w:pos="9072"/>
      </w:tabs>
    </w:pPr>
    <w:rPr>
      <w:rFonts w:ascii="Arial" w:eastAsia="Arial" w:hAnsi="Arial"/>
      <w:szCs w:val="20"/>
      <w:lang w:val="mt-MT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BD16F2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paragraph" w:customStyle="1" w:styleId="Marginalspalte">
    <w:name w:val="Marginalspalte"/>
    <w:basedOn w:val="Normal"/>
    <w:uiPriority w:val="1"/>
    <w:qFormat/>
    <w:rsid w:val="00BD16F2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BD16F2"/>
    <w:pPr>
      <w:numPr>
        <w:numId w:val="9"/>
      </w:numPr>
    </w:pPr>
  </w:style>
  <w:style w:type="paragraph" w:customStyle="1" w:styleId="Nummerierungsart2">
    <w:name w:val="Nummerierungsart2"/>
    <w:basedOn w:val="Normal"/>
    <w:uiPriority w:val="1"/>
    <w:qFormat/>
    <w:rsid w:val="00BD16F2"/>
    <w:pPr>
      <w:numPr>
        <w:numId w:val="10"/>
      </w:numPr>
    </w:pPr>
  </w:style>
  <w:style w:type="paragraph" w:customStyle="1" w:styleId="Nummerierungsart3">
    <w:name w:val="Nummerierungsart3"/>
    <w:basedOn w:val="Normal"/>
    <w:uiPriority w:val="1"/>
    <w:qFormat/>
    <w:rsid w:val="00BD16F2"/>
    <w:pPr>
      <w:numPr>
        <w:numId w:val="11"/>
      </w:numPr>
    </w:pPr>
  </w:style>
  <w:style w:type="paragraph" w:customStyle="1" w:styleId="Nummerierungsart4">
    <w:name w:val="Nummerierungsart4"/>
    <w:basedOn w:val="Normal"/>
    <w:uiPriority w:val="1"/>
    <w:qFormat/>
    <w:rsid w:val="00BD16F2"/>
    <w:pPr>
      <w:numPr>
        <w:numId w:val="12"/>
      </w:numPr>
    </w:pPr>
  </w:style>
  <w:style w:type="character" w:styleId="PageNumber">
    <w:name w:val="page number"/>
    <w:uiPriority w:val="99"/>
    <w:rsid w:val="00BD16F2"/>
    <w:rPr>
      <w:rFonts w:ascii="Arial" w:hAnsi="Arial" w:cs="Times New Roman"/>
      <w:sz w:val="22"/>
    </w:rPr>
  </w:style>
  <w:style w:type="character" w:customStyle="1" w:styleId="Heading3Char1">
    <w:name w:val="Heading 3 Char1"/>
    <w:aliases w:val="Title 2 Char1"/>
    <w:uiPriority w:val="99"/>
    <w:locked/>
    <w:rsid w:val="00BD16F2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1"/>
      </w:tabs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BD16F2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BD16F2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BD16F2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BD16F2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BD16F2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BD16F2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BD16F2"/>
    <w:pPr>
      <w:tabs>
        <w:tab w:val="right" w:leader="dot" w:pos="9071"/>
      </w:tabs>
      <w:ind w:left="1361" w:hanging="1361"/>
    </w:pPr>
    <w:rPr>
      <w:sz w:val="16"/>
    </w:rPr>
  </w:style>
  <w:style w:type="paragraph" w:styleId="TOCHeading">
    <w:name w:val="TOC Heading"/>
    <w:basedOn w:val="Heading1"/>
    <w:next w:val="Normal"/>
    <w:uiPriority w:val="39"/>
    <w:qFormat/>
    <w:rsid w:val="00BD16F2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styleId="EndnoteText">
    <w:name w:val="endnote text"/>
    <w:basedOn w:val="Normal"/>
    <w:link w:val="EndnoteTextChar"/>
    <w:uiPriority w:val="1"/>
    <w:rsid w:val="00BD16F2"/>
    <w:pPr>
      <w:spacing w:line="180" w:lineRule="exact"/>
      <w:ind w:left="142" w:hanging="142"/>
    </w:pPr>
    <w:rPr>
      <w:rFonts w:ascii="Arial" w:eastAsia="Arial" w:hAnsi="Arial"/>
      <w:szCs w:val="20"/>
      <w:lang w:val="mt-MT" w:eastAsia="de-DE"/>
    </w:rPr>
  </w:style>
  <w:style w:type="character" w:customStyle="1" w:styleId="EndnoteTextChar">
    <w:name w:val="Endnote Text Char"/>
    <w:basedOn w:val="DefaultParagraphFont"/>
    <w:link w:val="EndnoteText"/>
    <w:uiPriority w:val="1"/>
    <w:rsid w:val="00BD16F2"/>
    <w:rPr>
      <w:rFonts w:ascii="Arial" w:eastAsia="Arial" w:hAnsi="Arial" w:cs="Times New Roman"/>
      <w:kern w:val="0"/>
      <w:sz w:val="20"/>
      <w:szCs w:val="20"/>
      <w:lang w:val="mt-MT" w:eastAsia="de-DE"/>
      <w14:ligatures w14:val="none"/>
    </w:rPr>
  </w:style>
  <w:style w:type="character" w:styleId="EndnoteReference">
    <w:name w:val="endnote reference"/>
    <w:uiPriority w:val="1"/>
    <w:rsid w:val="00BD16F2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BD16F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BD16F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D16F2"/>
    <w:rPr>
      <w:rFonts w:eastAsia="Arial"/>
      <w:szCs w:val="20"/>
      <w:lang w:val="mt-MT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16F2"/>
    <w:rPr>
      <w:rFonts w:ascii="Verdana" w:eastAsia="Arial" w:hAnsi="Verdana" w:cs="Times New Roman"/>
      <w:kern w:val="0"/>
      <w:sz w:val="20"/>
      <w:szCs w:val="20"/>
      <w:lang w:val="mt-MT" w:eastAsia="x-none"/>
      <w14:ligatures w14:val="none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BD16F2"/>
    <w:rPr>
      <w:b/>
      <w:bCs/>
    </w:rPr>
  </w:style>
  <w:style w:type="character" w:styleId="FollowedHyperlink">
    <w:name w:val="FollowedHyperlink"/>
    <w:uiPriority w:val="99"/>
    <w:rsid w:val="00BD16F2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BD16F2"/>
    <w:rPr>
      <w:rFonts w:ascii="Tahoma" w:eastAsia="Arial" w:hAnsi="Tahoma"/>
      <w:sz w:val="16"/>
      <w:szCs w:val="16"/>
      <w:lang w:val="mt-MT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D16F2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D16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D16F2"/>
    <w:rPr>
      <w:rFonts w:ascii="Verdana" w:eastAsia="Arial" w:hAnsi="Verdana" w:cs="Times New Roman"/>
      <w:b/>
      <w:bCs/>
      <w:kern w:val="0"/>
      <w:sz w:val="20"/>
      <w:szCs w:val="20"/>
      <w:lang w:val="mt-MT" w:eastAsia="x-none"/>
      <w14:ligatures w14:val="none"/>
    </w:rPr>
  </w:style>
  <w:style w:type="table" w:styleId="TableGrid">
    <w:name w:val="Table Grid"/>
    <w:aliases w:val="Tabla CUADROS"/>
    <w:basedOn w:val="TableNormal"/>
    <w:uiPriority w:val="59"/>
    <w:rsid w:val="00BD16F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mt-MT" w:eastAsia="en-GB" w:bidi="ne-N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BD16F2"/>
    <w:pPr>
      <w:keepLines w:val="0"/>
      <w:spacing w:before="240" w:after="60"/>
      <w:ind w:left="360" w:hanging="360"/>
    </w:pPr>
    <w:rPr>
      <w:rFonts w:eastAsia="Times New Roman" w:cs="Times New Roman"/>
      <w:b/>
      <w:i w:val="0"/>
      <w:color w:val="auto"/>
      <w:szCs w:val="28"/>
      <w:u w:val="single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BD16F2"/>
    <w:rPr>
      <w:rFonts w:ascii="Verdana" w:eastAsia="Times New Roman" w:hAnsi="Verdana" w:cs="Times New Roman"/>
      <w:b/>
      <w:iCs/>
      <w:kern w:val="0"/>
      <w:sz w:val="20"/>
      <w:szCs w:val="28"/>
      <w:u w:val="single"/>
      <w14:ligatures w14:val="none"/>
    </w:rPr>
  </w:style>
  <w:style w:type="paragraph" w:customStyle="1" w:styleId="Instructionsberschrift1">
    <w:name w:val="Instructions Überschrift 1"/>
    <w:basedOn w:val="Heading1"/>
    <w:rsid w:val="00BD16F2"/>
    <w:pPr>
      <w:keepLines w:val="0"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eastAsia="Arial" w:hAnsi="Verdana" w:cs="Times New Roman"/>
      <w:color w:val="auto"/>
      <w:kern w:val="32"/>
      <w:sz w:val="20"/>
      <w:szCs w:val="20"/>
      <w:u w:val="single"/>
      <w:lang w:eastAsia="x-none"/>
    </w:rPr>
  </w:style>
  <w:style w:type="paragraph" w:customStyle="1" w:styleId="Instructionsberschrift2">
    <w:name w:val="Instructions Überschrift 2"/>
    <w:basedOn w:val="Heading2"/>
    <w:rsid w:val="00BD16F2"/>
    <w:pPr>
      <w:keepLines w:val="0"/>
      <w:numPr>
        <w:numId w:val="13"/>
      </w:numPr>
      <w:spacing w:before="240" w:after="240"/>
    </w:pPr>
    <w:rPr>
      <w:rFonts w:ascii="Verdana" w:eastAsia="Arial" w:hAnsi="Verdana" w:cs="Arial"/>
      <w:color w:val="auto"/>
      <w:sz w:val="20"/>
      <w:szCs w:val="24"/>
      <w:u w:val="single"/>
      <w:lang w:val="mt-MT" w:eastAsia="x-none"/>
    </w:rPr>
  </w:style>
  <w:style w:type="paragraph" w:customStyle="1" w:styleId="Instructionsberschrift3">
    <w:name w:val="Instructions Überschrift 3"/>
    <w:basedOn w:val="Heading3"/>
    <w:link w:val="Instructionsberschrift3Zchn"/>
    <w:rsid w:val="00BD16F2"/>
    <w:pPr>
      <w:keepLines w:val="0"/>
      <w:numPr>
        <w:numId w:val="14"/>
      </w:numPr>
      <w:spacing w:before="240" w:after="60" w:line="360" w:lineRule="auto"/>
    </w:pPr>
    <w:rPr>
      <w:rFonts w:eastAsia="Times New Roman" w:cs="Times New Roman"/>
      <w:b/>
      <w:color w:val="auto"/>
      <w:sz w:val="20"/>
      <w:szCs w:val="26"/>
      <w:u w:val="single"/>
    </w:rPr>
  </w:style>
  <w:style w:type="character" w:customStyle="1" w:styleId="Instructionsberschrift3Zchn">
    <w:name w:val="Instructions Überschrift 3 Zchn"/>
    <w:link w:val="Instructionsberschrift3"/>
    <w:locked/>
    <w:rsid w:val="00BD16F2"/>
    <w:rPr>
      <w:rFonts w:ascii="Verdana" w:eastAsia="Times New Roman" w:hAnsi="Verdana" w:cs="Times New Roman"/>
      <w:b/>
      <w:kern w:val="0"/>
      <w:sz w:val="20"/>
      <w:szCs w:val="26"/>
      <w:u w:val="single"/>
      <w14:ligatures w14:val="none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BD16F2"/>
    <w:pPr>
      <w:keepLines w:val="0"/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rFonts w:eastAsia="Times New Roman" w:cs="Times New Roman"/>
      <w:b/>
      <w:bCs/>
      <w:i w:val="0"/>
      <w:iCs w:val="0"/>
      <w:color w:val="auto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BD16F2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BD16F2"/>
    <w:rPr>
      <w:rFonts w:ascii="Verdana" w:eastAsia="Times New Roman" w:hAnsi="Verdana" w:cs="Times New Roman"/>
      <w:b/>
      <w:bCs/>
      <w:kern w:val="0"/>
      <w:sz w:val="20"/>
      <w:szCs w:val="24"/>
      <w:u w:val="single"/>
      <w14:ligatures w14:val="none"/>
    </w:rPr>
  </w:style>
  <w:style w:type="character" w:customStyle="1" w:styleId="InstructionsTabelleberschrift">
    <w:name w:val="Instructions Tabelle Überschrift"/>
    <w:qFormat/>
    <w:rsid w:val="00BD16F2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BD16F2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BD16F2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BD16F2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BD16F2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BD16F2"/>
    <w:pPr>
      <w:ind w:left="720"/>
    </w:pPr>
  </w:style>
  <w:style w:type="paragraph" w:customStyle="1" w:styleId="Prrafodelista2">
    <w:name w:val="Párrafo de lista2"/>
    <w:basedOn w:val="Normal"/>
    <w:uiPriority w:val="99"/>
    <w:rsid w:val="00BD16F2"/>
    <w:pPr>
      <w:ind w:left="708"/>
    </w:pPr>
  </w:style>
  <w:style w:type="paragraph" w:styleId="PlainText">
    <w:name w:val="Plain Text"/>
    <w:basedOn w:val="Normal"/>
    <w:link w:val="PlainTextChar"/>
    <w:uiPriority w:val="99"/>
    <w:rsid w:val="00BD16F2"/>
    <w:pPr>
      <w:spacing w:before="0" w:after="0"/>
      <w:jc w:val="left"/>
    </w:pPr>
    <w:rPr>
      <w:rFonts w:eastAsia="Arial"/>
      <w:szCs w:val="20"/>
      <w:lang w:val="mt-MT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BD16F2"/>
    <w:rPr>
      <w:rFonts w:ascii="Verdana" w:eastAsia="Arial" w:hAnsi="Verdana" w:cs="Times New Roman"/>
      <w:kern w:val="0"/>
      <w:sz w:val="20"/>
      <w:szCs w:val="20"/>
      <w:lang w:val="mt-MT" w:eastAsia="es-ES_tradnl"/>
      <w14:ligatures w14:val="none"/>
    </w:rPr>
  </w:style>
  <w:style w:type="paragraph" w:customStyle="1" w:styleId="Listenabsatz1">
    <w:name w:val="Listenabsatz1"/>
    <w:basedOn w:val="Normal"/>
    <w:uiPriority w:val="99"/>
    <w:rsid w:val="00BD16F2"/>
    <w:pPr>
      <w:ind w:left="708"/>
    </w:pPr>
  </w:style>
  <w:style w:type="character" w:customStyle="1" w:styleId="InstructionsTextChar">
    <w:name w:val="Instructions Text Char"/>
    <w:link w:val="InstructionsText"/>
    <w:locked/>
    <w:rsid w:val="00BD16F2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Revision">
    <w:name w:val="Revision"/>
    <w:hidden/>
    <w:uiPriority w:val="99"/>
    <w:semiHidden/>
    <w:rsid w:val="00BD16F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character" w:styleId="PlaceholderText">
    <w:name w:val="Placeholder Text"/>
    <w:uiPriority w:val="99"/>
    <w:semiHidden/>
    <w:rsid w:val="00BD16F2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BD16F2"/>
    <w:pPr>
      <w:numPr>
        <w:numId w:val="15"/>
      </w:numPr>
      <w:spacing w:after="240"/>
    </w:pPr>
  </w:style>
  <w:style w:type="character" w:customStyle="1" w:styleId="Instructionsberschrift3Char">
    <w:name w:val="Instructions Überschrift 3 Char"/>
    <w:locked/>
    <w:rsid w:val="00BD16F2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BD16F2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  <w:lang w:val="mt-MT"/>
    </w:rPr>
  </w:style>
  <w:style w:type="paragraph" w:styleId="DocumentMap">
    <w:name w:val="Document Map"/>
    <w:basedOn w:val="Normal"/>
    <w:link w:val="DocumentMapChar"/>
    <w:uiPriority w:val="99"/>
    <w:semiHidden/>
    <w:rsid w:val="00BD16F2"/>
    <w:pPr>
      <w:spacing w:before="0" w:after="0"/>
    </w:pPr>
    <w:rPr>
      <w:rFonts w:ascii="Tahoma" w:eastAsia="Arial" w:hAnsi="Tahoma"/>
      <w:sz w:val="16"/>
      <w:szCs w:val="16"/>
      <w:lang w:val="mt-MT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D16F2"/>
    <w:rPr>
      <w:rFonts w:ascii="Tahoma" w:eastAsia="Arial" w:hAnsi="Tahoma" w:cs="Times New Roman"/>
      <w:kern w:val="0"/>
      <w:sz w:val="16"/>
      <w:szCs w:val="16"/>
      <w:lang w:val="mt-MT" w:eastAsia="x-none"/>
      <w14:ligatures w14:val="none"/>
    </w:rPr>
  </w:style>
  <w:style w:type="paragraph" w:customStyle="1" w:styleId="Titrearticle">
    <w:name w:val="Titre article"/>
    <w:basedOn w:val="Normal"/>
    <w:next w:val="Normal"/>
    <w:rsid w:val="00BD16F2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BD16F2"/>
    <w:pPr>
      <w:numPr>
        <w:numId w:val="18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BD16F2"/>
    <w:rPr>
      <w:rFonts w:ascii="Times New Roman" w:eastAsia="Arial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NumPar1Char">
    <w:name w:val="NumPar 1 Char"/>
    <w:link w:val="NumPar1"/>
    <w:uiPriority w:val="99"/>
    <w:locked/>
    <w:rsid w:val="00BD16F2"/>
    <w:rPr>
      <w:rFonts w:cs="Times New Roman"/>
      <w:sz w:val="24"/>
      <w:szCs w:val="24"/>
      <w:lang w:eastAsia="de-DE"/>
    </w:rPr>
  </w:style>
  <w:style w:type="paragraph" w:customStyle="1" w:styleId="NumPar1">
    <w:name w:val="NumPar 1"/>
    <w:basedOn w:val="Normal"/>
    <w:next w:val="Normal"/>
    <w:link w:val="NumPar1Char"/>
    <w:uiPriority w:val="99"/>
    <w:rsid w:val="00BD16F2"/>
    <w:pPr>
      <w:tabs>
        <w:tab w:val="num" w:pos="850"/>
      </w:tabs>
      <w:ind w:left="850" w:hanging="850"/>
    </w:pPr>
    <w:rPr>
      <w:rFonts w:asciiTheme="minorHAnsi" w:eastAsiaTheme="minorHAnsi" w:hAnsiTheme="minorHAnsi"/>
      <w:kern w:val="2"/>
      <w:sz w:val="24"/>
      <w:lang w:eastAsia="de-DE"/>
      <w14:ligatures w14:val="standardContextual"/>
    </w:rPr>
  </w:style>
  <w:style w:type="character" w:customStyle="1" w:styleId="Point1letterChar">
    <w:name w:val="Point 1 (letter) Char"/>
    <w:link w:val="Point1letter"/>
    <w:uiPriority w:val="99"/>
    <w:locked/>
    <w:rsid w:val="00BD16F2"/>
    <w:rPr>
      <w:rFonts w:cs="Times New Roman"/>
      <w:sz w:val="24"/>
      <w:szCs w:val="24"/>
    </w:rPr>
  </w:style>
  <w:style w:type="paragraph" w:customStyle="1" w:styleId="Point1letter">
    <w:name w:val="Point 1 (letter)"/>
    <w:basedOn w:val="Normal"/>
    <w:link w:val="Point1letterChar"/>
    <w:uiPriority w:val="99"/>
    <w:rsid w:val="00BD16F2"/>
    <w:pPr>
      <w:tabs>
        <w:tab w:val="num" w:pos="360"/>
      </w:tabs>
      <w:ind w:left="1417" w:hanging="567"/>
    </w:pPr>
    <w:rPr>
      <w:rFonts w:asciiTheme="minorHAnsi" w:eastAsiaTheme="minorHAnsi" w:hAnsiTheme="minorHAnsi"/>
      <w:kern w:val="2"/>
      <w:sz w:val="24"/>
      <w14:ligatures w14:val="standardContextual"/>
    </w:rPr>
  </w:style>
  <w:style w:type="numbering" w:customStyle="1" w:styleId="Formatvorlage2">
    <w:name w:val="Formatvorlage2"/>
    <w:uiPriority w:val="99"/>
    <w:rsid w:val="00BD16F2"/>
    <w:pPr>
      <w:numPr>
        <w:numId w:val="6"/>
      </w:numPr>
    </w:pPr>
  </w:style>
  <w:style w:type="numbering" w:customStyle="1" w:styleId="Formatvorlage3">
    <w:name w:val="Formatvorlage3"/>
    <w:uiPriority w:val="99"/>
    <w:rsid w:val="00BD16F2"/>
    <w:pPr>
      <w:numPr>
        <w:numId w:val="16"/>
      </w:numPr>
    </w:pPr>
  </w:style>
  <w:style w:type="numbering" w:customStyle="1" w:styleId="Formatvorlage1">
    <w:name w:val="Formatvorlage1"/>
    <w:uiPriority w:val="99"/>
    <w:rsid w:val="00BD16F2"/>
    <w:pPr>
      <w:numPr>
        <w:numId w:val="5"/>
      </w:numPr>
    </w:pPr>
  </w:style>
  <w:style w:type="numbering" w:customStyle="1" w:styleId="Formatvorlage4">
    <w:name w:val="Formatvorlage4"/>
    <w:uiPriority w:val="99"/>
    <w:rsid w:val="00BD16F2"/>
    <w:pPr>
      <w:numPr>
        <w:numId w:val="17"/>
      </w:numPr>
    </w:pPr>
  </w:style>
  <w:style w:type="paragraph" w:customStyle="1" w:styleId="ListParagraph1">
    <w:name w:val="List Paragraph1"/>
    <w:basedOn w:val="Normal"/>
    <w:uiPriority w:val="99"/>
    <w:qFormat/>
    <w:rsid w:val="00BD16F2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BD16F2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BD16F2"/>
    <w:rPr>
      <w:rFonts w:ascii="Verdana" w:eastAsia="Times New Roman" w:hAnsi="Verdana" w:cs="Times New Roman"/>
      <w:i/>
      <w:iCs/>
      <w:color w:val="000000"/>
      <w:kern w:val="0"/>
      <w:sz w:val="20"/>
      <w:szCs w:val="24"/>
      <w14:ligatures w14:val="none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BD16F2"/>
    <w:pPr>
      <w:autoSpaceDE w:val="0"/>
      <w:autoSpaceDN w:val="0"/>
      <w:adjustRightInd w:val="0"/>
      <w:spacing w:before="480" w:after="0" w:line="311" w:lineRule="auto"/>
      <w:outlineLvl w:val="9"/>
    </w:pPr>
    <w:rPr>
      <w:rFonts w:ascii="Arial" w:eastAsia="Arial" w:hAnsi="Arial" w:cs="Times New Roman"/>
      <w:b/>
      <w:bCs/>
      <w:color w:val="4B67A3"/>
      <w:sz w:val="20"/>
      <w:szCs w:val="28"/>
      <w:u w:val="single"/>
      <w:lang w:eastAsia="x-none"/>
    </w:rPr>
  </w:style>
  <w:style w:type="paragraph" w:customStyle="1" w:styleId="berarbeitung1">
    <w:name w:val="Überarbeitung1"/>
    <w:hidden/>
    <w:uiPriority w:val="99"/>
    <w:semiHidden/>
    <w:rsid w:val="00BD16F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val="mt-MT"/>
      <w14:ligatures w14:val="none"/>
    </w:rPr>
  </w:style>
  <w:style w:type="paragraph" w:customStyle="1" w:styleId="Listenabsatz2">
    <w:name w:val="Listenabsatz2"/>
    <w:basedOn w:val="Normal"/>
    <w:uiPriority w:val="99"/>
    <w:qFormat/>
    <w:rsid w:val="00BD16F2"/>
    <w:pPr>
      <w:ind w:left="708"/>
    </w:pPr>
  </w:style>
  <w:style w:type="character" w:customStyle="1" w:styleId="Platzhaltertext1">
    <w:name w:val="Platzhaltertext1"/>
    <w:uiPriority w:val="99"/>
    <w:semiHidden/>
    <w:rsid w:val="00BD16F2"/>
    <w:rPr>
      <w:color w:val="808080"/>
    </w:rPr>
  </w:style>
  <w:style w:type="paragraph" w:customStyle="1" w:styleId="Default">
    <w:name w:val="Default"/>
    <w:rsid w:val="00BD16F2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CM1">
    <w:name w:val="CM1"/>
    <w:basedOn w:val="Default"/>
    <w:next w:val="Default"/>
    <w:uiPriority w:val="99"/>
    <w:rsid w:val="00BD16F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D16F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rsid w:val="00BD16F2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rsid w:val="00BD16F2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BD16F2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qFormat/>
    <w:rsid w:val="00BD16F2"/>
    <w:pPr>
      <w:spacing w:before="240" w:after="120" w:line="276" w:lineRule="auto"/>
      <w:jc w:val="both"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Applicationdirecte">
    <w:name w:val="Application directe"/>
    <w:basedOn w:val="Normal"/>
    <w:next w:val="Fait"/>
    <w:rsid w:val="00BD16F2"/>
    <w:pPr>
      <w:spacing w:before="480"/>
    </w:pPr>
    <w:rPr>
      <w:rFonts w:ascii="Times New Roman" w:hAnsi="Times New Roman"/>
      <w:sz w:val="24"/>
    </w:rPr>
  </w:style>
  <w:style w:type="paragraph" w:customStyle="1" w:styleId="Fait">
    <w:name w:val="Fait à"/>
    <w:basedOn w:val="Normal"/>
    <w:next w:val="Normal"/>
    <w:rsid w:val="00BD16F2"/>
    <w:pPr>
      <w:keepNext/>
      <w:spacing w:after="0"/>
    </w:pPr>
    <w:rPr>
      <w:rFonts w:ascii="Times New Roman" w:hAnsi="Times New Roman"/>
      <w:sz w:val="24"/>
    </w:rPr>
  </w:style>
  <w:style w:type="paragraph" w:customStyle="1" w:styleId="Numberedtilelevel1">
    <w:name w:val="Numbered tile level 1"/>
    <w:basedOn w:val="Titlelevel1"/>
    <w:qFormat/>
    <w:rsid w:val="00BD16F2"/>
    <w:pPr>
      <w:numPr>
        <w:numId w:val="25"/>
      </w:numPr>
    </w:pPr>
  </w:style>
  <w:style w:type="paragraph" w:customStyle="1" w:styleId="Numberedtitlelevel2">
    <w:name w:val="Numbered title level 2"/>
    <w:basedOn w:val="Titlelevel2"/>
    <w:next w:val="body"/>
    <w:qFormat/>
    <w:rsid w:val="00BD16F2"/>
    <w:pPr>
      <w:numPr>
        <w:ilvl w:val="1"/>
        <w:numId w:val="25"/>
      </w:numPr>
    </w:pPr>
  </w:style>
  <w:style w:type="paragraph" w:customStyle="1" w:styleId="Titlelevel2">
    <w:name w:val="Title level 2"/>
    <w:qFormat/>
    <w:rsid w:val="00BD16F2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0E2841" w:themeColor="text2"/>
      <w:kern w:val="0"/>
      <w:sz w:val="32"/>
      <w:szCs w:val="24"/>
      <w:lang w:val="mt-MT"/>
      <w14:ligatures w14:val="none"/>
    </w:rPr>
  </w:style>
  <w:style w:type="paragraph" w:customStyle="1" w:styleId="Tableheader">
    <w:name w:val="Table header"/>
    <w:next w:val="Tabledata"/>
    <w:qFormat/>
    <w:rsid w:val="00BD16F2"/>
    <w:pPr>
      <w:spacing w:after="80" w:line="240" w:lineRule="auto"/>
    </w:pPr>
    <w:rPr>
      <w:rFonts w:ascii="Calibri" w:eastAsia="Times New Roman" w:hAnsi="Calibri" w:cs="Times New Roman"/>
      <w:b/>
      <w:color w:val="000000"/>
      <w:kern w:val="0"/>
      <w:lang w:val="mt-MT"/>
      <w14:ligatures w14:val="none"/>
    </w:rPr>
  </w:style>
  <w:style w:type="paragraph" w:customStyle="1" w:styleId="Tabledata">
    <w:name w:val="Table data"/>
    <w:basedOn w:val="body"/>
    <w:qFormat/>
    <w:rsid w:val="00BD16F2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mt-MT" w:eastAsia="en-GB"/>
    </w:rPr>
  </w:style>
  <w:style w:type="paragraph" w:customStyle="1" w:styleId="List1">
    <w:name w:val="List1"/>
    <w:autoRedefine/>
    <w:qFormat/>
    <w:rsid w:val="00BD16F2"/>
    <w:pPr>
      <w:numPr>
        <w:numId w:val="23"/>
      </w:numPr>
      <w:spacing w:after="0" w:line="240" w:lineRule="auto"/>
    </w:pPr>
    <w:rPr>
      <w:rFonts w:eastAsiaTheme="minorEastAsia"/>
      <w:kern w:val="0"/>
      <w:lang w:val="mt-MT"/>
      <w14:ligatures w14:val="none"/>
    </w:rPr>
  </w:style>
  <w:style w:type="table" w:styleId="TableProfessional">
    <w:name w:val="Table Professional"/>
    <w:basedOn w:val="TableNormal"/>
    <w:uiPriority w:val="99"/>
    <w:semiHidden/>
    <w:unhideWhenUsed/>
    <w:rsid w:val="00BD16F2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BD16F2"/>
    <w:pPr>
      <w:numPr>
        <w:numId w:val="24"/>
      </w:numPr>
      <w:spacing w:before="240" w:after="120" w:line="240" w:lineRule="auto"/>
      <w:contextualSpacing/>
    </w:pPr>
    <w:rPr>
      <w:rFonts w:eastAsiaTheme="minorEastAsia"/>
      <w:kern w:val="0"/>
      <w:szCs w:val="24"/>
      <w:lang w:val="mt-MT"/>
      <w14:ligatures w14:val="none"/>
    </w:rPr>
  </w:style>
  <w:style w:type="paragraph" w:customStyle="1" w:styleId="Titlelevel1">
    <w:name w:val="Title level 1"/>
    <w:autoRedefine/>
    <w:qFormat/>
    <w:rsid w:val="00BD16F2"/>
    <w:pPr>
      <w:pBdr>
        <w:bottom w:val="single" w:sz="8" w:space="1" w:color="0E2841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0E2841" w:themeColor="text2"/>
      <w:spacing w:val="5"/>
      <w:kern w:val="28"/>
      <w:sz w:val="52"/>
      <w:szCs w:val="52"/>
      <w:lang w:val="mt-MT"/>
      <w14:ligatures w14:val="none"/>
    </w:rPr>
  </w:style>
  <w:style w:type="paragraph" w:customStyle="1" w:styleId="Titlelevel3">
    <w:name w:val="Title level 3"/>
    <w:qFormat/>
    <w:rsid w:val="00BD16F2"/>
    <w:pPr>
      <w:spacing w:before="240" w:after="240" w:line="240" w:lineRule="auto"/>
    </w:pPr>
    <w:rPr>
      <w:rFonts w:eastAsiaTheme="minorEastAsia"/>
      <w:b/>
      <w:color w:val="0E2841" w:themeColor="text2"/>
      <w:kern w:val="0"/>
      <w:sz w:val="24"/>
      <w:szCs w:val="24"/>
      <w:lang w:val="mt-MT"/>
      <w14:ligatures w14:val="none"/>
    </w:rPr>
  </w:style>
  <w:style w:type="paragraph" w:customStyle="1" w:styleId="Titlelevel4">
    <w:name w:val="Title level 4"/>
    <w:next w:val="body"/>
    <w:qFormat/>
    <w:rsid w:val="00BD16F2"/>
    <w:pPr>
      <w:spacing w:before="240" w:after="240" w:line="240" w:lineRule="auto"/>
    </w:pPr>
    <w:rPr>
      <w:rFonts w:eastAsiaTheme="minorEastAsia"/>
      <w:color w:val="E8E8E8" w:themeColor="background2"/>
      <w:kern w:val="0"/>
      <w:sz w:val="24"/>
      <w:szCs w:val="24"/>
      <w:lang w:val="mt-MT"/>
      <w14:ligatures w14:val="none"/>
    </w:rPr>
  </w:style>
  <w:style w:type="paragraph" w:customStyle="1" w:styleId="Figuretitle">
    <w:name w:val="Figure title"/>
    <w:basedOn w:val="body"/>
    <w:next w:val="Normal"/>
    <w:autoRedefine/>
    <w:qFormat/>
    <w:rsid w:val="00BD16F2"/>
    <w:pPr>
      <w:keepNext/>
      <w:spacing w:before="360" w:after="360"/>
    </w:pPr>
    <w:rPr>
      <w:rFonts w:eastAsia="Times New Roman" w:cs="Times New Roman"/>
      <w:bCs/>
      <w:noProof/>
      <w:color w:val="0E2841" w:themeColor="text2"/>
      <w:szCs w:val="20"/>
      <w:lang w:val="mt-MT" w:eastAsia="en-GB"/>
    </w:rPr>
  </w:style>
  <w:style w:type="table" w:customStyle="1" w:styleId="EBAtable">
    <w:name w:val="EBA table"/>
    <w:basedOn w:val="TableNormal"/>
    <w:uiPriority w:val="99"/>
    <w:rsid w:val="00BD16F2"/>
    <w:pPr>
      <w:spacing w:after="0" w:line="240" w:lineRule="auto"/>
    </w:pPr>
    <w:rPr>
      <w:rFonts w:eastAsiaTheme="minorEastAsia"/>
      <w:kern w:val="0"/>
      <w:sz w:val="24"/>
      <w:szCs w:val="24"/>
      <w:lang w:val="mt-MT"/>
      <w14:ligatures w14:val="none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8E8E8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Runningtitle">
    <w:name w:val="Running title"/>
    <w:qFormat/>
    <w:rsid w:val="00BD16F2"/>
    <w:pPr>
      <w:spacing w:after="0" w:line="240" w:lineRule="auto"/>
    </w:pPr>
    <w:rPr>
      <w:rFonts w:eastAsiaTheme="minorEastAsia"/>
      <w:caps/>
      <w:kern w:val="0"/>
      <w:sz w:val="16"/>
      <w:szCs w:val="18"/>
      <w:lang w:val="mt-MT"/>
      <w14:ligatures w14:val="none"/>
    </w:rPr>
  </w:style>
  <w:style w:type="paragraph" w:customStyle="1" w:styleId="bullet1">
    <w:name w:val="bullet 1"/>
    <w:basedOn w:val="body"/>
    <w:next w:val="body"/>
    <w:qFormat/>
    <w:rsid w:val="00BD16F2"/>
    <w:pPr>
      <w:numPr>
        <w:numId w:val="21"/>
      </w:numPr>
    </w:pPr>
    <w:rPr>
      <w:szCs w:val="22"/>
    </w:rPr>
  </w:style>
  <w:style w:type="paragraph" w:customStyle="1" w:styleId="bullet2">
    <w:name w:val="bullet 2"/>
    <w:basedOn w:val="body"/>
    <w:qFormat/>
    <w:rsid w:val="00BD16F2"/>
    <w:pPr>
      <w:numPr>
        <w:numId w:val="20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BD16F2"/>
    <w:pPr>
      <w:numPr>
        <w:ilvl w:val="2"/>
        <w:numId w:val="25"/>
      </w:numPr>
    </w:pPr>
  </w:style>
  <w:style w:type="table" w:styleId="LightShading">
    <w:name w:val="Light Shading"/>
    <w:basedOn w:val="TableNormal"/>
    <w:uiPriority w:val="60"/>
    <w:rsid w:val="00BD16F2"/>
    <w:pPr>
      <w:spacing w:after="0" w:line="240" w:lineRule="auto"/>
    </w:pPr>
    <w:rPr>
      <w:rFonts w:eastAsiaTheme="minorEastAsia"/>
      <w:color w:val="000000" w:themeColor="tex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D16F2"/>
    <w:pPr>
      <w:spacing w:after="0" w:line="240" w:lineRule="auto"/>
    </w:pPr>
    <w:rPr>
      <w:rFonts w:eastAsiaTheme="minorEastAsia"/>
      <w:color w:val="0F4761" w:themeColor="accent1" w:themeShade="BF"/>
      <w:kern w:val="0"/>
      <w:sz w:val="24"/>
      <w:szCs w:val="24"/>
      <w:lang w:val="mt-MT"/>
      <w14:ligatures w14:val="none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BD16F2"/>
  </w:style>
  <w:style w:type="paragraph" w:customStyle="1" w:styleId="Numberedtitlelevel4">
    <w:name w:val="Numbered title level 4"/>
    <w:basedOn w:val="Titlelevel4"/>
    <w:qFormat/>
    <w:rsid w:val="00BD16F2"/>
    <w:pPr>
      <w:numPr>
        <w:numId w:val="22"/>
      </w:numPr>
    </w:pPr>
  </w:style>
  <w:style w:type="character" w:styleId="BookTitle">
    <w:name w:val="Book Title"/>
    <w:basedOn w:val="DefaultParagraphFont"/>
    <w:uiPriority w:val="33"/>
    <w:qFormat/>
    <w:rsid w:val="00BD16F2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BD16F2"/>
    <w:rPr>
      <w:rFonts w:asciiTheme="minorHAnsi" w:hAnsiTheme="minorHAnsi"/>
      <w:b/>
      <w:bCs/>
      <w:caps w:val="0"/>
      <w:smallCaps w:val="0"/>
      <w:color w:val="E8E8E8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BD16F2"/>
    <w:rPr>
      <w:bCs/>
      <w:lang w:val="mt-MT" w:eastAsia="en-GB"/>
    </w:rPr>
  </w:style>
  <w:style w:type="paragraph" w:styleId="ListBullet">
    <w:name w:val="List Bullet"/>
    <w:basedOn w:val="Normal"/>
    <w:semiHidden/>
    <w:qFormat/>
    <w:rsid w:val="00BD16F2"/>
    <w:pPr>
      <w:numPr>
        <w:numId w:val="27"/>
      </w:numPr>
      <w:spacing w:before="0" w:after="0"/>
      <w:contextualSpacing/>
      <w:jc w:val="left"/>
    </w:pPr>
    <w:rPr>
      <w:rFonts w:asciiTheme="minorHAnsi" w:eastAsiaTheme="minorEastAsia" w:hAnsiTheme="minorHAnsi" w:cstheme="minorBidi"/>
      <w:sz w:val="22"/>
      <w:lang w:val="mt-MT"/>
    </w:rPr>
  </w:style>
  <w:style w:type="paragraph" w:customStyle="1" w:styleId="numberedparagraph">
    <w:name w:val="numbered paragraph"/>
    <w:basedOn w:val="body"/>
    <w:qFormat/>
    <w:rsid w:val="00BD16F2"/>
    <w:pPr>
      <w:numPr>
        <w:numId w:val="26"/>
      </w:numPr>
    </w:pPr>
  </w:style>
  <w:style w:type="character" w:customStyle="1" w:styleId="Marker">
    <w:name w:val="Marker"/>
    <w:rsid w:val="00BD16F2"/>
    <w:rPr>
      <w:color w:val="0000FF"/>
      <w:shd w:val="clear" w:color="auto" w:fill="auto"/>
    </w:rPr>
  </w:style>
  <w:style w:type="character" w:customStyle="1" w:styleId="Marker2">
    <w:name w:val="Marker2"/>
    <w:rsid w:val="00BD16F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BD16F2"/>
    <w:pPr>
      <w:jc w:val="center"/>
    </w:pPr>
    <w:rPr>
      <w:rFonts w:ascii="Times New Roman" w:hAnsi="Times New Roman"/>
      <w:b/>
      <w:sz w:val="24"/>
      <w:u w:val="single"/>
    </w:rPr>
  </w:style>
  <w:style w:type="paragraph" w:customStyle="1" w:styleId="Considrant">
    <w:name w:val="Considérant"/>
    <w:basedOn w:val="Normal"/>
    <w:rsid w:val="00BD16F2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Datedadoption">
    <w:name w:val="Date d'adoption"/>
    <w:basedOn w:val="Normal"/>
    <w:next w:val="Titreobjet"/>
    <w:rsid w:val="00BD16F2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Formuledadoption">
    <w:name w:val="Formule d'adoption"/>
    <w:basedOn w:val="Normal"/>
    <w:next w:val="Titrearticle"/>
    <w:rsid w:val="00BD16F2"/>
    <w:pPr>
      <w:keepNext/>
    </w:pPr>
    <w:rPr>
      <w:rFonts w:ascii="Times New Roman" w:hAnsi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BD16F2"/>
    <w:pPr>
      <w:keepNext/>
      <w:tabs>
        <w:tab w:val="left" w:pos="4252"/>
      </w:tabs>
      <w:spacing w:before="720" w:after="0"/>
    </w:pPr>
    <w:rPr>
      <w:rFonts w:ascii="Times New Roman" w:hAnsi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BD16F2"/>
    <w:pPr>
      <w:tabs>
        <w:tab w:val="left" w:pos="4252"/>
      </w:tabs>
      <w:spacing w:before="0" w:after="0"/>
      <w:jc w:val="left"/>
    </w:pPr>
    <w:rPr>
      <w:rFonts w:ascii="Times New Roman" w:hAnsi="Times New Roman"/>
      <w:i/>
      <w:sz w:val="24"/>
    </w:rPr>
  </w:style>
  <w:style w:type="paragraph" w:customStyle="1" w:styleId="Titreobjet">
    <w:name w:val="Titre objet"/>
    <w:basedOn w:val="Normal"/>
    <w:next w:val="Normal"/>
    <w:rsid w:val="00BD16F2"/>
    <w:pPr>
      <w:spacing w:before="360" w:after="360"/>
      <w:jc w:val="center"/>
    </w:pPr>
    <w:rPr>
      <w:rFonts w:ascii="Times New Roman" w:hAnsi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BD16F2"/>
    <w:pPr>
      <w:spacing w:before="360" w:after="0"/>
      <w:jc w:val="center"/>
    </w:pPr>
    <w:rPr>
      <w:rFonts w:ascii="Times New Roman" w:hAnsi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BD16F2"/>
    <w:rPr>
      <w:rFonts w:ascii="Times New Roman" w:hAnsi="Times New Roman"/>
      <w:sz w:val="24"/>
    </w:rPr>
  </w:style>
  <w:style w:type="paragraph" w:customStyle="1" w:styleId="Institutionquiagit">
    <w:name w:val="Institution qui agit"/>
    <w:basedOn w:val="Normal"/>
    <w:next w:val="Normal"/>
    <w:rsid w:val="00BD16F2"/>
    <w:pPr>
      <w:keepNext/>
      <w:spacing w:before="600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BD16F2"/>
    <w:pPr>
      <w:spacing w:before="0" w:after="200"/>
      <w:jc w:val="left"/>
    </w:pPr>
    <w:rPr>
      <w:rFonts w:asciiTheme="minorHAnsi" w:eastAsiaTheme="minorEastAsia" w:hAnsiTheme="minorHAnsi" w:cstheme="minorBidi"/>
      <w:b/>
      <w:bCs/>
      <w:color w:val="156082" w:themeColor="accent1"/>
      <w:sz w:val="18"/>
      <w:szCs w:val="18"/>
      <w:lang w:val="mt-MT"/>
    </w:rPr>
  </w:style>
  <w:style w:type="paragraph" w:customStyle="1" w:styleId="TableNote">
    <w:name w:val="TableNote"/>
    <w:basedOn w:val="Normal"/>
    <w:rsid w:val="00BD16F2"/>
    <w:pPr>
      <w:spacing w:before="60"/>
    </w:pPr>
    <w:rPr>
      <w:rFonts w:ascii="Segoe UI" w:hAnsi="Segoe UI"/>
      <w:sz w:val="15"/>
      <w:szCs w:val="20"/>
    </w:rPr>
  </w:style>
  <w:style w:type="paragraph" w:customStyle="1" w:styleId="CM11">
    <w:name w:val="CM1+1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1">
    <w:name w:val="CM3+1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13">
    <w:name w:val="CM1+3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val="mt-MT" w:eastAsia="en-US"/>
    </w:rPr>
  </w:style>
  <w:style w:type="paragraph" w:customStyle="1" w:styleId="CM33">
    <w:name w:val="CM3+3"/>
    <w:basedOn w:val="Default"/>
    <w:next w:val="Default"/>
    <w:uiPriority w:val="99"/>
    <w:rsid w:val="00BD16F2"/>
    <w:rPr>
      <w:rFonts w:ascii="EUAlbertina" w:eastAsiaTheme="minorEastAsia" w:hAnsi="EUAlbertina" w:cstheme="minorBidi"/>
      <w:color w:val="auto"/>
      <w:lang w:val="mt-MT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D16F2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16F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16F2"/>
    <w:rPr>
      <w:color w:val="2B579A"/>
      <w:shd w:val="clear" w:color="auto" w:fill="E1DFDD"/>
    </w:rPr>
  </w:style>
  <w:style w:type="paragraph" w:customStyle="1" w:styleId="pf0">
    <w:name w:val="pf0"/>
    <w:basedOn w:val="Normal"/>
    <w:rsid w:val="00BD16F2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customStyle="1" w:styleId="ui-provider">
    <w:name w:val="ui-provider"/>
    <w:basedOn w:val="DefaultParagraphFont"/>
    <w:rsid w:val="00BD16F2"/>
  </w:style>
  <w:style w:type="character" w:customStyle="1" w:styleId="cf01">
    <w:name w:val="cf01"/>
    <w:basedOn w:val="DefaultParagraphFont"/>
    <w:rsid w:val="00BD16F2"/>
    <w:rPr>
      <w:rFonts w:ascii="Segoe UI" w:hAnsi="Segoe UI" w:cs="Segoe UI" w:hint="default"/>
      <w:sz w:val="18"/>
      <w:szCs w:val="18"/>
    </w:rPr>
  </w:style>
  <w:style w:type="paragraph" w:styleId="BodyText">
    <w:name w:val="Body Text"/>
    <w:basedOn w:val="Normal"/>
    <w:link w:val="BodyTextChar"/>
    <w:rsid w:val="00BD16F2"/>
    <w:pPr>
      <w:spacing w:before="0" w:after="14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BodyTextChar">
    <w:name w:val="Body Text Char"/>
    <w:basedOn w:val="DefaultParagraphFont"/>
    <w:link w:val="BodyText"/>
    <w:rsid w:val="00BD16F2"/>
    <w:rPr>
      <w:rFonts w:ascii="Liberation Serif" w:eastAsia="SimSun" w:hAnsi="Liberation Serif" w:cs="Lucida Sans"/>
      <w:kern w:val="0"/>
      <w:sz w:val="24"/>
      <w:szCs w:val="24"/>
      <w:lang w:val="mt-MT" w:eastAsia="zh-CN" w:bidi="hi-IN"/>
      <w14:ligatures w14:val="none"/>
    </w:rPr>
  </w:style>
  <w:style w:type="paragraph" w:customStyle="1" w:styleId="Tabelleninhalt">
    <w:name w:val="Tabelleninhalt"/>
    <w:basedOn w:val="Normal"/>
    <w:qFormat/>
    <w:rsid w:val="00BD16F2"/>
    <w:pPr>
      <w:spacing w:before="0" w:after="0" w:line="259" w:lineRule="auto"/>
      <w:jc w:val="left"/>
    </w:pPr>
    <w:rPr>
      <w:rFonts w:ascii="Liberation Serif" w:eastAsia="SimSun" w:hAnsi="Liberation Serif" w:cs="Lucida Sans"/>
      <w:sz w:val="24"/>
      <w:lang w:val="mt-MT" w:eastAsia="zh-CN" w:bidi="hi-IN"/>
    </w:rPr>
  </w:style>
  <w:style w:type="character" w:customStyle="1" w:styleId="cf11">
    <w:name w:val="cf11"/>
    <w:basedOn w:val="DefaultParagraphFont"/>
    <w:rsid w:val="00BD16F2"/>
    <w:rPr>
      <w:rFonts w:ascii="Segoe UI" w:hAnsi="Segoe UI" w:cs="Segoe UI" w:hint="default"/>
      <w:sz w:val="18"/>
      <w:szCs w:val="18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9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8B2F47-92F4-48EA-B739-CC0AC0544475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6952D216-D3C6-4AB8-A370-6C6BC6A81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43B80-1CE3-45AF-82AA-0773A949EF3B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4476</Words>
  <Characters>25519</Characters>
  <Application>Microsoft Office Word</Application>
  <DocSecurity>0</DocSecurity>
  <Lines>212</Lines>
  <Paragraphs>59</Paragraphs>
  <ScaleCrop>false</ScaleCrop>
  <Company/>
  <LinksUpToDate>false</LinksUpToDate>
  <CharactersWithSpaces>29936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2024-06-19T18:05:00Z</dcterms:created>
  <dcterms:modified xsi:type="dcterms:W3CDTF">2024-06-21T12:21:00Z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