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DA</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BILAG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"BILAG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INSTRUKSER FOR INDBERETNING VEDRØRENDE AKTIVBEHÆFTELSE</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Indholdsfortegnelse</w:t>
      </w:r>
    </w:p>
    <w:p w14:paraId="10E458B5" w14:textId="2EAE2BDA" w:rsidR="007D1FB5" w:rsidRDefault="00941FAE">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8522963" w:history="1">
        <w:r w:rsidR="007D1FB5" w:rsidRPr="007A38FB">
          <w:rPr>
            <w:rStyle w:val="Hyperlink"/>
            <w:rFonts w:ascii="Times New Roman" w:hAnsi="Times New Roman"/>
          </w:rPr>
          <w:t>GENERELLE INSTRUKSER</w:t>
        </w:r>
        <w:r w:rsidR="007D1FB5">
          <w:rPr>
            <w:webHidden/>
          </w:rPr>
          <w:tab/>
        </w:r>
        <w:r w:rsidR="007D1FB5">
          <w:rPr>
            <w:webHidden/>
          </w:rPr>
          <w:fldChar w:fldCharType="begin"/>
        </w:r>
        <w:r w:rsidR="007D1FB5">
          <w:rPr>
            <w:webHidden/>
          </w:rPr>
          <w:instrText xml:space="preserve"> PAGEREF _Toc188522963 \h </w:instrText>
        </w:r>
        <w:r w:rsidR="007D1FB5">
          <w:rPr>
            <w:webHidden/>
          </w:rPr>
        </w:r>
        <w:r w:rsidR="007D1FB5">
          <w:rPr>
            <w:webHidden/>
          </w:rPr>
          <w:fldChar w:fldCharType="separate"/>
        </w:r>
        <w:r w:rsidR="007D1FB5">
          <w:rPr>
            <w:webHidden/>
          </w:rPr>
          <w:t>3</w:t>
        </w:r>
        <w:r w:rsidR="007D1FB5">
          <w:rPr>
            <w:webHidden/>
          </w:rPr>
          <w:fldChar w:fldCharType="end"/>
        </w:r>
      </w:hyperlink>
    </w:p>
    <w:p w14:paraId="232BC503" w14:textId="1B2226E7"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64" w:history="1">
        <w:r w:rsidR="007D1FB5" w:rsidRPr="007A38FB">
          <w:rPr>
            <w:rStyle w:val="Hyperlink"/>
            <w:rFonts w:ascii="Times New Roman" w:hAnsi="Times New Roman"/>
          </w:rPr>
          <w:t>1. OPBYGNING OG KONVENTIONER</w:t>
        </w:r>
        <w:r w:rsidR="007D1FB5">
          <w:rPr>
            <w:webHidden/>
          </w:rPr>
          <w:tab/>
        </w:r>
        <w:r w:rsidR="007D1FB5">
          <w:rPr>
            <w:webHidden/>
          </w:rPr>
          <w:fldChar w:fldCharType="begin"/>
        </w:r>
        <w:r w:rsidR="007D1FB5">
          <w:rPr>
            <w:webHidden/>
          </w:rPr>
          <w:instrText xml:space="preserve"> PAGEREF _Toc188522964 \h </w:instrText>
        </w:r>
        <w:r w:rsidR="007D1FB5">
          <w:rPr>
            <w:webHidden/>
          </w:rPr>
        </w:r>
        <w:r w:rsidR="007D1FB5">
          <w:rPr>
            <w:webHidden/>
          </w:rPr>
          <w:fldChar w:fldCharType="separate"/>
        </w:r>
        <w:r w:rsidR="007D1FB5">
          <w:rPr>
            <w:webHidden/>
          </w:rPr>
          <w:t>3</w:t>
        </w:r>
        <w:r w:rsidR="007D1FB5">
          <w:rPr>
            <w:webHidden/>
          </w:rPr>
          <w:fldChar w:fldCharType="end"/>
        </w:r>
      </w:hyperlink>
    </w:p>
    <w:p w14:paraId="6131D2D6" w14:textId="14CF50FA"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65" w:history="1">
        <w:r w:rsidR="007D1FB5" w:rsidRPr="007A38FB">
          <w:rPr>
            <w:rStyle w:val="Hyperlink"/>
            <w:rFonts w:ascii="Times New Roman" w:hAnsi="Times New Roman"/>
          </w:rPr>
          <w:t>1.1.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Opbygning</w:t>
        </w:r>
        <w:r w:rsidR="007D1FB5">
          <w:rPr>
            <w:webHidden/>
          </w:rPr>
          <w:tab/>
        </w:r>
        <w:r w:rsidR="007D1FB5">
          <w:rPr>
            <w:webHidden/>
          </w:rPr>
          <w:fldChar w:fldCharType="begin"/>
        </w:r>
        <w:r w:rsidR="007D1FB5">
          <w:rPr>
            <w:webHidden/>
          </w:rPr>
          <w:instrText xml:space="preserve"> PAGEREF _Toc188522965 \h </w:instrText>
        </w:r>
        <w:r w:rsidR="007D1FB5">
          <w:rPr>
            <w:webHidden/>
          </w:rPr>
        </w:r>
        <w:r w:rsidR="007D1FB5">
          <w:rPr>
            <w:webHidden/>
          </w:rPr>
          <w:fldChar w:fldCharType="separate"/>
        </w:r>
        <w:r w:rsidR="007D1FB5">
          <w:rPr>
            <w:webHidden/>
          </w:rPr>
          <w:t>3</w:t>
        </w:r>
        <w:r w:rsidR="007D1FB5">
          <w:rPr>
            <w:webHidden/>
          </w:rPr>
          <w:fldChar w:fldCharType="end"/>
        </w:r>
      </w:hyperlink>
    </w:p>
    <w:p w14:paraId="4F725846" w14:textId="7F3111A0"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66" w:history="1">
        <w:r w:rsidR="007D1FB5" w:rsidRPr="007A38FB">
          <w:rPr>
            <w:rStyle w:val="Hyperlink"/>
            <w:rFonts w:ascii="Times New Roman" w:hAnsi="Times New Roman"/>
          </w:rPr>
          <w:t>1.2.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Regnskabsstandard</w:t>
        </w:r>
        <w:r w:rsidR="007D1FB5">
          <w:rPr>
            <w:webHidden/>
          </w:rPr>
          <w:tab/>
        </w:r>
        <w:r w:rsidR="007D1FB5">
          <w:rPr>
            <w:webHidden/>
          </w:rPr>
          <w:fldChar w:fldCharType="begin"/>
        </w:r>
        <w:r w:rsidR="007D1FB5">
          <w:rPr>
            <w:webHidden/>
          </w:rPr>
          <w:instrText xml:space="preserve"> PAGEREF _Toc188522966 \h </w:instrText>
        </w:r>
        <w:r w:rsidR="007D1FB5">
          <w:rPr>
            <w:webHidden/>
          </w:rPr>
        </w:r>
        <w:r w:rsidR="007D1FB5">
          <w:rPr>
            <w:webHidden/>
          </w:rPr>
          <w:fldChar w:fldCharType="separate"/>
        </w:r>
        <w:r w:rsidR="007D1FB5">
          <w:rPr>
            <w:webHidden/>
          </w:rPr>
          <w:t>3</w:t>
        </w:r>
        <w:r w:rsidR="007D1FB5">
          <w:rPr>
            <w:webHidden/>
          </w:rPr>
          <w:fldChar w:fldCharType="end"/>
        </w:r>
      </w:hyperlink>
    </w:p>
    <w:p w14:paraId="70B14AEC" w14:textId="38DF934B"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67" w:history="1">
        <w:r w:rsidR="007D1FB5" w:rsidRPr="007A38FB">
          <w:rPr>
            <w:rStyle w:val="Hyperlink"/>
            <w:rFonts w:ascii="Times New Roman" w:hAnsi="Times New Roman"/>
          </w:rPr>
          <w:t>1.3.</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Nummereringskonvention</w:t>
        </w:r>
        <w:r w:rsidR="007D1FB5">
          <w:rPr>
            <w:webHidden/>
          </w:rPr>
          <w:tab/>
        </w:r>
        <w:r w:rsidR="007D1FB5">
          <w:rPr>
            <w:webHidden/>
          </w:rPr>
          <w:fldChar w:fldCharType="begin"/>
        </w:r>
        <w:r w:rsidR="007D1FB5">
          <w:rPr>
            <w:webHidden/>
          </w:rPr>
          <w:instrText xml:space="preserve"> PAGEREF _Toc188522967 \h </w:instrText>
        </w:r>
        <w:r w:rsidR="007D1FB5">
          <w:rPr>
            <w:webHidden/>
          </w:rPr>
        </w:r>
        <w:r w:rsidR="007D1FB5">
          <w:rPr>
            <w:webHidden/>
          </w:rPr>
          <w:fldChar w:fldCharType="separate"/>
        </w:r>
        <w:r w:rsidR="007D1FB5">
          <w:rPr>
            <w:webHidden/>
          </w:rPr>
          <w:t>3</w:t>
        </w:r>
        <w:r w:rsidR="007D1FB5">
          <w:rPr>
            <w:webHidden/>
          </w:rPr>
          <w:fldChar w:fldCharType="end"/>
        </w:r>
      </w:hyperlink>
    </w:p>
    <w:p w14:paraId="5C94233D" w14:textId="60D0688C"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68" w:history="1">
        <w:r w:rsidR="007D1FB5" w:rsidRPr="007A38FB">
          <w:rPr>
            <w:rStyle w:val="Hyperlink"/>
            <w:rFonts w:ascii="Times New Roman" w:hAnsi="Times New Roman"/>
          </w:rPr>
          <w:t>1.4.</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Tegnkonvention</w:t>
        </w:r>
        <w:r w:rsidR="007D1FB5">
          <w:rPr>
            <w:webHidden/>
          </w:rPr>
          <w:tab/>
        </w:r>
        <w:r w:rsidR="007D1FB5">
          <w:rPr>
            <w:webHidden/>
          </w:rPr>
          <w:fldChar w:fldCharType="begin"/>
        </w:r>
        <w:r w:rsidR="007D1FB5">
          <w:rPr>
            <w:webHidden/>
          </w:rPr>
          <w:instrText xml:space="preserve"> PAGEREF _Toc188522968 \h </w:instrText>
        </w:r>
        <w:r w:rsidR="007D1FB5">
          <w:rPr>
            <w:webHidden/>
          </w:rPr>
        </w:r>
        <w:r w:rsidR="007D1FB5">
          <w:rPr>
            <w:webHidden/>
          </w:rPr>
          <w:fldChar w:fldCharType="separate"/>
        </w:r>
        <w:r w:rsidR="007D1FB5">
          <w:rPr>
            <w:webHidden/>
          </w:rPr>
          <w:t>4</w:t>
        </w:r>
        <w:r w:rsidR="007D1FB5">
          <w:rPr>
            <w:webHidden/>
          </w:rPr>
          <w:fldChar w:fldCharType="end"/>
        </w:r>
      </w:hyperlink>
    </w:p>
    <w:p w14:paraId="3A18BD64" w14:textId="0BD3A649"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69" w:history="1">
        <w:r w:rsidR="007D1FB5" w:rsidRPr="007A38FB">
          <w:rPr>
            <w:rStyle w:val="Hyperlink"/>
            <w:rFonts w:ascii="Times New Roman" w:hAnsi="Times New Roman"/>
          </w:rPr>
          <w:t>1.5.</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Anvendelsesomfang</w:t>
        </w:r>
        <w:r w:rsidR="007D1FB5">
          <w:rPr>
            <w:webHidden/>
          </w:rPr>
          <w:tab/>
        </w:r>
        <w:r w:rsidR="007D1FB5">
          <w:rPr>
            <w:webHidden/>
          </w:rPr>
          <w:fldChar w:fldCharType="begin"/>
        </w:r>
        <w:r w:rsidR="007D1FB5">
          <w:rPr>
            <w:webHidden/>
          </w:rPr>
          <w:instrText xml:space="preserve"> PAGEREF _Toc188522969 \h </w:instrText>
        </w:r>
        <w:r w:rsidR="007D1FB5">
          <w:rPr>
            <w:webHidden/>
          </w:rPr>
        </w:r>
        <w:r w:rsidR="007D1FB5">
          <w:rPr>
            <w:webHidden/>
          </w:rPr>
          <w:fldChar w:fldCharType="separate"/>
        </w:r>
        <w:r w:rsidR="007D1FB5">
          <w:rPr>
            <w:webHidden/>
          </w:rPr>
          <w:t>4</w:t>
        </w:r>
        <w:r w:rsidR="007D1FB5">
          <w:rPr>
            <w:webHidden/>
          </w:rPr>
          <w:fldChar w:fldCharType="end"/>
        </w:r>
      </w:hyperlink>
    </w:p>
    <w:p w14:paraId="62268430" w14:textId="0DBC7D56"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70" w:history="1">
        <w:r w:rsidR="007D1FB5" w:rsidRPr="007A38FB">
          <w:rPr>
            <w:rStyle w:val="Hyperlink"/>
            <w:rFonts w:ascii="Times New Roman" w:hAnsi="Times New Roman"/>
          </w:rPr>
          <w:t>1.6.</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Proportionalitet</w:t>
        </w:r>
        <w:r w:rsidR="007D1FB5">
          <w:rPr>
            <w:webHidden/>
          </w:rPr>
          <w:tab/>
        </w:r>
        <w:r w:rsidR="007D1FB5">
          <w:rPr>
            <w:webHidden/>
          </w:rPr>
          <w:fldChar w:fldCharType="begin"/>
        </w:r>
        <w:r w:rsidR="007D1FB5">
          <w:rPr>
            <w:webHidden/>
          </w:rPr>
          <w:instrText xml:space="preserve"> PAGEREF _Toc188522970 \h </w:instrText>
        </w:r>
        <w:r w:rsidR="007D1FB5">
          <w:rPr>
            <w:webHidden/>
          </w:rPr>
        </w:r>
        <w:r w:rsidR="007D1FB5">
          <w:rPr>
            <w:webHidden/>
          </w:rPr>
          <w:fldChar w:fldCharType="separate"/>
        </w:r>
        <w:r w:rsidR="007D1FB5">
          <w:rPr>
            <w:webHidden/>
          </w:rPr>
          <w:t>4</w:t>
        </w:r>
        <w:r w:rsidR="007D1FB5">
          <w:rPr>
            <w:webHidden/>
          </w:rPr>
          <w:fldChar w:fldCharType="end"/>
        </w:r>
      </w:hyperlink>
    </w:p>
    <w:p w14:paraId="7AA9FDA0" w14:textId="34CDFC8F"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71" w:history="1">
        <w:r w:rsidR="007D1FB5" w:rsidRPr="007A38FB">
          <w:rPr>
            <w:rStyle w:val="Hyperlink"/>
            <w:rFonts w:ascii="Times New Roman" w:hAnsi="Times New Roman"/>
          </w:rPr>
          <w:t>1.7.</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Definition af behæftelse</w:t>
        </w:r>
        <w:r w:rsidR="007D1FB5">
          <w:rPr>
            <w:webHidden/>
          </w:rPr>
          <w:tab/>
        </w:r>
        <w:r w:rsidR="007D1FB5">
          <w:rPr>
            <w:webHidden/>
          </w:rPr>
          <w:fldChar w:fldCharType="begin"/>
        </w:r>
        <w:r w:rsidR="007D1FB5">
          <w:rPr>
            <w:webHidden/>
          </w:rPr>
          <w:instrText xml:space="preserve"> PAGEREF _Toc188522971 \h </w:instrText>
        </w:r>
        <w:r w:rsidR="007D1FB5">
          <w:rPr>
            <w:webHidden/>
          </w:rPr>
        </w:r>
        <w:r w:rsidR="007D1FB5">
          <w:rPr>
            <w:webHidden/>
          </w:rPr>
          <w:fldChar w:fldCharType="separate"/>
        </w:r>
        <w:r w:rsidR="007D1FB5">
          <w:rPr>
            <w:webHidden/>
          </w:rPr>
          <w:t>4</w:t>
        </w:r>
        <w:r w:rsidR="007D1FB5">
          <w:rPr>
            <w:webHidden/>
          </w:rPr>
          <w:fldChar w:fldCharType="end"/>
        </w:r>
      </w:hyperlink>
    </w:p>
    <w:p w14:paraId="6673DB4F" w14:textId="15BF6839"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72" w:history="1">
        <w:r w:rsidR="007D1FB5" w:rsidRPr="007A38FB">
          <w:rPr>
            <w:rStyle w:val="Hyperlink"/>
            <w:rFonts w:ascii="Times New Roman" w:hAnsi="Times New Roman"/>
          </w:rPr>
          <w:t>INSTRUKSER RELATEREDE TIL SKEMAER</w:t>
        </w:r>
        <w:r w:rsidR="007D1FB5">
          <w:rPr>
            <w:webHidden/>
          </w:rPr>
          <w:tab/>
        </w:r>
        <w:r w:rsidR="007D1FB5">
          <w:rPr>
            <w:webHidden/>
          </w:rPr>
          <w:fldChar w:fldCharType="begin"/>
        </w:r>
        <w:r w:rsidR="007D1FB5">
          <w:rPr>
            <w:webHidden/>
          </w:rPr>
          <w:instrText xml:space="preserve"> PAGEREF _Toc188522972 \h </w:instrText>
        </w:r>
        <w:r w:rsidR="007D1FB5">
          <w:rPr>
            <w:webHidden/>
          </w:rPr>
        </w:r>
        <w:r w:rsidR="007D1FB5">
          <w:rPr>
            <w:webHidden/>
          </w:rPr>
          <w:fldChar w:fldCharType="separate"/>
        </w:r>
        <w:r w:rsidR="007D1FB5">
          <w:rPr>
            <w:webHidden/>
          </w:rPr>
          <w:t>5</w:t>
        </w:r>
        <w:r w:rsidR="007D1FB5">
          <w:rPr>
            <w:webHidden/>
          </w:rPr>
          <w:fldChar w:fldCharType="end"/>
        </w:r>
      </w:hyperlink>
    </w:p>
    <w:p w14:paraId="05B14D07" w14:textId="7574BC8F"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73" w:history="1">
        <w:r w:rsidR="007D1FB5" w:rsidRPr="007A38FB">
          <w:rPr>
            <w:rStyle w:val="Hyperlink"/>
            <w:rFonts w:ascii="Times New Roman" w:hAnsi="Times New Roman"/>
          </w:rPr>
          <w:t>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Del A: Oversigt over behæftelse</w:t>
        </w:r>
        <w:r w:rsidR="007D1FB5">
          <w:rPr>
            <w:webHidden/>
          </w:rPr>
          <w:tab/>
        </w:r>
        <w:r w:rsidR="007D1FB5">
          <w:rPr>
            <w:webHidden/>
          </w:rPr>
          <w:fldChar w:fldCharType="begin"/>
        </w:r>
        <w:r w:rsidR="007D1FB5">
          <w:rPr>
            <w:webHidden/>
          </w:rPr>
          <w:instrText xml:space="preserve"> PAGEREF _Toc188522973 \h </w:instrText>
        </w:r>
        <w:r w:rsidR="007D1FB5">
          <w:rPr>
            <w:webHidden/>
          </w:rPr>
        </w:r>
        <w:r w:rsidR="007D1FB5">
          <w:rPr>
            <w:webHidden/>
          </w:rPr>
          <w:fldChar w:fldCharType="separate"/>
        </w:r>
        <w:r w:rsidR="007D1FB5">
          <w:rPr>
            <w:webHidden/>
          </w:rPr>
          <w:t>5</w:t>
        </w:r>
        <w:r w:rsidR="007D1FB5">
          <w:rPr>
            <w:webHidden/>
          </w:rPr>
          <w:fldChar w:fldCharType="end"/>
        </w:r>
      </w:hyperlink>
    </w:p>
    <w:p w14:paraId="7DE4CB86" w14:textId="0FAB3386"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74" w:history="1">
        <w:r w:rsidR="007D1FB5" w:rsidRPr="007A38FB">
          <w:rPr>
            <w:rStyle w:val="Hyperlink"/>
            <w:rFonts w:ascii="Times New Roman" w:hAnsi="Times New Roman"/>
          </w:rPr>
          <w:t>2.1.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AE-ASS-skemaet. Det indberettende instituts aktiver.</w:t>
        </w:r>
        <w:r w:rsidR="007D1FB5">
          <w:rPr>
            <w:webHidden/>
          </w:rPr>
          <w:tab/>
        </w:r>
        <w:r w:rsidR="007D1FB5">
          <w:rPr>
            <w:webHidden/>
          </w:rPr>
          <w:fldChar w:fldCharType="begin"/>
        </w:r>
        <w:r w:rsidR="007D1FB5">
          <w:rPr>
            <w:webHidden/>
          </w:rPr>
          <w:instrText xml:space="preserve"> PAGEREF _Toc188522974 \h </w:instrText>
        </w:r>
        <w:r w:rsidR="007D1FB5">
          <w:rPr>
            <w:webHidden/>
          </w:rPr>
        </w:r>
        <w:r w:rsidR="007D1FB5">
          <w:rPr>
            <w:webHidden/>
          </w:rPr>
          <w:fldChar w:fldCharType="separate"/>
        </w:r>
        <w:r w:rsidR="007D1FB5">
          <w:rPr>
            <w:webHidden/>
          </w:rPr>
          <w:t>5</w:t>
        </w:r>
        <w:r w:rsidR="007D1FB5">
          <w:rPr>
            <w:webHidden/>
          </w:rPr>
          <w:fldChar w:fldCharType="end"/>
        </w:r>
      </w:hyperlink>
    </w:p>
    <w:p w14:paraId="4D60C68B" w14:textId="24D37EC1"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75" w:history="1">
        <w:r w:rsidR="007D1FB5" w:rsidRPr="007A38FB">
          <w:rPr>
            <w:rStyle w:val="Hyperlink"/>
            <w:rFonts w:ascii="Times New Roman" w:hAnsi="Times New Roman"/>
          </w:rPr>
          <w:t>2.1.1.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Generelle bemærkninger</w:t>
        </w:r>
        <w:r w:rsidR="007D1FB5">
          <w:rPr>
            <w:webHidden/>
          </w:rPr>
          <w:tab/>
        </w:r>
        <w:r w:rsidR="007D1FB5">
          <w:rPr>
            <w:webHidden/>
          </w:rPr>
          <w:fldChar w:fldCharType="begin"/>
        </w:r>
        <w:r w:rsidR="007D1FB5">
          <w:rPr>
            <w:webHidden/>
          </w:rPr>
          <w:instrText xml:space="preserve"> PAGEREF _Toc188522975 \h </w:instrText>
        </w:r>
        <w:r w:rsidR="007D1FB5">
          <w:rPr>
            <w:webHidden/>
          </w:rPr>
        </w:r>
        <w:r w:rsidR="007D1FB5">
          <w:rPr>
            <w:webHidden/>
          </w:rPr>
          <w:fldChar w:fldCharType="separate"/>
        </w:r>
        <w:r w:rsidR="007D1FB5">
          <w:rPr>
            <w:webHidden/>
          </w:rPr>
          <w:t>5</w:t>
        </w:r>
        <w:r w:rsidR="007D1FB5">
          <w:rPr>
            <w:webHidden/>
          </w:rPr>
          <w:fldChar w:fldCharType="end"/>
        </w:r>
      </w:hyperlink>
    </w:p>
    <w:p w14:paraId="14ADADDF" w14:textId="7032FFBC"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76" w:history="1">
        <w:r w:rsidR="007D1FB5" w:rsidRPr="007A38FB">
          <w:rPr>
            <w:rStyle w:val="Hyperlink"/>
            <w:rFonts w:ascii="Times New Roman" w:hAnsi="Times New Roman"/>
          </w:rPr>
          <w:t>2.1.2.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rækker</w:t>
        </w:r>
        <w:r w:rsidR="007D1FB5">
          <w:rPr>
            <w:webHidden/>
          </w:rPr>
          <w:tab/>
        </w:r>
        <w:r w:rsidR="007D1FB5">
          <w:rPr>
            <w:webHidden/>
          </w:rPr>
          <w:fldChar w:fldCharType="begin"/>
        </w:r>
        <w:r w:rsidR="007D1FB5">
          <w:rPr>
            <w:webHidden/>
          </w:rPr>
          <w:instrText xml:space="preserve"> PAGEREF _Toc188522976 \h </w:instrText>
        </w:r>
        <w:r w:rsidR="007D1FB5">
          <w:rPr>
            <w:webHidden/>
          </w:rPr>
        </w:r>
        <w:r w:rsidR="007D1FB5">
          <w:rPr>
            <w:webHidden/>
          </w:rPr>
          <w:fldChar w:fldCharType="separate"/>
        </w:r>
        <w:r w:rsidR="007D1FB5">
          <w:rPr>
            <w:webHidden/>
          </w:rPr>
          <w:t>8</w:t>
        </w:r>
        <w:r w:rsidR="007D1FB5">
          <w:rPr>
            <w:webHidden/>
          </w:rPr>
          <w:fldChar w:fldCharType="end"/>
        </w:r>
      </w:hyperlink>
    </w:p>
    <w:p w14:paraId="65F402A6" w14:textId="3EA330C2"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77" w:history="1">
        <w:r w:rsidR="007D1FB5" w:rsidRPr="007A38FB">
          <w:rPr>
            <w:rStyle w:val="Hyperlink"/>
            <w:rFonts w:ascii="Times New Roman" w:hAnsi="Times New Roman"/>
          </w:rPr>
          <w:t>Instrukser vedrørende specifikke kolonner</w:t>
        </w:r>
        <w:r w:rsidR="007D1FB5">
          <w:rPr>
            <w:webHidden/>
          </w:rPr>
          <w:tab/>
        </w:r>
        <w:r w:rsidR="007D1FB5">
          <w:rPr>
            <w:webHidden/>
          </w:rPr>
          <w:fldChar w:fldCharType="begin"/>
        </w:r>
        <w:r w:rsidR="007D1FB5">
          <w:rPr>
            <w:webHidden/>
          </w:rPr>
          <w:instrText xml:space="preserve"> PAGEREF _Toc188522977 \h </w:instrText>
        </w:r>
        <w:r w:rsidR="007D1FB5">
          <w:rPr>
            <w:webHidden/>
          </w:rPr>
        </w:r>
        <w:r w:rsidR="007D1FB5">
          <w:rPr>
            <w:webHidden/>
          </w:rPr>
          <w:fldChar w:fldCharType="separate"/>
        </w:r>
        <w:r w:rsidR="007D1FB5">
          <w:rPr>
            <w:webHidden/>
          </w:rPr>
          <w:t>10</w:t>
        </w:r>
        <w:r w:rsidR="007D1FB5">
          <w:rPr>
            <w:webHidden/>
          </w:rPr>
          <w:fldChar w:fldCharType="end"/>
        </w:r>
      </w:hyperlink>
    </w:p>
    <w:p w14:paraId="5D1694D0" w14:textId="45A72A73"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78" w:history="1">
        <w:r w:rsidR="007D1FB5" w:rsidRPr="007A38FB">
          <w:rPr>
            <w:rStyle w:val="Hyperlink"/>
            <w:rFonts w:ascii="Times New Roman" w:hAnsi="Times New Roman"/>
          </w:rPr>
          <w:t>2.2.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Skema: AE-COL. Sikkerhedsstillelse modtaget af det indberettende institut</w:t>
        </w:r>
        <w:r w:rsidR="007D1FB5">
          <w:rPr>
            <w:webHidden/>
          </w:rPr>
          <w:tab/>
        </w:r>
        <w:r w:rsidR="007D1FB5">
          <w:rPr>
            <w:webHidden/>
          </w:rPr>
          <w:fldChar w:fldCharType="begin"/>
        </w:r>
        <w:r w:rsidR="007D1FB5">
          <w:rPr>
            <w:webHidden/>
          </w:rPr>
          <w:instrText xml:space="preserve"> PAGEREF _Toc188522978 \h </w:instrText>
        </w:r>
        <w:r w:rsidR="007D1FB5">
          <w:rPr>
            <w:webHidden/>
          </w:rPr>
        </w:r>
        <w:r w:rsidR="007D1FB5">
          <w:rPr>
            <w:webHidden/>
          </w:rPr>
          <w:fldChar w:fldCharType="separate"/>
        </w:r>
        <w:r w:rsidR="007D1FB5">
          <w:rPr>
            <w:webHidden/>
          </w:rPr>
          <w:t>13</w:t>
        </w:r>
        <w:r w:rsidR="007D1FB5">
          <w:rPr>
            <w:webHidden/>
          </w:rPr>
          <w:fldChar w:fldCharType="end"/>
        </w:r>
      </w:hyperlink>
    </w:p>
    <w:p w14:paraId="4657C8BA" w14:textId="62FB19CF"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79" w:history="1">
        <w:r w:rsidR="007D1FB5" w:rsidRPr="007A38FB">
          <w:rPr>
            <w:rStyle w:val="Hyperlink"/>
            <w:rFonts w:ascii="Times New Roman" w:hAnsi="Times New Roman"/>
          </w:rPr>
          <w:t>2.2.1.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Generelle bemærkninger</w:t>
        </w:r>
        <w:r w:rsidR="007D1FB5">
          <w:rPr>
            <w:webHidden/>
          </w:rPr>
          <w:tab/>
        </w:r>
        <w:r w:rsidR="007D1FB5">
          <w:rPr>
            <w:webHidden/>
          </w:rPr>
          <w:fldChar w:fldCharType="begin"/>
        </w:r>
        <w:r w:rsidR="007D1FB5">
          <w:rPr>
            <w:webHidden/>
          </w:rPr>
          <w:instrText xml:space="preserve"> PAGEREF _Toc188522979 \h </w:instrText>
        </w:r>
        <w:r w:rsidR="007D1FB5">
          <w:rPr>
            <w:webHidden/>
          </w:rPr>
        </w:r>
        <w:r w:rsidR="007D1FB5">
          <w:rPr>
            <w:webHidden/>
          </w:rPr>
          <w:fldChar w:fldCharType="separate"/>
        </w:r>
        <w:r w:rsidR="007D1FB5">
          <w:rPr>
            <w:webHidden/>
          </w:rPr>
          <w:t>13</w:t>
        </w:r>
        <w:r w:rsidR="007D1FB5">
          <w:rPr>
            <w:webHidden/>
          </w:rPr>
          <w:fldChar w:fldCharType="end"/>
        </w:r>
      </w:hyperlink>
    </w:p>
    <w:p w14:paraId="30BC6741" w14:textId="5A6D3110"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80" w:history="1">
        <w:r w:rsidR="007D1FB5" w:rsidRPr="007A38FB">
          <w:rPr>
            <w:rStyle w:val="Hyperlink"/>
            <w:rFonts w:ascii="Times New Roman" w:hAnsi="Times New Roman"/>
          </w:rPr>
          <w:t>2.2.2.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rækker</w:t>
        </w:r>
        <w:r w:rsidR="007D1FB5">
          <w:rPr>
            <w:webHidden/>
          </w:rPr>
          <w:tab/>
        </w:r>
        <w:r w:rsidR="007D1FB5">
          <w:rPr>
            <w:webHidden/>
          </w:rPr>
          <w:fldChar w:fldCharType="begin"/>
        </w:r>
        <w:r w:rsidR="007D1FB5">
          <w:rPr>
            <w:webHidden/>
          </w:rPr>
          <w:instrText xml:space="preserve"> PAGEREF _Toc188522980 \h </w:instrText>
        </w:r>
        <w:r w:rsidR="007D1FB5">
          <w:rPr>
            <w:webHidden/>
          </w:rPr>
        </w:r>
        <w:r w:rsidR="007D1FB5">
          <w:rPr>
            <w:webHidden/>
          </w:rPr>
          <w:fldChar w:fldCharType="separate"/>
        </w:r>
        <w:r w:rsidR="007D1FB5">
          <w:rPr>
            <w:webHidden/>
          </w:rPr>
          <w:t>13</w:t>
        </w:r>
        <w:r w:rsidR="007D1FB5">
          <w:rPr>
            <w:webHidden/>
          </w:rPr>
          <w:fldChar w:fldCharType="end"/>
        </w:r>
      </w:hyperlink>
    </w:p>
    <w:p w14:paraId="46D200BB" w14:textId="18765998"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81" w:history="1">
        <w:r w:rsidR="007D1FB5" w:rsidRPr="007A38FB">
          <w:rPr>
            <w:rStyle w:val="Hyperlink"/>
            <w:rFonts w:ascii="Times New Roman" w:hAnsi="Times New Roman"/>
          </w:rPr>
          <w:t>2.2.3.</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kolonner</w:t>
        </w:r>
        <w:r w:rsidR="007D1FB5">
          <w:rPr>
            <w:webHidden/>
          </w:rPr>
          <w:tab/>
        </w:r>
        <w:r w:rsidR="007D1FB5">
          <w:rPr>
            <w:webHidden/>
          </w:rPr>
          <w:fldChar w:fldCharType="begin"/>
        </w:r>
        <w:r w:rsidR="007D1FB5">
          <w:rPr>
            <w:webHidden/>
          </w:rPr>
          <w:instrText xml:space="preserve"> PAGEREF _Toc188522981 \h </w:instrText>
        </w:r>
        <w:r w:rsidR="007D1FB5">
          <w:rPr>
            <w:webHidden/>
          </w:rPr>
        </w:r>
        <w:r w:rsidR="007D1FB5">
          <w:rPr>
            <w:webHidden/>
          </w:rPr>
          <w:fldChar w:fldCharType="separate"/>
        </w:r>
        <w:r w:rsidR="007D1FB5">
          <w:rPr>
            <w:webHidden/>
          </w:rPr>
          <w:t>16</w:t>
        </w:r>
        <w:r w:rsidR="007D1FB5">
          <w:rPr>
            <w:webHidden/>
          </w:rPr>
          <w:fldChar w:fldCharType="end"/>
        </w:r>
      </w:hyperlink>
    </w:p>
    <w:p w14:paraId="0172D0CB" w14:textId="1B8EC991"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82" w:history="1">
        <w:r w:rsidR="007D1FB5" w:rsidRPr="007A38FB">
          <w:rPr>
            <w:rStyle w:val="Hyperlink"/>
            <w:rFonts w:ascii="Times New Roman" w:hAnsi="Times New Roman"/>
          </w:rPr>
          <w:t>2.3.</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Skema: AE-NPL. Egne dækkede obligationer og securitiseringer, som er udstedt og endnu ikke er stillet som pant.</w:t>
        </w:r>
        <w:r w:rsidR="007D1FB5">
          <w:rPr>
            <w:webHidden/>
          </w:rPr>
          <w:tab/>
        </w:r>
        <w:r w:rsidR="007D1FB5">
          <w:rPr>
            <w:webHidden/>
          </w:rPr>
          <w:fldChar w:fldCharType="begin"/>
        </w:r>
        <w:r w:rsidR="007D1FB5">
          <w:rPr>
            <w:webHidden/>
          </w:rPr>
          <w:instrText xml:space="preserve"> PAGEREF _Toc188522982 \h </w:instrText>
        </w:r>
        <w:r w:rsidR="007D1FB5">
          <w:rPr>
            <w:webHidden/>
          </w:rPr>
        </w:r>
        <w:r w:rsidR="007D1FB5">
          <w:rPr>
            <w:webHidden/>
          </w:rPr>
          <w:fldChar w:fldCharType="separate"/>
        </w:r>
        <w:r w:rsidR="007D1FB5">
          <w:rPr>
            <w:webHidden/>
          </w:rPr>
          <w:t>18</w:t>
        </w:r>
        <w:r w:rsidR="007D1FB5">
          <w:rPr>
            <w:webHidden/>
          </w:rPr>
          <w:fldChar w:fldCharType="end"/>
        </w:r>
      </w:hyperlink>
    </w:p>
    <w:p w14:paraId="2CC09A78" w14:textId="3103D411"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83" w:history="1">
        <w:r w:rsidR="007D1FB5" w:rsidRPr="007A38FB">
          <w:rPr>
            <w:rStyle w:val="Hyperlink"/>
            <w:rFonts w:ascii="Times New Roman" w:hAnsi="Times New Roman"/>
          </w:rPr>
          <w:t>2.3.1.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Generelle bemærkninger</w:t>
        </w:r>
        <w:r w:rsidR="007D1FB5">
          <w:rPr>
            <w:webHidden/>
          </w:rPr>
          <w:tab/>
        </w:r>
        <w:r w:rsidR="007D1FB5">
          <w:rPr>
            <w:webHidden/>
          </w:rPr>
          <w:fldChar w:fldCharType="begin"/>
        </w:r>
        <w:r w:rsidR="007D1FB5">
          <w:rPr>
            <w:webHidden/>
          </w:rPr>
          <w:instrText xml:space="preserve"> PAGEREF _Toc188522983 \h </w:instrText>
        </w:r>
        <w:r w:rsidR="007D1FB5">
          <w:rPr>
            <w:webHidden/>
          </w:rPr>
        </w:r>
        <w:r w:rsidR="007D1FB5">
          <w:rPr>
            <w:webHidden/>
          </w:rPr>
          <w:fldChar w:fldCharType="separate"/>
        </w:r>
        <w:r w:rsidR="007D1FB5">
          <w:rPr>
            <w:webHidden/>
          </w:rPr>
          <w:t>18</w:t>
        </w:r>
        <w:r w:rsidR="007D1FB5">
          <w:rPr>
            <w:webHidden/>
          </w:rPr>
          <w:fldChar w:fldCharType="end"/>
        </w:r>
      </w:hyperlink>
    </w:p>
    <w:p w14:paraId="73F2B333" w14:textId="1A2F6DDA"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84" w:history="1">
        <w:r w:rsidR="007D1FB5" w:rsidRPr="007A38FB">
          <w:rPr>
            <w:rStyle w:val="Hyperlink"/>
            <w:rFonts w:ascii="Times New Roman" w:hAnsi="Times New Roman"/>
          </w:rPr>
          <w:t>2.3.2.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rækker</w:t>
        </w:r>
        <w:r w:rsidR="007D1FB5">
          <w:rPr>
            <w:webHidden/>
          </w:rPr>
          <w:tab/>
        </w:r>
        <w:r w:rsidR="007D1FB5">
          <w:rPr>
            <w:webHidden/>
          </w:rPr>
          <w:fldChar w:fldCharType="begin"/>
        </w:r>
        <w:r w:rsidR="007D1FB5">
          <w:rPr>
            <w:webHidden/>
          </w:rPr>
          <w:instrText xml:space="preserve"> PAGEREF _Toc188522984 \h </w:instrText>
        </w:r>
        <w:r w:rsidR="007D1FB5">
          <w:rPr>
            <w:webHidden/>
          </w:rPr>
        </w:r>
        <w:r w:rsidR="007D1FB5">
          <w:rPr>
            <w:webHidden/>
          </w:rPr>
          <w:fldChar w:fldCharType="separate"/>
        </w:r>
        <w:r w:rsidR="007D1FB5">
          <w:rPr>
            <w:webHidden/>
          </w:rPr>
          <w:t>18</w:t>
        </w:r>
        <w:r w:rsidR="007D1FB5">
          <w:rPr>
            <w:webHidden/>
          </w:rPr>
          <w:fldChar w:fldCharType="end"/>
        </w:r>
      </w:hyperlink>
    </w:p>
    <w:p w14:paraId="40D1AD6A" w14:textId="59AE5887"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85" w:history="1">
        <w:r w:rsidR="007D1FB5" w:rsidRPr="007A38FB">
          <w:rPr>
            <w:rStyle w:val="Hyperlink"/>
            <w:rFonts w:ascii="Times New Roman" w:hAnsi="Times New Roman"/>
          </w:rPr>
          <w:t>2.3.3.</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kolonner</w:t>
        </w:r>
        <w:r w:rsidR="007D1FB5">
          <w:rPr>
            <w:webHidden/>
          </w:rPr>
          <w:tab/>
        </w:r>
        <w:r w:rsidR="007D1FB5">
          <w:rPr>
            <w:webHidden/>
          </w:rPr>
          <w:fldChar w:fldCharType="begin"/>
        </w:r>
        <w:r w:rsidR="007D1FB5">
          <w:rPr>
            <w:webHidden/>
          </w:rPr>
          <w:instrText xml:space="preserve"> PAGEREF _Toc188522985 \h </w:instrText>
        </w:r>
        <w:r w:rsidR="007D1FB5">
          <w:rPr>
            <w:webHidden/>
          </w:rPr>
        </w:r>
        <w:r w:rsidR="007D1FB5">
          <w:rPr>
            <w:webHidden/>
          </w:rPr>
          <w:fldChar w:fldCharType="separate"/>
        </w:r>
        <w:r w:rsidR="007D1FB5">
          <w:rPr>
            <w:webHidden/>
          </w:rPr>
          <w:t>19</w:t>
        </w:r>
        <w:r w:rsidR="007D1FB5">
          <w:rPr>
            <w:webHidden/>
          </w:rPr>
          <w:fldChar w:fldCharType="end"/>
        </w:r>
      </w:hyperlink>
    </w:p>
    <w:p w14:paraId="46F6A3BC" w14:textId="3FCDEF54"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86" w:history="1">
        <w:r w:rsidR="007D1FB5" w:rsidRPr="007A38FB">
          <w:rPr>
            <w:rStyle w:val="Hyperlink"/>
            <w:rFonts w:ascii="Times New Roman" w:hAnsi="Times New Roman"/>
          </w:rPr>
          <w:t>2.4.</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Skema: AE-SOU. Behæftelseskilder</w:t>
        </w:r>
        <w:r w:rsidR="007D1FB5">
          <w:rPr>
            <w:webHidden/>
          </w:rPr>
          <w:tab/>
        </w:r>
        <w:r w:rsidR="007D1FB5">
          <w:rPr>
            <w:webHidden/>
          </w:rPr>
          <w:fldChar w:fldCharType="begin"/>
        </w:r>
        <w:r w:rsidR="007D1FB5">
          <w:rPr>
            <w:webHidden/>
          </w:rPr>
          <w:instrText xml:space="preserve"> PAGEREF _Toc188522986 \h </w:instrText>
        </w:r>
        <w:r w:rsidR="007D1FB5">
          <w:rPr>
            <w:webHidden/>
          </w:rPr>
        </w:r>
        <w:r w:rsidR="007D1FB5">
          <w:rPr>
            <w:webHidden/>
          </w:rPr>
          <w:fldChar w:fldCharType="separate"/>
        </w:r>
        <w:r w:rsidR="007D1FB5">
          <w:rPr>
            <w:webHidden/>
          </w:rPr>
          <w:t>20</w:t>
        </w:r>
        <w:r w:rsidR="007D1FB5">
          <w:rPr>
            <w:webHidden/>
          </w:rPr>
          <w:fldChar w:fldCharType="end"/>
        </w:r>
      </w:hyperlink>
    </w:p>
    <w:p w14:paraId="7EF4302B" w14:textId="48270845"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87" w:history="1">
        <w:r w:rsidR="007D1FB5" w:rsidRPr="007A38FB">
          <w:rPr>
            <w:rStyle w:val="Hyperlink"/>
            <w:rFonts w:ascii="Times New Roman" w:hAnsi="Times New Roman"/>
          </w:rPr>
          <w:t>2.4.1.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Generelle bemærkninger</w:t>
        </w:r>
        <w:r w:rsidR="007D1FB5">
          <w:rPr>
            <w:webHidden/>
          </w:rPr>
          <w:tab/>
        </w:r>
        <w:r w:rsidR="007D1FB5">
          <w:rPr>
            <w:webHidden/>
          </w:rPr>
          <w:fldChar w:fldCharType="begin"/>
        </w:r>
        <w:r w:rsidR="007D1FB5">
          <w:rPr>
            <w:webHidden/>
          </w:rPr>
          <w:instrText xml:space="preserve"> PAGEREF _Toc188522987 \h </w:instrText>
        </w:r>
        <w:r w:rsidR="007D1FB5">
          <w:rPr>
            <w:webHidden/>
          </w:rPr>
        </w:r>
        <w:r w:rsidR="007D1FB5">
          <w:rPr>
            <w:webHidden/>
          </w:rPr>
          <w:fldChar w:fldCharType="separate"/>
        </w:r>
        <w:r w:rsidR="007D1FB5">
          <w:rPr>
            <w:webHidden/>
          </w:rPr>
          <w:t>20</w:t>
        </w:r>
        <w:r w:rsidR="007D1FB5">
          <w:rPr>
            <w:webHidden/>
          </w:rPr>
          <w:fldChar w:fldCharType="end"/>
        </w:r>
      </w:hyperlink>
    </w:p>
    <w:p w14:paraId="78E8EFC2" w14:textId="6416E7BD"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88" w:history="1">
        <w:r w:rsidR="007D1FB5" w:rsidRPr="007A38FB">
          <w:rPr>
            <w:rStyle w:val="Hyperlink"/>
            <w:rFonts w:ascii="Times New Roman" w:hAnsi="Times New Roman"/>
          </w:rPr>
          <w:t>2.4.2.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rækker</w:t>
        </w:r>
        <w:r w:rsidR="007D1FB5">
          <w:rPr>
            <w:webHidden/>
          </w:rPr>
          <w:tab/>
        </w:r>
        <w:r w:rsidR="007D1FB5">
          <w:rPr>
            <w:webHidden/>
          </w:rPr>
          <w:fldChar w:fldCharType="begin"/>
        </w:r>
        <w:r w:rsidR="007D1FB5">
          <w:rPr>
            <w:webHidden/>
          </w:rPr>
          <w:instrText xml:space="preserve"> PAGEREF _Toc188522988 \h </w:instrText>
        </w:r>
        <w:r w:rsidR="007D1FB5">
          <w:rPr>
            <w:webHidden/>
          </w:rPr>
        </w:r>
        <w:r w:rsidR="007D1FB5">
          <w:rPr>
            <w:webHidden/>
          </w:rPr>
          <w:fldChar w:fldCharType="separate"/>
        </w:r>
        <w:r w:rsidR="007D1FB5">
          <w:rPr>
            <w:webHidden/>
          </w:rPr>
          <w:t>20</w:t>
        </w:r>
        <w:r w:rsidR="007D1FB5">
          <w:rPr>
            <w:webHidden/>
          </w:rPr>
          <w:fldChar w:fldCharType="end"/>
        </w:r>
      </w:hyperlink>
    </w:p>
    <w:p w14:paraId="1B42D559" w14:textId="1F7752EF"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89" w:history="1">
        <w:r w:rsidR="007D1FB5" w:rsidRPr="007A38FB">
          <w:rPr>
            <w:rStyle w:val="Hyperlink"/>
            <w:rFonts w:ascii="Times New Roman" w:hAnsi="Times New Roman"/>
          </w:rPr>
          <w:t>2.4.3.</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kolonner</w:t>
        </w:r>
        <w:r w:rsidR="007D1FB5">
          <w:rPr>
            <w:webHidden/>
          </w:rPr>
          <w:tab/>
        </w:r>
        <w:r w:rsidR="007D1FB5">
          <w:rPr>
            <w:webHidden/>
          </w:rPr>
          <w:fldChar w:fldCharType="begin"/>
        </w:r>
        <w:r w:rsidR="007D1FB5">
          <w:rPr>
            <w:webHidden/>
          </w:rPr>
          <w:instrText xml:space="preserve"> PAGEREF _Toc188522989 \h </w:instrText>
        </w:r>
        <w:r w:rsidR="007D1FB5">
          <w:rPr>
            <w:webHidden/>
          </w:rPr>
        </w:r>
        <w:r w:rsidR="007D1FB5">
          <w:rPr>
            <w:webHidden/>
          </w:rPr>
          <w:fldChar w:fldCharType="separate"/>
        </w:r>
        <w:r w:rsidR="007D1FB5">
          <w:rPr>
            <w:webHidden/>
          </w:rPr>
          <w:t>22</w:t>
        </w:r>
        <w:r w:rsidR="007D1FB5">
          <w:rPr>
            <w:webHidden/>
          </w:rPr>
          <w:fldChar w:fldCharType="end"/>
        </w:r>
      </w:hyperlink>
    </w:p>
    <w:p w14:paraId="6DFF7226" w14:textId="5F585005"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90" w:history="1">
        <w:r w:rsidR="007D1FB5" w:rsidRPr="007A38FB">
          <w:rPr>
            <w:rStyle w:val="Hyperlink"/>
            <w:rFonts w:ascii="Times New Roman" w:hAnsi="Times New Roman"/>
          </w:rPr>
          <w:t>3.</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Del B: Løbetidsdata</w:t>
        </w:r>
        <w:r w:rsidR="007D1FB5">
          <w:rPr>
            <w:webHidden/>
          </w:rPr>
          <w:tab/>
        </w:r>
        <w:r w:rsidR="007D1FB5">
          <w:rPr>
            <w:webHidden/>
          </w:rPr>
          <w:fldChar w:fldCharType="begin"/>
        </w:r>
        <w:r w:rsidR="007D1FB5">
          <w:rPr>
            <w:webHidden/>
          </w:rPr>
          <w:instrText xml:space="preserve"> PAGEREF _Toc188522990 \h </w:instrText>
        </w:r>
        <w:r w:rsidR="007D1FB5">
          <w:rPr>
            <w:webHidden/>
          </w:rPr>
        </w:r>
        <w:r w:rsidR="007D1FB5">
          <w:rPr>
            <w:webHidden/>
          </w:rPr>
          <w:fldChar w:fldCharType="separate"/>
        </w:r>
        <w:r w:rsidR="007D1FB5">
          <w:rPr>
            <w:webHidden/>
          </w:rPr>
          <w:t>23</w:t>
        </w:r>
        <w:r w:rsidR="007D1FB5">
          <w:rPr>
            <w:webHidden/>
          </w:rPr>
          <w:fldChar w:fldCharType="end"/>
        </w:r>
      </w:hyperlink>
    </w:p>
    <w:p w14:paraId="7BCB0C32" w14:textId="4167DB2E"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91" w:history="1">
        <w:r w:rsidR="007D1FB5" w:rsidRPr="007A38FB">
          <w:rPr>
            <w:rStyle w:val="Hyperlink"/>
            <w:rFonts w:ascii="Times New Roman" w:hAnsi="Times New Roman"/>
          </w:rPr>
          <w:t>3.1.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Generelle bemærkninger</w:t>
        </w:r>
        <w:r w:rsidR="007D1FB5">
          <w:rPr>
            <w:webHidden/>
          </w:rPr>
          <w:tab/>
        </w:r>
        <w:r w:rsidR="007D1FB5">
          <w:rPr>
            <w:webHidden/>
          </w:rPr>
          <w:fldChar w:fldCharType="begin"/>
        </w:r>
        <w:r w:rsidR="007D1FB5">
          <w:rPr>
            <w:webHidden/>
          </w:rPr>
          <w:instrText xml:space="preserve"> PAGEREF _Toc188522991 \h </w:instrText>
        </w:r>
        <w:r w:rsidR="007D1FB5">
          <w:rPr>
            <w:webHidden/>
          </w:rPr>
        </w:r>
        <w:r w:rsidR="007D1FB5">
          <w:rPr>
            <w:webHidden/>
          </w:rPr>
          <w:fldChar w:fldCharType="separate"/>
        </w:r>
        <w:r w:rsidR="007D1FB5">
          <w:rPr>
            <w:webHidden/>
          </w:rPr>
          <w:t>23</w:t>
        </w:r>
        <w:r w:rsidR="007D1FB5">
          <w:rPr>
            <w:webHidden/>
          </w:rPr>
          <w:fldChar w:fldCharType="end"/>
        </w:r>
      </w:hyperlink>
    </w:p>
    <w:p w14:paraId="379FC5B0" w14:textId="407B337C"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92" w:history="1">
        <w:r w:rsidR="007D1FB5" w:rsidRPr="007A38FB">
          <w:rPr>
            <w:rStyle w:val="Hyperlink"/>
            <w:rFonts w:ascii="Times New Roman" w:hAnsi="Times New Roman"/>
          </w:rPr>
          <w:t>3.2.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Skema: AE-MAT. Løbetidsdata</w:t>
        </w:r>
        <w:r w:rsidR="007D1FB5">
          <w:rPr>
            <w:webHidden/>
          </w:rPr>
          <w:tab/>
        </w:r>
        <w:r w:rsidR="007D1FB5">
          <w:rPr>
            <w:webHidden/>
          </w:rPr>
          <w:fldChar w:fldCharType="begin"/>
        </w:r>
        <w:r w:rsidR="007D1FB5">
          <w:rPr>
            <w:webHidden/>
          </w:rPr>
          <w:instrText xml:space="preserve"> PAGEREF _Toc188522992 \h </w:instrText>
        </w:r>
        <w:r w:rsidR="007D1FB5">
          <w:rPr>
            <w:webHidden/>
          </w:rPr>
        </w:r>
        <w:r w:rsidR="007D1FB5">
          <w:rPr>
            <w:webHidden/>
          </w:rPr>
          <w:fldChar w:fldCharType="separate"/>
        </w:r>
        <w:r w:rsidR="007D1FB5">
          <w:rPr>
            <w:webHidden/>
          </w:rPr>
          <w:t>23</w:t>
        </w:r>
        <w:r w:rsidR="007D1FB5">
          <w:rPr>
            <w:webHidden/>
          </w:rPr>
          <w:fldChar w:fldCharType="end"/>
        </w:r>
      </w:hyperlink>
    </w:p>
    <w:p w14:paraId="076FBD98" w14:textId="05EB2F99"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93" w:history="1">
        <w:r w:rsidR="007D1FB5" w:rsidRPr="007A38FB">
          <w:rPr>
            <w:rStyle w:val="Hyperlink"/>
            <w:rFonts w:ascii="Times New Roman" w:hAnsi="Times New Roman"/>
          </w:rPr>
          <w:t>3.2.1.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rækker</w:t>
        </w:r>
        <w:r w:rsidR="007D1FB5">
          <w:rPr>
            <w:webHidden/>
          </w:rPr>
          <w:tab/>
        </w:r>
        <w:r w:rsidR="007D1FB5">
          <w:rPr>
            <w:webHidden/>
          </w:rPr>
          <w:fldChar w:fldCharType="begin"/>
        </w:r>
        <w:r w:rsidR="007D1FB5">
          <w:rPr>
            <w:webHidden/>
          </w:rPr>
          <w:instrText xml:space="preserve"> PAGEREF _Toc188522993 \h </w:instrText>
        </w:r>
        <w:r w:rsidR="007D1FB5">
          <w:rPr>
            <w:webHidden/>
          </w:rPr>
        </w:r>
        <w:r w:rsidR="007D1FB5">
          <w:rPr>
            <w:webHidden/>
          </w:rPr>
          <w:fldChar w:fldCharType="separate"/>
        </w:r>
        <w:r w:rsidR="007D1FB5">
          <w:rPr>
            <w:webHidden/>
          </w:rPr>
          <w:t>23</w:t>
        </w:r>
        <w:r w:rsidR="007D1FB5">
          <w:rPr>
            <w:webHidden/>
          </w:rPr>
          <w:fldChar w:fldCharType="end"/>
        </w:r>
      </w:hyperlink>
    </w:p>
    <w:p w14:paraId="64C91CB9" w14:textId="0F670905"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94" w:history="1">
        <w:r w:rsidR="007D1FB5" w:rsidRPr="007A38FB">
          <w:rPr>
            <w:rStyle w:val="Hyperlink"/>
            <w:rFonts w:ascii="Times New Roman" w:hAnsi="Times New Roman"/>
          </w:rPr>
          <w:t>3.2.2.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kolonner</w:t>
        </w:r>
        <w:r w:rsidR="007D1FB5">
          <w:rPr>
            <w:webHidden/>
          </w:rPr>
          <w:tab/>
        </w:r>
        <w:r w:rsidR="007D1FB5">
          <w:rPr>
            <w:webHidden/>
          </w:rPr>
          <w:fldChar w:fldCharType="begin"/>
        </w:r>
        <w:r w:rsidR="007D1FB5">
          <w:rPr>
            <w:webHidden/>
          </w:rPr>
          <w:instrText xml:space="preserve"> PAGEREF _Toc188522994 \h </w:instrText>
        </w:r>
        <w:r w:rsidR="007D1FB5">
          <w:rPr>
            <w:webHidden/>
          </w:rPr>
        </w:r>
        <w:r w:rsidR="007D1FB5">
          <w:rPr>
            <w:webHidden/>
          </w:rPr>
          <w:fldChar w:fldCharType="separate"/>
        </w:r>
        <w:r w:rsidR="007D1FB5">
          <w:rPr>
            <w:webHidden/>
          </w:rPr>
          <w:t>24</w:t>
        </w:r>
        <w:r w:rsidR="007D1FB5">
          <w:rPr>
            <w:webHidden/>
          </w:rPr>
          <w:fldChar w:fldCharType="end"/>
        </w:r>
      </w:hyperlink>
    </w:p>
    <w:p w14:paraId="125FE15E" w14:textId="674C08AC"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95" w:history="1">
        <w:r w:rsidR="007D1FB5" w:rsidRPr="007A38FB">
          <w:rPr>
            <w:rStyle w:val="Hyperlink"/>
            <w:rFonts w:ascii="Times New Roman" w:hAnsi="Times New Roman"/>
          </w:rPr>
          <w:t>4.</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Del C: Betinget behæftelse</w:t>
        </w:r>
        <w:r w:rsidR="007D1FB5">
          <w:rPr>
            <w:webHidden/>
          </w:rPr>
          <w:tab/>
        </w:r>
        <w:r w:rsidR="007D1FB5">
          <w:rPr>
            <w:webHidden/>
          </w:rPr>
          <w:fldChar w:fldCharType="begin"/>
        </w:r>
        <w:r w:rsidR="007D1FB5">
          <w:rPr>
            <w:webHidden/>
          </w:rPr>
          <w:instrText xml:space="preserve"> PAGEREF _Toc188522995 \h </w:instrText>
        </w:r>
        <w:r w:rsidR="007D1FB5">
          <w:rPr>
            <w:webHidden/>
          </w:rPr>
        </w:r>
        <w:r w:rsidR="007D1FB5">
          <w:rPr>
            <w:webHidden/>
          </w:rPr>
          <w:fldChar w:fldCharType="separate"/>
        </w:r>
        <w:r w:rsidR="007D1FB5">
          <w:rPr>
            <w:webHidden/>
          </w:rPr>
          <w:t>25</w:t>
        </w:r>
        <w:r w:rsidR="007D1FB5">
          <w:rPr>
            <w:webHidden/>
          </w:rPr>
          <w:fldChar w:fldCharType="end"/>
        </w:r>
      </w:hyperlink>
    </w:p>
    <w:p w14:paraId="035585CE" w14:textId="1A68B90B"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96" w:history="1">
        <w:r w:rsidR="007D1FB5" w:rsidRPr="007A38FB">
          <w:rPr>
            <w:rStyle w:val="Hyperlink"/>
            <w:rFonts w:ascii="Times New Roman" w:hAnsi="Times New Roman"/>
          </w:rPr>
          <w:t>4.1.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Generelle bemærkninger</w:t>
        </w:r>
        <w:r w:rsidR="007D1FB5">
          <w:rPr>
            <w:webHidden/>
          </w:rPr>
          <w:tab/>
        </w:r>
        <w:r w:rsidR="007D1FB5">
          <w:rPr>
            <w:webHidden/>
          </w:rPr>
          <w:fldChar w:fldCharType="begin"/>
        </w:r>
        <w:r w:rsidR="007D1FB5">
          <w:rPr>
            <w:webHidden/>
          </w:rPr>
          <w:instrText xml:space="preserve"> PAGEREF _Toc188522996 \h </w:instrText>
        </w:r>
        <w:r w:rsidR="007D1FB5">
          <w:rPr>
            <w:webHidden/>
          </w:rPr>
        </w:r>
        <w:r w:rsidR="007D1FB5">
          <w:rPr>
            <w:webHidden/>
          </w:rPr>
          <w:fldChar w:fldCharType="separate"/>
        </w:r>
        <w:r w:rsidR="007D1FB5">
          <w:rPr>
            <w:webHidden/>
          </w:rPr>
          <w:t>25</w:t>
        </w:r>
        <w:r w:rsidR="007D1FB5">
          <w:rPr>
            <w:webHidden/>
          </w:rPr>
          <w:fldChar w:fldCharType="end"/>
        </w:r>
      </w:hyperlink>
    </w:p>
    <w:p w14:paraId="02FADB39" w14:textId="51156545"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97" w:history="1">
        <w:r w:rsidR="007D1FB5" w:rsidRPr="007A38FB">
          <w:rPr>
            <w:rStyle w:val="Hyperlink"/>
            <w:rFonts w:ascii="Times New Roman" w:hAnsi="Times New Roman"/>
          </w:rPr>
          <w:t>4.1.1.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Scenario A: Et fald på 30 % i de behæftede aktivers værdi</w:t>
        </w:r>
        <w:r w:rsidR="007D1FB5">
          <w:rPr>
            <w:webHidden/>
          </w:rPr>
          <w:tab/>
        </w:r>
        <w:r w:rsidR="007D1FB5">
          <w:rPr>
            <w:webHidden/>
          </w:rPr>
          <w:fldChar w:fldCharType="begin"/>
        </w:r>
        <w:r w:rsidR="007D1FB5">
          <w:rPr>
            <w:webHidden/>
          </w:rPr>
          <w:instrText xml:space="preserve"> PAGEREF _Toc188522997 \h </w:instrText>
        </w:r>
        <w:r w:rsidR="007D1FB5">
          <w:rPr>
            <w:webHidden/>
          </w:rPr>
        </w:r>
        <w:r w:rsidR="007D1FB5">
          <w:rPr>
            <w:webHidden/>
          </w:rPr>
          <w:fldChar w:fldCharType="separate"/>
        </w:r>
        <w:r w:rsidR="007D1FB5">
          <w:rPr>
            <w:webHidden/>
          </w:rPr>
          <w:t>25</w:t>
        </w:r>
        <w:r w:rsidR="007D1FB5">
          <w:rPr>
            <w:webHidden/>
          </w:rPr>
          <w:fldChar w:fldCharType="end"/>
        </w:r>
      </w:hyperlink>
    </w:p>
    <w:p w14:paraId="6CB8D3B3" w14:textId="195056F0"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98" w:history="1">
        <w:r w:rsidR="007D1FB5" w:rsidRPr="007A38FB">
          <w:rPr>
            <w:rStyle w:val="Hyperlink"/>
            <w:rFonts w:ascii="Times New Roman" w:hAnsi="Times New Roman"/>
          </w:rPr>
          <w:t>4.1.2.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Scenario B: En nedskrivning på 10 % af valutaer af væsentlig betydning</w:t>
        </w:r>
        <w:r w:rsidR="007D1FB5">
          <w:rPr>
            <w:webHidden/>
          </w:rPr>
          <w:tab/>
        </w:r>
        <w:r w:rsidR="007D1FB5">
          <w:rPr>
            <w:webHidden/>
          </w:rPr>
          <w:fldChar w:fldCharType="begin"/>
        </w:r>
        <w:r w:rsidR="007D1FB5">
          <w:rPr>
            <w:webHidden/>
          </w:rPr>
          <w:instrText xml:space="preserve"> PAGEREF _Toc188522998 \h </w:instrText>
        </w:r>
        <w:r w:rsidR="007D1FB5">
          <w:rPr>
            <w:webHidden/>
          </w:rPr>
        </w:r>
        <w:r w:rsidR="007D1FB5">
          <w:rPr>
            <w:webHidden/>
          </w:rPr>
          <w:fldChar w:fldCharType="separate"/>
        </w:r>
        <w:r w:rsidR="007D1FB5">
          <w:rPr>
            <w:webHidden/>
          </w:rPr>
          <w:t>26</w:t>
        </w:r>
        <w:r w:rsidR="007D1FB5">
          <w:rPr>
            <w:webHidden/>
          </w:rPr>
          <w:fldChar w:fldCharType="end"/>
        </w:r>
      </w:hyperlink>
    </w:p>
    <w:p w14:paraId="099E6A80" w14:textId="399415DA"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2999" w:history="1">
        <w:r w:rsidR="007D1FB5" w:rsidRPr="007A38FB">
          <w:rPr>
            <w:rStyle w:val="Hyperlink"/>
            <w:rFonts w:ascii="Times New Roman" w:hAnsi="Times New Roman"/>
          </w:rPr>
          <w:t>4.2.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Skema: AE-CONT. Betinget behæftelse</w:t>
        </w:r>
        <w:r w:rsidR="007D1FB5">
          <w:rPr>
            <w:webHidden/>
          </w:rPr>
          <w:tab/>
        </w:r>
        <w:r w:rsidR="007D1FB5">
          <w:rPr>
            <w:webHidden/>
          </w:rPr>
          <w:fldChar w:fldCharType="begin"/>
        </w:r>
        <w:r w:rsidR="007D1FB5">
          <w:rPr>
            <w:webHidden/>
          </w:rPr>
          <w:instrText xml:space="preserve"> PAGEREF _Toc188522999 \h </w:instrText>
        </w:r>
        <w:r w:rsidR="007D1FB5">
          <w:rPr>
            <w:webHidden/>
          </w:rPr>
        </w:r>
        <w:r w:rsidR="007D1FB5">
          <w:rPr>
            <w:webHidden/>
          </w:rPr>
          <w:fldChar w:fldCharType="separate"/>
        </w:r>
        <w:r w:rsidR="007D1FB5">
          <w:rPr>
            <w:webHidden/>
          </w:rPr>
          <w:t>26</w:t>
        </w:r>
        <w:r w:rsidR="007D1FB5">
          <w:rPr>
            <w:webHidden/>
          </w:rPr>
          <w:fldChar w:fldCharType="end"/>
        </w:r>
      </w:hyperlink>
    </w:p>
    <w:p w14:paraId="1D686D45" w14:textId="7797914F"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00" w:history="1">
        <w:r w:rsidR="007D1FB5" w:rsidRPr="007A38FB">
          <w:rPr>
            <w:rStyle w:val="Hyperlink"/>
            <w:rFonts w:ascii="Times New Roman" w:hAnsi="Times New Roman"/>
          </w:rPr>
          <w:t>4.2.1.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rækker</w:t>
        </w:r>
        <w:r w:rsidR="007D1FB5">
          <w:rPr>
            <w:webHidden/>
          </w:rPr>
          <w:tab/>
        </w:r>
        <w:r w:rsidR="007D1FB5">
          <w:rPr>
            <w:webHidden/>
          </w:rPr>
          <w:fldChar w:fldCharType="begin"/>
        </w:r>
        <w:r w:rsidR="007D1FB5">
          <w:rPr>
            <w:webHidden/>
          </w:rPr>
          <w:instrText xml:space="preserve"> PAGEREF _Toc188523000 \h </w:instrText>
        </w:r>
        <w:r w:rsidR="007D1FB5">
          <w:rPr>
            <w:webHidden/>
          </w:rPr>
        </w:r>
        <w:r w:rsidR="007D1FB5">
          <w:rPr>
            <w:webHidden/>
          </w:rPr>
          <w:fldChar w:fldCharType="separate"/>
        </w:r>
        <w:r w:rsidR="007D1FB5">
          <w:rPr>
            <w:webHidden/>
          </w:rPr>
          <w:t>26</w:t>
        </w:r>
        <w:r w:rsidR="007D1FB5">
          <w:rPr>
            <w:webHidden/>
          </w:rPr>
          <w:fldChar w:fldCharType="end"/>
        </w:r>
      </w:hyperlink>
    </w:p>
    <w:p w14:paraId="4A34AF75" w14:textId="445FDBFA"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01" w:history="1">
        <w:r w:rsidR="007D1FB5" w:rsidRPr="007A38FB">
          <w:rPr>
            <w:rStyle w:val="Hyperlink"/>
            <w:rFonts w:ascii="Times New Roman" w:hAnsi="Times New Roman"/>
          </w:rPr>
          <w:t>4.2.2.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kolonner</w:t>
        </w:r>
        <w:r w:rsidR="007D1FB5">
          <w:rPr>
            <w:webHidden/>
          </w:rPr>
          <w:tab/>
        </w:r>
        <w:r w:rsidR="007D1FB5">
          <w:rPr>
            <w:webHidden/>
          </w:rPr>
          <w:fldChar w:fldCharType="begin"/>
        </w:r>
        <w:r w:rsidR="007D1FB5">
          <w:rPr>
            <w:webHidden/>
          </w:rPr>
          <w:instrText xml:space="preserve"> PAGEREF _Toc188523001 \h </w:instrText>
        </w:r>
        <w:r w:rsidR="007D1FB5">
          <w:rPr>
            <w:webHidden/>
          </w:rPr>
        </w:r>
        <w:r w:rsidR="007D1FB5">
          <w:rPr>
            <w:webHidden/>
          </w:rPr>
          <w:fldChar w:fldCharType="separate"/>
        </w:r>
        <w:r w:rsidR="007D1FB5">
          <w:rPr>
            <w:webHidden/>
          </w:rPr>
          <w:t>26</w:t>
        </w:r>
        <w:r w:rsidR="007D1FB5">
          <w:rPr>
            <w:webHidden/>
          </w:rPr>
          <w:fldChar w:fldCharType="end"/>
        </w:r>
      </w:hyperlink>
    </w:p>
    <w:p w14:paraId="623BE89A" w14:textId="5566D3EA"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02" w:history="1">
        <w:r w:rsidR="007D1FB5" w:rsidRPr="007A38FB">
          <w:rPr>
            <w:rStyle w:val="Hyperlink"/>
            <w:rFonts w:ascii="Times New Roman" w:hAnsi="Times New Roman"/>
          </w:rPr>
          <w:t>5.</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Del D: Dækkede obligationer</w:t>
        </w:r>
        <w:r w:rsidR="007D1FB5">
          <w:rPr>
            <w:webHidden/>
          </w:rPr>
          <w:tab/>
        </w:r>
        <w:r w:rsidR="007D1FB5">
          <w:rPr>
            <w:webHidden/>
          </w:rPr>
          <w:fldChar w:fldCharType="begin"/>
        </w:r>
        <w:r w:rsidR="007D1FB5">
          <w:rPr>
            <w:webHidden/>
          </w:rPr>
          <w:instrText xml:space="preserve"> PAGEREF _Toc188523002 \h </w:instrText>
        </w:r>
        <w:r w:rsidR="007D1FB5">
          <w:rPr>
            <w:webHidden/>
          </w:rPr>
        </w:r>
        <w:r w:rsidR="007D1FB5">
          <w:rPr>
            <w:webHidden/>
          </w:rPr>
          <w:fldChar w:fldCharType="separate"/>
        </w:r>
        <w:r w:rsidR="007D1FB5">
          <w:rPr>
            <w:webHidden/>
          </w:rPr>
          <w:t>27</w:t>
        </w:r>
        <w:r w:rsidR="007D1FB5">
          <w:rPr>
            <w:webHidden/>
          </w:rPr>
          <w:fldChar w:fldCharType="end"/>
        </w:r>
      </w:hyperlink>
    </w:p>
    <w:p w14:paraId="2F5758A1" w14:textId="0F6EDFF1"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03" w:history="1">
        <w:r w:rsidR="007D1FB5" w:rsidRPr="007A38FB">
          <w:rPr>
            <w:rStyle w:val="Hyperlink"/>
            <w:rFonts w:ascii="Times New Roman" w:hAnsi="Times New Roman"/>
          </w:rPr>
          <w:t>5.1.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Generelle bemærkninger</w:t>
        </w:r>
        <w:r w:rsidR="007D1FB5">
          <w:rPr>
            <w:webHidden/>
          </w:rPr>
          <w:tab/>
        </w:r>
        <w:r w:rsidR="007D1FB5">
          <w:rPr>
            <w:webHidden/>
          </w:rPr>
          <w:fldChar w:fldCharType="begin"/>
        </w:r>
        <w:r w:rsidR="007D1FB5">
          <w:rPr>
            <w:webHidden/>
          </w:rPr>
          <w:instrText xml:space="preserve"> PAGEREF _Toc188523003 \h </w:instrText>
        </w:r>
        <w:r w:rsidR="007D1FB5">
          <w:rPr>
            <w:webHidden/>
          </w:rPr>
        </w:r>
        <w:r w:rsidR="007D1FB5">
          <w:rPr>
            <w:webHidden/>
          </w:rPr>
          <w:fldChar w:fldCharType="separate"/>
        </w:r>
        <w:r w:rsidR="007D1FB5">
          <w:rPr>
            <w:webHidden/>
          </w:rPr>
          <w:t>27</w:t>
        </w:r>
        <w:r w:rsidR="007D1FB5">
          <w:rPr>
            <w:webHidden/>
          </w:rPr>
          <w:fldChar w:fldCharType="end"/>
        </w:r>
      </w:hyperlink>
    </w:p>
    <w:p w14:paraId="44EFD58E" w14:textId="4DE7FDD4"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04" w:history="1">
        <w:r w:rsidR="007D1FB5" w:rsidRPr="007A38FB">
          <w:rPr>
            <w:rStyle w:val="Hyperlink"/>
            <w:rFonts w:ascii="Times New Roman" w:hAnsi="Times New Roman"/>
          </w:rPr>
          <w:t>5.2.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Skema: AE-CB. Udstedelse af dækkede obligationer</w:t>
        </w:r>
        <w:r w:rsidR="007D1FB5">
          <w:rPr>
            <w:webHidden/>
          </w:rPr>
          <w:tab/>
        </w:r>
        <w:r w:rsidR="007D1FB5">
          <w:rPr>
            <w:webHidden/>
          </w:rPr>
          <w:fldChar w:fldCharType="begin"/>
        </w:r>
        <w:r w:rsidR="007D1FB5">
          <w:rPr>
            <w:webHidden/>
          </w:rPr>
          <w:instrText xml:space="preserve"> PAGEREF _Toc188523004 \h </w:instrText>
        </w:r>
        <w:r w:rsidR="007D1FB5">
          <w:rPr>
            <w:webHidden/>
          </w:rPr>
        </w:r>
        <w:r w:rsidR="007D1FB5">
          <w:rPr>
            <w:webHidden/>
          </w:rPr>
          <w:fldChar w:fldCharType="separate"/>
        </w:r>
        <w:r w:rsidR="007D1FB5">
          <w:rPr>
            <w:webHidden/>
          </w:rPr>
          <w:t>27</w:t>
        </w:r>
        <w:r w:rsidR="007D1FB5">
          <w:rPr>
            <w:webHidden/>
          </w:rPr>
          <w:fldChar w:fldCharType="end"/>
        </w:r>
      </w:hyperlink>
    </w:p>
    <w:p w14:paraId="3FE083D9" w14:textId="29E839CE"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05" w:history="1">
        <w:r w:rsidR="007D1FB5" w:rsidRPr="007A38FB">
          <w:rPr>
            <w:rStyle w:val="Hyperlink"/>
            <w:rFonts w:ascii="Times New Roman" w:hAnsi="Times New Roman"/>
          </w:rPr>
          <w:t>5.2.1.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z-aksen.</w:t>
        </w:r>
        <w:r w:rsidR="007D1FB5">
          <w:rPr>
            <w:webHidden/>
          </w:rPr>
          <w:tab/>
        </w:r>
        <w:r w:rsidR="007D1FB5">
          <w:rPr>
            <w:webHidden/>
          </w:rPr>
          <w:fldChar w:fldCharType="begin"/>
        </w:r>
        <w:r w:rsidR="007D1FB5">
          <w:rPr>
            <w:webHidden/>
          </w:rPr>
          <w:instrText xml:space="preserve"> PAGEREF _Toc188523005 \h </w:instrText>
        </w:r>
        <w:r w:rsidR="007D1FB5">
          <w:rPr>
            <w:webHidden/>
          </w:rPr>
        </w:r>
        <w:r w:rsidR="007D1FB5">
          <w:rPr>
            <w:webHidden/>
          </w:rPr>
          <w:fldChar w:fldCharType="separate"/>
        </w:r>
        <w:r w:rsidR="007D1FB5">
          <w:rPr>
            <w:webHidden/>
          </w:rPr>
          <w:t>27</w:t>
        </w:r>
        <w:r w:rsidR="007D1FB5">
          <w:rPr>
            <w:webHidden/>
          </w:rPr>
          <w:fldChar w:fldCharType="end"/>
        </w:r>
      </w:hyperlink>
    </w:p>
    <w:p w14:paraId="232EFED0" w14:textId="72179033"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06" w:history="1">
        <w:r w:rsidR="007D1FB5" w:rsidRPr="007A38FB">
          <w:rPr>
            <w:rStyle w:val="Hyperlink"/>
            <w:rFonts w:ascii="Times New Roman" w:hAnsi="Times New Roman"/>
          </w:rPr>
          <w:t>5.2.2.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rækker</w:t>
        </w:r>
        <w:r w:rsidR="007D1FB5">
          <w:rPr>
            <w:webHidden/>
          </w:rPr>
          <w:tab/>
        </w:r>
        <w:r w:rsidR="007D1FB5">
          <w:rPr>
            <w:webHidden/>
          </w:rPr>
          <w:fldChar w:fldCharType="begin"/>
        </w:r>
        <w:r w:rsidR="007D1FB5">
          <w:rPr>
            <w:webHidden/>
          </w:rPr>
          <w:instrText xml:space="preserve"> PAGEREF _Toc188523006 \h </w:instrText>
        </w:r>
        <w:r w:rsidR="007D1FB5">
          <w:rPr>
            <w:webHidden/>
          </w:rPr>
        </w:r>
        <w:r w:rsidR="007D1FB5">
          <w:rPr>
            <w:webHidden/>
          </w:rPr>
          <w:fldChar w:fldCharType="separate"/>
        </w:r>
        <w:r w:rsidR="007D1FB5">
          <w:rPr>
            <w:webHidden/>
          </w:rPr>
          <w:t>28</w:t>
        </w:r>
        <w:r w:rsidR="007D1FB5">
          <w:rPr>
            <w:webHidden/>
          </w:rPr>
          <w:fldChar w:fldCharType="end"/>
        </w:r>
      </w:hyperlink>
    </w:p>
    <w:p w14:paraId="5CF24961" w14:textId="41E6511A"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07" w:history="1">
        <w:r w:rsidR="007D1FB5" w:rsidRPr="007A38FB">
          <w:rPr>
            <w:rStyle w:val="Hyperlink"/>
            <w:rFonts w:ascii="Times New Roman" w:hAnsi="Times New Roman"/>
          </w:rPr>
          <w:t>5.2.3.</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kolonner</w:t>
        </w:r>
        <w:r w:rsidR="007D1FB5">
          <w:rPr>
            <w:webHidden/>
          </w:rPr>
          <w:tab/>
        </w:r>
        <w:r w:rsidR="007D1FB5">
          <w:rPr>
            <w:webHidden/>
          </w:rPr>
          <w:fldChar w:fldCharType="begin"/>
        </w:r>
        <w:r w:rsidR="007D1FB5">
          <w:rPr>
            <w:webHidden/>
          </w:rPr>
          <w:instrText xml:space="preserve"> PAGEREF _Toc188523007 \h </w:instrText>
        </w:r>
        <w:r w:rsidR="007D1FB5">
          <w:rPr>
            <w:webHidden/>
          </w:rPr>
        </w:r>
        <w:r w:rsidR="007D1FB5">
          <w:rPr>
            <w:webHidden/>
          </w:rPr>
          <w:fldChar w:fldCharType="separate"/>
        </w:r>
        <w:r w:rsidR="007D1FB5">
          <w:rPr>
            <w:webHidden/>
          </w:rPr>
          <w:t>28</w:t>
        </w:r>
        <w:r w:rsidR="007D1FB5">
          <w:rPr>
            <w:webHidden/>
          </w:rPr>
          <w:fldChar w:fldCharType="end"/>
        </w:r>
      </w:hyperlink>
    </w:p>
    <w:p w14:paraId="55F5E395" w14:textId="4E72C2D1"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08" w:history="1">
        <w:r w:rsidR="007D1FB5" w:rsidRPr="007A38FB">
          <w:rPr>
            <w:rStyle w:val="Hyperlink"/>
            <w:rFonts w:ascii="Times New Roman" w:hAnsi="Times New Roman"/>
          </w:rPr>
          <w:t>6.</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Del E: Avancerede data</w:t>
        </w:r>
        <w:r w:rsidR="007D1FB5">
          <w:rPr>
            <w:webHidden/>
          </w:rPr>
          <w:tab/>
        </w:r>
        <w:r w:rsidR="007D1FB5">
          <w:rPr>
            <w:webHidden/>
          </w:rPr>
          <w:fldChar w:fldCharType="begin"/>
        </w:r>
        <w:r w:rsidR="007D1FB5">
          <w:rPr>
            <w:webHidden/>
          </w:rPr>
          <w:instrText xml:space="preserve"> PAGEREF _Toc188523008 \h </w:instrText>
        </w:r>
        <w:r w:rsidR="007D1FB5">
          <w:rPr>
            <w:webHidden/>
          </w:rPr>
        </w:r>
        <w:r w:rsidR="007D1FB5">
          <w:rPr>
            <w:webHidden/>
          </w:rPr>
          <w:fldChar w:fldCharType="separate"/>
        </w:r>
        <w:r w:rsidR="007D1FB5">
          <w:rPr>
            <w:webHidden/>
          </w:rPr>
          <w:t>31</w:t>
        </w:r>
        <w:r w:rsidR="007D1FB5">
          <w:rPr>
            <w:webHidden/>
          </w:rPr>
          <w:fldChar w:fldCharType="end"/>
        </w:r>
      </w:hyperlink>
    </w:p>
    <w:p w14:paraId="5528A0B2" w14:textId="3B3D04D8"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09" w:history="1">
        <w:r w:rsidR="007D1FB5" w:rsidRPr="007A38FB">
          <w:rPr>
            <w:rStyle w:val="Hyperlink"/>
            <w:rFonts w:ascii="Times New Roman" w:hAnsi="Times New Roman"/>
          </w:rPr>
          <w:t>6.1.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Generelle bemærkninger</w:t>
        </w:r>
        <w:r w:rsidR="007D1FB5">
          <w:rPr>
            <w:webHidden/>
          </w:rPr>
          <w:tab/>
        </w:r>
        <w:r w:rsidR="007D1FB5">
          <w:rPr>
            <w:webHidden/>
          </w:rPr>
          <w:fldChar w:fldCharType="begin"/>
        </w:r>
        <w:r w:rsidR="007D1FB5">
          <w:rPr>
            <w:webHidden/>
          </w:rPr>
          <w:instrText xml:space="preserve"> PAGEREF _Toc188523009 \h </w:instrText>
        </w:r>
        <w:r w:rsidR="007D1FB5">
          <w:rPr>
            <w:webHidden/>
          </w:rPr>
        </w:r>
        <w:r w:rsidR="007D1FB5">
          <w:rPr>
            <w:webHidden/>
          </w:rPr>
          <w:fldChar w:fldCharType="separate"/>
        </w:r>
        <w:r w:rsidR="007D1FB5">
          <w:rPr>
            <w:webHidden/>
          </w:rPr>
          <w:t>31</w:t>
        </w:r>
        <w:r w:rsidR="007D1FB5">
          <w:rPr>
            <w:webHidden/>
          </w:rPr>
          <w:fldChar w:fldCharType="end"/>
        </w:r>
      </w:hyperlink>
    </w:p>
    <w:p w14:paraId="12A9B724" w14:textId="636B1E3F"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10" w:history="1">
        <w:r w:rsidR="007D1FB5" w:rsidRPr="007A38FB">
          <w:rPr>
            <w:rStyle w:val="Hyperlink"/>
            <w:rFonts w:ascii="Times New Roman" w:hAnsi="Times New Roman"/>
          </w:rPr>
          <w:t>6.2.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Skema: AE-ADV1. Avanceret skema for det indberettende instituts aktiver</w:t>
        </w:r>
        <w:r w:rsidR="007D1FB5">
          <w:rPr>
            <w:webHidden/>
          </w:rPr>
          <w:tab/>
        </w:r>
        <w:r w:rsidR="007D1FB5">
          <w:rPr>
            <w:webHidden/>
          </w:rPr>
          <w:fldChar w:fldCharType="begin"/>
        </w:r>
        <w:r w:rsidR="007D1FB5">
          <w:rPr>
            <w:webHidden/>
          </w:rPr>
          <w:instrText xml:space="preserve"> PAGEREF _Toc188523010 \h </w:instrText>
        </w:r>
        <w:r w:rsidR="007D1FB5">
          <w:rPr>
            <w:webHidden/>
          </w:rPr>
        </w:r>
        <w:r w:rsidR="007D1FB5">
          <w:rPr>
            <w:webHidden/>
          </w:rPr>
          <w:fldChar w:fldCharType="separate"/>
        </w:r>
        <w:r w:rsidR="007D1FB5">
          <w:rPr>
            <w:webHidden/>
          </w:rPr>
          <w:t>32</w:t>
        </w:r>
        <w:r w:rsidR="007D1FB5">
          <w:rPr>
            <w:webHidden/>
          </w:rPr>
          <w:fldChar w:fldCharType="end"/>
        </w:r>
      </w:hyperlink>
    </w:p>
    <w:p w14:paraId="13E397D4" w14:textId="4C70C997"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11" w:history="1">
        <w:r w:rsidR="007D1FB5" w:rsidRPr="007A38FB">
          <w:rPr>
            <w:rStyle w:val="Hyperlink"/>
            <w:rFonts w:ascii="Times New Roman" w:hAnsi="Times New Roman"/>
          </w:rPr>
          <w:t>6.2.1.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rækker</w:t>
        </w:r>
        <w:r w:rsidR="007D1FB5">
          <w:rPr>
            <w:webHidden/>
          </w:rPr>
          <w:tab/>
        </w:r>
        <w:r w:rsidR="007D1FB5">
          <w:rPr>
            <w:webHidden/>
          </w:rPr>
          <w:fldChar w:fldCharType="begin"/>
        </w:r>
        <w:r w:rsidR="007D1FB5">
          <w:rPr>
            <w:webHidden/>
          </w:rPr>
          <w:instrText xml:space="preserve"> PAGEREF _Toc188523011 \h </w:instrText>
        </w:r>
        <w:r w:rsidR="007D1FB5">
          <w:rPr>
            <w:webHidden/>
          </w:rPr>
        </w:r>
        <w:r w:rsidR="007D1FB5">
          <w:rPr>
            <w:webHidden/>
          </w:rPr>
          <w:fldChar w:fldCharType="separate"/>
        </w:r>
        <w:r w:rsidR="007D1FB5">
          <w:rPr>
            <w:webHidden/>
          </w:rPr>
          <w:t>32</w:t>
        </w:r>
        <w:r w:rsidR="007D1FB5">
          <w:rPr>
            <w:webHidden/>
          </w:rPr>
          <w:fldChar w:fldCharType="end"/>
        </w:r>
      </w:hyperlink>
    </w:p>
    <w:p w14:paraId="1D4458E3" w14:textId="4E069FF5"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12" w:history="1">
        <w:r w:rsidR="007D1FB5" w:rsidRPr="007A38FB">
          <w:rPr>
            <w:rStyle w:val="Hyperlink"/>
            <w:rFonts w:ascii="Times New Roman" w:hAnsi="Times New Roman"/>
          </w:rPr>
          <w:t>6.2.2.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kolonner</w:t>
        </w:r>
        <w:r w:rsidR="007D1FB5">
          <w:rPr>
            <w:webHidden/>
          </w:rPr>
          <w:tab/>
        </w:r>
        <w:r w:rsidR="007D1FB5">
          <w:rPr>
            <w:webHidden/>
          </w:rPr>
          <w:fldChar w:fldCharType="begin"/>
        </w:r>
        <w:r w:rsidR="007D1FB5">
          <w:rPr>
            <w:webHidden/>
          </w:rPr>
          <w:instrText xml:space="preserve"> PAGEREF _Toc188523012 \h </w:instrText>
        </w:r>
        <w:r w:rsidR="007D1FB5">
          <w:rPr>
            <w:webHidden/>
          </w:rPr>
        </w:r>
        <w:r w:rsidR="007D1FB5">
          <w:rPr>
            <w:webHidden/>
          </w:rPr>
          <w:fldChar w:fldCharType="separate"/>
        </w:r>
        <w:r w:rsidR="007D1FB5">
          <w:rPr>
            <w:webHidden/>
          </w:rPr>
          <w:t>34</w:t>
        </w:r>
        <w:r w:rsidR="007D1FB5">
          <w:rPr>
            <w:webHidden/>
          </w:rPr>
          <w:fldChar w:fldCharType="end"/>
        </w:r>
      </w:hyperlink>
    </w:p>
    <w:p w14:paraId="6212D122" w14:textId="32EDCDDF"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13" w:history="1">
        <w:r w:rsidR="007D1FB5" w:rsidRPr="007A38FB">
          <w:rPr>
            <w:rStyle w:val="Hyperlink"/>
            <w:rFonts w:ascii="Times New Roman" w:hAnsi="Times New Roman"/>
          </w:rPr>
          <w:t>6.3.</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Skema: AE-ADV2. Avanceret skema for sikkerheder modtaget af det indberettende institut.</w:t>
        </w:r>
        <w:r w:rsidR="007D1FB5">
          <w:rPr>
            <w:webHidden/>
          </w:rPr>
          <w:tab/>
        </w:r>
        <w:r w:rsidR="007D1FB5">
          <w:rPr>
            <w:webHidden/>
          </w:rPr>
          <w:fldChar w:fldCharType="begin"/>
        </w:r>
        <w:r w:rsidR="007D1FB5">
          <w:rPr>
            <w:webHidden/>
          </w:rPr>
          <w:instrText xml:space="preserve"> PAGEREF _Toc188523013 \h </w:instrText>
        </w:r>
        <w:r w:rsidR="007D1FB5">
          <w:rPr>
            <w:webHidden/>
          </w:rPr>
        </w:r>
        <w:r w:rsidR="007D1FB5">
          <w:rPr>
            <w:webHidden/>
          </w:rPr>
          <w:fldChar w:fldCharType="separate"/>
        </w:r>
        <w:r w:rsidR="007D1FB5">
          <w:rPr>
            <w:webHidden/>
          </w:rPr>
          <w:t>35</w:t>
        </w:r>
        <w:r w:rsidR="007D1FB5">
          <w:rPr>
            <w:webHidden/>
          </w:rPr>
          <w:fldChar w:fldCharType="end"/>
        </w:r>
      </w:hyperlink>
    </w:p>
    <w:p w14:paraId="06EDE8EF" w14:textId="6A580001"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14" w:history="1">
        <w:r w:rsidR="007D1FB5" w:rsidRPr="007A38FB">
          <w:rPr>
            <w:rStyle w:val="Hyperlink"/>
            <w:rFonts w:ascii="Times New Roman" w:hAnsi="Times New Roman"/>
          </w:rPr>
          <w:t>6.3.1.</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rækker</w:t>
        </w:r>
        <w:r w:rsidR="007D1FB5">
          <w:rPr>
            <w:webHidden/>
          </w:rPr>
          <w:tab/>
        </w:r>
        <w:r w:rsidR="007D1FB5">
          <w:rPr>
            <w:webHidden/>
          </w:rPr>
          <w:fldChar w:fldCharType="begin"/>
        </w:r>
        <w:r w:rsidR="007D1FB5">
          <w:rPr>
            <w:webHidden/>
          </w:rPr>
          <w:instrText xml:space="preserve"> PAGEREF _Toc188523014 \h </w:instrText>
        </w:r>
        <w:r w:rsidR="007D1FB5">
          <w:rPr>
            <w:webHidden/>
          </w:rPr>
        </w:r>
        <w:r w:rsidR="007D1FB5">
          <w:rPr>
            <w:webHidden/>
          </w:rPr>
          <w:fldChar w:fldCharType="separate"/>
        </w:r>
        <w:r w:rsidR="007D1FB5">
          <w:rPr>
            <w:webHidden/>
          </w:rPr>
          <w:t>35</w:t>
        </w:r>
        <w:r w:rsidR="007D1FB5">
          <w:rPr>
            <w:webHidden/>
          </w:rPr>
          <w:fldChar w:fldCharType="end"/>
        </w:r>
      </w:hyperlink>
    </w:p>
    <w:p w14:paraId="700DDBA8" w14:textId="33BA1998" w:rsidR="007D1FB5" w:rsidRDefault="00AA7294">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3015" w:history="1">
        <w:r w:rsidR="007D1FB5" w:rsidRPr="007A38FB">
          <w:rPr>
            <w:rStyle w:val="Hyperlink"/>
            <w:rFonts w:ascii="Times New Roman" w:hAnsi="Times New Roman"/>
          </w:rPr>
          <w:t>6.3.2.</w:t>
        </w:r>
        <w:r w:rsidR="007D1FB5">
          <w:rPr>
            <w:rFonts w:asciiTheme="minorHAnsi" w:eastAsiaTheme="minorEastAsia" w:hAnsiTheme="minorHAnsi" w:cstheme="minorBidi"/>
            <w:b w:val="0"/>
            <w:smallCaps w:val="0"/>
            <w:kern w:val="2"/>
            <w:sz w:val="24"/>
            <w:szCs w:val="24"/>
            <w:lang w:val="en-IE" w:eastAsia="en-IE"/>
            <w14:ligatures w14:val="standardContextual"/>
          </w:rPr>
          <w:tab/>
        </w:r>
        <w:r w:rsidR="007D1FB5" w:rsidRPr="007A38FB">
          <w:rPr>
            <w:rStyle w:val="Hyperlink"/>
            <w:rFonts w:ascii="Times New Roman" w:hAnsi="Times New Roman"/>
          </w:rPr>
          <w:t>Instrukser vedrørende specifikke kolonner</w:t>
        </w:r>
        <w:r w:rsidR="007D1FB5">
          <w:rPr>
            <w:webHidden/>
          </w:rPr>
          <w:tab/>
        </w:r>
        <w:r w:rsidR="007D1FB5">
          <w:rPr>
            <w:webHidden/>
          </w:rPr>
          <w:fldChar w:fldCharType="begin"/>
        </w:r>
        <w:r w:rsidR="007D1FB5">
          <w:rPr>
            <w:webHidden/>
          </w:rPr>
          <w:instrText xml:space="preserve"> PAGEREF _Toc188523015 \h </w:instrText>
        </w:r>
        <w:r w:rsidR="007D1FB5">
          <w:rPr>
            <w:webHidden/>
          </w:rPr>
        </w:r>
        <w:r w:rsidR="007D1FB5">
          <w:rPr>
            <w:webHidden/>
          </w:rPr>
          <w:fldChar w:fldCharType="separate"/>
        </w:r>
        <w:r w:rsidR="007D1FB5">
          <w:rPr>
            <w:webHidden/>
          </w:rPr>
          <w:t>35</w:t>
        </w:r>
        <w:r w:rsidR="007D1FB5">
          <w:rPr>
            <w:webHidden/>
          </w:rPr>
          <w:fldChar w:fldCharType="end"/>
        </w:r>
      </w:hyperlink>
    </w:p>
    <w:p w14:paraId="36A94005" w14:textId="5EB0BD22"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88522963"/>
      <w:r>
        <w:rPr>
          <w:rFonts w:ascii="Times New Roman" w:hAnsi="Times New Roman"/>
        </w:rPr>
        <w:lastRenderedPageBreak/>
        <w:t>GENERELLE INSTRUKSER</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88522964"/>
      <w:r>
        <w:rPr>
          <w:rFonts w:ascii="Times New Roman" w:hAnsi="Times New Roman"/>
        </w:rPr>
        <w:t>1. OPBYGNING OG KONVENTIONER</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8522965"/>
      <w:bookmarkStart w:id="7" w:name="_Toc264038399"/>
      <w:bookmarkStart w:id="8" w:name="_Toc294018834"/>
      <w:r>
        <w:rPr>
          <w:rFonts w:ascii="Times New Roman" w:hAnsi="Times New Roman"/>
          <w:sz w:val="24"/>
          <w:u w:val="none"/>
        </w:rPr>
        <w:t>Opbygning</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Rammerne består af fem sæt skemaer, som omfatter i alt ni skemaer, jf. følgende oversigt:</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Del A: Oversigt over behæftelse:</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AE-ASS-skemaet. Det indberettende instituts aktiver</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AE-COL-skemaet. Sikkerhedsstillelse modtaget af det indberettende institut</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AE-NPL-skemaet. Egne dækkede obligationer og securitiseringer, som er udstedt og endnu ikke stillet som pant</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AE-SOU-skemaet. Behæftelseskilder.</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B: Løbetidsdata:</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AE-MAT-skemaet. Løbetidsdata</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C: Betinget behæftelse:</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AE-CONT-skemaet. Betinget behæftelse.</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D: Dækkede obligationer:</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AE-CB-skemaet. Udstedelse af dækkede obligationer</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Del E: Avancerede data:</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AE-ADV-1-skemaet. Avanceret skema for det indberettende instituts aktiver</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AE-ADV-2-skemaet. Avanceret skema for sikkerheder modtaget af det indberettende institut.</w:t>
      </w:r>
    </w:p>
    <w:p w14:paraId="719FD80A" w14:textId="77777777" w:rsidR="00941FAE" w:rsidRPr="00857276" w:rsidRDefault="00941FAE" w:rsidP="00941FAE">
      <w:pPr>
        <w:pStyle w:val="InstructionsText2"/>
        <w:shd w:val="clear" w:color="auto" w:fill="FFFFFF"/>
        <w:spacing w:after="120"/>
        <w:rPr>
          <w:sz w:val="24"/>
        </w:rPr>
      </w:pPr>
      <w:r>
        <w:rPr>
          <w:sz w:val="24"/>
        </w:rPr>
        <w:t>For hvert skema er der anført henvisninger til retsakter samt mere detaljerede oplysninger om indberetningens mere generelle aspekter.</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88522966"/>
      <w:r>
        <w:rPr>
          <w:rFonts w:ascii="Times New Roman" w:hAnsi="Times New Roman"/>
          <w:sz w:val="24"/>
          <w:u w:val="none"/>
        </w:rPr>
        <w:t>Regnskabsstandard</w:t>
      </w:r>
      <w:bookmarkEnd w:id="9"/>
    </w:p>
    <w:p w14:paraId="7726DFC7" w14:textId="767DC9EB" w:rsidR="00941FAE" w:rsidRPr="00857276" w:rsidRDefault="00941FAE" w:rsidP="00941FAE">
      <w:pPr>
        <w:pStyle w:val="InstructionsText2"/>
        <w:shd w:val="clear" w:color="auto" w:fill="FFFFFF"/>
        <w:spacing w:after="120"/>
        <w:rPr>
          <w:sz w:val="24"/>
        </w:rPr>
      </w:pPr>
      <w:r>
        <w:rPr>
          <w:sz w:val="24"/>
        </w:rPr>
        <w:t>Institutter skal indberette regnskabsmæssige værdier inden for rammerne af de regnskabssystemer, de anvender til indberetning af finansielle oplysninger i overensstemmelse med artikel 11 og 12. Institutter, som ikke skal indberette finansielle oplysninger, skal anvende deres respektive regnskabssystemer. I AE-SOU skal institutterne generelt indberette regnskabsmæssige værdier uden regnskabsmæssig netting, hvis relevant, i overensstemmelse med indberetning på bruttobasis af behæftelse af aktiver og sikkerhedsstillelse.</w:t>
      </w:r>
    </w:p>
    <w:p w14:paraId="2963DEDD" w14:textId="77777777" w:rsidR="00941FAE" w:rsidRPr="00857276" w:rsidRDefault="00941FAE" w:rsidP="00941FAE">
      <w:pPr>
        <w:pStyle w:val="InstructionsText2"/>
        <w:shd w:val="clear" w:color="auto" w:fill="FFFFFF"/>
        <w:spacing w:after="120"/>
        <w:rPr>
          <w:sz w:val="24"/>
        </w:rPr>
      </w:pPr>
      <w:r>
        <w:rPr>
          <w:sz w:val="24"/>
        </w:rPr>
        <w:t xml:space="preserve">I dette bilag henviser "IAS" og "IFRS" til de internationale regnskabsstandarder som defineret i artikel 2 i forordning (EF) nr. 1606/2002. For institutter, som indberetter i henhold til IFRS-standarder, er der blevet indsat henvisninger til de relevante IFRS-standarder.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8522967"/>
      <w:bookmarkStart w:id="11" w:name="_Toc322687867"/>
      <w:r>
        <w:rPr>
          <w:rFonts w:ascii="Times New Roman" w:hAnsi="Times New Roman"/>
          <w:sz w:val="24"/>
          <w:u w:val="none"/>
        </w:rPr>
        <w:t>Nummereringskonvention</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Følgende generelle notation anvendes i disse instrukser, når der henvises til et skemas kolonner, rækker og celler: {Skema;Række;Kolonne}. En asterisk anvendes til at angive, at valideringen gælder hele rækken eller kolonnen. F.eks. henviser {AE-ASS; *; 2} til datapunktet for samtlige rækker i kolonne 2 i AE-ASS-skemaet.</w:t>
      </w:r>
    </w:p>
    <w:p w14:paraId="2BDBC894" w14:textId="77777777" w:rsidR="00941FAE" w:rsidRPr="00857276" w:rsidRDefault="00941FAE" w:rsidP="00941FAE">
      <w:pPr>
        <w:pStyle w:val="InstructionsText2"/>
        <w:shd w:val="clear" w:color="auto" w:fill="FFFFFF"/>
        <w:spacing w:after="120"/>
        <w:rPr>
          <w:sz w:val="24"/>
        </w:rPr>
      </w:pPr>
      <w:r>
        <w:rPr>
          <w:sz w:val="24"/>
        </w:rPr>
        <w:t>I tilfælde af valideringer inden for et skema anvendes følgende notation til at henvise til datapunkterne i det pågældende skema: {Række;Kolonne}.</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522968"/>
      <w:r>
        <w:rPr>
          <w:rFonts w:ascii="Times New Roman" w:hAnsi="Times New Roman"/>
          <w:sz w:val="24"/>
          <w:u w:val="none"/>
        </w:rPr>
        <w:lastRenderedPageBreak/>
        <w:t>Tegnkonvention</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Skemaerne i bilag XVI skal følge den tegnkonvention, der er beskrevet i bilag V, del 1, punkt 9 og 10.</w:t>
      </w:r>
      <w:bookmarkStart w:id="14" w:name="_Toc264033192"/>
      <w:bookmarkEnd w:id="14"/>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522969"/>
      <w:r>
        <w:rPr>
          <w:rFonts w:ascii="Times New Roman" w:hAnsi="Times New Roman"/>
          <w:sz w:val="24"/>
          <w:u w:val="none"/>
        </w:rPr>
        <w:t>Anvendelsesomfang</w:t>
      </w:r>
      <w:bookmarkEnd w:id="15"/>
    </w:p>
    <w:p w14:paraId="586BFFF3" w14:textId="7D4CAF5C" w:rsidR="00941FAE" w:rsidRPr="00857276" w:rsidRDefault="00941FAE" w:rsidP="00941FAE">
      <w:pPr>
        <w:pStyle w:val="InstructionsText2"/>
        <w:spacing w:after="120"/>
        <w:rPr>
          <w:sz w:val="24"/>
        </w:rPr>
      </w:pPr>
      <w:r>
        <w:rPr>
          <w:sz w:val="24"/>
        </w:rPr>
        <w:t>Anvendelsesomfanget for indberetning af aktivbehæftelser følger anvendelsesomfanget for indberetningskravene for kapitalgrundlaget i artikel 430, stk. 1, første afsnit, litra a), i forordning (EU) nr. 575/2013. Følgelig skal institutter, som ikke er omfattet af tilsynsmæssige krav i overensstemmelse med artikel 7 i nævnte forordning, ikke indberette oplysninger om aktivbehæftelser.</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522970"/>
      <w:r>
        <w:rPr>
          <w:rFonts w:ascii="Times New Roman" w:hAnsi="Times New Roman"/>
          <w:sz w:val="24"/>
          <w:u w:val="none"/>
        </w:rPr>
        <w:t>Proportionalitet</w:t>
      </w:r>
      <w:bookmarkEnd w:id="16"/>
    </w:p>
    <w:p w14:paraId="35D2536C" w14:textId="704A548E" w:rsidR="00941FAE" w:rsidRPr="00857276" w:rsidRDefault="00941FAE" w:rsidP="00941FAE">
      <w:pPr>
        <w:pStyle w:val="InstructionsText2"/>
        <w:spacing w:after="120"/>
        <w:rPr>
          <w:sz w:val="24"/>
        </w:rPr>
      </w:pPr>
      <w:r>
        <w:rPr>
          <w:sz w:val="24"/>
        </w:rPr>
        <w:t>Med henblik på artikel 19, stk. 3, litra c), i nærværende forordning beregnes niveauet for aktivbehæftelser som følger:</w:t>
      </w:r>
    </w:p>
    <w:p w14:paraId="60D7388A" w14:textId="5772CB48" w:rsidR="00941FAE" w:rsidRPr="00857276" w:rsidRDefault="00941FAE" w:rsidP="00DE426C">
      <w:pPr>
        <w:pStyle w:val="InstructionsText2"/>
        <w:numPr>
          <w:ilvl w:val="1"/>
          <w:numId w:val="2"/>
        </w:numPr>
        <w:spacing w:after="120"/>
        <w:rPr>
          <w:sz w:val="24"/>
        </w:rPr>
      </w:pPr>
      <w:r>
        <w:rPr>
          <w:sz w:val="24"/>
        </w:rPr>
        <w:t>Regnskabsmæssig værdi af behæftede aktiver og stillede sikkerheder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Aktiver og stillede sikkerheder i alt = {AE-ASS;0010;0010} + {AE-ASS;0010;0060}–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Ratio for aktivbehæftelse = (Regnskabsmæssig værdi af behæftede aktiver og stillede sikkerheder)/(Aktiver og stillede sikkerheder i alt).</w:t>
      </w:r>
    </w:p>
    <w:p w14:paraId="053943E9" w14:textId="3771CB49" w:rsidR="00941FAE" w:rsidRPr="00857276" w:rsidRDefault="00E374DF" w:rsidP="00080DB3">
      <w:pPr>
        <w:pStyle w:val="InstructionsText2"/>
        <w:spacing w:after="120"/>
        <w:rPr>
          <w:sz w:val="24"/>
        </w:rPr>
      </w:pPr>
      <w:r>
        <w:rPr>
          <w:sz w:val="24"/>
        </w:rPr>
        <w:t>[udgået]</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522971"/>
      <w:r>
        <w:rPr>
          <w:rFonts w:ascii="Times New Roman" w:hAnsi="Times New Roman"/>
          <w:sz w:val="24"/>
          <w:u w:val="none"/>
        </w:rPr>
        <w:t>Definition af behæftelse</w:t>
      </w:r>
      <w:bookmarkEnd w:id="17"/>
    </w:p>
    <w:p w14:paraId="69EDFB8D" w14:textId="42AF5CF5" w:rsidR="00941FAE" w:rsidRPr="00857276" w:rsidRDefault="00941FAE" w:rsidP="00941FAE">
      <w:pPr>
        <w:pStyle w:val="InstructionsText2"/>
        <w:spacing w:after="120"/>
        <w:rPr>
          <w:sz w:val="24"/>
        </w:rPr>
      </w:pPr>
      <w:r>
        <w:rPr>
          <w:sz w:val="24"/>
        </w:rPr>
        <w:t>I forbindelse med dette bilag og bilag XVI behandles et aktiv som behæftet, hvis det er stillet som pant eller er genstand for en ordning, hvormed en transaktion sikres, behæftes eller kreditstyrkes, og hvorfra det ikke frit kan trækkes ud.</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Det er vigtigt at bemærke, at aktiver, der er stillet som pant, og som er omfattet af begrænsninger med hensyn til tilbagetrækning, herunder f.eks. aktiver, som kun kan tilbagetrækkes eller erstattes med andre aktiver efter forudgående godkendelse, bør betragtes som behæftede. Definitionen er ikke baseret på en eksplicit juridisk definition som f.eks. afhændelse, men snarere på økonomiske principper, fordi de retlige rammer inden for dette område kan variere landene imellem. Der er dog en nøje sammenhæng mellem definitionen og kontraktmæssige betingelser. EBA anser følgende kontrakttyper for at være dækket af definitionen på hensigtsmæssig vis (der er tale om en ikke-udtømmende liste): </w:t>
      </w:r>
    </w:p>
    <w:p w14:paraId="2A8C82FE" w14:textId="77777777" w:rsidR="00941FAE" w:rsidRPr="00857276" w:rsidRDefault="00941FAE" w:rsidP="00941FAE">
      <w:pPr>
        <w:pStyle w:val="InstructionsText2"/>
        <w:numPr>
          <w:ilvl w:val="0"/>
          <w:numId w:val="21"/>
        </w:numPr>
        <w:spacing w:after="120"/>
        <w:rPr>
          <w:sz w:val="24"/>
        </w:rPr>
      </w:pPr>
      <w:r>
        <w:rPr>
          <w:sz w:val="24"/>
        </w:rPr>
        <w:t>finansielle transaktioner mod sikkerhed, herunder genkøbskontrakter og -aftaler, udlån af værdipapirer og andre former for sikret udlån</w:t>
      </w:r>
    </w:p>
    <w:p w14:paraId="6B8A23E3" w14:textId="77777777" w:rsidR="00941FAE" w:rsidRPr="00857276" w:rsidRDefault="00941FAE" w:rsidP="00941FAE">
      <w:pPr>
        <w:pStyle w:val="InstructionsText2"/>
        <w:numPr>
          <w:ilvl w:val="0"/>
          <w:numId w:val="21"/>
        </w:numPr>
        <w:spacing w:after="120"/>
        <w:rPr>
          <w:sz w:val="24"/>
        </w:rPr>
      </w:pPr>
      <w:r>
        <w:rPr>
          <w:sz w:val="24"/>
        </w:rPr>
        <w:t>forskellige sikkerhedsstillelsesaftaler, f.eks. sikkerhed stillet for markedsværdien i derivattransaktioner</w:t>
      </w:r>
    </w:p>
    <w:p w14:paraId="2D8F9E99" w14:textId="7DC7D050" w:rsidR="00941FAE" w:rsidRPr="00857276" w:rsidRDefault="00941FAE" w:rsidP="00941FAE">
      <w:pPr>
        <w:pStyle w:val="InstructionsText2"/>
        <w:numPr>
          <w:ilvl w:val="0"/>
          <w:numId w:val="21"/>
        </w:numPr>
        <w:spacing w:after="120"/>
        <w:rPr>
          <w:sz w:val="24"/>
        </w:rPr>
      </w:pPr>
      <w:r>
        <w:rPr>
          <w:sz w:val="24"/>
        </w:rPr>
        <w:t>finansielle garantier med sikkerhedsstillelse. Hvis der ikke er hindringer for tilbagetrækning af sikkerhederne, som f.eks. forudgående godkendelse, for den uudnyttede del af garantien, skal kun det uudnyttede beløb anvendes (fordeling på pro rata-basis)</w:t>
      </w:r>
    </w:p>
    <w:p w14:paraId="79C4130B" w14:textId="77777777" w:rsidR="00941FAE" w:rsidRPr="00857276" w:rsidRDefault="00941FAE" w:rsidP="00941FAE">
      <w:pPr>
        <w:pStyle w:val="InstructionsText2"/>
        <w:numPr>
          <w:ilvl w:val="0"/>
          <w:numId w:val="21"/>
        </w:numPr>
        <w:spacing w:after="120"/>
        <w:rPr>
          <w:sz w:val="24"/>
        </w:rPr>
      </w:pPr>
      <w:r>
        <w:rPr>
          <w:sz w:val="24"/>
        </w:rPr>
        <w:lastRenderedPageBreak/>
        <w:t>sikkerheder, der er anbragt i clearingsystemer, hos centrale modparter eller andre infrastrukturinstitutter som en betingelse for adgang til tjenester. Dette omfatter misligholdelsesfonde og initialmarginer,</w:t>
      </w:r>
    </w:p>
    <w:p w14:paraId="721B876D" w14:textId="77777777" w:rsidR="00941FAE" w:rsidRPr="00857276" w:rsidRDefault="00941FAE" w:rsidP="00941FAE">
      <w:pPr>
        <w:pStyle w:val="InstructionsText2"/>
        <w:numPr>
          <w:ilvl w:val="0"/>
          <w:numId w:val="21"/>
        </w:numPr>
        <w:spacing w:after="120"/>
        <w:rPr>
          <w:sz w:val="24"/>
        </w:rPr>
      </w:pPr>
      <w:r>
        <w:rPr>
          <w:sz w:val="24"/>
        </w:rPr>
        <w:t>centralbankfaciliteter. Forhåndsanbragte aktiver betragtes ikke som behæftede, medmindre centralbanken ikke tillader tilbagetrækning af anbragte aktiver uden forudgående godkendelse. Hvad angår uudnyttede finansielle garantier, bør den uudnyttede del, dvs. efter fradrag af det minimumsbeløb, som centralbanken kræver, fordeles pro rata blandt de aktiver, der er anbragt i centralbanken</w:t>
      </w:r>
    </w:p>
    <w:p w14:paraId="2527594F" w14:textId="758F8DCA" w:rsidR="00941FAE" w:rsidRPr="00857276" w:rsidRDefault="00941FAE" w:rsidP="00941FAE">
      <w:pPr>
        <w:pStyle w:val="InstructionsText2"/>
        <w:numPr>
          <w:ilvl w:val="0"/>
          <w:numId w:val="21"/>
        </w:numPr>
        <w:spacing w:after="120"/>
        <w:rPr>
          <w:sz w:val="24"/>
        </w:rPr>
      </w:pPr>
      <w:r>
        <w:rPr>
          <w:sz w:val="24"/>
        </w:rPr>
        <w:t>underliggende aktiver fra securitiseringsstrukturer, hvor de finansielle aktiver ikke fratrækkes instituttets finansielle aktiver. De underliggende aktiver for ikke-afhændede værdipapirer anses ikke for at være behæftede, medmindre de pågældende værdipapirer i en eller anden form er stillet som pant eller sikkerhed for en transaktion</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aktiver i sikkerhedspuljer (cover pools), der anvendes til udstedelse af dækkede obligationer. De underliggende aktiver for dækkede obligationer anses for at være behæftede undtagen i visse situationer, hvor institutterne besidder de pågældende dækkede obligationer (egne udstedte obligationer) </w:t>
      </w:r>
    </w:p>
    <w:p w14:paraId="3AAB69A3" w14:textId="77777777" w:rsidR="00941FAE" w:rsidRPr="00857276" w:rsidRDefault="00941FAE" w:rsidP="00941FAE">
      <w:pPr>
        <w:pStyle w:val="InstructionsText2"/>
        <w:numPr>
          <w:ilvl w:val="0"/>
          <w:numId w:val="21"/>
        </w:numPr>
        <w:spacing w:after="120"/>
        <w:rPr>
          <w:sz w:val="24"/>
        </w:rPr>
      </w:pPr>
      <w:r>
        <w:rPr>
          <w:sz w:val="24"/>
        </w:rPr>
        <w:t>som generelt princip bør aktiver, som anbringes i faciliteter, der ikke anvendes, og frit kan tilbagetrækkes, ikke betragtes som behæftede.</w:t>
      </w:r>
    </w:p>
    <w:p w14:paraId="5D005D5E" w14:textId="77777777" w:rsidR="00941FAE" w:rsidRPr="00857276" w:rsidRDefault="00941FAE" w:rsidP="00941FAE">
      <w:pPr>
        <w:pStyle w:val="Heading2"/>
        <w:spacing w:before="0"/>
        <w:rPr>
          <w:rFonts w:ascii="Times New Roman" w:hAnsi="Times New Roman"/>
        </w:rPr>
      </w:pPr>
      <w:bookmarkStart w:id="18" w:name="_Toc188522972"/>
      <w:bookmarkEnd w:id="7"/>
      <w:bookmarkEnd w:id="8"/>
      <w:bookmarkEnd w:id="11"/>
      <w:r>
        <w:rPr>
          <w:rFonts w:ascii="Times New Roman" w:hAnsi="Times New Roman"/>
        </w:rPr>
        <w:t>INSTRUKSER RELATEREDE TIL SKEMAER</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88522973"/>
      <w:r>
        <w:rPr>
          <w:rFonts w:ascii="Times New Roman" w:hAnsi="Times New Roman"/>
          <w:b/>
          <w:sz w:val="24"/>
          <w:u w:val="none"/>
        </w:rPr>
        <w:t>Del A: Oversigt over behæftelse</w:t>
      </w:r>
      <w:bookmarkEnd w:id="19"/>
    </w:p>
    <w:p w14:paraId="2178A74C" w14:textId="77777777" w:rsidR="00941FAE" w:rsidRPr="00857276" w:rsidRDefault="00941FAE" w:rsidP="00941FAE">
      <w:pPr>
        <w:pStyle w:val="InstructionsText2"/>
        <w:spacing w:after="120"/>
        <w:rPr>
          <w:sz w:val="24"/>
        </w:rPr>
      </w:pPr>
      <w:r>
        <w:rPr>
          <w:sz w:val="24"/>
        </w:rPr>
        <w:t xml:space="preserve">I skemaerne for oversigt over behæftelse sondres der mellem aktiver, som anvendes til støtte af finansiering eller dækning af behov for sikkerhedsstillelse på balancedagen ("behæftelse på et bestemt tidspunkt"), og aktiver, der er til rådighed til potentielle finansieringsbehov. </w:t>
      </w:r>
    </w:p>
    <w:p w14:paraId="2CB6E035" w14:textId="77777777" w:rsidR="00941FAE" w:rsidRPr="00857276" w:rsidRDefault="00941FAE" w:rsidP="00941FAE">
      <w:pPr>
        <w:pStyle w:val="InstructionsText2"/>
        <w:spacing w:after="120"/>
        <w:rPr>
          <w:sz w:val="24"/>
        </w:rPr>
      </w:pPr>
      <w:r>
        <w:rPr>
          <w:sz w:val="24"/>
        </w:rPr>
        <w:t>Oversigtsskemaerne viser størrelsen af det indberettende instituts behæftede og ubehæftede aktiver i en tabellarisk struktur opdelt efter produkter. Samme opdeling anvendes også for modtagne sikkerheder og egne udstedte gældsværdipapirer med undtagelse af dækkede obligationer og securitiseringer.</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88522974"/>
      <w:r>
        <w:rPr>
          <w:rFonts w:ascii="Times New Roman" w:hAnsi="Times New Roman"/>
          <w:sz w:val="24"/>
          <w:u w:val="none"/>
        </w:rPr>
        <w:t>AE-ASS-skemaet. Det indberettende instituts aktiver.</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8522975"/>
      <w:bookmarkStart w:id="24" w:name="_Toc348096564"/>
      <w:bookmarkStart w:id="25" w:name="_Toc348097325"/>
      <w:bookmarkStart w:id="26" w:name="_Toc348101345"/>
      <w:r>
        <w:rPr>
          <w:rFonts w:ascii="Times New Roman" w:hAnsi="Times New Roman"/>
          <w:sz w:val="24"/>
          <w:u w:val="none"/>
        </w:rPr>
        <w:t>Generelle bemærkninger</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I dette punkt findes instrukser for de hovedtyper af transaktioner, der er relevante, når AE-skemaerne udfyldes:</w:t>
      </w:r>
    </w:p>
    <w:tbl>
      <w:tblPr>
        <w:tblW w:w="9214" w:type="dxa"/>
        <w:tblLook w:val="04A0" w:firstRow="1" w:lastRow="0" w:firstColumn="1" w:lastColumn="0" w:noHBand="0" w:noVBand="1"/>
      </w:tblPr>
      <w:tblGrid>
        <w:gridCol w:w="9276"/>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 transaktioner, der øger et instituts behæftelsesniveau, har to aspekter, der skal indberettes uafhængigt i alle AE-skemaerne. Sådanne transaktioner skal både indberettes som en behæftelseskilde og som et behæftet aktiv eller en stillet sikkerhed.</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Følgende eksempler viser, hvordan en transaktionstype indberettes i denne del, men samme regler gælder for de øvrige AE-skemaer.</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Sikrede indskud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Et sikret indskud indberettes på følgende måde:</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Indskuddets regnskabsmæssige værdi registreres som en behæftelseskilde i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sikkerhederne indgår i det indberettende instituts aktiver, gælder følgende: Den regnskabsmæssige værdi indberettes i {AE-ASS; *; c0010} og {AE-SOU; r0070; c0030}; dagsværdien indberettes i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sikkerhederne er modtaget af det indberettende institut, indberettes dagsværdien i {AE-COL; *; c0010}, {AE-SOU; r0070; c0030} og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Genkøbsaftaler/matchende genkøbsaftaler</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genkøbsaftale indberettes på følgende måde:</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Genkøbsaftalens regnskabsmæssige bruttoværdi indberettes som en behæftelseskilde i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Den i genkøbsaftalen stillede sikkerhed indberettes på følgende måde:</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sikkerhederne indgår i det indberettende instituts aktiver, gælder følgende: Den regnskabsmæssige værdi indberettes i {AE-ASS; *; c0010} og {AE-SOU; r0050; c0030}; dagsværdien indberettes i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sikkerhederne er modtaget af det indberettende institut gennem en tidligere omvendt genkøbsaftale (matchende genkøbsaftale), indberettes dagsværdien i {AE-COL; *; c0010}, {AE-SOU; r0050; c0030} og i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Centralbankfinansiering</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 centralbankfinansiering med sikkerhedsstillelse blot er en særlig form for indskud med sikkerhedsstillelse eller en genkøbstransaktion, hvor modparten er en centralbank, finder reglerne i punkt 14, litra a) og b) anvendelse.</w:t>
            </w:r>
          </w:p>
          <w:p w14:paraId="3C07D280" w14:textId="3420D09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For transaktioner, hvor det ikke er muligt at udpege den specifikke sikkerhedsstillelse for hver enkelt transaktion, fordi sikkerhedsstillelsen indgår i en pulje, skal der foretages en proportionel opdeling af sikkerhedsstillelsen på grundlag af sikkerhedsstillelsespuljens sammensætning.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Aktiver, der er forhåndsanbragt hos centralbanker, betragtes ikke som behæftede aktiver, medmindre centralbanken ikke tillader tilbagetrækning af anbragte aktiver uden forudgående godkendelse. Hvad angår uudnyttede finansielle garantier, fordeles den uudnyttede del, dvs. efter fradrag af det minimumsbeløb, som centralbanken kræver, på pro rata-basis blandt de aktiver, der er anbragt i centralbanken.</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Udlån af værdipapirer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udlån af værdipapirer med kontant sikkerhedsstillelse finder reglerne vedrørende genkøbsaftaler/matchende genkøbsaftaler anvendelse.</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Udlån af værdipapirer uden kontant sikkerhedsstillelse indberettes som følger:</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 lånte værdipapirers dagsværdi indberettes som en behæftelseskilde i {AE-SOU; r0150; c0010. Hvis långiveren ikke modtager nogen værdipapirer som modydelse for de værdipapirer, der udlånes, men derimod modtager et gebyr, indberettes i {AE-SOU; r0150; c0010} en værdi på nul.</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de værdipapirer, der udlånes som sikkerhedsstillelse, indgår i det indberettende instituts aktiver, gælder følgende: Den regnskabsmæssige værdi indberettes i {AE-ASS; *; c0010} og {AE-SOU; r0150; c0030}; dagsværdien indberettes i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Hvis de værdipapirer, der udlånes som sikkerhedsstillelse, modtages af det indberettende institut, indberettes deres dagsværdi i {AE-COL; *; c0010}, {AE-SOU; r0150; c0030} og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Derivater (forpligtelser)</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Derivater med sikkerhedsstillelse, som har negativ dagsværdi, indberettes som følger:</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Derivatets regnskabsmæssige værdi indberettes som en behæftelseskilde i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Sikkerhederne (initialmarginer, som kræves for åbning af posten, og enhver sikkerhedsstillelse for markedsværdien af transaktioner i derivater) indberettes som følger:</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aktivet indgår i det indberettende instituts aktiver: Den regnskabsmæssige værdi indberettes i {AE-ASS; *; c0010} og {AE-SOU; r0020; c0030}; dagsværdien indberettes i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sikkerheden er modtaget af det indberettende institut, indberettes dets dagsværdi i {AE-COL; *; c0010}, {AE-SOU; r0020; c0030} og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Dækkede obligationer</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hele indberetningen af aktivbehæftelse refererer dækkede obligationer til de instrumenter, der refereres til i artikel 52, stk. 4, første afsnit, i direktiv 2009/65/EU, uanset om disse instrumenter juridisk set er værdipapirer eller ej.</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gælder ingen specifikke regler for dækkede obligationer, hvor en del af de værdipapirer, der er udstedt af det indberettende institut, ikke tilbageholdes.</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en del af udstedelsen ikke afhændes, finder nedennævnte behandling anvendelse for at undgå en dobbeltberegning:</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egne dækkede obligationer ikke er stillet som sikkerhed, skal den del af sikkerhedspuljen (cover poolen), som ligger bag de ikke-afhændede værdipapirer, som endnu ikke er stillet som sikkerhed, indberettes i AE-ASS-skemaerne som ubehæftede aktiver. Yderligere oplysninger om ikke-afhændede dækkede obligationer, som endnu ikke er stillet som pant (underliggende aktiver, dagsværdi og afgrænsning af de aktiver, som kan behæftes, og nominel værdi af de aktiver, som ikke- kan behæftes), indberettes i AE-NPL-skemaet.</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Hvis egne dækkede obligationer er stillet som pant, skal den del af sikkerhedspuljen (cover poolen), som ligger bag de ikke-afhændede værdipapirer, som er stillet som pant, indberettes i AE-ASS-skemaet som behæftede aktiver.</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I nedenstående tabel findes oplysninger om indberetning af udstedelse af dækkede obligationer på 100 EUR, hvoraf 15 % ikke afhændes og ikke stilles som sikkerhed, og hvoraf 10 % ikke afhændes, men stilles som sikkerhed i en genkøbstransaktion på 11 EUR med en centralbank, hvor dækningspuljen omfatter ikke-sikrede lån, og lånenes regnskabsmæssige værdi er 150 EUR.</w:t>
            </w:r>
          </w:p>
          <w:p w14:paraId="337BD495" w14:textId="6D37D327" w:rsidR="00941FAE" w:rsidRPr="00857276" w:rsidRDefault="00941FAE" w:rsidP="005150E8">
            <w:pPr>
              <w:spacing w:before="0"/>
              <w:rPr>
                <w:rStyle w:val="InstructionsTabelleberschrift"/>
                <w:rFonts w:ascii="Times New Roman" w:hAnsi="Times New Roman"/>
                <w:b w:val="0"/>
                <w:sz w:val="24"/>
                <w:u w:val="none"/>
              </w:rPr>
            </w:pPr>
          </w:p>
          <w:p w14:paraId="30972502" w14:textId="4DF6AC8E" w:rsidR="00941FAE" w:rsidRPr="00857276" w:rsidRDefault="00290433" w:rsidP="005150E8">
            <w:pPr>
              <w:spacing w:before="0"/>
              <w:rPr>
                <w:rStyle w:val="InstructionsTabelleberschrift"/>
                <w:rFonts w:ascii="Times New Roman" w:hAnsi="Times New Roman"/>
                <w:b w:val="0"/>
                <w:sz w:val="24"/>
                <w:u w:val="none"/>
                <w:lang w:eastAsia="de-DE"/>
              </w:rPr>
            </w:pPr>
            <w:r>
              <w:rPr>
                <w:rStyle w:val="InstructionsTabelleberschrift"/>
                <w:rFonts w:ascii="Times New Roman" w:hAnsi="Times New Roman"/>
                <w:b w:val="0"/>
                <w:noProof/>
                <w:sz w:val="24"/>
                <w:u w:val="none"/>
                <w:lang w:val="en-US"/>
              </w:rPr>
              <w:lastRenderedPageBreak/>
              <w:softHyphen/>
            </w:r>
            <w:r w:rsidR="00725090" w:rsidRPr="00226DBF">
              <w:rPr>
                <w:rStyle w:val="InstructionsTabelleberschrift"/>
                <w:rFonts w:ascii="Times New Roman" w:hAnsi="Times New Roman"/>
                <w:b w:val="0"/>
                <w:noProof/>
                <w:sz w:val="24"/>
                <w:u w:val="none"/>
                <w:lang w:val="en-US"/>
              </w:rPr>
              <w:drawing>
                <wp:inline distT="0" distB="0" distL="0" distR="0" wp14:anchorId="7E3BDC78" wp14:editId="5985EF70">
                  <wp:extent cx="5753100" cy="264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2647950"/>
                          </a:xfrm>
                          <a:prstGeom prst="rect">
                            <a:avLst/>
                          </a:prstGeom>
                          <a:noFill/>
                          <a:ln>
                            <a:noFill/>
                          </a:ln>
                        </pic:spPr>
                      </pic:pic>
                    </a:graphicData>
                  </a:graphic>
                </wp:inline>
              </w:drawing>
            </w: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Securitiseringer</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Securitiseringer er gældsværdipapirer, som besiddes af det indberettende institut, og som stammer fra en securitiseringstransaktion, jf. artikel 4, stk. 1, nr. 61), i forordning (EU) nr.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Reglerne for dækkede obligationer finder anvendelse på securitiseringer, som fortsat optræder på balancen (indregnes).</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Der er ingen behæftelse for securitiseringer, som ikke længere indregnes, hvis instituttet besidder en vis mængde værdipapirer. Sådanne værdipapirer vil fremgå af handelsbogen eller det indberettende instituts handelsbeholdning på samme måde som alle andre værdipapirer udstedt af en tredjepart.</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88522976"/>
      <w:r>
        <w:rPr>
          <w:rFonts w:ascii="Times New Roman" w:hAnsi="Times New Roman"/>
          <w:sz w:val="24"/>
          <w:u w:val="none"/>
        </w:rPr>
        <w:lastRenderedPageBreak/>
        <w:t>Instrukser vedrørende specifikke rækker</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Det indberettende instituts aktiver</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IG (Implementation Guidance) 6 samlede aktiver, som det indberettende institut har registreret på sin balance.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Heraf: kvalificerende aktiver under forvaltning</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Aktiver under forvaltning, som opfylder alle følgende betingelser: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de medregnes på instituttets balance ifølge de nationale almindeligt anerkendte regnskabsprincipper, jf. artikel 10 i direktiv 86/635/EØF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de opfylder kriterierne om ophør af indregning i International Financial Reporting Standard (IFRS) 9, som anvendt i overensstemmelse med forordning (EF) nr.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de opfylder kriterierne om ikkekonsolidering i IFRS 10, jf. forordning (EF) nr. 1606/2002, hvis det er relevant.</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på anfordring</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Institutterne indberetter udestående fordringer hos centralbanker og andre institutter. Kontanter, dvs. besiddelser af nationale og udenlandske pengesedler og mønter i omløb, som normalt anvendes til betalinger, medtages i rækken "øvrige aktiver".</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Aktieinstrumenter besiddet af det indberettende institut som defineret i IAS 32.1.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Gældsværdipapirer</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Bilag V, del 1, punkt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indberetter gældsinstrumenter, som besiddes af det indberettende institut og er udstedt som værdipapirer, der ikke er lån, jf. forordning (EU)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obligationer</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Fonts w:ascii="Times New Roman" w:hAnsi="Times New Roman"/>
                <w:sz w:val="24"/>
              </w:rPr>
              <w:t>Gældsværdipapirer, som besiddes af det indberettende institut og er obligationer som omhandlet i artikel 52, stk. 4, første afsnit, i direktiv 2009/65/EF.</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14:paraId="79CC3AAE" w14:textId="438A2EBF"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besiddes af det indberettende institut, og som er securitiseringer i henhold til artikel 4, stk. 1, nr. 61), i forordning (EU) nr.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heraf: udstedt af offentlig forvaltning og service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indehaves af det indberettende institut og er udstedt af sektoren offentlig forvaltning og service.</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 af finansielle selskaber</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besiddes af det indberettende institut og er udstedt af finansielle selskaber som defineret i bilag V, del 1, punkt 42, litra c) og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Gældsværdipapirer, som besiddes af det indberettende institut og er udstedt af ikkefinansielle selskaber som defineret i bilag V, del 1, punkt 42, litra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og forskud, bortset fra lån på anfordring</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som er andre gældsinstrumenter end værdipapirer, som besiddes af det indberettende institut; bortset fra udestående fordringer.</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heraf: Lån med sikkerhed i fast ejendom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som har sikkerhed i fast ejendom i henhold til bilag V, del 2, punkt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aktiver</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Det indberettende instituts aktiver, der er registreret på balancen, bortset fra dem, der er indberettet i række 0020 til 0040 og 0100 og er forskellige fra egne udstedte </w:t>
            </w:r>
            <w:r>
              <w:rPr>
                <w:rStyle w:val="InstructionsTabelleberschrift"/>
                <w:rFonts w:ascii="Times New Roman" w:hAnsi="Times New Roman"/>
                <w:b w:val="0"/>
                <w:sz w:val="24"/>
                <w:u w:val="none"/>
              </w:rPr>
              <w:lastRenderedPageBreak/>
              <w:t xml:space="preserve">gældsværdipapirer samt egne aktieinstrumenter, som et ikke-IFRS-institut ikke kan vælge at undlade at indregne på balancen.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Egne gældsinstrumenter skal i så fald angives vedrørende række 0240 i AE-COL-skemaet, og egne aktieinstrumenter skal ikke indgå i indberetningen af aktivbehæftelse.</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522977"/>
      <w:r>
        <w:rPr>
          <w:rFonts w:ascii="Times New Roman" w:hAnsi="Times New Roman"/>
          <w:sz w:val="24"/>
          <w:u w:val="none"/>
        </w:rPr>
        <w:lastRenderedPageBreak/>
        <w:t>Instrukser vedrørende specifikke kolonner</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 af behæftede aktiver</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indberetter den regnskabsmæssige værdi af deres aktiver, som er behæftede i overensstemmelse med definitionen på aktivbehæftelse, jf. punkt 11 i dette bilag.</w:t>
            </w:r>
            <w:r>
              <w:rPr>
                <w:rStyle w:val="InstructionsTabelleberschrift"/>
                <w:rFonts w:ascii="Times New Roman" w:hAnsi="Times New Roman"/>
                <w:b w:val="0"/>
                <w:color w:val="auto"/>
                <w:sz w:val="24"/>
                <w:u w:val="none"/>
              </w:rPr>
              <w:t xml:space="preserve"> Den regnskabsmæssige værdi er den værdi, der balanceføres på aktivsiden.</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behæftede aktiver, der besiddes af det indberettende institut, og som er udstedt af enheder, som er omfattet af konsolideringsreglerne.</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Regnskabsmæssig værdi af behæftede aktiver, der besiddes af det indberettende institut og er belånbare i de centralbanker, som det indberettende institut har adgang til.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regnskabsmæssige værdi af behæftede aktiver, der i ubehæftet stand ville kunne klassificeres som aktiver med særdeles stor likviditet og særdeles høj kreditkvalitet (EHQLA) og aktiver med stor likviditet og høj kreditkvalitet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 denne forordning forstås ved aktiver, der i ubehæftet stand ville kunne klassificeres som EHQLA'er, og aktiver, der i ubehæftet stand ville kunne klassificeres som HQLA'er, de aktiver, der er nævnt i artikel 10-13 i delegeret forordning (EU) 2015/61, og som ville være i overensstemmelse med de generelle og operationelle krav, der er fastsat i artikel 7 og 8 i nævnte delegerede forordning, hvis det ikke var for deres status som behæftede aktiver i overensstemmelse med dette bilag.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Behæftede aktiver, der i ubehæftet stand ville kunne klassificeres som EHQLA'er, og behæftede aktiver, der i ubehæftet stand ville kunne klassificeres som HQLA'er, skal også opfylde de eksponeringsklassespecifikke krav i artikel 10-16 og 35-37 i delegeret forordning (EU) 2015/61. Den regnskabsmæssige værdi af aktiver, der i </w:t>
            </w:r>
            <w:r>
              <w:rPr>
                <w:rStyle w:val="InstructionsTabelleberschrift"/>
                <w:rFonts w:ascii="Times New Roman" w:hAnsi="Times New Roman"/>
                <w:b w:val="0"/>
                <w:sz w:val="24"/>
                <w:u w:val="none"/>
              </w:rPr>
              <w:lastRenderedPageBreak/>
              <w:t>ubehæftet stand ville kunne klassificeres som EHQLA'er, og aktiver, der i ubehæftet stand ville kunne klassificeres som HQLA'er, er den regnskabsmæssige værdi før anvendelsen af de haircuts, der er anført i artikel 10-16 i nævnte delegerede forordning.</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behæftede aktiver</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og artikel 8 i direktiv 2013/34/EU for ikke-IFRS-institutter.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Institutterne indberetter dagsværdien af deres gældsværdipapirer, som er behæftede i overensstemmelse med definitionen på aktivbehæftelse, jf. punkt 11 i dette bilag.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Dagsværdien af et finansielt instrument er den pris, der kunne opnås ved at sælge et aktiv, eller der skulle betales for overdragelse af en forpligtelse i en velordnet transaktion mellem markedsdeltagere på målingstidspunktet (jf. IFRS 13 Måling af dagsværdi).</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Dagsværdi af behæftede gældsværdipapirer, der besiddes af det indberettende institut og er belånbare i de centralbanker, som det indberettende institut har adgang til. </w:t>
            </w:r>
          </w:p>
          <w:p w14:paraId="0BF79410"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Dagsværdien af behæftede aktiver, der i ubehæftet stand ville kunne klassificeres som EHQLA'er og HQLA'er.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I denne forordning forstås ved aktiver, der i ubehæftet stand ville kunne klassificeres som EHQLA'er, og aktiver, der i ubehæftet stand ville kunne klassificeres som HQLA'er, de aktiver, der er nævnt i artikel 10-13 i delegeret forordning (EU) 2015/61, og som ville være i overensstemmelse med de generelle og operationelle krav, der er fastsat i artikel 7 og 8 i nævnte delegerede forordning, hvis det ikke var for deres status som behæftede aktiver i overensstemmelse med dette bilag. Behæftede aktiver, der i ubehæftet stand ville kunne klassificeres som EHQLA'er, og behæftede aktiver, der i ubehæftet stand ville kunne klassificeres som HQLA'er, skal også opfylde de eksponeringsklassespecifikke krav i artikel 10-16 og 35-37 i delegeret forordning (EU) 2015/61. Dagsværdien af aktiver, der i ubehæftet stand ville kunne klassificeres som EHQLA'er, og aktiver, der i ubehæftet stand ville kunne klassificeres som HQLA'er, er dagsværdien før anvendelsen af de haircuts, der er anført i artikel 10-16 i nævnte delegerede forordning.</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 af ubehæftede aktiver</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indberetter den regnskabsmæssige værdi af deres aktiver, som er ubehæftede i overensstemmelse med definitionen på aktivbehæftelse, jf. punkt 11 i dette bilag.</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lastRenderedPageBreak/>
              <w:t>Den regnskabsmæssige værdi er den værdi, der balanceføres på aktivsiden.</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ubehæftede aktiver, der besiddes af det indberettende institut, og som er udstedt af enheder, som er omfattet af konsolideringsreglerne.</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Regnskabsmæssig værdi af ubehæftede aktiver, der besiddes af det indberettende institut og er belånbare i de centralbanker, som det indberettende institut har adgang til.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EHQLA'er og HQLA'er</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Den regnskabsmæssige værdi af ubehæftede EHQLA'er og HQLA'er, der er nævnt i artikel 10-13 i delegeret forordning (EU) 2015/61, og som er i overensstemmelse med de generelle og operationelle krav, der er fastsat i nævnte delegerede forordnings artikel 7 og 8, og med de eksponeringsklassespecifikke krav i nævnte delegerede forordnings artikel 10-16 og 35-37.</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Den regnskabsmæssige værdi af EHQLA'er og HQLA'er er den regnskabsmæssige værdi før anvendelsen af de haircuts, der er anført i artikel 10-16 i delegeret forordning (EU)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ubehæftede aktiver</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og artikel 8 i direktiv 2013/34/EU for ikke-IFRS-institutter.</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indberetter dagsværdien af deres gældsværdipapirer, som er ubehæftede i overensstemmelse med definitionen på aktivbehæftelse, jf. punkt 11 i dette bilag.</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Dagsværdien af et finansielt instrument er den pris, der kunne opnås ved at sælge et aktiv, eller der skulle betales for overdragelse af en forpligtelse i en velordnet transaktion mellem markedsdeltagere på målingstidspunktet (jf. IFRS 13 Måling af dagsværdi).</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Dagsværdi af ubehæftede gældsværdipapirer, der besiddes af det indberettende institut og er belånbare i de centralbanker, som det indberettende institut har adgang til. </w:t>
            </w:r>
          </w:p>
          <w:p w14:paraId="4A23A4C9"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EHQLA'er og HQLA'er</w:t>
            </w:r>
          </w:p>
          <w:p w14:paraId="6A307766" w14:textId="3C568025" w:rsidR="00941FAE" w:rsidRPr="00857276" w:rsidRDefault="00941FAE" w:rsidP="005150E8">
            <w:pPr>
              <w:spacing w:before="0"/>
              <w:rPr>
                <w:rStyle w:val="TeksttreciTimesNewRoman105ptOdstpy0pt"/>
                <w:rFonts w:eastAsia="Calibri"/>
                <w:sz w:val="24"/>
              </w:rPr>
            </w:pPr>
            <w:r>
              <w:rPr>
                <w:rStyle w:val="TeksttreciTimesNewRoman105ptOdstpy0pt"/>
                <w:sz w:val="24"/>
              </w:rPr>
              <w:lastRenderedPageBreak/>
              <w:t>Dagsværdien af ubehæftede EHQLA'er og HQLA'er, der er nævnt i artikel 10-13 i delegeret forordning (EU) 2015/61, og som er i overensstemmelse med de generelle og operationelle krav, der er fastsat i nævnte delegerede forordnings artikel 7 og 8, og med de eksponeringsklassespecifikke krav i nævnte delegerede forordnings artikel 10-16 og 35-37.</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Dagsværdien af EHQLA'er og HQLA'er er dagsværdien før anvendelsen af de haircuts, der er anført i artikel 10-16 i delegeret forordning (EU)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8522978"/>
      <w:r>
        <w:rPr>
          <w:rFonts w:ascii="Times New Roman" w:hAnsi="Times New Roman"/>
          <w:sz w:val="24"/>
          <w:u w:val="none"/>
        </w:rPr>
        <w:lastRenderedPageBreak/>
        <w:t>Skema: AE-COL. Sikkerhedsstillelse modtaget af det indberettende institut</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88522979"/>
      <w:bookmarkStart w:id="35" w:name="_Toc348096567"/>
      <w:bookmarkStart w:id="36" w:name="_Toc348097328"/>
      <w:r>
        <w:rPr>
          <w:rFonts w:ascii="Times New Roman" w:hAnsi="Times New Roman"/>
          <w:sz w:val="24"/>
          <w:u w:val="none"/>
        </w:rPr>
        <w:t>Generelle bemærkninger</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For sikkerheder modtaget af det indberettende institut og udstedte egne gældsværdipapirer, bortset fra egne dækkede obligationer eller securitiseringer, er kategorien "ubehæftede aktiver" opdelt mellem aktiver, "som kan behæftes" eller potentielt kan behæftes, og aktiver "som ikke kan behæftes".</w:t>
      </w:r>
    </w:p>
    <w:p w14:paraId="2F0EF69A" w14:textId="77777777" w:rsidR="00941FAE" w:rsidRPr="00857276" w:rsidRDefault="00941FAE" w:rsidP="00941FAE">
      <w:pPr>
        <w:pStyle w:val="InstructionsText2"/>
        <w:shd w:val="clear" w:color="auto" w:fill="FFFFFF"/>
        <w:spacing w:after="120"/>
        <w:rPr>
          <w:sz w:val="24"/>
        </w:rPr>
      </w:pPr>
      <w:r>
        <w:rPr>
          <w:sz w:val="24"/>
        </w:rPr>
        <w:t>Aktiver "kan ikke behæftes", når de er modtaget som sikkerhedsstillelse, og det indberettende institut ikke har tilladelse til at sælge eller "genanvende" sikkerhederne i anden sammenhæng, medmindre sikkerhedernes ejer misligholder. Egne udstedte gældsværdipapirer, bortset fra egne dækkede obligationer eller securitiseringer, kan ikke behæftes, hvis der i udstedelsesbetingelserne er fastsat begrænsninger for salg eller "genanvendelse" af de værdipapirer, der besiddes, som sikkerhed i anden sammenhæng.</w:t>
      </w:r>
    </w:p>
    <w:p w14:paraId="6C172FD5" w14:textId="59669A70" w:rsidR="00941FAE" w:rsidRPr="00857276" w:rsidRDefault="00941FAE" w:rsidP="00941FAE">
      <w:pPr>
        <w:pStyle w:val="InstructionsText2"/>
        <w:shd w:val="clear" w:color="auto" w:fill="FFFFFF"/>
        <w:spacing w:after="120"/>
        <w:rPr>
          <w:sz w:val="24"/>
        </w:rPr>
      </w:pPr>
      <w:r>
        <w:rPr>
          <w:sz w:val="24"/>
        </w:rPr>
        <w:t>I forbindelse med indberetning af aktivbehæftelse gælder også, at værdipapirer, som er lånt mod et gebyr, uden at der er stillet sikkerhed i form af kontanter, eller sikkerhedsstillelse i anden form end kontanter, indberettes som modtagne sikkerheder.</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522980"/>
      <w:r>
        <w:rPr>
          <w:rFonts w:ascii="Times New Roman" w:hAnsi="Times New Roman"/>
          <w:sz w:val="24"/>
          <w:u w:val="none"/>
        </w:rPr>
        <w:t>Instrukser vedrørende specifikke rækker</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Sikkerheder modtaget af det indberettende institut</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klasser af sikkerheder modtaget af det indberettende institut.</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på anfordring</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lån på anfordring.</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0020 i AE-ASS-skemaet.</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aktieinstrumenter.</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0030 i AE-ASS-skemaet.</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Gældsværdipapirer</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Sikkerheder modtaget af det indberettende institut, som omfatter gældsværdipapirer.</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0040 i AE-ASS-skemaet.</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obligationer</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dækkede obligationer.</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0050 i AE-ASS-skemaet.</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securitiseringer.</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0060 i AE-ASS-skemaet.</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offentlig forvaltning og service</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gældsværdipapirer udstedt af sektoren offentlig forvaltning og service.</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0070 i AE-ASS-skemaet.</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finansielle selskaber</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gældsværdipapirer udstedt af finansielle selskaber.</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0080 i AE-ASS-skemaet.</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gældsværdipapirer udstedt af ikkefinansielle selskaber.</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0090 i AE-ASS-skemaet.</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Lån og forskud, bortset fra lån på anfordring</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lån og forskud, bortset fra lån på anfordring.</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0100 i AE-ASS-skemaet.</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modtagne sikkerheder</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Sikkerheder modtaget af det indberettende institut, som omfatter andre aktiver.</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henvisninger til retsakter og instrukser vedrørende række 0120 i AE-ASS-skemaet.</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Egne udstedte gældsværdipapirer, bortset fra egne dækkede obligationer eller securitiseringer</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Egne gældsværdipapirer, som ikke er afhændet af det indberettende institut, og som ikke er egne dækkede obligationer eller egne udstedte securitiseringer.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 de ikke-afhændede eller genkøbte egne udstedte gældsværdipapirer ifølge IAS 39.42 mindsker de relaterede finansielle forpligtelser, indgår disse værdipapirer ikke i det indberettende instituts kategori af aktiver (række 0010 i AE-ASS-skemaet). Egne gældsværdipapirer, som et ikke-IFRS-institut ikke kan vælge at undlade at indregne på balancen, skal anføres i denne række.</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eller egne udstedte securitiseringer indberettes ikke i denne kategori, da der gælder forskellige regler for disse tilfælde for at undgå en dobbeltberegning:</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egne gældsværdipapirer er stillet som pant, skal den del af sikkerhedspuljen/de underliggende aktiver, som ligger bag de ikke-afhændede værdipapirer, som er stillet som pant, indberettes i AE-ASS-skemaet som behæftede aktiver.</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Hvis egne gældsværdipapirer ikke er stillet som pant, skal beløbet for den sikkerhedspulje/de underliggende aktiver, som ligger bag de ikke-afhændede værdipapirer, som endnu ikke er stillet som pant, indberettes i AE-ASS-skemaerne som ubehæftede aktiver. Yderligere oplysninger om denne anden type af egne gældsværdipapirer, som endnu ikke er stillet som pant (underliggende aktiver, dagsværdi og afgrænsning af de aktiver, som kan behæftes, og nominel værdi af de aktiver, som ikke kan behæftes), indberettes i AE-NPL-skemaet.</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Egne dækkede obligationer og securitiseringer, som er udstedt og endnu ikke er stillet som pant</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og securitiseringer, som det indberettende institut har udstedt og ikke afhændet, og som er ubehæftede.</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at undgå dobbeltberegning finder følgende regel anvendelse på egne dækkede obligationer og securitiseringer, som det indberettende institut har udstedt og ikke afhændet:</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Hvis disse værdipapirer er stillet som pant, skal den del af sikkerhedspuljen/de underliggende aktiver, som ligger bag dem, indberettes i AE-ASS-skemaet (F 32.01) som behæftede aktiver. Hvis egne dækkede obligationer eller securitiseringer stilles som pant, er finansieringskilden den nye transaktion, hvori securitiseringerne stilles som pant (centralbankfinansiering eller en anden type sikret finansiering), og ikke den oprindelige udstedelse af dækkede obligationer eller securitiseringer.</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Hvis disse værdipapirer endnu ikke er stillet som pant, skal den del af sikkerhedspuljen/de underliggende aktiver, som ligger bag disse værdipapirer, indberettes i AE-ASS-skemaet (F 32.01) som ubehæftede aktiver.</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SAMLEDE AKTIVER, MODTAGET SIKKERHEDSSTILLELSE OG EGNE UDSTEDTE GÆLDSVÆRDIPAPIRER</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Alle aktiver, som det indberettende institut har registreret på sin balance, alle klasser af sikkerheder modtaget af det indberettende institut og egne </w:t>
            </w:r>
            <w:r>
              <w:rPr>
                <w:rStyle w:val="InstructionsTabelleberschrift"/>
                <w:rFonts w:ascii="Times New Roman" w:hAnsi="Times New Roman"/>
                <w:b w:val="0"/>
                <w:sz w:val="24"/>
                <w:u w:val="none"/>
              </w:rPr>
              <w:lastRenderedPageBreak/>
              <w:t>gældsværdipapirer, som det indberettende institut har udstedt og ikke afhændet, og som ikke er egne dækkede obligationer eller egne udstedte securitiseringer.</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522981"/>
      <w:r>
        <w:rPr>
          <w:rFonts w:ascii="Times New Roman" w:hAnsi="Times New Roman"/>
          <w:sz w:val="24"/>
          <w:u w:val="none"/>
        </w:rPr>
        <w:lastRenderedPageBreak/>
        <w:t>Instrukser vedrørende specifikke kolonner</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behæftede modtagne sikkerheder eller egne udstedte gældsværdipapirer</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indberetter dagsværdien af modtagne sikkerheder eller egne gældsværdipapirer, som de besidder/ikke har afhændet, og som er behæftede i overensstemmelse med definitionen på aktivbehæftelse, jf. punkt 11 i dette bilag.</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Dagsværdien af et finansielt instrument er den pris, der kunne opnås ved at sælge et aktiv, eller der skulle betales for overdragelse af en forpligtelse i en velordnet transaktion mellem markedsdeltagere på målingstidspunktet (jf. IFRS 13 Måling af dagsværdi).</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behæftede modtagne sikkerheder eller egne udstedte gældsværdipapirer, som det indberettende institut besidder/ikke har afhændet, og som er udstedt af enheder, som er omfattet af konsolideringsreglerne.</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behæftede modtagne sikkerheder eller egne udstedte gældsværdipapirer, som det indberettende institut besidder/ikke har afhændet, og som er belånbare i de centralbanker, som det indberettende institut har adgang til.</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Dagsværdien af modtagne behæftede sikkerheder, herunder i indlån af værdipapirer, eller egne udstedte gældsværdipapirer, som instituttet besidder/ikke har afhændet, og som i ubehæftet stand ville kunne klassificeres som EHQLA'er og HQLA'er.</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 xml:space="preserve">I denne forordning forstås ved aktiver, der i ubehæftet stand ville kunne klassificeres som EHQLA'er, og aktiver, der i ubehæftet stand ville kunne klassificeres som HQLA'er, modtagne sikkerhedsposter eller egne udstedte gældsværdipapirer, som instituttet besidder/ikke har afhændet, som er nævnt i artikel 10-13 i delegeret forordning (EU) 2015/61, og som ville være i overensstemmelse med de generelle og operationelle krav, der er fastsat i nævnte delegerede forordnings artikel 7 og 8, hvis det ikke var for deres status som behæftede aktiver i overensstemmelse med dette bilag. Behæftede aktiver, der i ubehæftet stand ville kunne klassificeres som EHQLA'er, og behæftede aktiver, der i ubehæftet stand ville kunne klassificeres som HQLA'er, skal også </w:t>
            </w:r>
            <w:r>
              <w:rPr>
                <w:rStyle w:val="TeksttreciTimesNewRoman105ptOdstpy0pt"/>
                <w:sz w:val="24"/>
              </w:rPr>
              <w:lastRenderedPageBreak/>
              <w:t>opfylde de eksponeringsklassespecifikke krav i artikel 10-16 og 35-37 i delegeret forordning (EU) 2015/61. Dagsværdien af aktiver, der i ubehæftet stand ville kunne klassificeres som EHQLA'er, og aktiver, der i ubehæftet stand ville kunne klassificeres som HQLA'er, er dagsværdien før anvendelsen af de haircuts, der er anført i artikel 10-16 i delegeret forordning (EU)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modtagne sikkerheder eller egne udstedte gældsværdipapirer, som kan behæftes</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sikkerheder modtaget af det indberettende institut, som er ubehæftede, men kan behæftes, eftersom det indberettende institut har tilladelse til at sælge eller "genanvende" pantet, uden at der er tale om misligholdelse fra sikkerhedernes ejers side. Det omfatter dagsværdien af egne udstedte gældsværdipapirer, bortset fra egne dækkede obligationer eller securitiseringer, som er ubehæftede, men kan behæftes.</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 af andre enheder i koncernen</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modtagne sikkerheder eller egne udstedte gældsværdipapirer, bortset fra egne dækkede obligationer eller securitiseringer, som kan behæftes, og som er udstedt af enheder, som er omfattet af konsolideringsreglerne.</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belånbare i centralbanker</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Dagsværdi af modtagne sikkerheder eller egne udstedte gældsværdipapirer, bortset fra egne dækkede obligationer eller securitiseringer, og som er belånbare i de centralbanker, som det indberettende institut har adgang til. </w:t>
            </w:r>
          </w:p>
          <w:p w14:paraId="154284A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EHQLA'er og HQLA'er</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Dagsværdien af modtagne ubehæftede sikkerheder eller egne udstedte gældsværdipapirer, som instituttet besidder/ikke har afhændet, bortset fra egne dækkede obligationer eller securitiseringspositioner, der kan behæftes, som kan klassificeres som EHQLA'er og HQLA'er, som er nævnt i artikel 10-13 i delegeret forordning (EU) 2015/61, og som er i overensstemmelse med de generelle og operationelle krav, der er fastsat i nævnte delegerede forordnings artikel 7 og 8, og med de eksponeringsklassespecifikke krav i nævnte delegerede forordnings artikel 10-16 og 35-37.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Dagsværdien af EHQLA'er og HQLA'er er dagsværdien før anvendelsen af de haircuts, der er anført i artikel 10-16 i delegeret forordning (EU)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modtagne sikkerheder eller egne udstedte gældsværdipapirer, som ikke kan behæftes</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Nominel værdi af modtagne sikkerheder, som det indberettende institut besidder, som er ubehæftede og ikke kan behæftes.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Det omfatter den nominelle værdi af egne udstedte gældsværdipapirer, bortset fra egne dækkede obligationer eller securitiseringer, som ikke er afhændet af det indberettende institut, er ubehæftede og heller ikke kan behæftes.</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88522982"/>
      <w:r>
        <w:rPr>
          <w:rFonts w:ascii="Times New Roman" w:hAnsi="Times New Roman"/>
          <w:sz w:val="24"/>
          <w:u w:val="none"/>
        </w:rPr>
        <w:lastRenderedPageBreak/>
        <w:t>Skema: AE-NPL. Egne dækkede obligationer og securitiseringer, som er udstedt og endnu ikke er stillet som pant.</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88522983"/>
      <w:r>
        <w:rPr>
          <w:rFonts w:ascii="Times New Roman" w:hAnsi="Times New Roman"/>
          <w:sz w:val="24"/>
          <w:u w:val="none"/>
        </w:rPr>
        <w:t>Generelle bemærkninger</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For at undgå dobbeltberegning finder følgende regel anvendelse på egne dækkede obligationer og securitiseringer, som det indberettende institut har udstedt og ikke afhændet:</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Hvis disse værdipapirer er stillet som pant, skal den del af sikkerhedspuljen/de underliggende aktiver, som ligger bag dem, indberettes i AE-ASS-skemaet som behæftede aktiver. Hvis egne dækkede obligationer eller securitiseringer stilles som pant, er finansieringskilden den nye transaktion, hvori securitiseringerne stilles som pant (centralbankfinansiering eller en anden type sikret finansiering), og ikke den oprindelige udstedelse af dækkede obligationer eller securitiseringer.</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Hvis disse værdipapirer endnu ikke er stillet som pant, skal den del af sikkerhedspuljen/de underliggende aktiver, som ligger bag disse værdipapirer, indberettes i AE-ASS-skemaet som ubehæftede aktiver.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522984"/>
      <w:r>
        <w:rPr>
          <w:rFonts w:ascii="Times New Roman" w:hAnsi="Times New Roman"/>
          <w:sz w:val="24"/>
          <w:u w:val="none"/>
        </w:rPr>
        <w:t>Instrukser vedrørende specifikke rækker</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Egne dækkede obligationer og securitiseringer, som er udstedt og endnu ikke er stillet som pant</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og securitiseringer, som det indberettende institut har udstedt og ikke afhændet, og som er ubehæftede.</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dækkede obligationer, som ikke er afhændet</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dækkede obligationer, som det indberettende institut har udstedt og ikke afhændet, og som er ubehæftede.</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securitiseringer, som ikke er afhændet</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udstedte securitiseringer, som det indberettende institut har udstedt og ikke afhændet, og som er ubehæftede.</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Foranstillede</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Foranstillede trancher af udstedte egne securitiseringer, som det indberettende institut har udstedt og ikke afhændet, og som er ubehæftede.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Jf. artikel 4, stk. 1, nr. 67), i forordning (EU) nr.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Mezzanin</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Mezzanintrancher af udstedte egne securitiseringer, som det indberettende institut har udstedt og ikke afhændet, og som er ubehæftede.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Alle trancher, som ikke er foranstillede trancher, dvs. de sidste til at absorbere tabet eller first loss-trancher, betragtes som mezzanintrancher. Jf. artikel 4, stk. 1, nr. 67), i forordning (EU) nr.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First loss</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First loss-trancher af udstedte egne securitiseringer, som det indberettende institut har udstedt og ikke afhændet, og som er ubehæftede.</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artikel 4, stk. 1, nr. 67), i forordning (EU) nr.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522985"/>
      <w:r>
        <w:rPr>
          <w:rFonts w:ascii="Times New Roman" w:hAnsi="Times New Roman"/>
          <w:sz w:val="24"/>
          <w:u w:val="none"/>
        </w:rPr>
        <w:t>Instrukser vedrørende specifikke kolonner</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Kolonner</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 af den underliggende pulje af aktiver</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den sikkerhedspulje/de underliggende aktiver, som ligger bag egne dækkede obligationer og egne ikke-afhændede værdipapirer, som endnu ikke er stillet som pant.</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udstedte gældsværdipapirer, som kan behæftes</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egne dækkede obligationer og egne securitiseringer, som ikke er afhændet og er ubehæftede, men kan behæftes.</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belånbare i centralbanker</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 af egne dækkede obligationer og egne securitiseringer, som ikke er afhændede og opfylder hver af følgende betingelser:</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de er ubehæftede</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de kan behæftes</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de er belånbare i de centralbanker, som det indberettende institut har adgang til.</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aktiver, der i ubehæftet stand ville kunne klassificeres som EHQLA'er og HQLA'er</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Dagsværdien af modtagne behæftede sikkerheder, herunder i indlån af værdipapirer, eller egne udstedte gældsværdipapirer, som instituttet besidder/ikke har afhændet, og som i ubehæftet stand ville kunne klassificeres som EHQLA'er og HQLA'er.</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 denne forordning forstås ved aktiver, der i ubehæftet stand ville kunne klassificeres som EHQLA'er, og aktiver, der i ubehæftet stand ville kunne klassificeres som HQLA'er, modtagne sikkerhedsposter eller egne udstedte gældsværdipapirer, som instituttet besidder/ikke har afhændet, som er nævnt i artikel 10-13 i delegeret forordning (EU) 2015/61, og som ville være i overensstemmelse med de generelle og operationelle krav, der er fastsat i nævnte delegerede forordnings artikel 7 og 8, hvis det ikke var for deres status som </w:t>
            </w:r>
            <w:r>
              <w:rPr>
                <w:rStyle w:val="InstructionsTabelleberschrift"/>
                <w:rFonts w:ascii="Times New Roman" w:hAnsi="Times New Roman"/>
                <w:b w:val="0"/>
                <w:sz w:val="24"/>
                <w:u w:val="none"/>
              </w:rPr>
              <w:lastRenderedPageBreak/>
              <w:t>behæftede aktiver i overensstemmelse med dette bilag. Behæftede aktiver, der i ubehæftet stand ville kunne klassificeres som EHQLA'er, og behæftede aktiver, der i ubehæftet stand ville kunne klassificeres som HQLA'er, skal også opfylde de eksponeringsklassespecifikke krav i artikel 10-16 og 35-37 i delegeret forordning (EU) 2015/61. Dagsværdien af aktiver, der i ubehæftet stand ville kunne klassificeres som EHQLA'er, og aktiver, der i ubehæftet stand ville kunne klassificeres som HQLA'er, er dagsværdien før anvendelsen af de haircuts, der er anført i artikel 10-16 i delegeret forordning (EU)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udstedte egne gældsværdipapirer, som ikke kan behæftes</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Nominel værdi af egne dækkede obligationer og egne securitiseringer, som ikke er afhændet og er ubehæftede, men også obligationer og securitiseringer, som ikke kan behæftes.</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88522986"/>
      <w:r>
        <w:rPr>
          <w:rFonts w:ascii="Times New Roman" w:hAnsi="Times New Roman"/>
          <w:sz w:val="24"/>
          <w:u w:val="none"/>
        </w:rPr>
        <w:t>Skema: AE-SOU. Behæftelseskilder</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88522987"/>
      <w:bookmarkStart w:id="55" w:name="_Toc348096573"/>
      <w:bookmarkStart w:id="56" w:name="_Toc348097334"/>
      <w:bookmarkStart w:id="57" w:name="_Toc348101355"/>
      <w:r>
        <w:rPr>
          <w:rFonts w:ascii="Times New Roman" w:hAnsi="Times New Roman"/>
          <w:sz w:val="24"/>
          <w:u w:val="none"/>
        </w:rPr>
        <w:t>Generelle bemærkninger</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Dette skema indeholder oplysninger om betydningen for det indberettende institut af forskellige kilder til behæftelse, herunder kilder uden tilknyttet finansiering som f.eks. modtagne låneforpligtelser eller finansielle garantier og udlån af værdipapirer med ikke-kontant sikkerhedsstillelse.</w:t>
      </w:r>
    </w:p>
    <w:p w14:paraId="1A5F7B35" w14:textId="7406514A" w:rsidR="00941FAE" w:rsidRPr="00857276" w:rsidRDefault="00941FAE" w:rsidP="00941FAE">
      <w:pPr>
        <w:pStyle w:val="InstructionsText2"/>
        <w:shd w:val="clear" w:color="auto" w:fill="FFFFFF"/>
        <w:spacing w:after="120"/>
        <w:rPr>
          <w:sz w:val="24"/>
        </w:rPr>
      </w:pPr>
      <w:r>
        <w:rPr>
          <w:sz w:val="24"/>
        </w:rPr>
        <w:t xml:space="preserve">Den samlede beholdning af aktiver og modtagne sikkerheder i AE-ASS- og AE-COL–skemaerne opfylder følgende valideringsregel: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88522988"/>
      <w:r>
        <w:rPr>
          <w:rFonts w:ascii="Times New Roman" w:hAnsi="Times New Roman"/>
          <w:sz w:val="24"/>
          <w:u w:val="none"/>
        </w:rPr>
        <w:t>Instrukser vedrørende specifikke rækker</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Regnskabsmæssig værdi af udvalgte finansielle forpligtelser</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udvalgte finansielle forpligtelser med sikkerhed, for så vidt som disse forpligtelser fører til aktivbehæftelse for det pågældende institut.</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Derivater</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 som er finansielle forpligtelser, dvs. med negativ dagsværdi, for så vidt som disse derivater medfører aktivbehæftelse for det pågældende institut.</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heraf: over-the-counter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 som er finansielle forpligtelser, der handles over-the-counter, for så vidt som disse derivater medfører aktivbehæftelse.</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Indskud</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indskud med sikkerhed, for så vidt som disse forpligtelser fører til aktivbehæftelse for det pågældende institut.</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Genkøbsaftaler</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lastRenderedPageBreak/>
              <w:t>Regnskabsmæssig bruttoværdi (hvor regnskabssystemerne ikke tillader netting) af det indberettende instituts genkøbsaftaler, for så vidt som disse transaktioner fører til aktivbehæftelse for det pågældende institut.</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Genkøbsaftaler er transaktioner, hvor det indberettende institut modtager kontanter til gengæld for finansielle aktiver, solgt til en bestemt pris, og med en forpligtelse til at tilbagekøbe de samme (eller identiske) aktiver til en fast pris på en nærmere angivet dato i fremtiden. Følgende transaktioner af genkøbstypen skal alle indberettes som genkøbsaftaler: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beløb modtaget for værdipapirer, som midlertidigt overføres til tredjemand i form af værdipapirlån mod sikkerhedsstillelse i kontanter, og</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beløb modtaget for værdipapirer, som midlertidigt overføres til tredjemand i form af en salgs- og tilbagekøbsaftale.</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centralbanker</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genkøbsaftaler med centralbanker, for så vidt som disse transaktioner fører til aktivbehæftelse.</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Indskud med sikkerhed, bortset fra genkøbsaftaler</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det indberettende instituts sikrede indskud, bortset fra genkøbsaftaler, for så vidt som disse indskud fører til aktivbehæftelse for det pågældende institut.</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centralbanker</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sikrede indskud, bortset fra genkøbsaftaler med centralbanker, for så vidt som disse indskud fører til aktivbehæftelse for det pågældende institut.</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gældsværdipapirer</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Regnskabsmæssig værdi af det indberettende instituts udstedte gældsværdipapirer, for så vidt som disse udstedte værdipapirer fører til aktivbehæftelse for det pågældende institut.</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Den ikke-afhændede del af en udstedelse skal underkastes den i del A, punkt 15, nr. vi), omhandlede specifikke behandling, således at kun den procentdel af gældsværdipapirerne, der er anbragt uden for koncernens enheder, bliver omfattet af denne kategori.</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udstedte obligationer</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dækkede obligationer, hvis aktiver leveres af det indberettende institut, for så vidt som disse udstedte værdipapirer fører til aktivbehæftelse for det pågældende institut.</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udstedte securitiseringer</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Regnskabsmæssig værdi af securitiseringer udstedt af det indberettende institut, for så vidt som disse udstedte værdipapirer fører til aktivbehæftelse for det pågældende institut.</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behæftelseskilder</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Størrelsen af det indberettende instituts transaktioner med sikkerhedsstillelse, bortset fra finansielle forpligtelser, for så vidt som disse transaktioner fører til aktivbehæftelse for det pågældende institut.</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modtagne låneforpligtelser</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Nominel værdi af låneforpligtelser modtaget af det indberettende institut, for så vidt som disse modtagne forpligtelser fører til aktivbehæftelse for det pågældende institut.</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 af modtagne finansielle garantier</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Nominel værdi af finansielle garantier modtaget af det indberettende institut, for så vidt som disse modtagne garantier fører til aktivbehæftelse for det pågældende institut.</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Dagsværdi af lån af værdipapirer med ikke-kontant sikkerhedsstillelse</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Dagsværdi af det indberettende instituts lån af værdipapirer uden kontant sikkerhedsstillelse, for så vidt som disse transaktioner fører til aktivbehæftelse for det pågældende institut.</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Andet</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Størrelsen af det indberettende instituts transaktioner med sikkerhedsstillelse — bortset fra finansielle forpligtelser — som ikke er posterne anført i række 0130 til 0150, for så vidt som disse transaktioner fører til aktivbehæftelse for det pågældende institut.</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BEHÆFTELSESKILDER I ALT</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Størrelsen af alle det indberettende instituts transaktioner med sikkerhedsstillelse, for så vidt som disse transaktioner fører til aktivbehæftelse for det pågældende institut.</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522989"/>
      <w:r>
        <w:rPr>
          <w:rFonts w:ascii="Times New Roman" w:hAnsi="Times New Roman"/>
          <w:sz w:val="24"/>
          <w:u w:val="none"/>
        </w:rPr>
        <w:t>Instrukser vedrørende specifikke kolonner</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Modsvarende forpligtelser, eventualforpligtelser eller udlånte værdipapirer</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Beløbet for modsvarende finansielle forpligtelser, eventualforpligtelser (modtagne låneforpligtelser og finansielle garantier) og værdipapirer udlånt med ikke-kontant sikkerhedsstillelse, for så vidt som disse transaktioner fører til aktivbehæftelse for det pågældende institut.</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Finansielle forpligtelsers regnskabsmæssige værdi skal indberettes, eventualforpligtelsers nominelle værdi indberettes, og dagsværdien af værdipapirer udlånt med ikke-kontant sikkerhedsstillelse indberettes.</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fra andre enheder i koncernen</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Beløbet for modsvarende finansielle forpligtelser, eventualforpligtelser (modtagne låneforpligtelser og finansielle garantier) og værdipapirer udlånt med ikke-kontant sikkerhedsstillelse, for så vidt som modparten er en anden enhed, som er omfattet af konsolideringsreglerne, og transaktionen fører til aktivbehæftelse for det indberettende institut.</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Reglerne vedrørende beløbstyper kan findes i instrukserne for kolonne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Aktiver, modtagne sikkerheder og egne udstedte gældsværdipapirer, bortset fra dækkede obligationer og behæftede securitiseringer</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Beløbet for aktiver, modtagne sikkerheder og egne udstedte gældsværdipapirer, bortset fra dækkede obligationer og securitiseringer, der er behæftet som følge af de forskellige transaktionstyper, der er specificeret i rækkerne.</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For at sikre overensstemmelse med kriterierne i AE-ASS-skemaet og AE-COL-skemaet skal den regnskabsmæssige værdi af de aktiver, som det indberettende institut har registreret på balancen, indberettes, mens det er dagsværdien af genanvendte modtagne sikkerheder og af behæftede egne udstedte securitiseringer, bortset fra dækkede obligationer og securitiseringer, der skal indberettes.</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genanvendte modtagne sikkerheder</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Dagsværdi af modtagne sikkerheder, som genanvendes/er behæftet som følge af de forskellige transaktionstyper, der er specificeret i rækkerne.</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egne behæftede gældsværdipapirer</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Dagsværdi af egne udstedte værdipapirer, bortset fra dækkede obligationer og securitiseringer, der er behæftet som følge af de forskellige transaktionstyper, der er specificeret i rækkerne.</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88522990"/>
      <w:r>
        <w:rPr>
          <w:rFonts w:ascii="Times New Roman" w:hAnsi="Times New Roman"/>
          <w:b/>
          <w:sz w:val="24"/>
          <w:u w:val="none"/>
        </w:rPr>
        <w:t>Del B: Løbetidsdata</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522991"/>
      <w:r>
        <w:rPr>
          <w:rFonts w:ascii="Times New Roman" w:hAnsi="Times New Roman"/>
          <w:sz w:val="24"/>
          <w:u w:val="none"/>
        </w:rPr>
        <w:t>Generelle bemærkninger</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skemaet i del B giver en generel oversigt over værdien af behæftede aktiver og modtagne og genanvendte sikkerheder, som hører under de definerede intervaller for modsvarende passivers restløbetid.</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88522992"/>
      <w:r>
        <w:rPr>
          <w:rFonts w:ascii="Times New Roman" w:hAnsi="Times New Roman"/>
          <w:sz w:val="24"/>
          <w:u w:val="none"/>
        </w:rPr>
        <w:t>Skema: AE-MAT. Løbetidsdata</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522993"/>
      <w:r>
        <w:rPr>
          <w:rFonts w:ascii="Times New Roman" w:hAnsi="Times New Roman"/>
          <w:sz w:val="24"/>
          <w:u w:val="none"/>
        </w:rPr>
        <w:t>Instrukser vedrørende specifikke rækker</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Behæftede aktiver</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forbindelse med dette skema omfatter behæftede aktiver alle følgende aktiver:</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det indberettende instituts aktiver (jf. instrukserne vedrørende række 0010 i AE-ASS-skemaet), hvis regnskabsmæssige værdi indberettes</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egne udstedte gældsværdipapirer - bortset fra dækkede obligationer eller securitiseringer (jf. instrukserne for række 240 i AE-COL-skemaet) - hvis dagsværdi indberettes.</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Disse beløb fordeles mellem de restløbetidsintervaller, der er specificeret i kolonnerne, i henhold til behæftelseskildens restløbetid (modsvarende forpligtelser, eventualforpligtelser eller transaktioner med udlån af værdipapirer).</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Modtagne sikkerheder, som genanvendes (modtagelse)</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Jf. instrukserne til række 130 i AE-COL-skemaet og række 0040 i AE-SOU-skemaet.</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Institutterne indberetter beløbene til dagsværdi og fordeler dem mellem de restløbetidsintervaller, der er specificeret i kolonnerne, i henhold til restløbetiden for den transaktion, som førte til den pågældende enheds modtagelse af sikkerheder, som genanvendes (modtagelsesbenet).</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Modtagne sikkerheder, som genanvendes (genanvendelse)</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Jf. instrukserne til række 130 i AE-COL-skemaet og række 0040 i AE-SOU-skemaet.</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indberetter beløbene til dagsværdi og fordeler dem mellem de restløbetidsintervaller, der er specificeret i kolonnerne, i henhold til behæftelseskildens restløbetid (genanvendelsesbenet): modsvarende forpligtelser, eventualforpligtelser eller transaktioner med udlån af værdipapirer.</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522994"/>
      <w:r>
        <w:rPr>
          <w:rFonts w:ascii="Times New Roman" w:hAnsi="Times New Roman"/>
          <w:sz w:val="24"/>
          <w:u w:val="none"/>
        </w:rPr>
        <w:t>Instrukser vedrørende specifikke kolonner</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Åben løbetid</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På anfordring, uden specifik forfaldsdato</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Dag til dag</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mindre end eller lig med 1 dag</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dag&lt;=1 uge</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 dag, men mindre end eller lig med 1 uge</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uge&lt;=2 uger</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 uge, men mindre end eller lig med 2 uger</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uger &lt;=1 måned</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2 uger, men mindre end eller lig med 1 måned</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måned &lt;=3 måneder</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 måned, men mindre end eller lig med 3 måneder</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måneder &lt;=6 måneder</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3 måneder, men mindre end eller lig med 6 måneder</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måneder&lt;=1 år</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6 måneder, men mindre end eller lig med 1 år</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år &lt;=2 år</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 år, men mindre end eller lig med 2 år</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år &lt;=3 år</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2 år, men mindre end eller lig med 3 år</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år &lt;=5 år</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3 år, men mindre end eller lig med 5 år</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år &lt;=10 år</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5 år, men mindre end eller lig med 10 år</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år</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Løbetid over 10 år</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88522995"/>
      <w:r>
        <w:rPr>
          <w:rFonts w:ascii="Times New Roman" w:hAnsi="Times New Roman"/>
          <w:b/>
          <w:sz w:val="24"/>
          <w:u w:val="none"/>
        </w:rPr>
        <w:t>Del C: Betinget behæftelse</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522996"/>
      <w:r>
        <w:rPr>
          <w:rFonts w:ascii="Times New Roman" w:hAnsi="Times New Roman"/>
          <w:sz w:val="24"/>
          <w:u w:val="none"/>
        </w:rPr>
        <w:t>Generelle bemærkninger</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I dette skema skal institutterne beregne aktivbehæftelsesniveauet, der indebærer en række stressscenarier.</w:t>
      </w:r>
    </w:p>
    <w:p w14:paraId="3FD4CD31" w14:textId="22F9A8A4" w:rsidR="00941FAE" w:rsidRPr="00857276" w:rsidRDefault="00941FAE" w:rsidP="00941FAE">
      <w:pPr>
        <w:pStyle w:val="InstructionsText2"/>
        <w:shd w:val="clear" w:color="auto" w:fill="FFFFFF"/>
        <w:spacing w:after="120"/>
        <w:rPr>
          <w:sz w:val="24"/>
        </w:rPr>
      </w:pPr>
      <w:r>
        <w:rPr>
          <w:sz w:val="24"/>
        </w:rPr>
        <w:t>Betinget behæftelse vedrører yderligere aktiver, som det kan være nødvendigt at behæfte, hvis det indberettende institut oplever en negativ udvikling som følge af eksterne begivenheder, som det ikke er herre over (herunder en nedjustering, et fald i behæftede aktivers dagsværdi eller generel svigtende tillid). I sådanne tilfælde må det indberettende institut behæfte yderligere aktiver som følge af eksisterende transaktioner. Det supplerende beløb for behæftede aktiver skal opgøres uden virkningerne af instituttets risikoafdækningstransaktioner mod de begivenheder, der er beskrevet i forbindelse med førnævnte stressscenarier.</w:t>
      </w:r>
    </w:p>
    <w:p w14:paraId="61D0A026" w14:textId="22751820" w:rsidR="00941FAE" w:rsidRPr="00857276" w:rsidRDefault="00941FAE" w:rsidP="00941FAE">
      <w:pPr>
        <w:pStyle w:val="InstructionsText2"/>
        <w:shd w:val="clear" w:color="auto" w:fill="FFFFFF"/>
        <w:spacing w:after="120"/>
        <w:rPr>
          <w:sz w:val="24"/>
        </w:rPr>
      </w:pPr>
      <w:r>
        <w:rPr>
          <w:sz w:val="24"/>
        </w:rPr>
        <w:t>Dette skema omfatter følgende to scenarier for indberetning af betinget behæftelse, som beskrives mere indgående i punkt 4.1.1. og 4.1.2. De oplysninger, der indberettes, skal være instituttets rimelige skøn baseret på de bedste tilgængelige oplysninger.</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t>Et fald på 30 % i de behæftede aktivers dagsværdi. Dette scenario dækker kun en ændring i aktivernes underliggende værdi og ikke eventuelle andre ændringer, som kan påvirke deres regnskabsmæssige værdi som f.eks. valutakursgevinster eller -tab eller potentiel værdiforringelse. Det indberettende institut kan så blive tvunget til at stille mere sikkerhed for at opretholde værdien af sikkerhedsstillelsen.</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En nedskrivning på 10 % af hver valuta, hvori instituttet har samlede forpligtelser, som udgør mindst 5 % af instituttets samlede passiver.</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Scenarierne skal indberettes uafhængigt af hinanden, og valutadeprecieringer af væsentlig betydning skal også indberettes uafhængigt af deprecieringer af andre valutaer af væsentlig betydning. Følgelig skal institutterne ikke tage korrelationer mellem scenarierne i betragtning.</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88522997"/>
      <w:r>
        <w:rPr>
          <w:rFonts w:ascii="Times New Roman" w:hAnsi="Times New Roman"/>
          <w:sz w:val="24"/>
          <w:u w:val="none"/>
        </w:rPr>
        <w:t>Scenario A: Et fald på 30 % i de behæftede aktivers værdi</w:t>
      </w:r>
      <w:bookmarkEnd w:id="79"/>
    </w:p>
    <w:p w14:paraId="3065C7EF" w14:textId="5BB6B2F3" w:rsidR="00941FAE" w:rsidRPr="00857276" w:rsidRDefault="00941FAE" w:rsidP="00941FAE">
      <w:pPr>
        <w:pStyle w:val="InstructionsText2"/>
        <w:spacing w:after="120"/>
        <w:rPr>
          <w:sz w:val="24"/>
        </w:rPr>
      </w:pPr>
      <w:r>
        <w:rPr>
          <w:sz w:val="24"/>
        </w:rPr>
        <w:t>Det antages, at alle behæftede aktivers værdi falder med 30 %. Ved fastlæggelse af behovet for yderligere sikkerhedsstillelse som følge af et sådant fald skal der tages hensyn til den eksisterende supplerende sikkerhed ud over det krævede, således at kun det minimale sikkerhedsstillelsesniveau opretholdes. Ved fastlæggelse af behovet for yderligere sikkerhedsstillelse skal der også tages hensyn til de kontrakt- og aftalemæssige krav, der påvirkes, herunder udløsningstærskler.</w:t>
      </w:r>
    </w:p>
    <w:p w14:paraId="4BB3DCA3" w14:textId="77777777" w:rsidR="00941FAE" w:rsidRPr="00857276" w:rsidRDefault="00941FAE" w:rsidP="00941FAE">
      <w:pPr>
        <w:pStyle w:val="InstructionsText2"/>
        <w:spacing w:after="120"/>
        <w:rPr>
          <w:sz w:val="24"/>
        </w:rPr>
      </w:pPr>
      <w:r>
        <w:rPr>
          <w:sz w:val="24"/>
        </w:rPr>
        <w:lastRenderedPageBreak/>
        <w:t>Kun kontrakter og aftaler med en juridisk forpligtelse til levering af yderligere sikkerhedsstillelse skal medtages. Dette omfatter udstedelse af dækkede obligationer, hvor der er et juridisk krav om at opretholde et minimumsniveau for supplerede sikkerhedsstillelse, men ikke noget krav om at opretholde den eksisterende rating for den dækkede obligation.</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88522998"/>
      <w:r>
        <w:rPr>
          <w:rFonts w:ascii="Times New Roman" w:hAnsi="Times New Roman"/>
          <w:sz w:val="24"/>
          <w:u w:val="none"/>
        </w:rPr>
        <w:t>Scenario B: En nedskrivning på 10 % af valutaer af væsentlig betydning</w:t>
      </w:r>
      <w:bookmarkEnd w:id="80"/>
    </w:p>
    <w:p w14:paraId="5E76C9DE" w14:textId="5D7CDB33" w:rsidR="00941FAE" w:rsidRPr="00857276" w:rsidRDefault="00941FAE" w:rsidP="00941FAE">
      <w:pPr>
        <w:pStyle w:val="InstructionsText2"/>
        <w:spacing w:after="120"/>
        <w:rPr>
          <w:sz w:val="24"/>
        </w:rPr>
      </w:pPr>
      <w:r>
        <w:rPr>
          <w:sz w:val="24"/>
        </w:rPr>
        <w:t>En valuta er af væsentlig betydning, hvis instituttet har samlede forpligtelser i den pågældende valuta, som udgør mindst 5 % af instituttets samlede passiver.</w:t>
      </w:r>
    </w:p>
    <w:p w14:paraId="0E2B3433" w14:textId="6DEB281A" w:rsidR="00941FAE" w:rsidRPr="00857276" w:rsidRDefault="00941FAE" w:rsidP="00941FAE">
      <w:pPr>
        <w:pStyle w:val="InstructionsText2"/>
        <w:spacing w:after="120"/>
        <w:rPr>
          <w:sz w:val="24"/>
        </w:rPr>
      </w:pPr>
      <w:r>
        <w:rPr>
          <w:sz w:val="24"/>
        </w:rPr>
        <w:t>Ved beregningen af en depreciering på 10 % skal der tages højde for ændringer på både aktiv- og passivsiden, dvs. at der skal fokuseres på uoverensstemmelser mellem aktiver og passiver. F.eks. medfører en genkøbsaftale i USD, der er baseret på aktiver i USD, ikke yderligere behæftelse, hvorimod en genkøbsaftale i USD, der er baseret på aktiver i EUR, medfører yderligere behæftelse.</w:t>
      </w:r>
    </w:p>
    <w:p w14:paraId="2A7E473E" w14:textId="77777777" w:rsidR="00941FAE" w:rsidRPr="00857276" w:rsidRDefault="00941FAE" w:rsidP="00941FAE">
      <w:pPr>
        <w:pStyle w:val="InstructionsText2"/>
        <w:spacing w:after="120"/>
        <w:rPr>
          <w:sz w:val="24"/>
        </w:rPr>
      </w:pPr>
      <w:r>
        <w:rPr>
          <w:sz w:val="24"/>
        </w:rPr>
        <w:t>Alle transaktioner, som involverer mere end én valuta, skal være omfattet af denne beregning.</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88522999"/>
      <w:r>
        <w:rPr>
          <w:rFonts w:ascii="Times New Roman" w:hAnsi="Times New Roman"/>
          <w:sz w:val="24"/>
          <w:u w:val="none"/>
        </w:rPr>
        <w:t>Skema: AE-CONT. Betinget behæftelse</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88523000"/>
      <w:r>
        <w:rPr>
          <w:rFonts w:ascii="Times New Roman" w:hAnsi="Times New Roman"/>
          <w:sz w:val="24"/>
          <w:u w:val="none"/>
        </w:rPr>
        <w:t>Instrukser vedrørende specifikke rækker</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Se instrukserne vedrørende specifikke rækker i AE-SOU-skemaet i punkt 2.4.2. Indholdet i rækkerne i dette AE-CONT-skemaet afviger ikke fra AE-SOU-skemaet.</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8523001"/>
      <w:r>
        <w:rPr>
          <w:rFonts w:ascii="Times New Roman" w:hAnsi="Times New Roman"/>
          <w:sz w:val="24"/>
          <w:u w:val="none"/>
        </w:rPr>
        <w:t>Instrukser vedrørende specifikke kolonner</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Modsvarende forpligtelser, eventualforpligtelser eller udlånte værdipapirer</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instrukser og data som for kolonne 0010 i AE-SOU-skemaet. Beløbet for modsvarende finansielle forpligtelser, eventualforpligtelser (modtagne låneforpligtelser og finansielle garantier) og værdipapirer udlånt med ikke-kontant sikkerhedsstillelse, for så vidt som disse transaktioner fører til aktivbehæftelse for det pågældende institut.</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Som for hver enkelt række i skemaet skal institutterne indberette den regnskabsmæssige værdi af finansielle forpligtelser, den nominelle værdi af eventualforpligtelser og dagsværdien af værdipapirer udlånt med ikke-kontant sikkerhedsstillelse.</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Supplerende beløb for behæftede aktiver</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Supplerende beløb for aktiver, som vil blive behæftet som følge af en lovgivnings- eller kontraktmæssig bestemmelse, som finder anvendelse i tilfælde af scenario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Ifølge instrukserne i del A skal institutterne indberette disse beløbs regnskabsmæssige værdi, hvis beløbet er relateret til det indberettende instituts aktiver, eller dagsværdien, hvis det er relateret til modtagne sikkerheder. Beløb, som overstiger instituttets ikke-behæftede aktiver og sikkerheder, indberettes til dagsværdien.</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Supplerende beløb for behæftede aktiver. Valuta af væsentlig betydning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Supplerende beløb for aktiver, som vil blive behæftet som følge af en lovgivnings- eller kontraktmæssig bestemmelse, som finder anvendelse i tilfælde af depreciering af valuta af væsentlig betydning nummer 1 i scenario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Jf. reglerne for beløbstyperne vedrørende række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Supplerende beløb for behæftede aktiver. Valuta af væsentlig betydning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Supplerende beløb for aktiver, som vil blive behæftet som følge af en lovgivnings- eller kontraktmæssig bestemmelse, som finder anvendelse i tilfælde af depreciering af valuta af væsentlig betydning nummer 2 i scenario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Jf. reglerne for beløbstyperne vedrørende række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88523002"/>
      <w:r>
        <w:rPr>
          <w:rFonts w:ascii="Times New Roman" w:hAnsi="Times New Roman"/>
          <w:b/>
          <w:sz w:val="24"/>
          <w:u w:val="none"/>
        </w:rPr>
        <w:t>Del D: Dækkede obligationer</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523003"/>
      <w:r>
        <w:rPr>
          <w:rFonts w:ascii="Times New Roman" w:hAnsi="Times New Roman"/>
          <w:sz w:val="24"/>
          <w:u w:val="none"/>
        </w:rPr>
        <w:t>Generelle bemærkninger</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Oplysningerne i dette skema indberettes for alle UCITS-konforme dækkede obligationer, der er udstedt af det indberettende institut. UCITS-konforme dækkede obligationer er obligationer som omhandlet i artikel 52, stk. 4, første afsnit, i direktiv 2009/65/EF. Disse er dækkede obligationer udstedt af det indberettende institut, hvis det indberettende institut, hvad angår den dækkede obligation, i henhold til den gældende lovgivning er underkastet et særligt offentligt tilsyn med henblik på at beskytte indehaverne af disse obligationer, og hvis det for en sådan dækket obligation kræves, at provenuet fra udstedelse af sådanne obligationer i henhold til loven investeres i aktiver, der i tilstrækkelig grad i obligationernes samlede løbetid dækker de forpligtelser, der følger heraf, og som ifølge fortrinsret anvendes til tilbagebetaling af hovedstol og betaling af de påløbne renter i tilfælde af misligholdelse fra udstederens side.</w:t>
      </w:r>
    </w:p>
    <w:p w14:paraId="140F1257" w14:textId="77777777" w:rsidR="00941FAE" w:rsidRPr="00857276" w:rsidRDefault="00941FAE" w:rsidP="00941FAE">
      <w:pPr>
        <w:pStyle w:val="InstructionsText2"/>
        <w:shd w:val="clear" w:color="auto" w:fill="FFFFFF"/>
        <w:spacing w:after="120"/>
        <w:rPr>
          <w:sz w:val="24"/>
        </w:rPr>
      </w:pPr>
      <w:r>
        <w:rPr>
          <w:sz w:val="24"/>
        </w:rPr>
        <w:t>Dækkede obligationer, som udstedes på vegne af det indberettende institut og ikke er UCITS-konforme dækkede obligationer, skal ikke indberettes i AE-CB-skemaet.</w:t>
      </w:r>
    </w:p>
    <w:p w14:paraId="213F4CC7" w14:textId="77777777" w:rsidR="00941FAE" w:rsidRPr="00857276" w:rsidRDefault="00941FAE" w:rsidP="00941FAE">
      <w:pPr>
        <w:pStyle w:val="InstructionsText2"/>
        <w:shd w:val="clear" w:color="auto" w:fill="FFFFFF"/>
        <w:spacing w:after="120"/>
        <w:rPr>
          <w:sz w:val="24"/>
        </w:rPr>
      </w:pPr>
      <w:r>
        <w:rPr>
          <w:sz w:val="24"/>
        </w:rPr>
        <w:t>Indberetningen skal baseres på de lovbestemte regler for dækkede obligationer, dvs. de retlige rammer for programmer for udstedelse af dækkede obligationer.</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88523004"/>
      <w:r>
        <w:rPr>
          <w:rFonts w:ascii="Times New Roman" w:hAnsi="Times New Roman"/>
          <w:sz w:val="24"/>
          <w:u w:val="none"/>
        </w:rPr>
        <w:t>Skema: AE-CB. Udstedelse af dækkede obligationer</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88523005"/>
      <w:bookmarkStart w:id="92" w:name="_Toc348096589"/>
      <w:bookmarkStart w:id="93" w:name="_Toc348097349"/>
      <w:bookmarkStart w:id="94" w:name="_Toc348101370"/>
      <w:r>
        <w:rPr>
          <w:rFonts w:ascii="Times New Roman" w:hAnsi="Times New Roman"/>
          <w:sz w:val="24"/>
          <w:u w:val="none"/>
        </w:rPr>
        <w:t>Instrukser vedrørende z-aksen.</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z-akse</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 for sikkerhedspuljen (åben)</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ID for sikkerhedspuljen består af navnet eller en præcis forkortelse for den enhed, der udsteder sikkerhedspuljen, og betegnelsen for den sikkerhedspulje, som individuelt set er omfattet af sikkerhedsreglerne vedrørende den relevante dækkede obligation.</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88523006"/>
      <w:r>
        <w:rPr>
          <w:rFonts w:ascii="Times New Roman" w:hAnsi="Times New Roman"/>
          <w:sz w:val="24"/>
          <w:u w:val="none"/>
        </w:rPr>
        <w:lastRenderedPageBreak/>
        <w:t>Instrukser vedrørende specifikke rækker</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Nominel værdi</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Den nominelle værdi er summen af krav om tilbagebetaling af hovedstolen, fastsat i overensstemmelse med de regler for de relevante lovbestemte regler for dækkede obligationer, som finder anvendelse ved fastsættelse af tilstrækkelig dækning.</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Nutidsværdi (swap)/markedsværdi</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Nutidsværdien (swap) er summen af krav på betaling af hovedstol og renter, som diskonteret ved hjælp af en valutaspecifik risikofri rentekurve og fastsat i overensstemmelse med de relevante lovbestemte regler for dækkede obligationer, som finder anvendelse ved fastsættelse af tilstrækkelig dækning.</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I kolonne 0080 og 0210 vedrørende derivatpositioner i sikkerhedspuljen skal markedsværdien indberettes.</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Aktivspecifik værdi</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Den aktivspecifikke værdi er den økonomiske værdi af aktiverne i sikkerhedspuljen, som kan beskrives som en dagsværdi i henhold til IFRS 13, en markedsværdi, der kan konstateres på grundlag af transaktioner, der er gennemført på likvide markeder, eller en nutidsværdi, hvor fremtidige pengestrømme for et aktiv diskonteres ved hjælp af en aktivspecifik rentekurve.</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Regnskabsmæssig værdi</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Den regnskabsmæssige værdi af en forpligtelse vedrørende en dækket obligation eller et aktiv i sikkerhedspuljen er regnskabsværdien hos udstederen af den dækkede obligation.</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523007"/>
      <w:r>
        <w:rPr>
          <w:rFonts w:ascii="Times New Roman" w:hAnsi="Times New Roman"/>
          <w:sz w:val="24"/>
          <w:u w:val="none"/>
        </w:rPr>
        <w:t>Instrukser vedrørende specifikke kolonner</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Overholdelse af artikel 129 i forordning (EU) nr. 575/2013 [JA/NEJ]</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Institutterne skal specificere, hvorvidt sikkerhedspuljen overholder kravene i artikel 129 i forordning (EU) nr. 575/2013, for at være berettiget til den i artikel 129, stk. 4 og 5, i nævnte forordning omhandlede præferencebehandling.</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Hvis JA, anføres sikkerhedspuljens primære aktivklasse</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Hvis sikkerhedspuljen er berettiget til den i artikel 5, stk. 129 og 4, i forordning (EU) nr. 575/2013 omhandlede præferencebehandling (der er svaret JA i kolonne 0011), anføres sikkerhedspuljens primære aktivklasse i dette felt. Klassificeringen i artikel 129, stk. 1, i nævnte forordning anvendes til dette formål, og kode "a", "b", "c", "d", "e", "f" eller "g" anføres, alt efter hvad der er relevant. Kode "h" anvendes, når sikkerhedspuljens primære aktivklasse ikke hører under nogen af ovennævnte kategorier.</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Forpligtelser vedrørende dækkede obligationer</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 xml:space="preserve">Forpligtelser vedrørende dækkede obligationer er den udstedende enheds forpligtelser som følge af udstedelsen af dækkede obligationer og omfatter alle </w:t>
            </w:r>
            <w:r>
              <w:rPr>
                <w:rFonts w:ascii="Times New Roman" w:hAnsi="Times New Roman"/>
                <w:sz w:val="24"/>
              </w:rPr>
              <w:lastRenderedPageBreak/>
              <w:t>poster som defineret i de lovbestemte regler for dækkede obligationer, som er omfattet af de relevante beskyttelsesforanstaltninger for dækkede obligationer (dette kan f.eks. omfatte værdipapirer, som er i omløb, samt positioner for modparter til udstederen af dækkede obligationer under derivatpositioner med en - set fra den dækkede obligations udsteders synspunkt - negativ markedsværdi, som er tildelt sikkerhedspuljen og behandles som beslægtede forpligtelser vedrørende dækkede obligationer i overensstemmelse med de relevante lovbestemte regler for dækkede obligationer).</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Indberetningsdato</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for forpligtelser vedrørende dækkede obligationer, bortset fra derivatpositioner i sikkerhedspuljen, i henhold til de forskellige fremtidige datointervaller.</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måneder</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Datoen "+ 6 måneder" er tidspunktet 6 måneder efter referencedatoen for indberetningen. Når beløbene anføres, skal det antages, at der bortset fra afskrivninger ikke er ændringer i forpligtelserne vedrørende dækkede obligationer set i forhold til referencedatoen for indberetningen. Hvis der ikke findes en fast betalingsplan, skal den forventede løbetid for beløb, der forfalder på en dato i fremtiden, anvendes konsekvent.</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måneder - + 10 år</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"+6 måneder" (kolonne 0030) for det pågældende tidspunkt efter referencedatoen for indberetningen.</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sikkerhedspuljen med negativ markedsværdi opgjort netto</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negative markedsværdi opgjort netto for derivatpositioner i sikkerhedspuljen, som set fra den dækkede obligations udsteders synspunkt har en negativ markedsværdi opgjort netto.</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sikkerhedspuljen er nettoderivatpositioner, som i overensstemmelse med de relevante lovbestemte regler for dækkede obligationer er blevet inkluderet i sikkerhedspuljen og er omfattet af sikkerhedsreglerne vedrørende den relevante dækkede obligation, for så vidt som sådanne derivatpositioner med negativ markedsværdi kræver dækning af kvalificerede aktiver i sikkerhedspuljen.</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Den negative markedsværdi opgjort netto skal kun indberettes for referencedatoen for indberetningen.</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Ekstern kreditvurdering af den dækkede obligation</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Institutterne skal anføre oplysninger om eksterne kreditvurderinger af den pågældende dækkede obligation på indberetningsdatoen.</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 xml:space="preserve">Hvis mindst et kreditvurderingsbureau har udarbejdet en kreditvurdering på indberetningsdatoen, skal instituttet anføre navnet på mindst et af disse kreditvurderingsbureauer her. Hvis mere end tre kreditvurderingsbureauer har udarbejdet kreditvurderinger på indberetningsdatoen, skal de tre </w:t>
            </w:r>
            <w:r>
              <w:rPr>
                <w:rStyle w:val="InstructionsTabelleberschrift"/>
                <w:rFonts w:ascii="Times New Roman" w:hAnsi="Times New Roman"/>
                <w:b w:val="0"/>
                <w:sz w:val="24"/>
                <w:u w:val="none"/>
              </w:rPr>
              <w:lastRenderedPageBreak/>
              <w:t>kreditvurderingsbureauer, som der afgives oplysninger til, udvælges på grundlag af deres markedsrepræsentation.</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Kreditvurderingen udstedt af det kreditvurderingsbureau, der er indberettet i kolonne 0090, for den dækkede obligation pr. referencedatoen for indberetningen.</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Hvis samme kreditvurderingsbureau har udarbejdet både lang- og kortfristede kreditvurderinger, skal den langfristede kreditvurdering indberettes. Den kreditvurdering, der indberettes, skal omfatte eventuelle modifikatorer.</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2 og kreditvurderingsbureau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kreditvurderingsbureau 1 (kolonne 0090) for yderligere kreditvurderingsbureauer, som har udstedt kreditvurderinger for den dækkede obligation pr. referencedatoen for indberetningen.</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Kreditvurdering 2 og kreditvurdering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kreditvurdering 1 (kolonne 0100) for yderligere kreditvurderinger udstedt af kreditvurderingsbureau 2 og 3 for den dækkede obligation pr. referencedatoen for indberetningen.</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Dækningspulje</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Sikkerhedspuljen (dækningspuljen) består af alle positioner, herunder derivatpositioner, som set fra den dækkede obligations udsteders synspunkt har en positiv markedsværdi opgjort netto og er omfattet af sikkerhedsreglerne vedrørende den relevante dækkede obligation.</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Indberetningsdato</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Beløb for aktiver i sikkerhedspuljen, bortset fra derivatpositioner i sikkerhedspuljen.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Dette beløb omfatter minimumskravet for for stor sikkerhedsstillelse plus eventuel yderligere for stor sikkerhedsstillelse, der overstiger minimumskravet, i overensstemmelse med sikkerhedsreglerne vedrørende den relevante dækkede obligation.</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måneder</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Indberetningsdatoen "+ 6 måneder" er tidspunktet 6 måneder efter referencedatoen for indberetningen. Når institutterne indberetter beløbene, skal det antages, at der bortset fra afskrivninger ikke er ændringer i sikkerhedspuljen set i forhold til referencedatoen for indberetningen. Hvis der ikke findes en fast betalingsplan, skal den forventede løbetid for beløb, der forfalder på en dato i fremtiden, anvendes konsekvent.</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måneder - + 10 år</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Som "+6 måneder" (kolonne 0160) for det pågældende tidspunkt efter referencedatoen for indberetningen.</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Derivatpositioner i sikkerhedspuljen med positiv markedsværdi opgjort netto</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Den positive markedsværdi opgjort netto for derivatpositioner i sikkerhedspuljen, som set fra den dækkede obligations udsteders synspunkt har en positiv markedsværdi opgjort netto.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Derivatpositioner i sikkerhedspuljen er nettoderivatpositioner, som i overensstemmelse med de relevante lovbestemte regler for dækkede obligationer er blevet inkluderet i sikkerhedspuljen og er omfattet af sikkerhedsreglerne vedrørende den relevante dækkede obligation, for så vidt som sådanne derivatpositioner med positiv markedsværdi ikke ville indgå i den dækkede obligations udsteders generelle konkursbo.</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Den positive markedsværdi opgjort netto skal kun indberettes for indberetningsdatoen.</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Beløb i dækningspuljen, som overstiger kravene om minimumsdækning</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i sikkerhedspuljen (dækningspuljen), herunder derivatpositioner i sikkerhedspuljen med positive markedsværdier opgjort netto, som overstiger kravene om minimumsdækning (supplerende sikkerhedsstillelse).</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henhold til den relevante vedtægtsmæssige ordning for dækkede obligationer</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for den supplerende sikkerhedsstillelse set i forhold til kravene om minimumsdækning i de relevante lovbestemte regler for dækkede obligationer.</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henhold til kreditvurderingsbureauernes metode for opretholdelse af den eksterne kreditvurdering af dækkede obligationer</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for den supplerende sikkerhedsstillelse set i forhold til det niveau, som i henhold til de oplysninger om det relevante kreditvurderingsbureaus metode, som udstederen af de dækkede obligationer råder over, mindst kræves for at opretholde den kreditvurdering, som det pågældende kreditvurderingsbureau har udstedt.</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Beløb for den supplerende sikkerhedsstillelse set i forhold til det niveau, som i henhold til de oplysninger om kreditvurderingsbureau 1's metode (kolonne 0090), som udstederen af de dækkede obligationer råder over, mindst kræves for at opretholde kreditvurdering 1 (kolonne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Kreditvurderingsbureau 2 og kreditvurderingsbureau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Instrukserne for kreditvurderingsbureau 1 (kolonne 0230) anvendes også på kreditvurderingsbureau 2 (kolonne 0110) og kreditvurderingsbureau 3 (kolonne 0130).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523008"/>
      <w:bookmarkEnd w:id="100"/>
      <w:bookmarkEnd w:id="101"/>
      <w:bookmarkEnd w:id="102"/>
      <w:bookmarkEnd w:id="103"/>
      <w:bookmarkEnd w:id="104"/>
      <w:bookmarkEnd w:id="105"/>
      <w:r>
        <w:rPr>
          <w:rFonts w:ascii="Times New Roman" w:hAnsi="Times New Roman"/>
          <w:b/>
          <w:sz w:val="24"/>
          <w:u w:val="none"/>
        </w:rPr>
        <w:t>Del E: Avancerede data</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523009"/>
      <w:r>
        <w:rPr>
          <w:rFonts w:ascii="Times New Roman" w:hAnsi="Times New Roman"/>
          <w:sz w:val="24"/>
          <w:u w:val="none"/>
        </w:rPr>
        <w:t>Generelle bemærkninger</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Del E følger samme struktur som skemaet for oversigt over behæftelse i del A i bilag I med forskellige skemaer for henholdsvis behæftelse af det indberettende instituts aktiver og modtagne sikkerheder: Henholdsvis AE-ADV1 og AE-ADV2. Følgelig svarer modsvarende forpligtelser til de forpligtelser, der er sikret med de behæftede aktiver, og der er ikke behov for nogen én-til-én-relation.</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88523010"/>
      <w:r>
        <w:rPr>
          <w:rFonts w:ascii="Times New Roman" w:hAnsi="Times New Roman"/>
          <w:sz w:val="24"/>
          <w:u w:val="none"/>
        </w:rPr>
        <w:lastRenderedPageBreak/>
        <w:t>Skema: AE-ADV1. Avanceret skema for det indberettende instituts aktiver</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523011"/>
      <w:r>
        <w:rPr>
          <w:rFonts w:ascii="Times New Roman" w:hAnsi="Times New Roman"/>
          <w:sz w:val="24"/>
          <w:u w:val="none"/>
        </w:rPr>
        <w:t>Instrukser vedrørende specifikke rækker</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Rækker</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Centralbankfinansiering (alle typer, herunder f.eks. genkøbsaftaler)</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Alle det indberettende instituts typer forpligtelser, hvori transaktionens modpart er en centralbank.</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Aktiver, der er forhåndsanbragt hos centralbanker, skal ikke behandles som behæftede aktiver, medmindre centralbanken ikke tillader tilbagetrækning af anbragte aktiver uden forudgående godkendelse. Hvad angår uudnyttede finansielle garantier, fordeles den uudnyttede del, dvs. efter fradrag af det minimumsbeløb, som centralbanken kræver, på pro rata-basis blandt de aktiver, der er anbragt i centralbanken.</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Børshandlede derivater</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sikkerhedsstillelse, som er finansielle forpligtelser, for så vidt som disse derivater noteres og handles på en anerkendt eller godkendt børs og fører til aktivbehæftelse for det pågældende institut.</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Derivater, der handles over-the-counter</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det indberettende instituts derivater med sikkerhedsstillelse, som er finansielle forpligtelser, for så vidt som disse derivater handles over-the-counter og fører til aktivbehæftelse for det pågældende institut. samme instrukser i kolonne 030 i AE-SOU-skemaet.</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Genkøbsaftaler</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Regnskabsmæssig værdi af det indberettende instituts genkøbsaftaler, hvori transaktionens modpart ikke er en centralbank, for så vidt som disse transaktioner medfører aktivbehæftelse for det pågældende institut.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Trepartsgenkøbsaftaler bør behandles på samme måde som genkøbsaftaler, for så vidt som disse transaktioner medfører aktivbehæftelse for det indberettende institut.</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Indskud med sikkerhed, bortset fra genkøbsaftaler</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Regnskabsmæssig værdi af indskud med sikkerhed, bortset fra det indberettende instituts genkøbsaftaler, hvori transaktionens modpart ikke er en centralbank, for så vidt som disse indskud medfører aktivbehæftelse for det pågældende institut.</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dækkede obligationer</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0100 i AE-ASS-skemaet.</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securitiseringer</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0110 i AE-ASS-skemaet.</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Udstedte gældsværdipapirer, bortset fra dækkede obligationer og securitiseringer</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Regnskabsmæssig værdi af gældsværdipapirer udstedt af det indberettende institut, bortset fra dækkede obligationer og securitiseringer, for så vidt som disse udstedte værdipapirer fører til aktivbehæftelse for det pågældende institut.</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Hvis det indberettende institut har undladt at afhænde en del af de udstedte gældsværdipapirer, enten fra udstedelsesdatoen eller et senere tidspunkt, som følge af en genkøbsforretning, bør disse ikke-afhændede værdipapirer ikke anføres under denne post. Desuden bør den sikkerhedsstillelse, som knyttes til dem, klassificeres som ubehæftet i forbindelse med dette skema.</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behæftelseskilder</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0120 i AE-ASS-skemaet.</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Behæftede aktiver i alt</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For hver aktivtype, der er specificeret i rækkerne i AE-ADV1-skemaet anføres den regnskabsmæssige værdi af de aktiver, som det indberettende institut besidder, og som er behæftede.</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hver aktivtype, der er specificeret i rækkerne i AE-ADV1-skemaet anføres den regnskabsmæssige værdi af de aktiver, som det indberettende institut besidder, som er behæftede, og som er belånbare i de centralbanker, som det indberettende institut har adgang til.</w:t>
            </w:r>
          </w:p>
          <w:p w14:paraId="1EE47504"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Ubehæftede aktiver i alt</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For hver aktivtype, der er specificeret i rækkerne i AE-ADV1-skemaet anføres den regnskabsmæssige værdi af de aktiver, som det indberettende institut besidder, og som er ubehæftede.</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t>Den regnskabsmæssige værdi er den værdi, der balanceføres på aktivsiden.</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belånbare i centralbanker</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For hver aktivtype, der er specificeret i rækkerne i AE-ADV1-skemaet anføres den regnskabsmæssige værdi af de aktiver, som det indberettende institut besidder, som er ubehæftede, og som er belånbare i de centralbanker, som det indberettende institut har adgang til. </w:t>
            </w:r>
          </w:p>
          <w:p w14:paraId="37F98907" w14:textId="77777777" w:rsidR="00941FAE" w:rsidRPr="00857276" w:rsidRDefault="00941FAE" w:rsidP="005150E8">
            <w:pPr>
              <w:spacing w:before="0"/>
              <w:rPr>
                <w:rStyle w:val="InstructionsTabelleberschrift"/>
                <w:rFonts w:ascii="Times New Roman" w:hAnsi="Times New Roman"/>
                <w:sz w:val="24"/>
              </w:rPr>
            </w:pPr>
            <w:r>
              <w:rPr>
                <w:rFonts w:ascii="Times New Roman" w:hAnsi="Times New Roman"/>
                <w:sz w:val="24"/>
              </w:rPr>
              <w:t xml:space="preserve">Indberettende institutter, som ikke kan godtgøre, at en post er belånbar i en centralbank, f.eks. fordi de opererer i et retsområde uden en klar definition af aktiver, som er belånbare i genkøbsaftaler med centralbanker, eller ikke har adgang til et stabilt marked for genkøbsaftaler med centralbanker, kan undlade at indberette beløbet for denne post, </w:t>
            </w:r>
            <w:r>
              <w:rPr>
                <w:rStyle w:val="instructionstabelleberschrift0"/>
                <w:rFonts w:ascii="Times New Roman" w:hAnsi="Times New Roman"/>
                <w:b w:val="0"/>
                <w:sz w:val="24"/>
                <w:u w:val="none"/>
              </w:rPr>
              <w:t>dvs. undlade at udfylde indberetningsfeltet.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Behæftede + ubehæftede aktiver</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For hver aktivtype, der er specificeret i rækkerne i AE-ADV1-skemaet anføres den regnskabsmæssige værdi af de aktiver, som det indberettende institut besidder.</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523012"/>
      <w:r>
        <w:rPr>
          <w:rFonts w:ascii="Times New Roman" w:hAnsi="Times New Roman"/>
          <w:sz w:val="24"/>
          <w:u w:val="none"/>
        </w:rPr>
        <w:lastRenderedPageBreak/>
        <w:t>Instrukser vedrørende specifikke kolonner</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Lån på anfordring</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0020 i AE-ASS-skemaet.</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0030 i AE-ASS-skemaet.</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I alt</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0040 i AE-ASS-skemaet.</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dækkede obligationer</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0050 i AE-ASS-skemaet.</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heraf: udstedt af andre enheder i koncernen</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Dækkede obligationer som beskrevet i instrukserne vedrørende række 0050 i AE-ASS-skemaet, som er udstedt af enheder, som er omfattet af konsolideringsreglerne.</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0060 i AE-ASS-skemaet.</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Securitiseringer som beskrevet i instrukserne vedrørende række 0060 i AE-ASS-skemaet, som er udstedt af enheder, som er omfattet af konsolideringsreglerne.</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offentlig forvaltning og service</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0070 i AE-ASS-skemaet.</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finansielle selskaber</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0080 i AE-ASS-skemaet.</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0090 i AE-ASS-skemaet.</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og offentlig forvaltning og service</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centralbanker eller sektoren offentlig forvaltning og service.</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Finansielle selskaber</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finansielle selskaber.</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Ikkefinansielle selskaber</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ikkefinansielle selskaber.</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Lån med sikkerhed i fast ejendom</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som er sikret med et lån med sikkerhed i fast ejendom, til ikkefinansielle selskaber.</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Husholdninger</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til husholdninger.</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Lån med sikkerhed i fast ejendom</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Lån og forskud, bortset fra lån på anfordring, som er sikret med et lån med sikkerhed i fast ejendom, til husholdninger.</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Andre aktiver</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120 i AE-ASS-skemaet.</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alt</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010 i AE-ASS-skemaet.</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88523013"/>
      <w:r>
        <w:rPr>
          <w:rFonts w:ascii="Times New Roman" w:hAnsi="Times New Roman"/>
          <w:sz w:val="24"/>
          <w:u w:val="none"/>
        </w:rPr>
        <w:t>Skema: AE-ADV2. Avanceret skema for sikkerheder modtaget af det indberettende institut.</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523014"/>
      <w:r>
        <w:rPr>
          <w:rFonts w:ascii="Times New Roman" w:hAnsi="Times New Roman"/>
          <w:sz w:val="24"/>
          <w:u w:val="none"/>
        </w:rPr>
        <w:t>Instrukser vedrørende specifikke rækker</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Se punkt 6.2.1, da instrukserne er ens for begge skemaer.</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523015"/>
      <w:r>
        <w:rPr>
          <w:rFonts w:ascii="Times New Roman" w:hAnsi="Times New Roman"/>
          <w:sz w:val="24"/>
          <w:u w:val="none"/>
        </w:rPr>
        <w:t>Instrukser vedrørende specifikke kolonner</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Kolonner</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Lån på anfordring</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0140 i AE-ASS-skemaet.</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Aktieinstrumenter</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0150 i AE-ASS-skemaet.</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alt</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0160 i AE-ASS-skemaet.</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dækkede obligationer</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0170 i AE-ASS-skemaet.</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dækkede obligationer udstedt af enheder, som er omfattet af konsolideringsreglerne.</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securitiseringer</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0180 i AE-ASS-skemaet.</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andre enheder i koncernen</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securitiseringer udstedt af enheder, som er omfattet af konsolideringsreglerne.</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offentlig forvaltning og service</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0190 i AE-ASS-skemaet.</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finansielle selskaber</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0200 i AE-ASS-skemaet.</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udstedt af ikkefinansielle selskaber</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0210 i AE-ASS-skemaet.</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Centralbanker og offentlig forvaltning og service</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centralbanker eller sektoren offentlig forvaltning og service.</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Finansielle selskaber</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finansielle selskaber.</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Ikkefinansielle selskaber</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ikkefinansielle selskaber.</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heraf: Lån med sikkerhed i fast ejendom</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med sikkerhed i fast ejendom ydet til ikkefinansielle selskaber, bortset fra lån på anfordring.</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Husholdninger</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til husholdninger.</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heraf: Lån med sikkerhed i fast ejendom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Sikkerheder modtaget af det indberettende institut, som er lån og forskud, bortset fra lån på anfordring, som er sikret med et lån med sikkerhed i fast ejendom, til husholdninger.</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Andre aktiver</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0230 i AE-ASS-skemaet.</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Egne udstedte gældsværdipapirer, bortset fra egne dækkede obligationer eller securitiseringer</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0240 i AE-ASS-skemaet.</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 alt</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Jf. instrukserne vedrørende række 0130 og 0140 i AE-COL-skemaet.</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Den Europæiske Centralbanks forordning (EU) 2021/379 af 22. januar 2021 om balanceposter i kreditinstitutter og i MFI-sektoren (monetære finansielle institutioner) (omarbejdning) (ECB/2021/2) (EUT L 73 af 3.3.2021, s.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617EBDD6"/>
    <w:lvl w:ilvl="0" w:tplc="18090017">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04CA1726"/>
    <w:lvl w:ilvl="0" w:tplc="9AE0EB1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0B54D678"/>
    <w:lvl w:ilvl="0" w:tplc="18090017">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9F74B520"/>
    <w:lvl w:ilvl="0" w:tplc="9AE0EB18">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CFA21610"/>
    <w:lvl w:ilvl="0" w:tplc="9AE0EB18">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27F2F96C"/>
    <w:lvl w:ilvl="0" w:tplc="18090017">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2EE43200"/>
    <w:lvl w:ilvl="0" w:tplc="1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6ECE75DA"/>
    <w:lvl w:ilvl="0" w:tplc="9AE0EB18">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C2E4334E"/>
    <w:lvl w:ilvl="0" w:tplc="9AE0EB18">
      <w:start w:val="1"/>
      <w:numFmt w:val="lowerRoman"/>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EA6CC316"/>
    <w:lvl w:ilvl="0" w:tplc="18090017">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27944838">
    <w:abstractNumId w:val="18"/>
  </w:num>
  <w:num w:numId="2" w16cid:durableId="84883393">
    <w:abstractNumId w:val="8"/>
  </w:num>
  <w:num w:numId="3" w16cid:durableId="1022390647">
    <w:abstractNumId w:val="17"/>
  </w:num>
  <w:num w:numId="4" w16cid:durableId="2057006098">
    <w:abstractNumId w:val="23"/>
  </w:num>
  <w:num w:numId="5" w16cid:durableId="1821342889">
    <w:abstractNumId w:val="2"/>
  </w:num>
  <w:num w:numId="6" w16cid:durableId="459803797">
    <w:abstractNumId w:val="1"/>
  </w:num>
  <w:num w:numId="7" w16cid:durableId="1191533671">
    <w:abstractNumId w:val="15"/>
  </w:num>
  <w:num w:numId="8" w16cid:durableId="293755167">
    <w:abstractNumId w:val="11"/>
  </w:num>
  <w:num w:numId="9" w16cid:durableId="2039811709">
    <w:abstractNumId w:val="6"/>
  </w:num>
  <w:num w:numId="10" w16cid:durableId="1196231962">
    <w:abstractNumId w:val="9"/>
  </w:num>
  <w:num w:numId="11" w16cid:durableId="698167883">
    <w:abstractNumId w:val="0"/>
  </w:num>
  <w:num w:numId="12" w16cid:durableId="423302592">
    <w:abstractNumId w:val="21"/>
  </w:num>
  <w:num w:numId="13" w16cid:durableId="1295410188">
    <w:abstractNumId w:val="8"/>
    <w:lvlOverride w:ilvl="0">
      <w:startOverride w:val="12"/>
    </w:lvlOverride>
  </w:num>
  <w:num w:numId="14" w16cid:durableId="612714531">
    <w:abstractNumId w:val="4"/>
  </w:num>
  <w:num w:numId="15" w16cid:durableId="10311460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58816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2306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95443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8785988">
    <w:abstractNumId w:val="12"/>
  </w:num>
  <w:num w:numId="20" w16cid:durableId="1280381809">
    <w:abstractNumId w:val="5"/>
  </w:num>
  <w:num w:numId="21" w16cid:durableId="795027920">
    <w:abstractNumId w:val="14"/>
  </w:num>
  <w:num w:numId="22" w16cid:durableId="482281841">
    <w:abstractNumId w:val="20"/>
  </w:num>
  <w:num w:numId="23" w16cid:durableId="1122651999">
    <w:abstractNumId w:val="10"/>
  </w:num>
  <w:num w:numId="24" w16cid:durableId="671880154">
    <w:abstractNumId w:val="19"/>
  </w:num>
  <w:num w:numId="25" w16cid:durableId="69474472">
    <w:abstractNumId w:val="3"/>
  </w:num>
  <w:num w:numId="26" w16cid:durableId="391199432">
    <w:abstractNumId w:val="7"/>
  </w:num>
  <w:num w:numId="27" w16cid:durableId="365252711">
    <w:abstractNumId w:val="13"/>
  </w:num>
  <w:num w:numId="28" w16cid:durableId="102579884">
    <w:abstractNumId w:val="22"/>
  </w:num>
  <w:num w:numId="29" w16cid:durableId="469710741">
    <w:abstractNumId w:val="16"/>
  </w:num>
  <w:num w:numId="30" w16cid:durableId="1396006223">
    <w:abstractNumId w:val="8"/>
  </w:num>
  <w:num w:numId="31" w16cid:durableId="6719561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da-DK" w:vendorID="64" w:dllVersion="0" w:nlCheck="1" w:checkStyle="0"/>
  <w:defaultTabStop w:val="720"/>
  <w:hyphenationZone w:val="425"/>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0027"/>
    <w:rsid w:val="000A47EA"/>
    <w:rsid w:val="000C58F4"/>
    <w:rsid w:val="000F67A5"/>
    <w:rsid w:val="00112CCA"/>
    <w:rsid w:val="0012302A"/>
    <w:rsid w:val="00150419"/>
    <w:rsid w:val="00180477"/>
    <w:rsid w:val="00195EE2"/>
    <w:rsid w:val="002664F9"/>
    <w:rsid w:val="00290433"/>
    <w:rsid w:val="002C1D36"/>
    <w:rsid w:val="002F0AE4"/>
    <w:rsid w:val="002F22FA"/>
    <w:rsid w:val="0034431C"/>
    <w:rsid w:val="00385C4C"/>
    <w:rsid w:val="003A3DBF"/>
    <w:rsid w:val="003B2B42"/>
    <w:rsid w:val="003B43D4"/>
    <w:rsid w:val="003D43F0"/>
    <w:rsid w:val="00492EB0"/>
    <w:rsid w:val="004C33D2"/>
    <w:rsid w:val="005052F7"/>
    <w:rsid w:val="005150E8"/>
    <w:rsid w:val="00567BC9"/>
    <w:rsid w:val="005709C7"/>
    <w:rsid w:val="00584E94"/>
    <w:rsid w:val="005C1146"/>
    <w:rsid w:val="005C6C90"/>
    <w:rsid w:val="005E5BAC"/>
    <w:rsid w:val="005F0523"/>
    <w:rsid w:val="00604205"/>
    <w:rsid w:val="0060573B"/>
    <w:rsid w:val="006077EC"/>
    <w:rsid w:val="0063019A"/>
    <w:rsid w:val="006A6DEC"/>
    <w:rsid w:val="006C5CE2"/>
    <w:rsid w:val="006F5BFC"/>
    <w:rsid w:val="00725090"/>
    <w:rsid w:val="007A3C27"/>
    <w:rsid w:val="007D1FB5"/>
    <w:rsid w:val="007D50EF"/>
    <w:rsid w:val="007F32CA"/>
    <w:rsid w:val="00857276"/>
    <w:rsid w:val="0086555B"/>
    <w:rsid w:val="008777B6"/>
    <w:rsid w:val="008F3A1A"/>
    <w:rsid w:val="00935097"/>
    <w:rsid w:val="00937BF1"/>
    <w:rsid w:val="00941FAE"/>
    <w:rsid w:val="009918A8"/>
    <w:rsid w:val="009B1AB2"/>
    <w:rsid w:val="00A5249A"/>
    <w:rsid w:val="00A8671D"/>
    <w:rsid w:val="00AA7294"/>
    <w:rsid w:val="00AC3ACC"/>
    <w:rsid w:val="00AC68EE"/>
    <w:rsid w:val="00AD4499"/>
    <w:rsid w:val="00B606C7"/>
    <w:rsid w:val="00B9330D"/>
    <w:rsid w:val="00BA7AC8"/>
    <w:rsid w:val="00BD2548"/>
    <w:rsid w:val="00C54D11"/>
    <w:rsid w:val="00C62AED"/>
    <w:rsid w:val="00C775DE"/>
    <w:rsid w:val="00C90D02"/>
    <w:rsid w:val="00CD5BB1"/>
    <w:rsid w:val="00D36EAD"/>
    <w:rsid w:val="00DB43B2"/>
    <w:rsid w:val="00DC3043"/>
    <w:rsid w:val="00DE426C"/>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da-DK"/>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E064F038-36F6-4230-9E4F-335BA56B4AFE}"/>
</file>

<file path=customXml/itemProps3.xml><?xml version="1.0" encoding="utf-8"?>
<ds:datastoreItem xmlns:ds="http://schemas.openxmlformats.org/officeDocument/2006/customXml" ds:itemID="{0D25560A-928D-4903-A15A-2F863F831057}"/>
</file>

<file path=customXml/itemProps4.xml><?xml version="1.0" encoding="utf-8"?>
<ds:datastoreItem xmlns:ds="http://schemas.openxmlformats.org/officeDocument/2006/customXml" ds:itemID="{681FF438-3F1B-4030-81FA-9E771AF6DF57}"/>
</file>

<file path=docProps/app.xml><?xml version="1.0" encoding="utf-8"?>
<Properties xmlns="http://schemas.openxmlformats.org/officeDocument/2006/extended-properties" xmlns:vt="http://schemas.openxmlformats.org/officeDocument/2006/docPropsVTypes">
  <Template>Normal.dotm</Template>
  <TotalTime>47</TotalTime>
  <Pages>36</Pages>
  <Words>11767</Words>
  <Characters>75427</Characters>
  <Application>Microsoft Office Word</Application>
  <DocSecurity>0</DocSecurity>
  <Lines>1714</Lines>
  <Paragraphs>1038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KOCK-BUNDGAARD Benthe (DGT)</cp:lastModifiedBy>
  <cp:revision>14</cp:revision>
  <dcterms:created xsi:type="dcterms:W3CDTF">2022-05-05T10:01:00Z</dcterms:created>
  <dcterms:modified xsi:type="dcterms:W3CDTF">2025-01-23T10:27:00Z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2025-01-22T17:49:45Z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50953502-f29b-4d8c-807a-9bec0f6eb7ae</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