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BG</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ПРИЛОЖЕНИЕ II</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„ПРИЛОЖЕНИЕ II</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УКАЗАНИЯ ЗА ДОКЛАДВАНЕ НА ИНФОРМАЦИЯ ЗА СОБСТВЕНИТЕ СРЕДСТВА И КАПИТАЛОВИТЕ ИЗИСКВАНИЯ</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ЧАСТ II: УКАЗАНИЯ ОТНОСНО ОБРАЗЦИТЕ</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ГРУПОВА ПЛАТЕЖОСПОСОБНОСТ: ИНФОРМАЦИЯ ЗА СВЪРЗАНИТЕ ИНСТИТУЦИИ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Общи бележки</w:t>
      </w:r>
      <w:bookmarkEnd w:id="0"/>
      <w:bookmarkEnd w:id="1"/>
      <w:bookmarkEnd w:id="2"/>
      <w:bookmarkEnd w:id="3"/>
      <w:bookmarkEnd w:id="4"/>
      <w:bookmarkEnd w:id="5"/>
      <w:bookmarkEnd w:id="6"/>
    </w:p>
    <w:p w14:paraId="02D50DC7" w14:textId="77777777" w:rsidR="00173F08" w:rsidRPr="002A677E" w:rsidRDefault="00173F08" w:rsidP="00F9193E">
      <w:pPr>
        <w:pStyle w:val="InstructionsText2"/>
      </w:pPr>
      <w:r>
        <w:fldChar w:fldCharType="begin"/>
      </w:r>
      <w:r>
        <w:instrText>seq paragraphs</w:instrText>
      </w:r>
      <w:r>
        <w:fldChar w:fldCharType="separate"/>
      </w:r>
      <w:r>
        <w:t>27</w:t>
      </w:r>
      <w:r>
        <w:fldChar w:fldCharType="end"/>
      </w:r>
      <w:r>
        <w:t>.</w:t>
      </w:r>
      <w:r>
        <w:tab/>
        <w:t>Образци C 06.01 и C 06.02 се докладват, когато капиталовите изисквания се изчисляват на консолидирана основа. Образец C 06.02 се състои от четири части, като целта е да се събере различна информация за всички отделни субекти (в това число докладващата институция), включени в консолидационния обхват.</w:t>
      </w:r>
    </w:p>
    <w:p w14:paraId="427E4E34" w14:textId="77777777" w:rsidR="00173F08" w:rsidRPr="002A677E" w:rsidRDefault="00173F08" w:rsidP="00F9193E">
      <w:pPr>
        <w:pStyle w:val="InstructionsText2"/>
      </w:pPr>
      <w:r>
        <w:t>а)</w:t>
      </w:r>
      <w:r>
        <w:tab/>
        <w:t>субекти, включени в консолидационния обхват;</w:t>
      </w:r>
    </w:p>
    <w:p w14:paraId="028B029B" w14:textId="77777777" w:rsidR="00173F08" w:rsidRPr="002A677E" w:rsidRDefault="00173F08" w:rsidP="00F9193E">
      <w:pPr>
        <w:pStyle w:val="InstructionsText2"/>
      </w:pPr>
      <w:r>
        <w:t>б)</w:t>
      </w:r>
      <w:r>
        <w:tab/>
        <w:t>подробна информация за платежоспособността на групата;</w:t>
      </w:r>
    </w:p>
    <w:p w14:paraId="29EF9308" w14:textId="77777777" w:rsidR="00173F08" w:rsidRPr="002A677E" w:rsidRDefault="00173F08" w:rsidP="00F9193E">
      <w:pPr>
        <w:pStyle w:val="InstructionsText2"/>
      </w:pPr>
      <w:r>
        <w:t>в)</w:t>
      </w:r>
      <w:r>
        <w:tab/>
        <w:t>информация за приноса на отделните субекти към платежоспособността на групата;</w:t>
      </w:r>
    </w:p>
    <w:p w14:paraId="66E85F84" w14:textId="77777777" w:rsidR="00173F08" w:rsidRPr="002A677E" w:rsidRDefault="00173F08" w:rsidP="00F9193E">
      <w:pPr>
        <w:pStyle w:val="InstructionsText2"/>
      </w:pPr>
      <w:r>
        <w:t>г)</w:t>
      </w:r>
      <w:r>
        <w:tab/>
        <w:t>информация за капиталовите буфери.</w:t>
      </w:r>
    </w:p>
    <w:p w14:paraId="7BA531FA" w14:textId="701A6BC9" w:rsidR="00173F08" w:rsidRPr="002A677E" w:rsidRDefault="00173F08" w:rsidP="00F9193E">
      <w:pPr>
        <w:pStyle w:val="InstructionsText2"/>
      </w:pPr>
      <w:r>
        <w:fldChar w:fldCharType="begin"/>
      </w:r>
      <w:r>
        <w:instrText>seq paragraphs</w:instrText>
      </w:r>
      <w:r>
        <w:fldChar w:fldCharType="separate"/>
      </w:r>
      <w:r>
        <w:t>28</w:t>
      </w:r>
      <w:r>
        <w:fldChar w:fldCharType="end"/>
      </w:r>
      <w:r>
        <w:t>.</w:t>
      </w:r>
      <w:r>
        <w:tab/>
        <w:t>Институциите, на които е предоставено освобождаване в съответствие с член 7 от Регламент (ЕС) № 575/2013, докладват само информацията в колони 0010—0065 и 0250—0400.</w:t>
      </w:r>
    </w:p>
    <w:p w14:paraId="0B7B3AA9" w14:textId="77777777" w:rsidR="00173F08" w:rsidRPr="002A677E" w:rsidRDefault="00173F08" w:rsidP="00F9193E">
      <w:pPr>
        <w:pStyle w:val="InstructionsText2"/>
      </w:pPr>
      <w:r>
        <w:fldChar w:fldCharType="begin"/>
      </w:r>
      <w:r>
        <w:instrText>seq paragraphs</w:instrText>
      </w:r>
      <w:r>
        <w:fldChar w:fldCharType="separate"/>
      </w:r>
      <w:r>
        <w:t>29</w:t>
      </w:r>
      <w:r>
        <w:fldChar w:fldCharType="end"/>
      </w:r>
      <w:r>
        <w:t>.</w:t>
      </w:r>
      <w:r>
        <w:tab/>
        <w:t>При отчитане на стойностите са взети предвид всички приложими преходни разпоредби на Регламент (ЕС) № 575/2013, които са приложими към съответната отчетна дата.</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Подробна информация за платежоспособността на групата</w:t>
      </w:r>
      <w:bookmarkEnd w:id="7"/>
      <w:bookmarkEnd w:id="8"/>
      <w:bookmarkEnd w:id="9"/>
    </w:p>
    <w:p w14:paraId="60F36EFE" w14:textId="40A5EBCA" w:rsidR="00173F08" w:rsidRPr="002A677E" w:rsidRDefault="00173F08" w:rsidP="00F9193E">
      <w:pPr>
        <w:pStyle w:val="InstructionsText2"/>
      </w:pPr>
      <w:r>
        <w:fldChar w:fldCharType="begin"/>
      </w:r>
      <w:r>
        <w:instrText>seq paragraphs</w:instrText>
      </w:r>
      <w:r>
        <w:fldChar w:fldCharType="separate"/>
      </w:r>
      <w:r>
        <w:t>30</w:t>
      </w:r>
      <w:r>
        <w:fldChar w:fldCharType="end"/>
      </w:r>
      <w:r>
        <w:t>.</w:t>
      </w:r>
      <w:r>
        <w:tab/>
        <w:t xml:space="preserve">Втората част от образец C 06.02 (подробна информация за груповата платежоспособност), обхващаща колони 0070–0240, е предназначена за събиране на информация за кредитните и другите регулирани финансови институции, които на практика подлежат на специални изисквания за платежоспособност на индивидуална основа. В нея са представени, за всеки от субектите в обхвата на докладването, капиталовите изисквания за всяка категория риск и собствените средства за целите на платежоспособността. </w:t>
      </w:r>
    </w:p>
    <w:p w14:paraId="75F5EA26" w14:textId="77777777" w:rsidR="00173F08" w:rsidRPr="002A677E" w:rsidRDefault="00173F08" w:rsidP="00F9193E">
      <w:pPr>
        <w:pStyle w:val="InstructionsText2"/>
      </w:pPr>
      <w:r>
        <w:lastRenderedPageBreak/>
        <w:fldChar w:fldCharType="begin"/>
      </w:r>
      <w:r>
        <w:instrText>seq paragraphs</w:instrText>
      </w:r>
      <w:r>
        <w:fldChar w:fldCharType="separate"/>
      </w:r>
      <w:r>
        <w:t>31</w:t>
      </w:r>
      <w:r>
        <w:fldChar w:fldCharType="end"/>
      </w:r>
      <w:r>
        <w:t>.</w:t>
      </w:r>
      <w:r>
        <w:tab/>
        <w:t>При пропорционална консолидация на участията стойностите, свързани с капиталовите изисквания и размера на собствените средства, трябва да отразяват размера на съответните дялове.</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t>2.3.</w:t>
      </w:r>
      <w:r>
        <w:rPr>
          <w:rFonts w:ascii="Times New Roman" w:hAnsi="Times New Roman"/>
          <w:sz w:val="24"/>
          <w:u w:val="none"/>
        </w:rPr>
        <w:tab/>
      </w:r>
      <w:r>
        <w:rPr>
          <w:rFonts w:ascii="Times New Roman" w:hAnsi="Times New Roman"/>
          <w:sz w:val="24"/>
        </w:rPr>
        <w:t>Информация за приноса на отделните субекти към платежоспособността на групата</w:t>
      </w:r>
      <w:bookmarkEnd w:id="10"/>
      <w:bookmarkEnd w:id="11"/>
      <w:bookmarkEnd w:id="12"/>
    </w:p>
    <w:p w14:paraId="79D559FD" w14:textId="77777777" w:rsidR="00173F08" w:rsidRPr="002A677E" w:rsidRDefault="00173F08" w:rsidP="00F9193E">
      <w:pPr>
        <w:pStyle w:val="InstructionsText2"/>
      </w:pPr>
      <w:r>
        <w:fldChar w:fldCharType="begin"/>
      </w:r>
      <w:r>
        <w:instrText>seq paragraphs</w:instrText>
      </w:r>
      <w:r>
        <w:fldChar w:fldCharType="separate"/>
      </w:r>
      <w:r>
        <w:t>32</w:t>
      </w:r>
      <w:r>
        <w:fldChar w:fldCharType="end"/>
      </w:r>
      <w:r>
        <w:t>.</w:t>
      </w:r>
      <w:r>
        <w:tab/>
        <w:t xml:space="preserve">С колони 0250–0400 от третата част от образец C 06.02 и образец C 06.01 (информация за приноса на всички субекти, попадащи в консолидационния обхват съгласно Регламент (ЕС) № 575/2013, към груповата платежоспособност, включително онези, които не подлежат на специални изисквания за платежоспособност на индивидуална основа) се цели да се определи кои субекти в рамките на групата генерират рисковете и набират собствени средства от пазара. Това става въз основа на данни, които са леснодостъпни или могат лесно да бъдат обработени, без да се налага повторно извеждане на капиталовото отношение на индивидуална или подконсолидирана основа. На ниво отделен субект и данните за риска, и тези за собствените средства имат отношение към платежоспособността на групата, но поотделно не участват в отношението за платежоспособност и поради това не бива да се сравняват помежду си. </w:t>
      </w:r>
    </w:p>
    <w:p w14:paraId="08EA3F6A" w14:textId="77777777" w:rsidR="00173F08" w:rsidRPr="002A677E" w:rsidRDefault="00173F08" w:rsidP="00F9193E">
      <w:pPr>
        <w:pStyle w:val="InstructionsText2"/>
      </w:pPr>
      <w:r>
        <w:fldChar w:fldCharType="begin"/>
      </w:r>
      <w:r>
        <w:instrText>seq paragraphs</w:instrText>
      </w:r>
      <w:r>
        <w:fldChar w:fldCharType="separate"/>
      </w:r>
      <w:r>
        <w:t>33</w:t>
      </w:r>
      <w:r>
        <w:fldChar w:fldCharType="end"/>
      </w:r>
      <w:r>
        <w:t>.</w:t>
      </w:r>
      <w:r>
        <w:tab/>
        <w:t>Третата част включва и размера на допустимите за включване в консолидираните собствени средства малцинствени участия, квалифициран ДК1 и квалифициран К2.</w:t>
      </w:r>
    </w:p>
    <w:p w14:paraId="1D8F8CC4" w14:textId="77777777" w:rsidR="00173F08" w:rsidRPr="002A677E" w:rsidRDefault="00173F08" w:rsidP="00F9193E">
      <w:pPr>
        <w:pStyle w:val="InstructionsText2"/>
      </w:pPr>
      <w:r>
        <w:fldChar w:fldCharType="begin"/>
      </w:r>
      <w:r>
        <w:instrText>seq paragraphs</w:instrText>
      </w:r>
      <w:r>
        <w:fldChar w:fldCharType="separate"/>
      </w:r>
      <w:r>
        <w:t>34</w:t>
      </w:r>
      <w:r>
        <w:fldChar w:fldCharType="end"/>
      </w:r>
      <w:r>
        <w:t>.</w:t>
      </w:r>
      <w:r>
        <w:tab/>
        <w:t>Тъй като в тази трета част на образеца се споменава за „принос“, докладваните в нея стойности се различават, когато е приложимо, от докладваните в колоните с подробна информация за груповата платежоспособност.</w:t>
      </w:r>
    </w:p>
    <w:p w14:paraId="27180B14" w14:textId="77777777" w:rsidR="00173F08" w:rsidRPr="002A677E" w:rsidRDefault="00173F08" w:rsidP="00F9193E">
      <w:pPr>
        <w:pStyle w:val="InstructionsText2"/>
      </w:pPr>
      <w:r>
        <w:fldChar w:fldCharType="begin"/>
      </w:r>
      <w:r>
        <w:instrText>seq paragraphs</w:instrText>
      </w:r>
      <w:r>
        <w:fldChar w:fldCharType="separate"/>
      </w:r>
      <w:r>
        <w:t>35</w:t>
      </w:r>
      <w:r>
        <w:fldChar w:fldCharType="end"/>
      </w:r>
      <w:r>
        <w:t>.</w:t>
      </w:r>
      <w:r>
        <w:tab/>
        <w:t>Принципът е да се премахнат по хомогенен начин кръстосаните експозиции в рамките на една и съща група що се отнася както до рисковете, така и до собствените средства, за да се обхванат стойностите, докладвани в консолидирания образец CA за групата, като се съберат стойностите, докладвани за всеки субект в образеца „Групова платежоспособност“. Когато прагът от 1 % не е надвишен, не е възможно да се установи пряка връзка с образец CA.</w:t>
      </w:r>
    </w:p>
    <w:p w14:paraId="606DC9DE" w14:textId="77777777" w:rsidR="00173F08" w:rsidRPr="002A677E" w:rsidRDefault="00173F08" w:rsidP="00F9193E">
      <w:pPr>
        <w:pStyle w:val="InstructionsText2"/>
      </w:pPr>
      <w:r>
        <w:fldChar w:fldCharType="begin"/>
      </w:r>
      <w:r>
        <w:instrText>seq paragraphs</w:instrText>
      </w:r>
      <w:r>
        <w:fldChar w:fldCharType="separate"/>
      </w:r>
      <w:r>
        <w:t>36</w:t>
      </w:r>
      <w:r>
        <w:fldChar w:fldCharType="end"/>
      </w:r>
      <w:r>
        <w:t>.</w:t>
      </w:r>
      <w:r>
        <w:tab/>
        <w:t>Институциите определят най-подходящия метод на разпределение между субектите, за да се отчетат евентуалните ефекти от диверсификацията върху пазарния и операционния риск.</w:t>
      </w:r>
    </w:p>
    <w:p w14:paraId="6EE62E0D" w14:textId="77777777" w:rsidR="00173F08" w:rsidRPr="002A677E" w:rsidRDefault="00173F08" w:rsidP="00F9193E">
      <w:pPr>
        <w:pStyle w:val="InstructionsText2"/>
      </w:pPr>
      <w:r>
        <w:fldChar w:fldCharType="begin"/>
      </w:r>
      <w:r>
        <w:instrText>seq paragraphs</w:instrText>
      </w:r>
      <w:r>
        <w:fldChar w:fldCharType="separate"/>
      </w:r>
      <w:r>
        <w:t>37</w:t>
      </w:r>
      <w:r>
        <w:fldChar w:fldCharType="end"/>
      </w:r>
      <w:r>
        <w:t>.</w:t>
      </w:r>
      <w:r>
        <w:tab/>
        <w:t xml:space="preserve">Възможно е една консолидирана група да бъде включена в рамките на друга консолидирана група. Това означава, че информацията за субектите от подгрупа се докладва поотделно за всеки субект в образеца GS на цялата група, дори когато самата подгрупа подлежи на изисквания за докладване. Когато подлежи на изисквания за докладване, подгрупата представя образец GS за всеки отделен субект, въпреки че тези данни вече са били включени в образеца GS на консолидираната на по-високо равнище група. </w:t>
      </w:r>
    </w:p>
    <w:p w14:paraId="0F8191DA" w14:textId="77777777" w:rsidR="00173F08" w:rsidRPr="002A677E" w:rsidRDefault="00173F08" w:rsidP="00F9193E">
      <w:pPr>
        <w:pStyle w:val="InstructionsText2"/>
      </w:pPr>
      <w:r>
        <w:fldChar w:fldCharType="begin"/>
      </w:r>
      <w:r>
        <w:instrText>seq paragraphs</w:instrText>
      </w:r>
      <w:r>
        <w:fldChar w:fldCharType="separate"/>
      </w:r>
      <w:r>
        <w:t>38</w:t>
      </w:r>
      <w:r>
        <w:fldChar w:fldCharType="end"/>
      </w:r>
      <w:r>
        <w:t>.</w:t>
      </w:r>
      <w:r>
        <w:tab/>
        <w:t xml:space="preserve">Институция докладва данни за приноса на даден субект, когато приносът му в общия размер на рисковата експозиция на групата надвишава 1 % или когато приносът му в общите собствени средства на групата надвишава 1 %. Този праг не се прилага в случаите, когато дъщерни предприятия или подгрупи предоставят </w:t>
      </w:r>
      <w:r>
        <w:lastRenderedPageBreak/>
        <w:t>собствени средства на групата (под формата на включени в собствените средства малцинствени участия или инструменти на признатия допълнителен капитал от първи ред или капитал от втори ред).</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ГРУПОВА ПЛАТЕЖОСПОСОБНОСТ: ИНФОРМАЦИЯ ЗА СВЪРЗАНИТЕ ИНСТИТУЦИИ - Общо (GS Total)</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Указания</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СУБЕКТИ, ВКЛЮЧЕНИ В КОНСОЛИДАЦИЯТА</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Вж. указанията за C 06.02.</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Вж. указанията за C 06.02.</w:t>
            </w:r>
          </w:p>
        </w:tc>
      </w:tr>
    </w:tbl>
    <w:p w14:paraId="20B2DE5D" w14:textId="77777777" w:rsidR="00173F08" w:rsidRPr="002A677E" w:rsidRDefault="00173F08" w:rsidP="00F9193E">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Редове</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Указания</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ОБЩО</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„Общо“ представлява сборът на докладваните стойности във всички редове на образец C 06.02.</w:t>
            </w:r>
          </w:p>
        </w:tc>
      </w:tr>
    </w:tbl>
    <w:p w14:paraId="6ED4F138" w14:textId="77777777" w:rsidR="00173F08" w:rsidRPr="002A677E" w:rsidRDefault="00173F08" w:rsidP="00F9193E">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ГРУПОВА ПЛАТЕЖОСПОСОБНОСТ: ИНФОРМАЦИЯ ЗА СВЪРЗАНИТЕ ИНСТИТУЦИИ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Колони</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Указания</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СУБЕКТИ, ВКЛЮЧЕНИ В КОНСОЛИДАЦИЯТА</w:t>
            </w:r>
          </w:p>
          <w:p w14:paraId="6B6FD15E" w14:textId="77777777" w:rsidR="00173F08" w:rsidRPr="002A677E" w:rsidRDefault="00173F08" w:rsidP="00822842">
            <w:pPr>
              <w:rPr>
                <w:rStyle w:val="InstructionsTabelleberschrift"/>
                <w:rFonts w:ascii="Times New Roman" w:hAnsi="Times New Roman"/>
                <w:b w:val="0"/>
                <w:bCs w:val="0"/>
                <w:sz w:val="24"/>
              </w:rPr>
            </w:pPr>
            <w:r>
              <w:rPr>
                <w:rFonts w:ascii="Times New Roman" w:hAnsi="Times New Roman"/>
                <w:sz w:val="24"/>
              </w:rPr>
              <w:t>Предназначението на този образец е да се събере информация на индивидуална основа за всички субекти, попадащи в консолидационния обхват в съответствие с първа част, дял II, глава 2 от Регламент (ЕС) № 575/2013.</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НАИМЕНОВАНИЕ</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Наименование на субекта, попадащ в консолидационния обхват.</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КОД</w:t>
            </w:r>
          </w:p>
          <w:p w14:paraId="099B8601" w14:textId="77777777" w:rsidR="00173F08" w:rsidRPr="00F9193E" w:rsidRDefault="00173F08" w:rsidP="00F9193E">
            <w:pPr>
              <w:pStyle w:val="InstructionsText"/>
              <w:rPr>
                <w:rStyle w:val="InstructionsTabelleText"/>
                <w:rFonts w:ascii="Times New Roman" w:hAnsi="Times New Roman"/>
                <w:sz w:val="24"/>
              </w:rPr>
            </w:pPr>
            <w:r w:rsidRPr="00F9193E">
              <w:rPr>
                <w:rStyle w:val="InstructionsTabelleText"/>
                <w:rFonts w:ascii="Times New Roman" w:hAnsi="Times New Roman"/>
                <w:sz w:val="24"/>
              </w:rPr>
              <w:t>Кодът като част от идентификатора на реда трябва да бъде индивидуален за всеки субект, за който се докладва. За институциите и застрахователните предприятия кодът е ИКПС. За останалите субекти кодът е ИКПС или, ако няма такъв, национален код. Кодът е уникален и се използва последователно във всички образци и във времето. Кодът се попълва винаги.</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ВИД КОД</w:t>
            </w:r>
          </w:p>
          <w:p w14:paraId="094070A5"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Институциите посочват вида код, докладван в колона 0021, като „ИКПС“ или „код, различен от ИКПС“.</w:t>
            </w:r>
            <w:r>
              <w:rPr>
                <w:rStyle w:val="FormatvorlageInstructionsTabelleText"/>
                <w:rFonts w:ascii="Times New Roman" w:hAnsi="Times New Roman"/>
                <w:sz w:val="24"/>
              </w:rPr>
              <w:t xml:space="preserve"> Видът на кода се посочва винаги.</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НАЦИОНАЛЕН КОД</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Когато в колона „Код“ посочват ИКПС като идентификационен код, институциите могат да посочват и национален код.</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ИНСТИТУЦИЯ ИЛИ НЕИН ЕКВИВАЛЕНТ (ДА/НЕ)</w:t>
            </w:r>
          </w:p>
          <w:p w14:paraId="592DC07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Посочва се „да“, когато за субекта се прилагат капиталовите изисквания съгласно Регламент (ЕС) № 575/2013 и Директива 2013/36/ЕС или разпоредби, които са най-малкото еквивалентни на базелските.</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В останалите случаи се посочва „не“.</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Малцинствени участия:</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Член 81, параграф 1, буква а), подточка ii) и член 82, параграф 1, буква а), подточка ii) от Регламент (ЕС) № 575/2013</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По отношение на малцинствените участия и инструментите на ДК1 и на К2, емитирани от дъщерни предприятия, дъщерните предприятия, чиито инструменти могат да бъдат допустими, са институции или предприятия, които подлежат на изискванията на Регламент (ЕС) № 575/2013 по силата на приложимото национално право.</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ВИД СУБЕКТ</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Категорията на правния субект се посочва въз основа на следните категории:</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а)</w:t>
            </w:r>
            <w:r>
              <w:rPr>
                <w:rStyle w:val="InstructionsTabelleText"/>
                <w:rFonts w:ascii="Times New Roman" w:hAnsi="Times New Roman"/>
                <w:sz w:val="24"/>
              </w:rPr>
              <w:tab/>
              <w:t>кредитна институция</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член 4, параграф 1, точка 1 от Регламент (ЕС) № 575/2013;</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б)</w:t>
            </w:r>
            <w:r>
              <w:rPr>
                <w:rStyle w:val="InstructionsTabelleText"/>
                <w:rFonts w:ascii="Times New Roman" w:hAnsi="Times New Roman"/>
                <w:sz w:val="24"/>
              </w:rPr>
              <w:tab/>
              <w:t>инвестиционен посредник</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член 4, параграф 1, точка 2 от Регламент (ЕС) № 575/2013;</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в)</w:t>
            </w:r>
            <w:r>
              <w:rPr>
                <w:rStyle w:val="InstructionsTabelleText"/>
                <w:rFonts w:ascii="Times New Roman" w:hAnsi="Times New Roman"/>
                <w:sz w:val="24"/>
              </w:rPr>
              <w:tab/>
              <w:t>финансова институция (други)</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член 4, параграф 1, точки 20, 21 и 26 от Регламент (ЕС) № 575/2013</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Финансовите институции по смисъла на член 4, параграф 1, точка 26 от Регламент (ЕС) № 575/2013, които не са включени в категориите по буква г), е) или ж);</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г)</w:t>
            </w:r>
            <w:r>
              <w:rPr>
                <w:rStyle w:val="InstructionsTabelleText"/>
                <w:rFonts w:ascii="Times New Roman" w:hAnsi="Times New Roman"/>
                <w:sz w:val="24"/>
              </w:rPr>
              <w:tab/>
              <w:t>(смесен) финансов холдинг</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член 4, параграф 1, точки 20 и 21 от Регламент (ЕС) № 575/2013;</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д)</w:t>
            </w:r>
            <w:r>
              <w:rPr>
                <w:rStyle w:val="InstructionsTabelleText"/>
                <w:rFonts w:ascii="Times New Roman" w:hAnsi="Times New Roman"/>
                <w:sz w:val="24"/>
              </w:rPr>
              <w:tab/>
              <w:t>предприятие за спомагателни услуги</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член 4, параграф 1, точка 18 от Регламент (ЕС) № 575/2013;</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е)</w:t>
            </w:r>
            <w:r>
              <w:rPr>
                <w:rStyle w:val="InstructionsTabelleText"/>
                <w:rFonts w:ascii="Times New Roman" w:hAnsi="Times New Roman"/>
                <w:sz w:val="24"/>
              </w:rPr>
              <w:tab/>
              <w:t>дружество със специална цел — секюритизация (ДСЦС)</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член 4, параграф 1, точка 66 от Регламент (ЕС) № 575/2013;</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ж)</w:t>
            </w:r>
            <w:r>
              <w:rPr>
                <w:rStyle w:val="InstructionsTabelleText"/>
                <w:rFonts w:ascii="Times New Roman" w:hAnsi="Times New Roman"/>
                <w:sz w:val="24"/>
              </w:rPr>
              <w:tab/>
              <w:t>емитент на покрити облигации</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Субект, създаден с цел емитиране на покрити облигации или държане на обезпечение на покрита облигация — ако не е включен в категориите по букви а), б) или г)—е) по-горе;</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lastRenderedPageBreak/>
              <w:t>з)</w:t>
            </w:r>
            <w:r>
              <w:rPr>
                <w:rStyle w:val="InstructionsTabelleText"/>
                <w:rFonts w:ascii="Times New Roman" w:hAnsi="Times New Roman"/>
                <w:sz w:val="24"/>
              </w:rPr>
              <w:tab/>
              <w:t>друг вид субект</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Субект, който не принадлежи към категориите по букви а) — ж).</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При определяне на категорията на субектите, които са извън обхвата на Регламент (ЕС) № 575/2013 и Директива 2013/36/ЕС, но спрямо които се прилагат разпоредби — най-малко еквивалентни на базелските, се полагат максимални усилия.</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ОБХВАТ НА ДАННИТЕ: </w:t>
            </w:r>
            <w:r>
              <w:rPr>
                <w:rFonts w:ascii="Times New Roman" w:hAnsi="Times New Roman"/>
                <w:b/>
                <w:caps/>
                <w:sz w:val="24"/>
                <w:u w:val="single"/>
              </w:rPr>
              <w:t>индивидуално напълно консолидирани (SF) ИЛИ индивидуално частично консолидирани (SP)</w:t>
            </w:r>
          </w:p>
          <w:p w14:paraId="0AE72FF3" w14:textId="77777777" w:rsidR="00173F08" w:rsidRPr="002A677E" w:rsidRDefault="00173F08" w:rsidP="00822842">
            <w:pPr>
              <w:rPr>
                <w:rStyle w:val="Heading1Char"/>
                <w:rFonts w:ascii="Times New Roman" w:hAnsi="Times New Roman"/>
                <w:sz w:val="24"/>
              </w:rPr>
            </w:pPr>
            <w:r>
              <w:rPr>
                <w:rStyle w:val="InstructionsTabelleText"/>
                <w:rFonts w:ascii="Times New Roman" w:hAnsi="Times New Roman"/>
                <w:sz w:val="24"/>
              </w:rPr>
              <w:t>„SF“</w:t>
            </w:r>
            <w:r>
              <w:rPr>
                <w:rFonts w:ascii="Times New Roman" w:hAnsi="Times New Roman"/>
                <w:sz w:val="24"/>
              </w:rPr>
              <w:t xml:space="preserve"> се посочва за напълно консолидирани индивидуални дъщерни предприятия.</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Style w:val="InstructionsTabelleText"/>
                <w:rFonts w:ascii="Times New Roman" w:hAnsi="Times New Roman"/>
                <w:sz w:val="24"/>
              </w:rPr>
              <w:t>„SP“</w:t>
            </w:r>
            <w:r>
              <w:rPr>
                <w:rFonts w:ascii="Times New Roman" w:hAnsi="Times New Roman"/>
                <w:sz w:val="24"/>
              </w:rPr>
              <w:t xml:space="preserve"> се посочва за частично консолидирани индивидуални дъщерни предприятия.</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КОД НА ДЪРЖАВАТА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Институциите посочват двубуквения код на държавата по ISO 3166-1.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ДЯЛОВО УЧАСТИЕ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Действителното дялово участие на предприятието майка в дъщерните предприятия. При пълна консолидация на пряко дъщерно предприятие действителният дял е например 70 %. </w:t>
            </w:r>
            <w:r>
              <w:rPr>
                <w:rFonts w:ascii="Times New Roman" w:hAnsi="Times New Roman"/>
                <w:sz w:val="24"/>
              </w:rPr>
              <w:t>В съответствие с член 4, параграф 1, точка 16 от Регламент (ЕС) № 575/2013 докладваното дялово участие на дъщерно предприятие е произведението на дяловете между съответните дъщерни предприятия.</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НЕТИРАЩА ГРУПА</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„Нетираща група“ означава всяко от следните:</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група субекти, за които компетентният орган е дал разрешение да използват позиции в една институция или предприятие от тази група за нетиране на позиции в друга институция или предприятие от тази група в съответствие с член 325б от Регламент (ЕС) № 575/2013;</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всеки отделен субект, чиито позиции не могат да бъдат нетирани срещу позициите на друг субект от същата група, подлежаща на консолидиран надзор в съответствие с Директива 2013/36/ЕС, тъй като компетентният орган не е дал разрешението в съответствие с член 325б от същия регламент.</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Институциите посочват нетиращата група, към която принадлежи всеки посочен в образеца субект, ако отговаря на следните две условия:</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а) изчислява капиталовите изисквания за дейността си, изложена на пазарен риск, в съответствие с трета част, дял IV, глава 1а или 1б от Регламент (ЕС) № 575/2013 или докладва информация за тези капиталови изисквания в съответствие с член 430, параграф 2а или 2б от същия регламент;</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б) групата, подлежаща на консолидиран надзор в съответствие с Директива 2013/36/ЕС, включва най-малко две нетиращи групи.</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В тази колона се докладва „Нетираща група 1“, „Нетираща група 2“ и т.н. Отнасянето на юридическите субекти към нетиращите групи се прилага последователно във времето и в докладите на една и съща група, подлежаща на </w:t>
            </w:r>
            <w:r>
              <w:rPr>
                <w:rStyle w:val="InstructionsTabelleText"/>
                <w:rFonts w:ascii="Times New Roman" w:hAnsi="Times New Roman"/>
                <w:sz w:val="24"/>
              </w:rPr>
              <w:lastRenderedPageBreak/>
              <w:t xml:space="preserve">консолидиран надзор, и е съгласувано с нетиращите групи, установени в образците, включени в </w:t>
            </w:r>
            <w:r>
              <w:rPr>
                <w:rStyle w:val="InstructionsTabelleText"/>
                <w:rFonts w:ascii="Times New Roman" w:hAnsi="Times New Roman"/>
                <w:sz w:val="24"/>
                <w:highlight w:val="yellow"/>
              </w:rPr>
              <w:t>[приложение I към Регламент (ЕС) 2021/453]</w:t>
            </w:r>
            <w:r>
              <w:rPr>
                <w:rStyle w:val="InstructionsTabelleText"/>
                <w:rFonts w:ascii="Times New Roman" w:hAnsi="Times New Roman"/>
                <w:sz w:val="24"/>
              </w:rPr>
              <w:t>.</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Когато институцията отговаря на посоченото по-горе условие по буква а), но групата, подлежаща на консолидиран надзор в съответствие с Директива 2013/36/ЕС, включва само една нетираща група, институциите посочват „Една нетираща група“ в реда, отнасящ се за докладваното в настоящия образец предприятие майка на групата.</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ИНФОРМАЦИЯ ЗА СУБЕКТИТЕ, ЗА КОИТО СЕ ПРИЛАГАТ КАПИТАЛОВИТЕ ИЗИСКВАНИЯ</w:t>
            </w:r>
          </w:p>
          <w:p w14:paraId="5193F4B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В раздела за подробната информация (т.е. колони 0070–0240) се събира информация само за онези субекти и подгрупи, които, попадайки в консолидационния обхват (първа част, дял II, глава 2 от Регламент (ЕС) № 575/2013), на практика съблюдават изискванията за платежоспособност съгласно Регламент (ЕС) № 575/2013 или разпоредби, които са най-малкото еквивалентни на базелските разпоредби (т.е. тези, за които е посочено „да“ в колона 0030).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Включва се информация за всички отделни институции в дадена консолидирана група, спрямо които се прилагат капиталовите изисквания, независимо от това къде се намират. </w:t>
            </w:r>
          </w:p>
          <w:p w14:paraId="44903571" w14:textId="77777777" w:rsidR="00173F08" w:rsidRPr="002A677E" w:rsidRDefault="00173F08" w:rsidP="00822842">
            <w:pPr>
              <w:rPr>
                <w:rFonts w:ascii="Times New Roman" w:hAnsi="Times New Roman"/>
                <w:sz w:val="24"/>
              </w:rPr>
            </w:pPr>
            <w:r>
              <w:rPr>
                <w:rFonts w:ascii="Times New Roman" w:hAnsi="Times New Roman"/>
                <w:sz w:val="24"/>
              </w:rPr>
              <w:t>Докладваната в тази част информация следва местните норми за платежоспособност на юрисдикцията, в която институцията осъществява дейност (следователно, за този образец не е необходимо да се извършва повторно изчисление на индивидуална основа съгласно правилата на институцията майка). Когато местните норми за платежоспособност се различават от Регламент (ЕС) № 575/2013 и не е представена сравнима разбивка, информацията се попълва, когато има налични данни на съответното ниво на детайлност. Следователно, тази част е фактическият образец, в който се обобщават изчисленията, които ще се извършват от отделните институции в дадена група, като се има предвид, че е възможно някои от тези институции да се подчиняват на различни норми за платежоспособност.</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Докладване на режийните разходи на инвестиционните посредници:</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Когато изчисляват капиталовите си отношения по членове 95, 96, 97 и 98 от Регламент (ЕС) № 575/2013, инвестиционните посредници включват капиталовите изисквания, базирани върху режийните разходи.</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Частта от общата рискова експозиция, свързана с режийните разходи, се докладва в колона 0100 от този образец.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ОБЩ РАЗМЕР НА РИСКОВАТА ЕКСПОЗИЦИЯ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0080—0110.</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КОРЕКЦИЯ НА ДОЛНАТА ГРАНИЦА (ДОЛНА ГРАНИЦА НА КАПИТАЛОВОТО ИЗИСКВАНЕ ЗА ОРРЕ)</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Предприятията докладват корекцията на долната граница, изчислена на индивидуална основа.</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4C32FDA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Докладваната в тази колона стойност е сборът на рисково претеглените експозиции, които са равни или еквивалентни на докладваните в ред 0040 „РИСКОВО ПРЕТЕГЛЕНИ ЕКСПОЗИЦИИ ЗА КРЕДИТЕН РИСК, КРЕДИТЕН РИСК ОТ КОНТРАГЕНТА И РИСК ОТ РАЗСЕЙВАНЕ, КАКТО И СВОБОДНИ ДОСТАВКИ“ на образец CA2, и капиталовите изисквания, които са равни или еквивалентни на тези, които трябва да се докладват в ред 0490 „ОБЩ РАЗМЕР НА РИСКОВАТА ЕКСПОЗИЦИЯ ВРЪЗКА СЪС СЕТЪЛМЕНТА/ДОСТАВКАТА“ на същия образец.</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ПАЗАРНИ РИСКОВЕ</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капиталовите изисквания, които са равни или еквивалентни на докладваните в ред 0520 „ОБЩ РАЗМЕР НА РИСКОВАТА ЕКСПОЗИЦИЯ ЗА СТОПАНСКАТА ДЕЙНОСТ, ИЗЛОЖЕНА НА ПАЗАРЕН РИСК“ на образец CA2.</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рисковата експозиция, която е равна или еквивалентна на докладваната в ред 0590 „ОБЩ РАЗМЕР НА РИСКОВАТА ЕКСПОЗИЦИЯ ЗА ОПЕРАЦИОНЕН РИСК (OpR)“ на образец CA2.</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В тази колона се включват режийните разходи, включително ред 0630 „РАЗМЕР НА ДОПЪЛНИТЕЛНАТА РИСКОВА ЕКСПОЗИЦИЯ, ДЪЛЖАЩА СЕ НА РЕЖИЙНИТЕ РАЗХОДИ“ от образец CA2.</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размера на рисковите експозиции, които не са изрично посочени по-горе. Тя е сборът на стойностите в редове 0640, 0680 и 0690 на образец CA2.</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ПОДРОБНА ИНФОРМАЦИЯ ЗА СОБСТВЕНИТЕ СРЕДСТВА ЗА ГРУПОВА ПЛАТЕЖОСПОСОБНОСТ</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Докладваната в следващите колони информация отразява местните норми за платежоспособност на държавата членка, в която действа дружеството или подгрупата.</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СОБСТВЕНИ СРЕДСТВА</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в тази колона стойност представлява собствените средства, които са равни или еквивалентни на докладваните в ред 0010 „СОБСТВЕНИ СРЕДСТВА“ на образец CA1.</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В Т.Ч.: КВАЛИФИЦИРАНИ СОБСТВЕНИ СРЕДСТВА </w:t>
            </w:r>
          </w:p>
          <w:p w14:paraId="34714CB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82</w:t>
            </w:r>
            <w:r>
              <w:rPr>
                <w:rFonts w:ascii="Times New Roman" w:hAnsi="Times New Roman"/>
                <w:sz w:val="24"/>
              </w:rPr>
              <w:t xml:space="preserve"> от Регламент (ЕС) № 575/2013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 xml:space="preserve">Тази колона е предвидена единствено за докладваните на индивидуална основа дъщерни предприятия, които са напълно консолидирани и са институции. </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премийни резерви от емисии и други резерви), които са собственост на лица, различни от предприятията, включени в консолидацията съгласно Регламент (ЕС) № 575/2013.</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Това e допустимата стойност към датата на докладване.</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3F7E53C7"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Член 87, параграф 1, буква б) от Регламент (ЕС) № 575/2013</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ОБЩ РАЗМЕР НА КАПИТАЛА ОТ ПЪРВИ РЕД</w:t>
            </w:r>
          </w:p>
          <w:p w14:paraId="3E861344" w14:textId="77777777" w:rsidR="00173F08" w:rsidRPr="001235ED" w:rsidRDefault="00173F08" w:rsidP="00822842">
            <w:pPr>
              <w:rPr>
                <w:rStyle w:val="InstructionsTabelleberschrift"/>
                <w:rFonts w:ascii="Times New Roman" w:hAnsi="Times New Roman"/>
                <w:sz w:val="24"/>
              </w:rPr>
            </w:pPr>
            <w:r>
              <w:rPr>
                <w:rStyle w:val="InstructionsTabelleText"/>
                <w:rFonts w:ascii="Times New Roman" w:hAnsi="Times New Roman"/>
                <w:sz w:val="24"/>
              </w:rPr>
              <w:t>Член 25</w:t>
            </w:r>
            <w:r>
              <w:rPr>
                <w:rFonts w:ascii="Times New Roman" w:hAnsi="Times New Roman"/>
                <w:sz w:val="24"/>
              </w:rPr>
              <w:t xml:space="preserve"> от Регламент (ЕС) № 575/2013</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КАПИТАЛ ОТ ПЪРВИ РЕД</w:t>
            </w:r>
          </w:p>
          <w:p w14:paraId="4EB8A1F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82</w:t>
            </w:r>
            <w:r>
              <w:rPr>
                <w:rFonts w:ascii="Times New Roman" w:hAnsi="Times New Roman"/>
                <w:sz w:val="24"/>
              </w:rPr>
              <w:t xml:space="preserve"> от Регламент (ЕС) № 575/2013</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са институции.</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и премийни резерви от емисии), които са собственост на лица, различни от предприятията, включени в консолидацията съгласно Регламент (ЕС) № 575/2013.</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 преходна разпоредба. Това e допустимата стойност към датата на докладване.</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КАПИТАЛА ОТ ПЪРВИ РЕД, СВЪРЗАНИ НЕРАЗПРЕДЕЛЕНИ ПЕЧАЛБИ И ПРЕМИИ ОТ ЕМИСИИ</w:t>
            </w:r>
          </w:p>
          <w:p w14:paraId="0C524078"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 xml:space="preserve">Член 85, параграф 1, буква б) от Регламент (ЕС) № 575/2013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БАЗОВ СОБСТВЕН КАПИТАЛ ОТ ПЪРВИ РЕД</w:t>
            </w:r>
          </w:p>
          <w:p w14:paraId="1D31362E"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Член 50</w:t>
            </w:r>
            <w:r>
              <w:rPr>
                <w:rFonts w:ascii="Times New Roman" w:hAnsi="Times New Roman"/>
                <w:sz w:val="24"/>
              </w:rPr>
              <w:t xml:space="preserve"> от Регламент (ЕС) № 575/2013</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МАЛЦИНСТВЕНИ УЧАСТИЯ</w:t>
            </w:r>
          </w:p>
          <w:p w14:paraId="03A35E0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81</w:t>
            </w:r>
            <w:r>
              <w:rPr>
                <w:rFonts w:ascii="Times New Roman" w:hAnsi="Times New Roman"/>
                <w:sz w:val="24"/>
              </w:rPr>
              <w:t xml:space="preserve"> от Регламент (ЕС) № 575/2013</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Тази колона се докладва единствено за напълно консолидираните дъщерни предприятия, които са институции, с изключение на дъщерните предприятия, посочени в член 84, параграф 3 от Регламент (ЕС) № 575/2013.</w:t>
            </w:r>
            <w:r>
              <w:rPr>
                <w:rStyle w:val="InstructionsTabelleText"/>
                <w:rFonts w:ascii="Times New Roman" w:hAnsi="Times New Roman"/>
                <w:sz w:val="24"/>
              </w:rPr>
              <w:t xml:space="preserve"> </w:t>
            </w:r>
            <w:r>
              <w:rPr>
                <w:rFonts w:ascii="Times New Roman" w:hAnsi="Times New Roman"/>
                <w:sz w:val="24"/>
              </w:rPr>
              <w:t>Всяко дъщерно предприятие се разглежда на подконсолидирана основа за всички изчисления, които се изискват по член 84 от Регламент (ЕС) № 575/2013, а ако е целесъобразно — в съответствие с член 84, параграф 2. В останалите случаи те се разглеждат на индивидуална основа.</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За горепосочените дъщерни предприятия малцинствените участия представляват инструментите на БСК1 (плюс свързаните с тях неразпределени печалби и премийни резерви от емисии), които са собственост на лица, различни от предприятията, включени в консолидацията съгласно Регламент (ЕС) № 575/2013.</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Това e допустимата стойност към датата на докладване.</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707CE464"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Член 84, параграф 1, буква б) от Регламент (ЕС) № 575/2013</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ДОПЪЛНИТЕЛЕН КАПИТАЛ ОТ ПЪРВИ РЕД</w:t>
            </w:r>
          </w:p>
          <w:p w14:paraId="1CE78A7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Член 61</w:t>
            </w:r>
            <w:r>
              <w:rPr>
                <w:rFonts w:ascii="Times New Roman" w:hAnsi="Times New Roman"/>
                <w:sz w:val="24"/>
              </w:rPr>
              <w:t xml:space="preserve"> от Регламент (ЕС) № 575/2013</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ДОПЪЛНИТЕЛЕН КАПИТАЛ ОТ ПЪРВИ РЕД</w:t>
            </w:r>
          </w:p>
          <w:p w14:paraId="3A11BFD0"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Членове 82 и 83 от Регламент (ЕС) № 575/2013</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85, параграф 2 от Регламент (ЕС) № 575/2013.</w:t>
            </w:r>
            <w:r>
              <w:rPr>
                <w:rStyle w:val="InstructionsTabelleText"/>
                <w:rFonts w:ascii="Times New Roman" w:hAnsi="Times New Roman"/>
                <w:sz w:val="24"/>
              </w:rPr>
              <w:t xml:space="preserve"> </w:t>
            </w:r>
            <w:r>
              <w:rPr>
                <w:rFonts w:ascii="Times New Roman" w:hAnsi="Times New Roman"/>
                <w:sz w:val="24"/>
              </w:rPr>
              <w:t>Всяко дъщерно предприятие се разглежда на подконсолидирана основа за всички изчисления, които се изискват по член 85 от Регламент (ЕС) № 575/2013, а ако е целесъобразно — в съответствие с член 85, параграф 2. В останалите случаи те се разглеждат на индивидуална основа.</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За горепосочените дъщерни предприятия малцинствените участия представляват инструментите на ДК1 (плюс свързаните с тях неразпределени печалби и премийни резерви от емисии), които са собственост на лица, различни от предприятията, включени в консолидацията съгласно Регламент (ЕС) № 575/2013.</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Това e допустимата стойност към датата на докладване.</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КАПИТАЛ ОТ ВТОРИ РЕД (К2)</w:t>
            </w:r>
          </w:p>
          <w:p w14:paraId="49EA3D8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Член 71</w:t>
            </w:r>
            <w:r>
              <w:rPr>
                <w:rFonts w:ascii="Times New Roman" w:hAnsi="Times New Roman"/>
                <w:sz w:val="24"/>
              </w:rPr>
              <w:t xml:space="preserve"> от Регламент (ЕС) № 575/2013</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КВАЛИФИЦИРАН КАПИТАЛ ОТ ВТОРИ РЕД</w:t>
            </w:r>
          </w:p>
          <w:p w14:paraId="23E95E82"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Членове 82 и 83 от Регламент (ЕС) № 575/2013</w:t>
            </w:r>
          </w:p>
          <w:p w14:paraId="4ADB589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87, параграф 2 от Регламент (ЕС) № 575/2013.</w:t>
            </w:r>
            <w:r>
              <w:rPr>
                <w:rStyle w:val="InstructionsTabelleText"/>
                <w:rFonts w:ascii="Times New Roman" w:hAnsi="Times New Roman"/>
                <w:sz w:val="24"/>
              </w:rPr>
              <w:t xml:space="preserve"> </w:t>
            </w:r>
            <w:r>
              <w:rPr>
                <w:rFonts w:ascii="Times New Roman" w:hAnsi="Times New Roman"/>
                <w:sz w:val="24"/>
              </w:rPr>
              <w:t>Всяко дъщерно предприятие се разглежда на подконсолидирана основа за целите на всички изчисления, които се изискват по член 87 от Регламент (ЕС) № 575/2013, а ако е целесъобразно — в съответствие с член 87, параграф 2 от същия регламент. В останалите случаи те се разглеждат на индивидуална основа.</w:t>
            </w:r>
            <w:r>
              <w:rPr>
                <w:rStyle w:val="InstructionsTabelleText"/>
                <w:rFonts w:ascii="Times New Roman" w:hAnsi="Times New Roman"/>
                <w:sz w:val="24"/>
              </w:rPr>
              <w:t xml:space="preserve"> </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За горепосочените дъщерни предприятия малцинствените участия представляват инструментите на К2 (плюс свързаните с тях неразпределени печалби и премийни </w:t>
            </w:r>
            <w:r>
              <w:rPr>
                <w:rFonts w:ascii="Times New Roman" w:hAnsi="Times New Roman"/>
                <w:sz w:val="24"/>
              </w:rPr>
              <w:lastRenderedPageBreak/>
              <w:t>резерви от емисии), които са собственост на лица, различни от предприятията, включени в консолидацията съгласно Регламент (ЕС) № 575/2013.</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ефекта на всякакви преходни разпоредби. Това e допустимата стойност към референтната дата.</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ИНФОРМАЦИЯ ЗА ПРИНОСА НА СУБЕКТИТЕ КЪМ ПЛАТЕЖОСПОСОБНОСТТА НА ГРУПАТА</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ПРИНОС КЪМ РИСКОВЕТЕ</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ОБЩ РАЗМЕР НА РИСКОВАТА ЕКСПОЗИЦИЯ</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 се сборът на колони 0260—0290.</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Стойността, която се докладва, е размерът на рисково претеглените експозиции за кредитен риск и капиталовите изисквания за риск във връзка със сетълмента/свободни доставки в съответствие с Регламент (ЕС) № 575/2013, с изключение на евентуалните стойности, свързани със сделки с други субекти, включени в изчисляването на консолидирания коефициент на груповата платежоспособност.</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ПАЗАРНИ РИСКОВЕ</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Рисковите експозиции за пазарни рискове се изчисляват на ниво всеки субект в съответствие с Регламент (ЕС) № 575/2013.</w:t>
            </w:r>
            <w:r>
              <w:rPr>
                <w:rStyle w:val="InstructionsTabelleText"/>
                <w:rFonts w:ascii="Times New Roman" w:hAnsi="Times New Roman"/>
                <w:sz w:val="24"/>
              </w:rPr>
              <w:t xml:space="preserve"> Субектите докладват приноса към общата рискова експозиция на групата за пазарен риск. Сборът от докладваните тук стойности съответства на стойността, докладвана в ред 0520 „ОБЩ РАЗМЕР НА РИСКОВАТА ЕКСПОЗИЦИЯ ЗА СТОПАНСКАТА ДЕЙНОСТ, ИЗЛОЖЕНА НА ПАЗАРЕН РИСК“ на консолидирания отчет.</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ОПЕРАЦИОНЕН РИСК</w:t>
            </w:r>
          </w:p>
          <w:p w14:paraId="58C1AE53" w14:textId="2055313A" w:rsidR="00702B2E" w:rsidRPr="00702B2E" w:rsidRDefault="00702B2E" w:rsidP="00822842">
            <w:pPr>
              <w:rPr>
                <w:rFonts w:ascii="Times New Roman" w:hAnsi="Times New Roman"/>
                <w:sz w:val="24"/>
              </w:rPr>
            </w:pPr>
            <w:r>
              <w:rPr>
                <w:rFonts w:ascii="Times New Roman" w:hAnsi="Times New Roman"/>
                <w:sz w:val="24"/>
              </w:rPr>
              <w:t>Докладваната в тази колона стойност съответства на размера на рисковите експозиции за операционен риск.</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В тази колона се включват режийните разходи.</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ДРУГИ РИСКОВИ ЕКСПОЗИЦИИ</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Докладваната в тази колона стойност съответства на размера на рисковите експозиции за рисковете, които не са изброени по-горе.</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ПРИНОС КЪМ СОБСТВЕНИТЕ СРЕДСТВА</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С тази част на образеца не се цели да се наложи на институциите да извършват пълно изчисление на отношението на общата капиталова адекватност на равнище отделно дружество.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rPr>
                <w:rFonts w:ascii="Times New Roman" w:hAnsi="Times New Roman"/>
                <w:sz w:val="24"/>
              </w:rPr>
              <w:lastRenderedPageBreak/>
              <w:t>В колони 0300—0350 се докладват консолидираните субекти с принос към собствените средства чрез малцинствени участия, квалифициран капитал от първи ред или квалифицирани собствени средства. При спазване на прага, посочен в последния параграф от част II, глава 2.3 по-горе, колони 0360–0400 се попълват за всички консолидирани субекти с принос към консолидираните собствени средства.</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В тази колона не се взимат предвид собствените средства, които даден субект е получил от останалите субекти, включени в обхвата на докладващото дружество, а само нетният принос към собствените средства на групата (предимно собствените средства, получени от трети лица, и натрупаните резерви).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7830B882"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Като „КВАЛИФИЦИРАНИ СОБСТВЕНИ СРЕДСТВА, ВКЛЮЧЕНИ В КОНСОЛИДИРАНИТЕ СОБСТВЕНИ СРЕДСТВА“ се докладва стойността, изведена съгласно втора част, дял II от Регламент (ЕС) № 575/2013, с изключение на средствата, получени от други субекти от групата.</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6F3A60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87</w:t>
            </w:r>
            <w:r>
              <w:rPr>
                <w:rFonts w:ascii="Times New Roman" w:hAnsi="Times New Roman"/>
                <w:sz w:val="24"/>
              </w:rPr>
              <w:t xml:space="preserve"> от Регламент (ЕС) № 575/2013</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ИНСТРУМЕНТИ НА КВАЛИФИЦИРАНИЯ КАПИТАЛ ОТ ПЪРВИ РЕД, ВКЛЮЧЕНИ В КОНСОЛИДИРАНИЯ КАПИТАЛ ОТ ПЪРВИ РЕД</w:t>
            </w:r>
          </w:p>
          <w:p w14:paraId="4E25C23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85</w:t>
            </w:r>
            <w:r>
              <w:rPr>
                <w:rFonts w:ascii="Times New Roman" w:hAnsi="Times New Roman"/>
                <w:sz w:val="24"/>
              </w:rPr>
              <w:t xml:space="preserve"> от Регламент (ЕС) № 575/2013</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МАЛЦИНСТВЕНИ УЧАСТИЯ, ВКЛЮЧЕНИ В КОНСОЛИДИРАНИЯ БАЗОВ СОБСТВЕН КАПИТАЛ ОТ ПЪРВИ РЕД</w:t>
            </w:r>
          </w:p>
          <w:p w14:paraId="0B8B81A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84</w:t>
            </w:r>
            <w:r>
              <w:rPr>
                <w:rFonts w:ascii="Times New Roman" w:hAnsi="Times New Roman"/>
                <w:sz w:val="24"/>
              </w:rPr>
              <w:t xml:space="preserve"> от Регламент (ЕС) № 575/2013</w:t>
            </w:r>
          </w:p>
          <w:p w14:paraId="01FA0CD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Докладваната стойност е размерът на малцинствените участия на дадено дъщерно предприятие, включен в консолидирания БСК1 в съответствие с Регламент (ЕС) № 575/2013.</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ИНСТРУМЕНТИ НА КВАЛИФИЦИРАНИЯ КАПИТАЛ ОТ ПЪРВИ РЕД, ВКЛЮЧЕНИ В КОНСОЛИДИРАНИЯ ДОПЪЛНИТЕЛЕН КАПИТАЛ ОТ ПЪРВИ РЕД</w:t>
            </w:r>
          </w:p>
          <w:p w14:paraId="488797C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86</w:t>
            </w:r>
            <w:r>
              <w:rPr>
                <w:rFonts w:ascii="Times New Roman" w:hAnsi="Times New Roman"/>
                <w:sz w:val="24"/>
              </w:rPr>
              <w:t xml:space="preserve"> от Регламент (ЕС) № 575/2013</w:t>
            </w:r>
          </w:p>
          <w:p w14:paraId="14D60AC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Докладваната стойност е размерът на квалифицирания К1 на дадено дъщерно предприятие, включен в консолидирания ДК1 в съответствие с Регламент (ЕС) № 575/2013.</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ИНСТРУМЕНТИ НА КВАЛИФИЦИРАНИТЕ СОБСТВЕНИ СРЕДСТВА, ВКЛЮЧЕНИ В КОНСОЛИДИРАНИЯ КАПИТАЛ ОТ ВТОРИ РЕД</w:t>
            </w:r>
          </w:p>
          <w:p w14:paraId="1E25A6D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Член 88</w:t>
            </w:r>
            <w:r>
              <w:rPr>
                <w:rFonts w:ascii="Times New Roman" w:hAnsi="Times New Roman"/>
                <w:sz w:val="24"/>
              </w:rPr>
              <w:t xml:space="preserve"> от Регламент (ЕС) № 575/2013</w:t>
            </w:r>
          </w:p>
          <w:p w14:paraId="257F78A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Докладваната стойност е размерът на квалифицираните собствени средства на дадено дъщерно предприятие, включен в консолидирания К2 в съответствие с Регламент (ЕС) № 575/2013.</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lastRenderedPageBreak/>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ПОЯСНЯВАЩА ПОЗИЦИЯ: РЕПУТАЦИЯ (-) / (+) ОТРИЦАТЕЛНА РЕПУТАЦИЯ</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p w14:paraId="71907E1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Член 18</w:t>
            </w:r>
            <w:r>
              <w:rPr>
                <w:rFonts w:ascii="Times New Roman" w:hAnsi="Times New Roman"/>
                <w:sz w:val="24"/>
              </w:rPr>
              <w:t xml:space="preserve"> от Регламент (ЕС) № 575/2013</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Като „КОНСОЛИДИРАНИ СОБСТВЕНИ СРЕДСТВА“ се докладва стойността от баланса, с изключение на всички средства, получени от други субекти от групата.</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КОНСОЛИДИРАНИ СОБСТВЕНИ СРЕДСТВА</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БАЗОВ СОБСТВЕН КАПИТАЛ ОТ ПЪРВИ РЕД</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ДОПЪЛНИТЕЛЕН КАПИТАЛ ОТ ПЪРВИ РЕД</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В Т.Ч.: ПРИНОС КЪМ КОНСОЛИДИРАНИЯ РЕЗУЛТАТ</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Докладва се приносът на всяко дружество в консолидирания резултат (печалба или загуба (–). Това включва резултатите, които се отнасят за малцинствените участия.</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В Т.Ч.: (-) РЕПУТАЦИЯ / (+) ОТРИЦАТЕЛНА РЕПУТАЦИЯ</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Тук се докладва репутацията или отрицателната репутация на докладващото дружество във връзка с дъщерното предприятие.</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КАПИТАЛОВИ БУФЕРИ</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 xml:space="preserve">Структурата на докладването на капиталовите буфери в образец GS следва общата структура на образец CA4 и същите понятия. Когато се докладват капиталовите буфери в образец GS, съответните стойности се докладват в съответствие с разпоредбите, приложими за определяне на изискването за буфер на равнище консолидирана група. Поради това докладваните размери на капиталовите буфери представляват приноса на всяко дружество към капиталовите буфери на групата. </w:t>
            </w:r>
            <w:r>
              <w:rPr>
                <w:rFonts w:ascii="Times New Roman" w:hAnsi="Times New Roman"/>
                <w:sz w:val="24"/>
              </w:rPr>
              <w:t>Стойностите се докладват съгласно националните разпоредби за транспониране на Директива 2013/36/ЕС и на Регламент (ЕС) № 575/2013, включително всички предвидени в тях преходни разпоредби.</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КОМБИНИРАНО ИЗИСКВАНЕ ЗА БУФЕР</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Член 128, точка 6 от Директива 2013/36/ЕС</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ПРЕДПАЗЕН КАПИТАЛОВ БУФЕР</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Член 128, точка 1 и член 129 от Директива 2013/36/ЕС</w:t>
            </w:r>
          </w:p>
          <w:p w14:paraId="7013CF4E" w14:textId="77777777" w:rsidR="00173F08" w:rsidRPr="002A677E" w:rsidRDefault="00173F08" w:rsidP="00F9193E">
            <w:pPr>
              <w:pStyle w:val="InstructionsText"/>
              <w:rPr>
                <w:rStyle w:val="InstructionsTabelleText"/>
              </w:rPr>
            </w:pPr>
            <w:r>
              <w:t xml:space="preserve">В съответствие с член 129, параграф 1 от Директива 2013/36/ЕС предпазният капиталов буфер представлява допълнителен размер на базовия собствен </w:t>
            </w:r>
            <w:r>
              <w:lastRenderedPageBreak/>
              <w:t>капитал от първи ред. В това поле се докладва сума, тъй като процентът на предпазния капиталов буфер е винаги 2,5 %.</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СПЕЦИФИЧЕН ЗА ИНСТИТУЦИЯТА АНТИЦИКЛИЧЕН КАПИТАЛОВ БУФЕР</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Член 128, точка 2, член 130 и членове 135—140 от Директива 2013/36/ЕС</w:t>
            </w:r>
          </w:p>
          <w:p w14:paraId="169D829F" w14:textId="77777777" w:rsidR="00173F08" w:rsidRPr="002A677E" w:rsidRDefault="00173F08" w:rsidP="00F9193E">
            <w:pPr>
              <w:pStyle w:val="InstructionsText"/>
              <w:rPr>
                <w:rStyle w:val="InstructionsTabelleText"/>
              </w:rPr>
            </w:pPr>
            <w:r>
              <w:t>В това поле се докладва конкретната стойност на антицикличния буфер.</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ПРЕДПАЗЕН БУФЕР ЗА УСТАНОВЕН НА РАВНИЩЕ ДЪРЖАВА ЧЛЕНКА МАКРОПРУДЕНЦИАЛЕН ИЛИ СИСТЕМЕН РИСК</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Член 458, параграф 2, буква г), подточка iv) от Регламент (ЕС) № 575/2013</w:t>
            </w:r>
          </w:p>
          <w:p w14:paraId="2C6BA8FE" w14:textId="77777777" w:rsidR="00173F08" w:rsidRPr="002A677E" w:rsidRDefault="00173F08" w:rsidP="00F9193E">
            <w:pPr>
              <w:pStyle w:val="InstructionsText"/>
              <w:rPr>
                <w:rStyle w:val="InstructionsTabelleberschrift"/>
              </w:rPr>
            </w:pPr>
            <w:r>
              <w:t>В това поле се докладва стойността на предпазния буфер за макропруденциален или системен риск, установен на равнище държава членка, който в съответствие с член 458 от Регламент (ЕС) № 575/2013 може да бъде изискан в допълнение към предпазния капиталов буфер.</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БУФЕР ЗА СИСТЕМЕН РИСК</w:t>
            </w:r>
          </w:p>
          <w:p w14:paraId="409112BD" w14:textId="77777777" w:rsidR="00173F08" w:rsidRPr="002A677E" w:rsidRDefault="00173F08" w:rsidP="00F9193E">
            <w:pPr>
              <w:pStyle w:val="InstructionsText"/>
            </w:pPr>
            <w:r>
              <w:t xml:space="preserve">Член 128, точка 5 и членове 133 и 134 от Директива 2013/36/ЕС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В това поле се докладва стойността на буфера за системен риск.</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БУФЕР ЗА ГЛОБАЛНИТЕ СИСТЕМНО ЗНАЧИМИ ИНСТИТУЦИИ</w:t>
            </w:r>
            <w:r>
              <w:rPr>
                <w:rStyle w:val="InstructionsTabelleberschrift"/>
                <w:rFonts w:ascii="Times New Roman" w:hAnsi="Times New Roman"/>
                <w:sz w:val="24"/>
              </w:rPr>
              <w:tab/>
            </w:r>
          </w:p>
          <w:p w14:paraId="530093DF" w14:textId="77777777" w:rsidR="00173F08" w:rsidRPr="002A677E" w:rsidRDefault="00173F08" w:rsidP="00F9193E">
            <w:pPr>
              <w:pStyle w:val="InstructionsText"/>
              <w:rPr>
                <w:rStyle w:val="InstructionsTabelleberschrift"/>
                <w:b w:val="0"/>
              </w:rPr>
            </w:pPr>
            <w:r>
              <w:t>Член 128, точка 3 и член 131 от Директива 2013/36/ЕС</w:t>
            </w:r>
          </w:p>
          <w:p w14:paraId="5835A3FB" w14:textId="77777777" w:rsidR="00173F08" w:rsidRPr="002A677E" w:rsidRDefault="00173F08" w:rsidP="00F9193E">
            <w:pPr>
              <w:pStyle w:val="InstructionsText"/>
              <w:rPr>
                <w:rStyle w:val="InstructionsTabelleberschrift"/>
              </w:rPr>
            </w:pPr>
            <w:r>
              <w:t>В това поле се докладва стойността на буфера за глобалните системно значими институции.</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БУФЕР ЗА ДРУГИ СИСТЕМНО ЗНАЧИМИ ИНСТИТУЦИИ</w:t>
            </w:r>
            <w:r>
              <w:rPr>
                <w:rStyle w:val="InstructionsTabelleberschrift"/>
                <w:rFonts w:ascii="Times New Roman" w:hAnsi="Times New Roman"/>
                <w:sz w:val="24"/>
              </w:rPr>
              <w:tab/>
            </w:r>
          </w:p>
          <w:p w14:paraId="5C91FC01" w14:textId="77777777" w:rsidR="00173F08" w:rsidRPr="002A677E" w:rsidRDefault="00173F08" w:rsidP="00F9193E">
            <w:pPr>
              <w:pStyle w:val="InstructionsText"/>
            </w:pPr>
            <w:r>
              <w:t>Член 128, точка 4 и член 131 от Директива 2013/36/ЕС</w:t>
            </w:r>
          </w:p>
          <w:p w14:paraId="677D9498" w14:textId="77777777" w:rsidR="00173F08" w:rsidRPr="002A677E" w:rsidRDefault="00173F08" w:rsidP="00F9193E">
            <w:pPr>
              <w:pStyle w:val="InstructionsText"/>
              <w:rPr>
                <w:rStyle w:val="InstructionsTabelleberschrift"/>
              </w:rPr>
            </w:pPr>
            <w:r>
              <w:t>В това поле се докладва стойността на буфера за други системно значими институции.</w:t>
            </w:r>
          </w:p>
        </w:tc>
      </w:tr>
    </w:tbl>
    <w:p w14:paraId="25845975" w14:textId="77777777" w:rsidR="00173F08" w:rsidRPr="002A677E" w:rsidRDefault="00173F08" w:rsidP="00F9193E">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DA1E" w14:textId="77777777" w:rsidR="009871DF" w:rsidRDefault="009871DF" w:rsidP="00E26A90">
      <w:pPr>
        <w:spacing w:after="0"/>
      </w:pPr>
      <w:r>
        <w:separator/>
      </w:r>
    </w:p>
  </w:endnote>
  <w:endnote w:type="continuationSeparator" w:id="0">
    <w:p w14:paraId="6BF50B3E" w14:textId="77777777" w:rsidR="009871DF" w:rsidRDefault="009871D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E35E" w14:textId="77777777" w:rsidR="009871DF" w:rsidRDefault="009871DF" w:rsidP="00E26A90">
      <w:pPr>
        <w:spacing w:after="0"/>
      </w:pPr>
      <w:r>
        <w:separator/>
      </w:r>
    </w:p>
  </w:footnote>
  <w:footnote w:type="continuationSeparator" w:id="0">
    <w:p w14:paraId="42005157" w14:textId="77777777" w:rsidR="009871DF" w:rsidRDefault="009871DF"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601EA3"/>
    <w:rsid w:val="00631623"/>
    <w:rsid w:val="00694862"/>
    <w:rsid w:val="00702B2E"/>
    <w:rsid w:val="00780E9B"/>
    <w:rsid w:val="009871DF"/>
    <w:rsid w:val="00A6002C"/>
    <w:rsid w:val="00A70706"/>
    <w:rsid w:val="00B44A0E"/>
    <w:rsid w:val="00B51140"/>
    <w:rsid w:val="00B71F25"/>
    <w:rsid w:val="00BF2D9E"/>
    <w:rsid w:val="00C61CB8"/>
    <w:rsid w:val="00E26A90"/>
    <w:rsid w:val="00EF07A1"/>
    <w:rsid w:val="00F9193E"/>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F9193E"/>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F9193E"/>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FC61B01F-F263-48DC-A744-082EFD7B8BE1}"/>
</file>

<file path=customXml/itemProps3.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4313</Words>
  <Characters>23034</Characters>
  <Application>Microsoft Office Word</Application>
  <DocSecurity>0</DocSecurity>
  <Lines>535</Lines>
  <Paragraphs>350</Paragraphs>
  <ScaleCrop>false</ScaleCrop>
  <Company/>
  <LinksUpToDate>false</LinksUpToDate>
  <CharactersWithSpaces>26997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2025-01-22T15:48:28Z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fa305a8e-1faa-4b1c-b35b-70fe658caf80</vt:lpwstr>
  </property>
  <property fmtid="{D5CDD505-2E9C-101B-9397-08002B2CF9AE}" pid="10" name="MSIP_Label_6bd9ddd1-4d20-43f6-abfa-fc3c07406f94_ContentBits">
    <vt:lpwstr>0</vt:lpwstr>
  </property>
</Properties>
</file>