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AB900" w14:textId="77777777" w:rsidR="001C3967" w:rsidRDefault="001C3967" w:rsidP="001C3967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HR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PRILOG II.</w:t>
      </w:r>
    </w:p>
    <w:p w14:paraId="4E0B1D04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„PRILOG II.</w:t>
      </w:r>
    </w:p>
    <w:p w14:paraId="1B650450" w14:textId="77777777" w:rsidR="0086495E" w:rsidRPr="00037E7B" w:rsidRDefault="0086495E" w:rsidP="0086495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UPUTE ZA IZVJEŠĆIVANJE O REGULATORNOM KAPITALU I KAPITALNIM ZAHTJEVIMA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DIO II.: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UPUTE ZA OBRASCE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3.5.a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C 10.00 – Kreditni rizik, kreditni rizik druge ugovorne strane i slobodne isporuke: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Izloženosti prema IRB pristupu na koje se primjenjuje minimalna donja granica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0" w:name="_Toc151714425"/>
      <w:r>
        <w:rPr>
          <w:sz w:val="24"/>
          <w:u w:val="none"/>
          <w:rFonts w:ascii="Times New Roman" w:hAnsi="Times New Roman"/>
        </w:rPr>
        <w:t xml:space="preserve">3.5.a.1.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Opće napomene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91.b</w:t>
      </w:r>
      <w:r>
        <w:t xml:space="preserve"> </w:t>
      </w:r>
      <w:r>
        <w:t xml:space="preserve">Institucije koje primjenjuju IRB pristup u C 10.00 iskazuju izloženosti prema IRB pristupu raščlanjene prema kategorijama izloženosti u skladu sa standardiziranim pristupom i informacije o izračunu iznosa ukupne izloženosti riziku dobivenog primjenom standardiziranog izračuna za te izloženosti.</w:t>
      </w:r>
      <w:r>
        <w:t xml:space="preserve"> </w:t>
      </w:r>
      <w:r>
        <w:t xml:space="preserve">U stupcima 0100-0120 prikupljaju se informacije o učinku prijelaznih odredbi povezanih s minimalnom donjom granicom za te izloženosti.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91.c</w:t>
      </w:r>
      <w:r>
        <w:t xml:space="preserve"> </w:t>
      </w:r>
      <w:r>
        <w:t xml:space="preserve">Institucije koje primjenjuju metodu internog modela (IMM) iz poglavlja 6. odjeljka 6. Uredbe (EU) br. 575/2013 za izračun iznosa izloženosti za izloženosti u skladu sa standardiziranim pristupom ispunjavaju redak 0270 ovog obrasca.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1" w:name="_Toc151714426"/>
      <w:r>
        <w:rPr>
          <w:sz w:val="24"/>
          <w:u w:val="none"/>
          <w:rFonts w:ascii="Times New Roman" w:hAnsi="Times New Roman"/>
        </w:rPr>
        <w:t xml:space="preserve">3.5a.2.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Upute za specifične pozicije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Stupci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 xml:space="preserve">ORIGINALNA IZLOŽENOST PRIJE KONVERZIJSKIH FAKTORA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 07.00 stupac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VRIJEDNOSNA USKLAĐENJA I REZERVACIJE POVEZANE S ORIGINALNOM IZLOŽENOSTI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 07.00 stupac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 UMANJENA ZA VRIJEDNOSNA USKLAĐENJA I REZERVACIJE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Zbroj stupaca 0010 i 0020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VRIJEDNOST IZLOŽENOSTI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t xml:space="preserve">Vidjeti upute za obrazac C 07.00 stupac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 KREDITNOG RIZIKA DRUGE UGOVORNE STRANE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Vidjeti upute za obrazac C 07.00 stupac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0060-0080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MINIMALNA DONJA GRANICA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92. stavak 3. i članak 92. stavak 5. Uredbe (EU) br.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Iznos ukupne izloženosti riziku dobiven primjenom standardiziranog izračuna (S-TREA) izračunan u skladu s člankom 92. stavkom 5. Uredbe (EU) br. 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 KREDITNOG RIZIKA DRUGE UGOVORNE STRANE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S-TREA izračunana za kreditni rizik druge ugovorne strane u skladu s metodama iz dijela trećeg glave II. poglavlja 6. Uredbe (EU) br. 575/2013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 PROCJENOM KREDITNOG RIZIKA ODABRANOG VIPKR-A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 112. točke od (a) do (d), (f), (g), (l), (n) (o) i (q) Uredbe (EU) br. 575/2013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0090-0110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BILJEŠKE: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RWEA POVEZANA S UČINKOM PRIMJENE ODREĐENIH PRIJELAZNIH ODREDBI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Članak 92. stavak 3. i članak 465. </w:t>
            </w:r>
            <w:r>
              <w:rPr>
                <w:sz w:val="24"/>
                <w:rFonts w:ascii="Times New Roman" w:hAnsi="Times New Roman"/>
              </w:rPr>
              <w:t xml:space="preserve">Uredbe (EU) br. 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Iskazuje se razlika između iznosa RWEA-e bez primjene prijelaznih odredbi i iznosa RWEA-e uz primjenu prijelaznih odredbi.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OSIGURANE HIPOTEKAMA NA STAMBENIM NEKRETNINAMA U IZNOSU DO 55 % VRIJEDNOSTI NEKRETNINE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Članak 465. stavak 5. točka (a) </w:t>
            </w:r>
            <w:r>
              <w:rPr>
                <w:sz w:val="24"/>
                <w:rFonts w:ascii="Times New Roman" w:hAnsi="Times New Roman"/>
              </w:rPr>
              <w:t xml:space="preserve">Uredbe (EU) br. 575/2013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OSIGURANE HIPOTEKAMA NA STAMBENIM NEKRETNINAMA U IZNOSU OD 55 % DO 80 % VRIJEDNOSTI NEKRETNINE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Članak 465. stavak 5. točka (b)</w:t>
            </w:r>
            <w:r>
              <w:rPr>
                <w:sz w:val="24"/>
                <w:rFonts w:ascii="Times New Roman" w:hAnsi="Times New Roman"/>
              </w:rPr>
              <w:t xml:space="preserve"> Uredbe (EU) br. 575/2013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PREMA TRGOVAČKIM DRUŠTVIMA BEZ REJTINGA S PROCJENOM PD-A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Članak 465. stavak 3.</w:t>
            </w:r>
            <w:r>
              <w:rPr>
                <w:sz w:val="24"/>
                <w:rFonts w:ascii="Times New Roman" w:hAnsi="Times New Roman"/>
              </w:rPr>
              <w:t xml:space="preserve"> Uredbe (EU) br. 575/2013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PREMA IRB PRISTUPU KOJE PODLIJEŽU KREDITNOM RIZIKU DRUGE UGOVORNE STRANE U SKLADU S METODOM INTERNOG MODELA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Članak 465. stavak 4.</w:t>
            </w:r>
            <w:r>
              <w:rPr>
                <w:sz w:val="24"/>
                <w:rFonts w:ascii="Times New Roman" w:hAnsi="Times New Roman"/>
              </w:rPr>
              <w:t xml:space="preserve"> Uredbe (EU) br. 575/2013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Redci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UKUPNE IZLOŽENOSTI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Članak 92. stavak 3. i članci 95., 96. i 98. Uredbe (EU) br. 575/2013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dodatni stroži bonitetni zahtjevi na temelju članka 124. Uredbe (EU) br. 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Institucije iskazuju dodatne iznose izloženosti riziku koji su potrebni za ispunjavanje strožih bonitetnih zahtjeva kako su priopćeni institucijama nakon savjetovanja s EBA-om, u skladu s člankom 124. stavcima 2. i 5. Uredbe (EU) br. 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Kategorije izloženosti u skladu sa standardiziranim pristupom isključujući sekuritizacijske pozicije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Obrazac CR SA na razini ukupnih izloženosti.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Kategorije izloženosti u skladu sa standardiziranim pristupom one su </w:t>
            </w: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navedene</w:t>
            </w:r>
            <w:r>
              <w:rPr>
                <w:sz w:val="24"/>
                <w:rFonts w:ascii="Times New Roman" w:hAnsi="Times New Roman"/>
              </w:rPr>
              <w:t xml:space="preserve"> u članku 112. Uredbe (EU) br. 575/2013, isključujući sekuritizacijske pozicije.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Središnje države ili središnje banke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Jedinice područne (regionalne) ili lokalne samouprave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Subjekti javnog sektora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Multilateralne razvojne banke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Međunarodne organizacije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Institucije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Trgovačka društva – ostalo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prema trgovačkim društvima bez rejtinga s procjenom PD-a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Članak 465. stavak 3.</w:t>
            </w:r>
            <w:r>
              <w:rPr>
                <w:sz w:val="24"/>
                <w:rFonts w:ascii="Times New Roman" w:hAnsi="Times New Roman"/>
              </w:rPr>
              <w:t xml:space="preserve"> Uredbe (EU) br. 575/2013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otkupljena potraživanja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b w:val="0"/>
                <w:rFonts w:ascii="Times New Roman" w:hAnsi="Times New Roman"/>
              </w:rPr>
              <w:t xml:space="preserve">Izloženosti koje su na temelju IRB pristupa raspoređene u kategoriju izloženosti „Otkupljena potraživanja” na temelju članka 147. stavka 2. točke (c) podtočke iii.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Uredbe (EU) br. 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Trgovačka društva – specijalizirano financiranje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Stanovništvo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kvalificirane obnovljive izloženosti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b w:val="0"/>
                <w:u w:val="none"/>
                <w:rFonts w:ascii="Times New Roman" w:hAnsi="Times New Roman"/>
              </w:rPr>
              <w:t xml:space="preserve">Izloženosti koje su na temelju IRB pristupa raspoređene u kategoriju izloženosti „Otkupljena potraživanja” na temelju članka 147. stavka 2. točke (d) podtočke i.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Uredbe (EU) br. 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otkupljena potraživanja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b w:val="0"/>
                <w:u w:val="none"/>
                <w:rFonts w:ascii="Times New Roman" w:hAnsi="Times New Roman"/>
              </w:rPr>
              <w:t xml:space="preserve">Izloženosti koje su na temelju IRB pristupa raspoređene u kategoriju izloženosti „Otkupljena potraživanja” na temelju članka 147. stavka 2. točke (d) podtočke iii.</w:t>
            </w: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Uredbe (EU) br. 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nekretninama i ADC izloženosti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osigurane hipotekama na stambenim nekretninama u iznosu do 55 % vrijednosti nekretnine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Članak 465. stavak 5. točka (a) </w:t>
            </w:r>
            <w:r>
              <w:rPr>
                <w:sz w:val="24"/>
                <w:rFonts w:ascii="Times New Roman" w:hAnsi="Times New Roman"/>
              </w:rPr>
              <w:t xml:space="preserve">Uredbe (EU) br. 575/2013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osigurane hipotekama na stambenim nekretninama u iznosu od 55 % do 80 % vrijednosti nekretnine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rFonts w:ascii="Times New Roman" w:hAnsi="Times New Roman"/>
              </w:rPr>
              <w:t xml:space="preserve">Članak 465. stavak 5. točka (b) </w:t>
            </w:r>
            <w:r>
              <w:rPr>
                <w:sz w:val="24"/>
                <w:rFonts w:ascii="Times New Roman" w:hAnsi="Times New Roman"/>
              </w:rPr>
              <w:t xml:space="preserve">Uredbe (EU) br. 575/2013.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stambenim nekretninama – nisu IPRE (osigurane)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stambenim nekretninama – nisu IPRE (neosigurane)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stambenim nekretninama – Ostalo – nisu IPRE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Osigurano hipotekama na stambenim nekretninama – IPRE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poslovnim nekretninama – Ostalo – IPRE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poslovnim nekretninama – nisu IPRE (osigurane)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b/>
                <w:sz w:val="24"/>
                <w:u w:val="single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poslovnim nekretninama – nisu IPRE (neosigurane)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poslovnim nekretninama – Ostalo – nisu IPRE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poslovnim nekretninama – IPRE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osigurane hipotekama na poslovnim nekretninama – Ostalo – IPRE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stjecanje, razvoj i građenje (ADC)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0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Od čega: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kategorizirane kao osigurane stambenom nekretninom u IRB pristupu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b w:val="0"/>
                <w:rFonts w:ascii="Times New Roman" w:hAnsi="Times New Roman"/>
              </w:rPr>
              <w:t xml:space="preserve">Izloženosti koje su na temelju IRB pristupa raspoređene u kategoriju izloženosti „Otkupljena potraživanja” na temelju članka 147. stavka 2. točke (d) podtočke ii.</w:t>
            </w:r>
            <w:r>
              <w:rPr>
                <w:sz w:val="24"/>
                <w:rStyle w:val="InstructionsTabelleberschrift"/>
                <w:b w:val="0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Uredbe (EU) br. 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u statusu neispunjavanja obveza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Podređene dužničke izloženosti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Pokrivene obveznice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Potraživanja prema institucijama i trgovačkim društvima s kratkoročnom kreditnom procjenom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Subjekti za zajednička ulaganja (CIU)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Vlasnička ulaganja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Ostale stavke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Vidjeti obrazac CR SA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</w:rPr>
              <w:t xml:space="preserve">BILJEŠKE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Trgovačka društva –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Izloženosti prema trgovačkim društvima na koje se primjenjuje osnovni IRB pristup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Trgovačka društva –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Izloženosti prema trgovačkim društvima na koje se primjenjuje osnovni IRB pristup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Izloženosti u skladu sa standardiziranim pristupom koje podliježu kreditnom riziku druge ugovorne strane u skladu s metodom internog modela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Style w:val="InstructionsTabelleberschrift"/>
                <w:b w:val="0"/>
                <w:u w:val="none"/>
                <w:rFonts w:ascii="Times New Roman" w:hAnsi="Times New Roman"/>
              </w:rPr>
              <w:t xml:space="preserve">Članak 465. stavak 4. </w:t>
            </w:r>
            <w:r>
              <w:rPr>
                <w:sz w:val="24"/>
                <w:rFonts w:ascii="Times New Roman" w:hAnsi="Times New Roman"/>
              </w:rPr>
              <w:t xml:space="preserve">Uredbe (EU) br. 575/2013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dovita upotr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dovita upotr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dovita upotr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dovita upotr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dovita upotr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Redovita upotreba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dovita upotr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Redovita upotreba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hr-HR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F626E5-C3E0-4D63-B7EF-992A1E55BA28}"/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2024-06-21T12:20:00Z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