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EL</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ΠΑΡΑΡΤΗΜΑ XII</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«ΠΑΡΑΡΤΗΜΑ XXVII</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ΟΔΗΓΙΕΣ ΥΠΟΒΟΛΗΣ ΑΝΑΦΟΡΩΝ ΓΙΑ ΤΟΝ ΣΚΟΠΟ ΤΟΥ ΠΡΟΣΔΙΟΡΙΣΜΟΥ G-SII ΚΑΙ ΤΟΥ ΚΑΘΟΡΙΣΜΟΥ ΠΟΣΟΣΤΩΝ ΑΠΟΘΕΜΑΤΟΣ ΑΣΦΑΛΕΙΑΣ ΓΙΑ G-SII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Πίνακας περιεχομένων</w:t>
      </w:r>
    </w:p>
    <w:p w14:paraId="3762BC7A" w14:textId="28BB3EC0" w:rsidR="008D49EA" w:rsidRDefault="00745369">
      <w:pPr>
        <w:pStyle w:val="TOC2"/>
        <w:rPr>
          <w:rFonts w:asciiTheme="minorHAnsi" w:eastAsiaTheme="minorEastAsia" w:hAnsiTheme="minorHAnsi" w:cstheme="minorBidi"/>
          <w:b w:val="0"/>
          <w:smallCaps w:val="0"/>
          <w:kern w:val="2"/>
          <w:sz w:val="22"/>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7938474" w:history="1">
        <w:r w:rsidR="008D49EA" w:rsidRPr="00F33D64">
          <w:rPr>
            <w:rStyle w:val="Hyperlink"/>
          </w:rPr>
          <w:t>ΜΕΡΟΣ I: ΓΕΝΙΚΕΣ ΟΔΗΓΙΕΣ</w:t>
        </w:r>
        <w:r w:rsidR="008D49EA">
          <w:rPr>
            <w:webHidden/>
          </w:rPr>
          <w:tab/>
        </w:r>
        <w:r w:rsidR="008D49EA">
          <w:rPr>
            <w:webHidden/>
          </w:rPr>
          <w:fldChar w:fldCharType="begin"/>
        </w:r>
        <w:r w:rsidR="008D49EA">
          <w:rPr>
            <w:webHidden/>
          </w:rPr>
          <w:instrText xml:space="preserve"> PAGEREF _Toc187938474 \h </w:instrText>
        </w:r>
        <w:r w:rsidR="008D49EA">
          <w:rPr>
            <w:webHidden/>
          </w:rPr>
        </w:r>
        <w:r w:rsidR="008D49EA">
          <w:rPr>
            <w:webHidden/>
          </w:rPr>
          <w:fldChar w:fldCharType="separate"/>
        </w:r>
        <w:r w:rsidR="008D49EA">
          <w:rPr>
            <w:webHidden/>
          </w:rPr>
          <w:t>2</w:t>
        </w:r>
        <w:r w:rsidR="008D49EA">
          <w:rPr>
            <w:webHidden/>
          </w:rPr>
          <w:fldChar w:fldCharType="end"/>
        </w:r>
      </w:hyperlink>
    </w:p>
    <w:p w14:paraId="61E554C2" w14:textId="7A70115D" w:rsidR="008D49EA" w:rsidRDefault="008D49EA">
      <w:pPr>
        <w:pStyle w:val="TOC2"/>
        <w:rPr>
          <w:rFonts w:asciiTheme="minorHAnsi" w:eastAsiaTheme="minorEastAsia" w:hAnsiTheme="minorHAnsi" w:cstheme="minorBidi"/>
          <w:b w:val="0"/>
          <w:smallCaps w:val="0"/>
          <w:kern w:val="2"/>
          <w:sz w:val="22"/>
          <w:lang w:val="en-IE" w:eastAsia="en-IE"/>
          <w14:ligatures w14:val="standardContextual"/>
        </w:rPr>
      </w:pPr>
      <w:hyperlink w:anchor="_Toc187938475" w:history="1">
        <w:r w:rsidRPr="00F33D64">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F33D64">
          <w:rPr>
            <w:rStyle w:val="Hyperlink"/>
          </w:rPr>
          <w:t>Δομή και συμβάσεις</w:t>
        </w:r>
        <w:r>
          <w:rPr>
            <w:webHidden/>
          </w:rPr>
          <w:tab/>
        </w:r>
        <w:r>
          <w:rPr>
            <w:webHidden/>
          </w:rPr>
          <w:fldChar w:fldCharType="begin"/>
        </w:r>
        <w:r>
          <w:rPr>
            <w:webHidden/>
          </w:rPr>
          <w:instrText xml:space="preserve"> PAGEREF _Toc187938475 \h </w:instrText>
        </w:r>
        <w:r>
          <w:rPr>
            <w:webHidden/>
          </w:rPr>
        </w:r>
        <w:r>
          <w:rPr>
            <w:webHidden/>
          </w:rPr>
          <w:fldChar w:fldCharType="separate"/>
        </w:r>
        <w:r>
          <w:rPr>
            <w:webHidden/>
          </w:rPr>
          <w:t>2</w:t>
        </w:r>
        <w:r>
          <w:rPr>
            <w:webHidden/>
          </w:rPr>
          <w:fldChar w:fldCharType="end"/>
        </w:r>
      </w:hyperlink>
    </w:p>
    <w:p w14:paraId="35F17869" w14:textId="60A7611B" w:rsidR="008D49EA" w:rsidRDefault="008D49EA">
      <w:pPr>
        <w:pStyle w:val="TOC2"/>
        <w:rPr>
          <w:rFonts w:asciiTheme="minorHAnsi" w:eastAsiaTheme="minorEastAsia" w:hAnsiTheme="minorHAnsi" w:cstheme="minorBidi"/>
          <w:b w:val="0"/>
          <w:smallCaps w:val="0"/>
          <w:kern w:val="2"/>
          <w:sz w:val="22"/>
          <w:lang w:val="en-IE" w:eastAsia="en-IE"/>
          <w14:ligatures w14:val="standardContextual"/>
        </w:rPr>
      </w:pPr>
      <w:hyperlink w:anchor="_Toc187938476" w:history="1">
        <w:r w:rsidRPr="00F33D64">
          <w:rPr>
            <w:rStyle w:val="Hyperlink"/>
          </w:rPr>
          <w:t>1.1.</w:t>
        </w:r>
        <w:r>
          <w:rPr>
            <w:rFonts w:asciiTheme="minorHAnsi" w:eastAsiaTheme="minorEastAsia" w:hAnsiTheme="minorHAnsi" w:cstheme="minorBidi"/>
            <w:b w:val="0"/>
            <w:smallCaps w:val="0"/>
            <w:kern w:val="2"/>
            <w:sz w:val="22"/>
            <w:lang w:val="en-IE" w:eastAsia="en-IE"/>
            <w14:ligatures w14:val="standardContextual"/>
          </w:rPr>
          <w:tab/>
        </w:r>
        <w:r w:rsidRPr="00F33D64">
          <w:rPr>
            <w:rStyle w:val="Hyperlink"/>
          </w:rPr>
          <w:t>Δομή</w:t>
        </w:r>
        <w:r>
          <w:rPr>
            <w:webHidden/>
          </w:rPr>
          <w:tab/>
        </w:r>
        <w:r>
          <w:rPr>
            <w:webHidden/>
          </w:rPr>
          <w:fldChar w:fldCharType="begin"/>
        </w:r>
        <w:r>
          <w:rPr>
            <w:webHidden/>
          </w:rPr>
          <w:instrText xml:space="preserve"> PAGEREF _Toc187938476 \h </w:instrText>
        </w:r>
        <w:r>
          <w:rPr>
            <w:webHidden/>
          </w:rPr>
        </w:r>
        <w:r>
          <w:rPr>
            <w:webHidden/>
          </w:rPr>
          <w:fldChar w:fldCharType="separate"/>
        </w:r>
        <w:r>
          <w:rPr>
            <w:webHidden/>
          </w:rPr>
          <w:t>2</w:t>
        </w:r>
        <w:r>
          <w:rPr>
            <w:webHidden/>
          </w:rPr>
          <w:fldChar w:fldCharType="end"/>
        </w:r>
      </w:hyperlink>
    </w:p>
    <w:p w14:paraId="0BA51722" w14:textId="74961200" w:rsidR="008D49EA" w:rsidRDefault="008D49EA">
      <w:pPr>
        <w:pStyle w:val="TOC2"/>
        <w:rPr>
          <w:rFonts w:asciiTheme="minorHAnsi" w:eastAsiaTheme="minorEastAsia" w:hAnsiTheme="minorHAnsi" w:cstheme="minorBidi"/>
          <w:b w:val="0"/>
          <w:smallCaps w:val="0"/>
          <w:kern w:val="2"/>
          <w:sz w:val="22"/>
          <w:lang w:val="en-IE" w:eastAsia="en-IE"/>
          <w14:ligatures w14:val="standardContextual"/>
        </w:rPr>
      </w:pPr>
      <w:hyperlink w:anchor="_Toc187938477" w:history="1">
        <w:r w:rsidRPr="00F33D64">
          <w:rPr>
            <w:rStyle w:val="Hyperlink"/>
          </w:rPr>
          <w:t>1.2.</w:t>
        </w:r>
        <w:r>
          <w:rPr>
            <w:rFonts w:asciiTheme="minorHAnsi" w:eastAsiaTheme="minorEastAsia" w:hAnsiTheme="minorHAnsi" w:cstheme="minorBidi"/>
            <w:b w:val="0"/>
            <w:smallCaps w:val="0"/>
            <w:kern w:val="2"/>
            <w:sz w:val="22"/>
            <w:lang w:val="en-IE" w:eastAsia="en-IE"/>
            <w14:ligatures w14:val="standardContextual"/>
          </w:rPr>
          <w:tab/>
        </w:r>
        <w:r w:rsidRPr="00F33D64">
          <w:rPr>
            <w:rStyle w:val="Hyperlink"/>
          </w:rPr>
          <w:t>Κανόνες αρίθμησης</w:t>
        </w:r>
        <w:r>
          <w:rPr>
            <w:webHidden/>
          </w:rPr>
          <w:tab/>
        </w:r>
        <w:r>
          <w:rPr>
            <w:webHidden/>
          </w:rPr>
          <w:fldChar w:fldCharType="begin"/>
        </w:r>
        <w:r>
          <w:rPr>
            <w:webHidden/>
          </w:rPr>
          <w:instrText xml:space="preserve"> PAGEREF _Toc187938477 \h </w:instrText>
        </w:r>
        <w:r>
          <w:rPr>
            <w:webHidden/>
          </w:rPr>
        </w:r>
        <w:r>
          <w:rPr>
            <w:webHidden/>
          </w:rPr>
          <w:fldChar w:fldCharType="separate"/>
        </w:r>
        <w:r>
          <w:rPr>
            <w:webHidden/>
          </w:rPr>
          <w:t>2</w:t>
        </w:r>
        <w:r>
          <w:rPr>
            <w:webHidden/>
          </w:rPr>
          <w:fldChar w:fldCharType="end"/>
        </w:r>
      </w:hyperlink>
    </w:p>
    <w:p w14:paraId="577535A9" w14:textId="3054A9B9" w:rsidR="008D49EA" w:rsidRDefault="008D49EA">
      <w:pPr>
        <w:pStyle w:val="TOC2"/>
        <w:rPr>
          <w:rFonts w:asciiTheme="minorHAnsi" w:eastAsiaTheme="minorEastAsia" w:hAnsiTheme="minorHAnsi" w:cstheme="minorBidi"/>
          <w:b w:val="0"/>
          <w:smallCaps w:val="0"/>
          <w:kern w:val="2"/>
          <w:sz w:val="22"/>
          <w:lang w:val="en-IE" w:eastAsia="en-IE"/>
          <w14:ligatures w14:val="standardContextual"/>
        </w:rPr>
      </w:pPr>
      <w:hyperlink w:anchor="_Toc187938478" w:history="1">
        <w:r w:rsidRPr="00F33D64">
          <w:rPr>
            <w:rStyle w:val="Hyperlink"/>
          </w:rPr>
          <w:t>1.3.</w:t>
        </w:r>
        <w:r>
          <w:rPr>
            <w:rFonts w:asciiTheme="minorHAnsi" w:eastAsiaTheme="minorEastAsia" w:hAnsiTheme="minorHAnsi" w:cstheme="minorBidi"/>
            <w:b w:val="0"/>
            <w:smallCaps w:val="0"/>
            <w:kern w:val="2"/>
            <w:sz w:val="22"/>
            <w:lang w:val="en-IE" w:eastAsia="en-IE"/>
            <w14:ligatures w14:val="standardContextual"/>
          </w:rPr>
          <w:tab/>
        </w:r>
        <w:r w:rsidRPr="00F33D64">
          <w:rPr>
            <w:rStyle w:val="Hyperlink"/>
          </w:rPr>
          <w:t>Κανόνες χρήσης προσήμου</w:t>
        </w:r>
        <w:r>
          <w:rPr>
            <w:webHidden/>
          </w:rPr>
          <w:tab/>
        </w:r>
        <w:r>
          <w:rPr>
            <w:webHidden/>
          </w:rPr>
          <w:fldChar w:fldCharType="begin"/>
        </w:r>
        <w:r>
          <w:rPr>
            <w:webHidden/>
          </w:rPr>
          <w:instrText xml:space="preserve"> PAGEREF _Toc187938478 \h </w:instrText>
        </w:r>
        <w:r>
          <w:rPr>
            <w:webHidden/>
          </w:rPr>
        </w:r>
        <w:r>
          <w:rPr>
            <w:webHidden/>
          </w:rPr>
          <w:fldChar w:fldCharType="separate"/>
        </w:r>
        <w:r>
          <w:rPr>
            <w:webHidden/>
          </w:rPr>
          <w:t>2</w:t>
        </w:r>
        <w:r>
          <w:rPr>
            <w:webHidden/>
          </w:rPr>
          <w:fldChar w:fldCharType="end"/>
        </w:r>
      </w:hyperlink>
    </w:p>
    <w:p w14:paraId="46988B15" w14:textId="0B7C8C0C" w:rsidR="008D49EA" w:rsidRDefault="008D49EA">
      <w:pPr>
        <w:pStyle w:val="TOC2"/>
        <w:rPr>
          <w:rFonts w:asciiTheme="minorHAnsi" w:eastAsiaTheme="minorEastAsia" w:hAnsiTheme="minorHAnsi" w:cstheme="minorBidi"/>
          <w:b w:val="0"/>
          <w:smallCaps w:val="0"/>
          <w:kern w:val="2"/>
          <w:sz w:val="22"/>
          <w:lang w:val="en-IE" w:eastAsia="en-IE"/>
          <w14:ligatures w14:val="standardContextual"/>
        </w:rPr>
      </w:pPr>
      <w:hyperlink w:anchor="_Toc187938479" w:history="1">
        <w:r w:rsidRPr="00F33D64">
          <w:rPr>
            <w:rStyle w:val="Hyperlink"/>
          </w:rPr>
          <w:t>ΜΕΡΟΣ ΙΙ: ΟΔΗΓΙΕΣ ΣΧΕΤΙΚΑ ΜΕ ΤΑ ΥΠΟΔΕΙΓΜΑΤΑ</w:t>
        </w:r>
        <w:r>
          <w:rPr>
            <w:webHidden/>
          </w:rPr>
          <w:tab/>
        </w:r>
        <w:r>
          <w:rPr>
            <w:webHidden/>
          </w:rPr>
          <w:fldChar w:fldCharType="begin"/>
        </w:r>
        <w:r>
          <w:rPr>
            <w:webHidden/>
          </w:rPr>
          <w:instrText xml:space="preserve"> PAGEREF _Toc187938479 \h </w:instrText>
        </w:r>
        <w:r>
          <w:rPr>
            <w:webHidden/>
          </w:rPr>
        </w:r>
        <w:r>
          <w:rPr>
            <w:webHidden/>
          </w:rPr>
          <w:fldChar w:fldCharType="separate"/>
        </w:r>
        <w:r>
          <w:rPr>
            <w:webHidden/>
          </w:rPr>
          <w:t>3</w:t>
        </w:r>
        <w:r>
          <w:rPr>
            <w:webHidden/>
          </w:rPr>
          <w:fldChar w:fldCharType="end"/>
        </w:r>
      </w:hyperlink>
    </w:p>
    <w:p w14:paraId="651C73AD" w14:textId="1441399D" w:rsidR="008D49EA" w:rsidRDefault="008D49EA">
      <w:pPr>
        <w:pStyle w:val="TOC2"/>
        <w:rPr>
          <w:rFonts w:asciiTheme="minorHAnsi" w:eastAsiaTheme="minorEastAsia" w:hAnsiTheme="minorHAnsi" w:cstheme="minorBidi"/>
          <w:b w:val="0"/>
          <w:smallCaps w:val="0"/>
          <w:kern w:val="2"/>
          <w:sz w:val="22"/>
          <w:lang w:val="en-IE" w:eastAsia="en-IE"/>
          <w14:ligatures w14:val="standardContextual"/>
        </w:rPr>
      </w:pPr>
      <w:hyperlink w:anchor="_Toc187938480" w:history="1">
        <w:r w:rsidRPr="00F33D64">
          <w:rPr>
            <w:rStyle w:val="Hyperlink"/>
          </w:rPr>
          <w:t>1.</w:t>
        </w:r>
        <w:r>
          <w:rPr>
            <w:rFonts w:asciiTheme="minorHAnsi" w:eastAsiaTheme="minorEastAsia" w:hAnsiTheme="minorHAnsi" w:cstheme="minorBidi"/>
            <w:b w:val="0"/>
            <w:smallCaps w:val="0"/>
            <w:kern w:val="2"/>
            <w:sz w:val="22"/>
            <w:lang w:val="en-IE" w:eastAsia="en-IE"/>
            <w14:ligatures w14:val="standardContextual"/>
          </w:rPr>
          <w:tab/>
        </w:r>
        <w:r w:rsidRPr="00F33D64">
          <w:rPr>
            <w:rStyle w:val="Hyperlink"/>
          </w:rPr>
          <w:t>Γενικές παρατηρήσεις</w:t>
        </w:r>
        <w:r>
          <w:rPr>
            <w:webHidden/>
          </w:rPr>
          <w:tab/>
        </w:r>
        <w:r>
          <w:rPr>
            <w:webHidden/>
          </w:rPr>
          <w:fldChar w:fldCharType="begin"/>
        </w:r>
        <w:r>
          <w:rPr>
            <w:webHidden/>
          </w:rPr>
          <w:instrText xml:space="preserve"> PAGEREF _Toc187938480 \h </w:instrText>
        </w:r>
        <w:r>
          <w:rPr>
            <w:webHidden/>
          </w:rPr>
        </w:r>
        <w:r>
          <w:rPr>
            <w:webHidden/>
          </w:rPr>
          <w:fldChar w:fldCharType="separate"/>
        </w:r>
        <w:r>
          <w:rPr>
            <w:webHidden/>
          </w:rPr>
          <w:t>3</w:t>
        </w:r>
        <w:r>
          <w:rPr>
            <w:webHidden/>
          </w:rPr>
          <w:fldChar w:fldCharType="end"/>
        </w:r>
      </w:hyperlink>
    </w:p>
    <w:p w14:paraId="0F8EA5E4" w14:textId="2CAD8735" w:rsidR="008D49EA" w:rsidRDefault="008D49EA">
      <w:pPr>
        <w:pStyle w:val="TOC2"/>
        <w:rPr>
          <w:rFonts w:asciiTheme="minorHAnsi" w:eastAsiaTheme="minorEastAsia" w:hAnsiTheme="minorHAnsi" w:cstheme="minorBidi"/>
          <w:b w:val="0"/>
          <w:smallCaps w:val="0"/>
          <w:kern w:val="2"/>
          <w:sz w:val="22"/>
          <w:lang w:val="en-IE" w:eastAsia="en-IE"/>
          <w14:ligatures w14:val="standardContextual"/>
        </w:rPr>
      </w:pPr>
      <w:hyperlink w:anchor="_Toc187938481" w:history="1">
        <w:r w:rsidRPr="00F33D64">
          <w:rPr>
            <w:rStyle w:val="Hyperlink"/>
          </w:rPr>
          <w:t>2.</w:t>
        </w:r>
        <w:r>
          <w:rPr>
            <w:rFonts w:asciiTheme="minorHAnsi" w:eastAsiaTheme="minorEastAsia" w:hAnsiTheme="minorHAnsi" w:cstheme="minorBidi"/>
            <w:b w:val="0"/>
            <w:smallCaps w:val="0"/>
            <w:kern w:val="2"/>
            <w:sz w:val="22"/>
            <w:lang w:val="en-IE" w:eastAsia="en-IE"/>
            <w14:ligatures w14:val="standardContextual"/>
          </w:rPr>
          <w:tab/>
        </w:r>
        <w:r w:rsidRPr="00F33D64">
          <w:rPr>
            <w:rStyle w:val="Hyperlink"/>
          </w:rPr>
          <w:t>Οδηγίες για συγκεκριμένες θέσεις</w:t>
        </w:r>
        <w:r>
          <w:rPr>
            <w:webHidden/>
          </w:rPr>
          <w:tab/>
        </w:r>
        <w:r>
          <w:rPr>
            <w:webHidden/>
          </w:rPr>
          <w:fldChar w:fldCharType="begin"/>
        </w:r>
        <w:r>
          <w:rPr>
            <w:webHidden/>
          </w:rPr>
          <w:instrText xml:space="preserve"> PAGEREF _Toc187938481 \h </w:instrText>
        </w:r>
        <w:r>
          <w:rPr>
            <w:webHidden/>
          </w:rPr>
        </w:r>
        <w:r>
          <w:rPr>
            <w:webHidden/>
          </w:rPr>
          <w:fldChar w:fldCharType="separate"/>
        </w:r>
        <w:r>
          <w:rPr>
            <w:webHidden/>
          </w:rPr>
          <w:t>3</w:t>
        </w:r>
        <w:r>
          <w:rPr>
            <w:webHidden/>
          </w:rPr>
          <w:fldChar w:fldCharType="end"/>
        </w:r>
      </w:hyperlink>
    </w:p>
    <w:p w14:paraId="7AC7042C" w14:textId="6E7EE0D6"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87938474"/>
      <w:r>
        <w:lastRenderedPageBreak/>
        <w:t>ΜΕΡΟΣ I:</w:t>
      </w:r>
      <w:bookmarkEnd w:id="2"/>
      <w:r>
        <w:t xml:space="preserve"> ΓΕΝΙΚΕΣ ΟΔΗΓΙΕΣ</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7938475"/>
      <w:r>
        <w:rPr>
          <w:sz w:val="24"/>
        </w:rPr>
        <w:t>1.</w:t>
      </w:r>
      <w:r>
        <w:tab/>
      </w:r>
      <w:r>
        <w:rPr>
          <w:sz w:val="24"/>
        </w:rPr>
        <w:t>Δομή και συμβάσεις</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264038399"/>
      <w:bookmarkStart w:id="12" w:name="_Toc294018834"/>
      <w:bookmarkStart w:id="13" w:name="_Toc187938476"/>
      <w:r>
        <w:rPr>
          <w:sz w:val="24"/>
        </w:rPr>
        <w:t>1.1.</w:t>
      </w:r>
      <w:r>
        <w:tab/>
      </w:r>
      <w:r>
        <w:rPr>
          <w:sz w:val="24"/>
        </w:rPr>
        <w:t>Δομή</w:t>
      </w:r>
      <w:bookmarkEnd w:id="9"/>
      <w:bookmarkEnd w:id="10"/>
      <w:bookmarkEnd w:id="13"/>
    </w:p>
    <w:p w14:paraId="6C67B776" w14:textId="4E28F620" w:rsidR="005643EA" w:rsidRPr="00B74E74" w:rsidRDefault="00125707" w:rsidP="00B26332">
      <w:pPr>
        <w:pStyle w:val="InstructionsText2"/>
        <w:ind w:left="993"/>
      </w:pPr>
      <w:r>
        <w:t>1.</w:t>
      </w:r>
      <w:r>
        <w:tab/>
        <w:t>Οι παρούσες απαιτήσεις υποβολής αναφορών που έχουν ως στόχο να υποστηρίξουν τον προσδιορισμό παγκόσμιων συστημικά σημαντικών ιδρυμάτων (G-SII) και τον καθορισμό των αντίστοιχων ποσοστών αποθέματος ασφαλείας των G-SII αποτελούνται από ένα υπόδειγμα στο οποίο αποτυπώνονται πληροφορίες σχετικά με τους δείκτες παγκόσμιας συστημικής σημασίας και συγκεκριμένα στοιχεία που είναι αναγκαία για την εφαρμογή της μεθοδολογίας της Ένωσης για τον προσδιορισμό G-SII και τον καθορισμό των αντίστοιχων ποσοστών αποθέματος ασφαλείας G-SII.</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7938477"/>
      <w:r>
        <w:rPr>
          <w:sz w:val="24"/>
        </w:rPr>
        <w:t>1.2.</w:t>
      </w:r>
      <w:r>
        <w:tab/>
      </w:r>
      <w:r>
        <w:rPr>
          <w:sz w:val="24"/>
        </w:rPr>
        <w:t>Κανόνες αρίθμησης</w:t>
      </w:r>
      <w:bookmarkEnd w:id="14"/>
      <w:bookmarkEnd w:id="15"/>
      <w:bookmarkEnd w:id="16"/>
    </w:p>
    <w:p w14:paraId="3C0F0268" w14:textId="5212C39C" w:rsidR="002648B0" w:rsidRPr="00B74E74" w:rsidRDefault="006137FD" w:rsidP="00AB7C07">
      <w:pPr>
        <w:pStyle w:val="InstructionsText2"/>
        <w:ind w:left="993"/>
      </w:pPr>
      <w:r>
        <w:t>2.</w:t>
      </w:r>
      <w:r>
        <w:tab/>
        <w:t>Το έγγραφο ακολουθεί τους κανόνες σήμανσης που ορίζονται στα σημεία 3 έως 5, όταν γίνεται παραπομπή στις στήλες, τις γραμμές και τα κελιά των υποδειγμάτων. Οι συγκεκριμένοι αριθμητικοί κωδικοί χρησιμοποιούνται εκτεταμένα στους κανόνες επικύρωσης.</w:t>
      </w:r>
    </w:p>
    <w:p w14:paraId="26DC2799" w14:textId="2C43513E" w:rsidR="005643EA" w:rsidRPr="00B74E74" w:rsidRDefault="006137FD" w:rsidP="00AB7C07">
      <w:pPr>
        <w:pStyle w:val="InstructionsText2"/>
        <w:ind w:left="993"/>
      </w:pPr>
      <w:r>
        <w:t>3.</w:t>
      </w:r>
      <w:r>
        <w:tab/>
        <w:t>Στις οδηγίες χρησιμοποιείται το ακόλουθο γενικό σύμβολο: {Υπόδειγμα, Γραμμή, Στήλη}.</w:t>
      </w:r>
    </w:p>
    <w:p w14:paraId="6A9F72AA" w14:textId="632C824C" w:rsidR="005643EA" w:rsidRPr="00B74E74" w:rsidRDefault="006137FD" w:rsidP="00AB7C07">
      <w:pPr>
        <w:pStyle w:val="InstructionsText2"/>
        <w:ind w:left="993"/>
      </w:pPr>
      <w:r>
        <w:t>4.</w:t>
      </w:r>
      <w:r>
        <w:tab/>
        <w:t>Όταν γίνονται αναφορές εντός ενός υποδείγματος στο οποίο, συνεπώς, χρησιμοποιούνται μόνο τα σημεία δεδομένων του συγκεκριμένου υποδείγματος, το σύμβολο δεν περιλαμβάνει υπόδειγμα: {Γραμμή, Στήλη}. Όταν τα υποδείγματα έχουν μόνο μία στήλη, αναφέρονται μόνο οι γραμμές στο {Υπόδειγμα, Γραμμή}.</w:t>
      </w:r>
    </w:p>
    <w:p w14:paraId="01FECE3C" w14:textId="482B71E1" w:rsidR="002648B0" w:rsidRPr="00B74E74" w:rsidRDefault="006137FD" w:rsidP="00AB7C07">
      <w:pPr>
        <w:pStyle w:val="InstructionsText2"/>
        <w:ind w:left="993"/>
      </w:pPr>
      <w:r>
        <w:t>5.</w:t>
      </w:r>
      <w:r>
        <w:tab/>
        <w:t>Ο αστερίσκος χρησιμοποιείται για να εκφράσει ότι η αναφορά αποτυπώνει τις γραμμές ή τις στήλες που έχουν προσδιοριστεί προηγουμένως.</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7938478"/>
      <w:r>
        <w:rPr>
          <w:sz w:val="24"/>
        </w:rPr>
        <w:t>1.3.</w:t>
      </w:r>
      <w:r>
        <w:tab/>
      </w:r>
      <w:r>
        <w:rPr>
          <w:sz w:val="24"/>
        </w:rPr>
        <w:t>Κανόνες χρήσης προσήμου</w:t>
      </w:r>
      <w:bookmarkEnd w:id="11"/>
      <w:bookmarkEnd w:id="12"/>
      <w:bookmarkEnd w:id="17"/>
      <w:bookmarkEnd w:id="18"/>
      <w:bookmarkEnd w:id="19"/>
    </w:p>
    <w:p w14:paraId="0C0832BC" w14:textId="4A4E8717" w:rsidR="002648B0" w:rsidRPr="00B74E74" w:rsidRDefault="006137FD" w:rsidP="00AB7C07">
      <w:pPr>
        <w:pStyle w:val="InstructionsText2"/>
        <w:ind w:left="993"/>
      </w:pPr>
      <w:r>
        <w:t>6.</w:t>
      </w:r>
      <w:r>
        <w:tab/>
        <w:t>Οποιοδήποτε ποσό αυξάνει την αξία του δείκτη, των στοιχείων ενεργητικού, των υποχρεώσεων ή των ανοιγμάτων αναφέρεται ως θετικό. Οποιοδήποτε ποσό μειώνει την αξία του δείκτη, των στοιχείων ενεργητικού, των υποχρεώσεων ή των ανοιγμάτων αναφέρεται ως αρνητικό. Όπου υπάρχει αρνητικό πρόσημο (-) πριν από τον τίτλο ενός στοιχείου, δεν αναμένεται να αναφερθεί θετική τιμή για το στοιχείο αυτό.</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87938479"/>
      <w:r>
        <w:lastRenderedPageBreak/>
        <w:t>ΜΕΡΟΣ ΙΙ: ΟΔΗΓΙΕΣ ΣΧΕΤΙΚΑ ΜΕ ΤΑ ΥΠΟΔΕΙΓΜΑΤΑ</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7938480"/>
      <w:r>
        <w:rPr>
          <w:sz w:val="24"/>
        </w:rPr>
        <w:t>1.</w:t>
      </w:r>
      <w:r>
        <w:tab/>
      </w:r>
      <w:bookmarkStart w:id="27" w:name="_Toc308175819"/>
      <w:bookmarkStart w:id="28" w:name="_Toc360188324"/>
      <w:bookmarkStart w:id="29" w:name="_Toc473560872"/>
      <w:bookmarkEnd w:id="24"/>
      <w:bookmarkEnd w:id="25"/>
      <w:r>
        <w:rPr>
          <w:sz w:val="24"/>
        </w:rPr>
        <w:t>Γενικές παρατηρήσεις</w:t>
      </w:r>
      <w:bookmarkEnd w:id="26"/>
      <w:bookmarkEnd w:id="27"/>
      <w:bookmarkEnd w:id="28"/>
      <w:bookmarkEnd w:id="29"/>
    </w:p>
    <w:p w14:paraId="410557ED" w14:textId="58FCFFD9" w:rsidR="006137FD" w:rsidRPr="00B74E74" w:rsidRDefault="00004542" w:rsidP="00AB7C07">
      <w:pPr>
        <w:pStyle w:val="InstructionsText2"/>
        <w:ind w:left="993"/>
      </w:pPr>
      <w:r>
        <w:t>8.</w:t>
      </w:r>
      <w:r>
        <w:tab/>
        <w:t>Το υπόδειγμα υποδιαιρείται σε δύο τμήματα. Το ανώτερο τμήμα για τους δείκτες G-SII περιλαμβάνει τους δείκτες για τον προσδιορισμό παγκόσμιων συστημικώς σημαντικών ιδρυμάτων, όπως ορίζονται στη μεθοδολογία που αναπτύχθηκε από την Επιτροπή της Βασιλείας για την τραπεζική εποπτεία. Το κατώτερο τμήμα περιλαμβάνει ορισμένα στοιχεία που απαιτούνται για τον υπολογισμό των σχετικών δεικτών σύμφωνα με τη μεθοδολογία που ορίζεται βάσει του άρθρου 131 παράγραφος 18 της οδηγίας 2013/36/ΕΕ</w:t>
      </w:r>
      <w:r>
        <w:rPr>
          <w:rStyle w:val="FootnoteReference"/>
          <w:rFonts w:ascii="Times New Roman" w:hAnsi="Times New Roman"/>
          <w:sz w:val="24"/>
          <w:szCs w:val="24"/>
          <w:vertAlign w:val="superscript"/>
        </w:rPr>
        <w:footnoteReference w:id="2"/>
      </w:r>
      <w:r>
        <w:t xml:space="preserve">. </w:t>
      </w:r>
    </w:p>
    <w:p w14:paraId="285BFC5F" w14:textId="4372324A" w:rsidR="005643EA" w:rsidRPr="00B74E74" w:rsidRDefault="00004542" w:rsidP="00AB7C07">
      <w:pPr>
        <w:pStyle w:val="InstructionsText2"/>
        <w:ind w:left="993"/>
      </w:pPr>
      <w:r>
        <w:t>9.</w:t>
      </w:r>
      <w:r>
        <w:tab/>
        <w:t>Κατά περίπτωση, οι πληροφορίες που παρέχονται στο παρόν υπόδειγμα συνάδουν με τις πληροφορίες που παρέχονται στις αρμόδιες αρχές για τους σκοπούς της συλλογής των τιμών των δεικτών από τις αρμόδιες αρχές, όπως ορίζεται στο άρθρο 3 παράγραφος 2 του κατ’ εξουσιοδότηση κανονισμού (ΕΕ) αριθ. 1222/2014 της Επιτροπής</w:t>
      </w:r>
      <w:r>
        <w:rPr>
          <w:rStyle w:val="FootnoteReference"/>
          <w:rFonts w:ascii="Times New Roman" w:hAnsi="Times New Roman"/>
          <w:sz w:val="24"/>
          <w:szCs w:val="24"/>
          <w:vertAlign w:val="superscript"/>
        </w:rPr>
        <w:footnoteReference w:id="3"/>
      </w:r>
      <w:r>
        <w:t>.</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7938481"/>
      <w:r>
        <w:rPr>
          <w:sz w:val="24"/>
        </w:rPr>
        <w:t>2.</w:t>
      </w:r>
      <w:r>
        <w:tab/>
      </w:r>
      <w:r>
        <w:rPr>
          <w:sz w:val="24"/>
        </w:rPr>
        <w:t xml:space="preserve">Οδηγίες για συγκεκριμένες </w:t>
      </w:r>
      <w:bookmarkEnd w:id="30"/>
      <w:bookmarkEnd w:id="31"/>
      <w:r>
        <w:rPr>
          <w:sz w:val="24"/>
        </w:rPr>
        <w:t>θέσεις</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B74E74" w14:paraId="5D5CC09A" w14:textId="77777777" w:rsidTr="00D731E3">
        <w:tc>
          <w:tcPr>
            <w:tcW w:w="1129"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Γραμμή</w:t>
            </w:r>
          </w:p>
        </w:tc>
        <w:tc>
          <w:tcPr>
            <w:tcW w:w="7620"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Νομικά κείμενα αναφοράς και οδηγίες</w:t>
            </w:r>
          </w:p>
        </w:tc>
      </w:tr>
      <w:tr w:rsidR="002648B0" w:rsidRPr="00B74E74" w14:paraId="0E5D273A" w14:textId="77777777" w:rsidTr="00D731E3">
        <w:tc>
          <w:tcPr>
            <w:tcW w:w="1129"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0130</w:t>
            </w:r>
          </w:p>
        </w:tc>
        <w:tc>
          <w:tcPr>
            <w:tcW w:w="7620"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Δείκτες G-SII</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Ο ορισμός των δεικτών είναι ο ίδιος με τον ορισμό που χρησιμοποιείται για τον καθορισμό των πληροφοριών που απαριθμούνται στο παράρτημα του κατ’ εξουσιοδότηση κανονισμού (ΕΕ) αριθ. 1222/2014 της Επιτροπής.</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Σε περίπτωση αλλαγών στους ορισμούς της εν λόγω μεθοδολογίας, οι τροποποιημένοι αυτοί ορισμοί στη μεθοδολογία που εφαρμόζεται για τον προσδιορισμό των τιμών των δεικτών στο τέλος του οικονομικού έτους («μεθοδολογία τέλους του έτους») χρησιμοποιείται για τους σκοπούς της υποβολής πληροφοριών στο τέλος του πρώτου, του δεύτερου και του τρίτου τριμήνου του ίδιου οικονομικού έτους. Όταν το υπόδειγμα του παραρτήματος XXVI υπόκειται σε τροποποιήσεις κατά τη διάρκεια του αντίστοιχου οικονομικού έτους, η μεθοδολογία τέλους του έτους εφαρμόζεται από τις πρώτες εφαρμοστέες ημερομηνίες αναφοράς μετά την έναρξη ισχύος του τροποποιητικού κανονισμού.</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Οι δείκτες που είναι μέτρα ροής υποβάλλονται σε σωρευτική βάση από την αρχή του ημερολογιακού ή οικονομικού έτους, ανάλογα με την περίπτωση.</w:t>
            </w:r>
          </w:p>
        </w:tc>
      </w:tr>
      <w:tr w:rsidR="000359E7" w:rsidRPr="00B74E74" w14:paraId="3C8BC05D" w14:textId="77777777" w:rsidTr="00D731E3">
        <w:tc>
          <w:tcPr>
            <w:tcW w:w="1129"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0010</w:t>
            </w:r>
          </w:p>
        </w:tc>
        <w:tc>
          <w:tcPr>
            <w:tcW w:w="7620"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Συνολικά ανοίγματα, συμπεριλαμβανομένων των ασφαλιστικών θυγατρικών</w:t>
            </w:r>
          </w:p>
        </w:tc>
      </w:tr>
      <w:tr w:rsidR="000359E7" w:rsidRPr="00B74E74" w14:paraId="6D4F9F35" w14:textId="77777777" w:rsidTr="00D731E3">
        <w:tc>
          <w:tcPr>
            <w:tcW w:w="1129"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Στοιχεία ενεργητικού εντός του χρηματοοικονομικού συστήματος, συμπεριλαμβανομένων των ασφαλιστικών θυγατρικών </w:t>
            </w:r>
          </w:p>
        </w:tc>
      </w:tr>
      <w:tr w:rsidR="000359E7" w:rsidRPr="00B74E74" w14:paraId="6DDE62D2" w14:textId="77777777" w:rsidTr="00D731E3">
        <w:tc>
          <w:tcPr>
            <w:tcW w:w="1129"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Υποχρεώσεις εντός του χρηματοοικονομικού συστήματος, συμπεριλαμβανομένων των ασφαλιστικών θυγατρικών </w:t>
            </w:r>
          </w:p>
        </w:tc>
      </w:tr>
      <w:tr w:rsidR="000359E7" w:rsidRPr="00B74E74" w14:paraId="1E32E0D4" w14:textId="77777777" w:rsidTr="00D731E3">
        <w:tc>
          <w:tcPr>
            <w:tcW w:w="1129"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Κυκλοφορούντα χρεόγραφα, συμπεριλαμβανομένων των χρεογράφων που εκδίδονται από ασφαλιστικές θυγατρικές </w:t>
            </w:r>
          </w:p>
        </w:tc>
      </w:tr>
      <w:tr w:rsidR="000359E7" w:rsidRPr="00B74E74" w14:paraId="168CAFD1" w14:textId="77777777" w:rsidTr="00D731E3">
        <w:tc>
          <w:tcPr>
            <w:tcW w:w="1129"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Δραστηριότητα πληρωμών </w:t>
            </w:r>
          </w:p>
        </w:tc>
      </w:tr>
      <w:tr w:rsidR="000359E7" w:rsidRPr="00B74E74" w14:paraId="7D83D84B" w14:textId="77777777" w:rsidTr="00D731E3">
        <w:tc>
          <w:tcPr>
            <w:tcW w:w="1129"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Στοιχεία ενεργητικού υπό φύλαξη </w:t>
            </w:r>
          </w:p>
        </w:tc>
      </w:tr>
      <w:tr w:rsidR="000359E7" w:rsidRPr="00B74E74" w14:paraId="40C175C7" w14:textId="77777777" w:rsidTr="00D731E3">
        <w:tc>
          <w:tcPr>
            <w:tcW w:w="1129"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Δραστηριότητα αναδοχής εκδόσεων </w:t>
            </w:r>
          </w:p>
        </w:tc>
      </w:tr>
      <w:tr w:rsidR="00C53D25" w:rsidRPr="00B74E74" w14:paraId="12E2671F" w14:textId="77777777" w:rsidTr="001676CB">
        <w:tc>
          <w:tcPr>
            <w:tcW w:w="1129"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620"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Όγκος συναλλαγών — σταθερό εισόδημα</w:t>
            </w:r>
          </w:p>
        </w:tc>
      </w:tr>
      <w:tr w:rsidR="00C53D25" w:rsidRPr="00B74E74" w14:paraId="52CA54E3" w14:textId="77777777" w:rsidTr="001676CB">
        <w:tc>
          <w:tcPr>
            <w:tcW w:w="1129"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620"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Όγκος συναλλαγών — μετοχές και άλλοι τίτλοι</w:t>
            </w:r>
          </w:p>
        </w:tc>
      </w:tr>
      <w:tr w:rsidR="00461B95" w:rsidRPr="00B74E74" w14:paraId="77AC2598" w14:textId="77777777" w:rsidTr="00D731E3">
        <w:tc>
          <w:tcPr>
            <w:tcW w:w="1129"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Ονομαστικό ποσό εξωχρηματιστηριακών παραγώγων, συμπεριλαμβανομένων των ασφαλιστικών θυγατρικών </w:t>
            </w:r>
          </w:p>
        </w:tc>
      </w:tr>
      <w:tr w:rsidR="00461B95" w:rsidRPr="00B74E74" w14:paraId="68CA6CE8" w14:textId="77777777" w:rsidTr="00D731E3">
        <w:tc>
          <w:tcPr>
            <w:tcW w:w="1129"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Εμπορικά και διαθέσιμα προς πώληση χρεόγραφα</w:t>
            </w:r>
          </w:p>
        </w:tc>
      </w:tr>
      <w:tr w:rsidR="00461B95" w:rsidRPr="00B74E74" w14:paraId="43F77E74" w14:textId="77777777" w:rsidTr="00D731E3">
        <w:tc>
          <w:tcPr>
            <w:tcW w:w="1129"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Στοιχεία ενεργητικού επιπέδου 3, συμπεριλαμβανομένων των ασφαλιστικών θυγατρικών</w:t>
            </w:r>
          </w:p>
        </w:tc>
      </w:tr>
      <w:tr w:rsidR="00461B95" w:rsidRPr="00B74E74" w14:paraId="20E3E2F0" w14:textId="77777777" w:rsidTr="00D731E3">
        <w:tc>
          <w:tcPr>
            <w:tcW w:w="1129"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Διακρατικές απαιτήσεις</w:t>
            </w:r>
          </w:p>
        </w:tc>
      </w:tr>
      <w:tr w:rsidR="00461B95" w:rsidRPr="00B74E74" w14:paraId="00DCCD96" w14:textId="77777777" w:rsidTr="00D731E3">
        <w:tc>
          <w:tcPr>
            <w:tcW w:w="1129"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Διακρατικές υποχρεώσεις</w:t>
            </w:r>
          </w:p>
        </w:tc>
      </w:tr>
      <w:tr w:rsidR="00461B95" w:rsidRPr="00B74E74" w14:paraId="1692F927" w14:textId="77777777" w:rsidTr="00D731E3">
        <w:tc>
          <w:tcPr>
            <w:tcW w:w="1129"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0160</w:t>
            </w:r>
          </w:p>
        </w:tc>
        <w:tc>
          <w:tcPr>
            <w:tcW w:w="7620"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Στοιχεία στα οποία η Ευρωπαϊκή Τραπεζική Ένωση θεωρείται ενιαία δικαιοδοσία</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Για τους σκοπούς του προσδιορισμού των στοιχείων που προσδιορίζονται κατωτέρω και ελλείψει προδιαγραφών στις κατωτέρω οδηγίες, οι ορισμοί και οι έννοιες που εφαρμόζονται ευθυγραμμίζονται, στο μέτρο του δυνατού, με τους ορισμούς και τις έννοιες που ορίζονται στις κατευθυντήριες γραμμές για την υποβολή των διεθνών τραπεζικών στατιστικών της Τράπεζας Διεθνών Διακανονισμών (ΤΔΔ).</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Κατά παρέκκλιση από τα ανωτέρω, εξαιρούνται οι δραστηριότητες των οντοτήτων που υποβάλλουν αναφορά σε όλα τα συμμετέχοντα κράτη μέλη, κατά το άρθρο 4 του κανονισμού (ΕΕ) αριθ. 806/2014 του Ευρωπαϊκού Κοινοβουλίου και του Συμβουλίου</w:t>
            </w:r>
            <w:r>
              <w:rPr>
                <w:rStyle w:val="FootnoteReference"/>
                <w:rFonts w:ascii="Times New Roman" w:hAnsi="Times New Roman"/>
                <w:sz w:val="24"/>
                <w:szCs w:val="24"/>
                <w:vertAlign w:val="superscript"/>
              </w:rPr>
              <w:footnoteReference w:id="4"/>
            </w:r>
            <w:r>
              <w:rPr>
                <w:rStyle w:val="FormatvorlageInstructionsTabelleText"/>
                <w:rFonts w:ascii="Times New Roman" w:hAnsi="Times New Roman"/>
                <w:sz w:val="24"/>
              </w:rPr>
              <w:t>, δηλαδή τα συμμετέχοντα κράτη μέλη θεωρούνται ενιαία δικαιοδοσία.</w:t>
            </w:r>
          </w:p>
        </w:tc>
      </w:tr>
      <w:tr w:rsidR="00461B95" w:rsidRPr="00B74E74" w14:paraId="61796B97" w14:textId="77777777" w:rsidTr="00D731E3">
        <w:tc>
          <w:tcPr>
            <w:tcW w:w="1129"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Σύνολο απαιτήσεων προς το εξωτερικό με βάση τον τελικό κίνδυνο</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Το σύνολο των απαιτήσεων προς το εξωτερικό είναι το άθροισμα των διασυνοριακών απαιτήσεων και των εγχώριων απαιτήσεων αλλοδαπών συνδεόμενων επιχειρήσεων σε τοπικό ή ξένο νόμισμα. Εξαιρούνται οι απαιτήσεις από θέσεις σε συμβάσεις παραγώγων. Οι όροι «απαιτήσεις», «διασυνοριακές απαιτήσεις», «εγχώριες απαιτήσεις αλλοδαπών συνδεόμενων επιχειρήσεων σε ξένο νόμισμα και σε τοπικό νόμισμα» έχουν την ίδια έννοια όπως ορίζεται στις κατευθυντήριες γραμμές για την υποβολή των διεθνών τραπεζικών στατιστικών της ΤΔΔ.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«Με βάση τον τελικό κίνδυνο» σημαίνει ότι, για τους σκοπούς του προσδιορισμού του κατά πόσον μια απαίτηση αφορά διασυνοριακή ή εγχώρια απαίτηση, η θέση κατανέμεται σε τρίτο που έχει συνάψει σύμβαση για την ανάληψη των οφειλών ή των υποχρεώσεων του κύριου αντισυμβαλλομένου εάν δεν εκπληρώσει τις υποχρεώσεις του, εφόσον υπάρχει τέτοιος τρίτος. Η κατανομή αυτή πραγματοποιείται σύμφωνα με τις διατάξεις σχετικά με τις μεταβιβάσεις κινδύνου που προβλέπονται στις κατευθυντήριες γραμμές για την υποβολή των διεθνών τραπεζικών στατιστικών της ΤΔΔ.</w:t>
            </w:r>
          </w:p>
        </w:tc>
      </w:tr>
      <w:tr w:rsidR="001B7EDC" w:rsidRPr="00B74E74" w14:paraId="33C28A8A" w14:textId="77777777" w:rsidTr="00D731E3">
        <w:tc>
          <w:tcPr>
            <w:tcW w:w="1129"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Αλλοδαπές απαιτήσεις επί παραγώγων με βάση τον τελικό κίνδυνο</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Η θετική εύλογη αξία όλων των απαιτήσεων επί παραγώγων που είναι διασυνοριακές απαιτήσεις ή εγχώριων απαιτήσεων αλλοδαπών συνδεόμενων επιχειρήσεων σε τοπικό ή ξένο νόμισμα.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παράγωγα περιλαμβάνουν προθεσμιακές συμβάσεις, συμφωνίες ανταλλαγής και δικαιώματα προαίρεσης που σχετίζονται με συνάλλαγμα, επιτόκια, μετοχές, βασικά εμπορεύματα και πιστωτικά μέσα. Περιλαμβάνονται τα αγορασθέντα πιστωτικά παράγωγα που αντισταθμίζουν ή συμψηφίζουν την πιστωτική προστασία που πωλείται ή διακρατείται για συναλλακτικούς σκοπούς.</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Στην περίπτωση τέτοιων αγορασθέντων πιστωτικών παραγώγων, η αξία δεν περιορίζεται στην αξία της άμεσης απαίτησης για την εγγύηση της οποίας αγοράστηκε.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θετικές εύλογες αξίες των συμβάσεων παραγώγων μπορούν να συμψηφίζονται με αρνητικές εύλογες αξίες μόνον εάν οι θέσεις εκτελέστηκαν με τον ίδιο αντισυμβαλλόμενο στο πλαίσιο νομικά εκτελεστής συμφωνίας συμψηφισμού. Στο στοιχείο αυτό περιλαμβάνονται μόνο συμψηφιστικά σύνολα με θετική αξία.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απαιτήσεις από παράγωγα αναφέρονται χωρίς να υπολογίζονται τυχόν εξασφαλίσεις με χρηματικά διαθέσιμα.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Για τους σκοπούς της υποβολής πληροφοριών με βάση τον τελικό κίνδυνο, ισχύουν τα ακόλουθα:</w:t>
            </w:r>
          </w:p>
          <w:p w14:paraId="11BDA188" w14:textId="1453DAE4" w:rsidR="00461B95" w:rsidRPr="00B74E74" w:rsidRDefault="008D49EA" w:rsidP="008D49EA">
            <w:pPr>
              <w:pStyle w:val="InstructionsText"/>
              <w:ind w:left="360"/>
              <w:rPr>
                <w:rStyle w:val="FormatvorlageInstructionsTabelleText"/>
                <w:rFonts w:ascii="Times New Roman" w:hAnsi="Times New Roman"/>
                <w:sz w:val="24"/>
              </w:rPr>
            </w:pPr>
            <w:r>
              <w:rPr>
                <w:rStyle w:val="FormatvorlageInstructionsTabelleText"/>
                <w:rFonts w:ascii="Times New Roman" w:hAnsi="Times New Roman"/>
                <w:sz w:val="24"/>
              </w:rPr>
              <w:t xml:space="preserve">α) </w:t>
            </w:r>
            <w:r w:rsidR="00461B95">
              <w:rPr>
                <w:rStyle w:val="FormatvorlageInstructionsTabelleText"/>
                <w:rFonts w:ascii="Times New Roman" w:hAnsi="Times New Roman"/>
                <w:sz w:val="24"/>
              </w:rPr>
              <w:t xml:space="preserve">Όταν ο τελικός κίνδυνος βαρύνει τον αντισυμβαλλόμενο, ένα παράγωγο θεωρείται αλλοδαπό εάν ο αντισυμβαλλόμενος δεν υπάγεται στην αρμόδια δικαιοδοσία της αναφέρουσας οντότητας. </w:t>
            </w:r>
          </w:p>
          <w:p w14:paraId="4EE29D54" w14:textId="3E5110A6" w:rsidR="00461B95" w:rsidRPr="00B74E74" w:rsidRDefault="008D49EA" w:rsidP="008D49EA">
            <w:pPr>
              <w:pStyle w:val="InstructionsText"/>
              <w:ind w:left="360"/>
              <w:rPr>
                <w:rStyle w:val="FormatvorlageInstructionsTabelleText"/>
                <w:rFonts w:ascii="Times New Roman" w:hAnsi="Times New Roman"/>
                <w:sz w:val="24"/>
              </w:rPr>
            </w:pPr>
            <w:r>
              <w:rPr>
                <w:rStyle w:val="FormatvorlageInstructionsTabelleText"/>
                <w:rFonts w:ascii="Times New Roman" w:hAnsi="Times New Roman"/>
                <w:sz w:val="24"/>
              </w:rPr>
              <w:t xml:space="preserve">β) </w:t>
            </w:r>
            <w:r w:rsidR="00461B95">
              <w:rPr>
                <w:rStyle w:val="FormatvorlageInstructionsTabelleText"/>
                <w:rFonts w:ascii="Times New Roman" w:hAnsi="Times New Roman"/>
                <w:sz w:val="24"/>
              </w:rPr>
              <w:t>Όταν ο τελικός κίνδυνος βαρύνει τον εγγυητή, ένα παράγωγο θεωρείται αλλοδαπό εάν ο εγγυητής δεν υπάγεται στην αρμόδια δικαιοδοσία της αναφέρουσας οντότητας.</w:t>
            </w:r>
          </w:p>
        </w:tc>
      </w:tr>
      <w:tr w:rsidR="001B7EDC" w:rsidRPr="00EC067D" w14:paraId="35AEB6DF" w14:textId="77777777" w:rsidTr="00D731E3">
        <w:tc>
          <w:tcPr>
            <w:tcW w:w="1129"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Υποχρεώσεις προς το εξωτερικό με βάση τον άμεσο κίνδυνο, συμπεριλαμβανομένων των παραγώγων</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υποχρεώσεις προς το εξωτερικό, συμπεριλαμβανομένων των παραγώγων, είναι το άθροισμα των υποχρεώσεων προς το εξωτερικό και των υποχρεώσεων προς το εξωτερικό που προκύπτουν από παράγωγα. Από το στοιχείο αυτό περιλαμβάνονται οι υποχρεώσεις τίτλων που είναι διαπραγματεύσιμα χρηματοοικονομικά στοιχεία ενεργητικού τα οποία εκδίδονται από το ίδρυμα που υποβάλλει αναφορά.</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 ορισμός των παραγώγων είναι ο ίδιος με αυτόν που ισχύει για τη γραμμή 0150.</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αρνητικές εύλογες αξίες των συμβάσεων παραγώγων μπορούν να συμψηφίζονται με θετικές εύλογες αξίες μόνον εάν οι θέσεις εκτελέστηκαν με τον ίδιο αντισυμβαλλόμενο στο πλαίσιο νομικά εκτελεστής συμφωνίας συμψηφισμού. Οι υποχρεώσεις από παράγωγα αναφέρονται χωρίς να υπολογίζονται τυχόν εξασφαλίσεις (χρηματικές και μη χρηματικές).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“Με βάση τον άμεσο κίνδυνο” σημαίνει ότι, για τους σκοπούς του προσδιορισμού του κατά πόσον μια απαίτηση είναι διασυνοριακή ή εγχώρια απαίτηση, η θέση κατανέμεται στον άμεσο αντισυμβαλλόμενο της σύμβασης.»</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Οδηγία 2013/36/ΕΕ του Ευρωπαϊκού Κοινοβουλίου και του Συμβουλίου,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L 176 της 27.6.2013, σ.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sz w:val="20"/>
        </w:rPr>
        <w:t>Κατ’ εξουσιοδότηση κανονισμός (ΕΕ) αριθ. 1222/2014 της Επιτροπής, της 8ης Οκτωβρίου 2014, για τη συμπλήρωση της οδηγίας 2013/36/ΕΕ του Ευρωπαϊκού Κοινοβουλίου και του Συμβουλίου όσον αφορά τα κανονιστικά τεχνικά πρότυπα για τον καθορισμό της μεθοδολογίας προσδιορισμού παγκόσμιων συστημικά σημαντικών ιδρυμάτων και τον καθορισμό υποκατηγοριών παγκόσμιων συστημικά σημαντικών ιδρυμάτων (ΕΕ L 330 της 15.11.2014, σ. 27).</w:t>
      </w:r>
    </w:p>
  </w:footnote>
  <w:footnote w:id="4">
    <w:p w14:paraId="7E81C75F" w14:textId="7AFAACB8" w:rsidR="00461B95" w:rsidRPr="00EF0DDB" w:rsidRDefault="00461B95">
      <w:pPr>
        <w:pStyle w:val="FootnoteText"/>
      </w:pPr>
      <w:r>
        <w:rPr>
          <w:rStyle w:val="FootnoteReference"/>
        </w:rPr>
        <w:footnoteRef/>
      </w:r>
      <w:r>
        <w:t xml:space="preserve"> </w:t>
      </w:r>
      <w:r>
        <w:t>Κανονισμός (ΕΕ) αριθ. 806/2014 του Ευρωπαϊκού Κοινοβουλίου και του Συμβουλίου, της 15ης Ιουλίου 2014, περί θεσπίσεως ενιαίων κανόνων και διαδικασίας για την εξυγίανση πιστωτικών ιδρυμάτων και ορισμένων επιχειρήσεων επενδύσεων στο πλαίσιο ενός Ενιαίου Μηχανισμού Εξυγίανσης και ενός Ενιαίου Ταμείου Εξυγίανσης και τροποποιήσεως του κανονισμού (ΕΕ) αριθ. 1093/2010 (ΕΕ L 225 της 30.7.2014, σ.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246064472">
    <w:abstractNumId w:val="0"/>
  </w:num>
  <w:num w:numId="2" w16cid:durableId="1341471467">
    <w:abstractNumId w:val="13"/>
  </w:num>
  <w:num w:numId="3" w16cid:durableId="1730375991">
    <w:abstractNumId w:val="19"/>
  </w:num>
  <w:num w:numId="4" w16cid:durableId="52120207">
    <w:abstractNumId w:val="9"/>
  </w:num>
  <w:num w:numId="5" w16cid:durableId="1768576603">
    <w:abstractNumId w:val="16"/>
  </w:num>
  <w:num w:numId="6" w16cid:durableId="488981281">
    <w:abstractNumId w:val="8"/>
  </w:num>
  <w:num w:numId="7" w16cid:durableId="647898553">
    <w:abstractNumId w:val="18"/>
  </w:num>
  <w:num w:numId="8" w16cid:durableId="2134979579">
    <w:abstractNumId w:val="2"/>
  </w:num>
  <w:num w:numId="9" w16cid:durableId="854078802">
    <w:abstractNumId w:val="14"/>
  </w:num>
  <w:num w:numId="10" w16cid:durableId="1316375750">
    <w:abstractNumId w:val="7"/>
  </w:num>
  <w:num w:numId="11" w16cid:durableId="1024795081">
    <w:abstractNumId w:val="11"/>
  </w:num>
  <w:num w:numId="12" w16cid:durableId="1501430524">
    <w:abstractNumId w:val="3"/>
  </w:num>
  <w:num w:numId="13" w16cid:durableId="514459024">
    <w:abstractNumId w:val="15"/>
  </w:num>
  <w:num w:numId="14" w16cid:durableId="583532788">
    <w:abstractNumId w:val="12"/>
  </w:num>
  <w:num w:numId="15" w16cid:durableId="1430152650">
    <w:abstractNumId w:val="5"/>
  </w:num>
  <w:num w:numId="16" w16cid:durableId="419840684">
    <w:abstractNumId w:val="10"/>
  </w:num>
  <w:num w:numId="17" w16cid:durableId="1779908699">
    <w:abstractNumId w:val="4"/>
  </w:num>
  <w:num w:numId="18" w16cid:durableId="926306380">
    <w:abstractNumId w:val="17"/>
  </w:num>
  <w:num w:numId="19" w16cid:durableId="579144610">
    <w:abstractNumId w:val="1"/>
  </w:num>
  <w:num w:numId="20" w16cid:durableId="1380284607">
    <w:abstractNumId w:val="6"/>
  </w:num>
  <w:num w:numId="21" w16cid:durableId="2017533338">
    <w:abstractNumId w:val="5"/>
  </w:num>
  <w:num w:numId="22" w16cid:durableId="1058628990">
    <w:abstractNumId w:val="15"/>
  </w:num>
  <w:num w:numId="23" w16cid:durableId="1570338091">
    <w:abstractNumId w:val="15"/>
  </w:num>
  <w:num w:numId="24" w16cid:durableId="1077552297">
    <w:abstractNumId w:val="15"/>
  </w:num>
  <w:num w:numId="25" w16cid:durableId="1472214217">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08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49EA"/>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l-G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l-G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l-G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l-G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l-G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EC98CC30-E273-4143-ACDD-A8DCB951C077}"/>
</file>

<file path=customXml/itemProps3.xml><?xml version="1.0" encoding="utf-8"?>
<ds:datastoreItem xmlns:ds="http://schemas.openxmlformats.org/officeDocument/2006/customXml" ds:itemID="{A08DECED-8B7C-45C7-8EAA-70D7CF3A3FA3}"/>
</file>

<file path=customXml/itemProps4.xml><?xml version="1.0" encoding="utf-8"?>
<ds:datastoreItem xmlns:ds="http://schemas.openxmlformats.org/officeDocument/2006/customXml" ds:itemID="{D305B020-3584-4970-86B7-CA8BF9A87567}"/>
</file>

<file path=docProps/app.xml><?xml version="1.0" encoding="utf-8"?>
<Properties xmlns="http://schemas.openxmlformats.org/officeDocument/2006/extended-properties" xmlns:vt="http://schemas.openxmlformats.org/officeDocument/2006/docPropsVTypes">
  <Template>Normal</Template>
  <TotalTime>0</TotalTime>
  <Pages>6</Pages>
  <Words>1313</Words>
  <Characters>8863</Characters>
  <Application>Microsoft Office Word</Application>
  <DocSecurity>0</DocSecurity>
  <Lines>211</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2025-01-16T15:50:00Z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2025-01-16T15:50:56Z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1fe19b96-202d-453f-87f1-76fb0bf1148a</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