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C1CCFF" w14:textId="77777777" w:rsidR="00632962" w:rsidRDefault="00632962" w:rsidP="00632962">
      <w:pPr>
        <w:jc w:val="center"/>
        <w:rPr>
          <w:sz w:val="24"/>
          <w:szCs w:val="22"/>
          <w:rFonts w:ascii="Times New Roman" w:hAnsi="Times New Roman"/>
        </w:rPr>
      </w:pPr>
      <w:r>
        <w:rPr>
          <w:sz w:val="24"/>
          <w:rFonts w:ascii="Times New Roman" w:hAnsi="Times New Roman"/>
        </w:rPr>
        <w:t xml:space="preserve">SV</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BILAGA II</w:t>
      </w:r>
    </w:p>
    <w:p w14:paraId="7AF3DCD8" w14:textId="77777777" w:rsidR="00074AC8" w:rsidRPr="00037E7B" w:rsidRDefault="00074AC8" w:rsidP="00074AC8">
      <w:pPr>
        <w:jc w:val="center"/>
        <w:rPr>
          <w:sz w:val="24"/>
          <w:rFonts w:ascii="Times New Roman" w:hAnsi="Times New Roman"/>
        </w:rPr>
      </w:pPr>
      <w:r>
        <w:rPr>
          <w:sz w:val="24"/>
          <w:rFonts w:ascii="Times New Roman" w:hAnsi="Times New Roman"/>
        </w:rPr>
        <w:t xml:space="preserve">”BILAGA II</w:t>
      </w:r>
    </w:p>
    <w:p w14:paraId="786C3F82" w14:textId="77777777" w:rsidR="00074AC8" w:rsidRPr="00037E7B" w:rsidRDefault="00074AC8" w:rsidP="00074AC8">
      <w:pPr>
        <w:jc w:val="center"/>
        <w:rPr>
          <w:b/>
          <w:sz w:val="24"/>
          <w:rFonts w:ascii="Times New Roman" w:hAnsi="Times New Roman"/>
        </w:rPr>
      </w:pPr>
      <w:r>
        <w:rPr>
          <w:b/>
          <w:sz w:val="24"/>
          <w:rFonts w:ascii="Times New Roman" w:hAnsi="Times New Roman"/>
        </w:rPr>
        <w:t xml:space="preserve">INSTRUKTIONER FÖR RAPPORTERING AV KAPITALBAS OCH KAPITALBASKRAV</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 xml:space="preserve">DEL II:</w:t>
      </w:r>
      <w:r>
        <w:rPr>
          <w:rFonts w:ascii="Times New Roman" w:hAnsi="Times New Roman"/>
        </w:rPr>
        <w:t xml:space="preserve"> </w:t>
      </w:r>
      <w:r>
        <w:rPr>
          <w:rFonts w:ascii="Times New Roman" w:hAnsi="Times New Roman"/>
        </w:rPr>
        <w:t xml:space="preserve">MALLRELATERADE INSTRUKTIONER</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 xml:space="preserve">(…)</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sz w:val="24"/>
          <w:rFonts w:ascii="Times New Roman" w:hAnsi="Times New Roman"/>
        </w:rPr>
      </w:pPr>
      <w:bookmarkStart w:id="3" w:name="_Toc19715796"/>
      <w:bookmarkStart w:id="4" w:name="_Toc151714441"/>
      <w:r>
        <w:rPr>
          <w:sz w:val="24"/>
          <w:rFonts w:ascii="Times New Roman" w:hAnsi="Times New Roman"/>
        </w:rPr>
        <w:t xml:space="preserve">Motpartsrisk</w:t>
      </w:r>
      <w:bookmarkEnd w:id="3"/>
      <w:bookmarkEnd w:id="4"/>
    </w:p>
    <w:p w14:paraId="4116917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sz w:val="24"/>
          <w:rFonts w:ascii="Times New Roman" w:hAnsi="Times New Roman"/>
        </w:rPr>
        <w:t xml:space="preserve">Motpartsriskmallarnas räckvidd</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119</w:t>
      </w:r>
      <w:r>
        <w:fldChar w:fldCharType="end"/>
      </w:r>
      <w:r>
        <w:t xml:space="preserve">.</w:t>
      </w:r>
      <w:r>
        <w:t xml:space="preserve"> </w:t>
      </w:r>
      <w:r>
        <w:t xml:space="preserve">Motpartsriskmallarna omfattar information om exponeringar som är föremål för motpartsrisk i enlighet med del tre avdelning II kapitlen 4 och 6 i förordning (EU) nr 575/2013.</w:t>
      </w:r>
    </w:p>
    <w:p w14:paraId="5C2099A9" w14:textId="470C3ABA"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120</w:t>
      </w:r>
      <w:r>
        <w:fldChar w:fldCharType="end"/>
      </w:r>
      <w:r>
        <w:t xml:space="preserve">.</w:t>
      </w:r>
      <w:r>
        <w:t xml:space="preserve"> </w:t>
      </w:r>
      <w:r>
        <w:t xml:space="preserve">Mallarna omfattar inte kapitalbaskraven för kreditvärdighetsjusteringsrisk (artikel 92.3 d och del tre avdelning VI i förordning (EU) nr 575/2013), som rapporteras i mallen för kreditvärdighetsjusteringsrisk.</w:t>
      </w:r>
      <w:r>
        <w:t xml:space="preserve"> </w:t>
      </w:r>
    </w:p>
    <w:p w14:paraId="69B3C47B" w14:textId="3B35D7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121</w:t>
      </w:r>
      <w:r>
        <w:fldChar w:fldCharType="end"/>
      </w:r>
      <w:r>
        <w:t xml:space="preserve">.</w:t>
      </w:r>
      <w:r>
        <w:t xml:space="preserve"> </w:t>
      </w:r>
      <w:r>
        <w:t xml:space="preserve">Motpartsriskexponeringar mot centrala motparter (del tre avdelning II kapitel 4 och kapitel 6 avsnitt 9 i förordning (EU) nr 575/2013) tas med i siffrorna för motpartsrisker, om inget annat anges.</w:t>
      </w:r>
      <w:r>
        <w:t xml:space="preserve"> </w:t>
      </w:r>
      <w:r>
        <w:t xml:space="preserve">Bidrag till obeståndsfonden som beräknas i enlighet med artiklarna 307–310 i förordning (EU) nr 575/2013 ska dock inte rapporteras i motpartsriskmallarna, med undantag för mall C 34.10, särskilt motsvarande rader.</w:t>
      </w:r>
      <w:r>
        <w:t xml:space="preserve"> </w:t>
      </w:r>
      <w:r>
        <w:t xml:space="preserve">I allmänhet rapporteras de riskvägda exponeringsbeloppen för bidrag till obeståndsfonden direkt i mall C 02.00 rad 0460.</w:t>
      </w:r>
    </w:p>
    <w:p w14:paraId="30858597"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14" w:name="_Toc19715803"/>
      <w:bookmarkStart w:id="15" w:name="_Toc151714443"/>
      <w:bookmarkStart w:id="16" w:name="_Toc516210659"/>
      <w:r>
        <w:rPr>
          <w:sz w:val="24"/>
          <w:rFonts w:ascii="Times New Roman" w:hAnsi="Times New Roman"/>
        </w:rPr>
        <w:t xml:space="preserve">C 34.01 – Derivatverksamhetens storlek</w:t>
      </w:r>
      <w:bookmarkEnd w:id="14"/>
      <w:bookmarkEnd w:id="15"/>
    </w:p>
    <w:p w14:paraId="0D62C2B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7" w:name="_Toc19715804"/>
      <w:bookmarkStart w:id="18" w:name="_Toc151714444"/>
      <w:r>
        <w:rPr>
          <w:sz w:val="24"/>
          <w:rFonts w:ascii="Times New Roman" w:hAnsi="Times New Roman"/>
        </w:rPr>
        <w:t xml:space="preserve">Allmänna kommentarer</w:t>
      </w:r>
      <w:bookmarkEnd w:id="16"/>
      <w:bookmarkEnd w:id="17"/>
      <w:bookmarkEnd w:id="18"/>
    </w:p>
    <w:p w14:paraId="20D44CDB" w14:textId="375893F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122</w:t>
      </w:r>
      <w:r>
        <w:fldChar w:fldCharType="end"/>
      </w:r>
      <w:r>
        <w:t xml:space="preserve">.</w:t>
      </w:r>
      <w:r>
        <w:t xml:space="preserve"> </w:t>
      </w:r>
      <w:r>
        <w:t xml:space="preserve">I enlighet med artikel 273a i förordning (EU) nr 575/2013 får ett institut beräkna exponeringsvärdet av sina derivatpositioner i enlighet med den metod som anges i del tre avdelning II kapitel 6 avsnitt 4 eller 5 i förordning (EU) nr 575/2013, under förutsättning att storleken på dess derivatverksamhet inom och utanför balansräkningen inte överstiger de fördefinierade tröskelvärdena.</w:t>
      </w:r>
      <w:r>
        <w:t xml:space="preserve"> </w:t>
      </w:r>
      <w:r>
        <w:t xml:space="preserve">Motsvarande bedömning ska göras månadsvis med användning av uppgifterna per månadens sista dag.</w:t>
      </w:r>
      <w:r>
        <w:t xml:space="preserve"> </w:t>
      </w:r>
      <w:r>
        <w:t xml:space="preserve">Denna mall ger information om efterlevnaden av dessa tröskelvärden och, mer allmänt, viktig information om derivatverksamhetens storlek.</w:t>
      </w:r>
    </w:p>
    <w:p w14:paraId="0B9542C1" w14:textId="25E74705"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123</w:t>
      </w:r>
      <w:r>
        <w:fldChar w:fldCharType="end"/>
      </w:r>
      <w:r>
        <w:t xml:space="preserve">.</w:t>
      </w:r>
      <w:r>
        <w:t xml:space="preserve"> </w:t>
      </w:r>
      <w:r>
        <w:t xml:space="preserve">Månad 1, månad 2 och månad 3 avser den första, andra respektive sista månaden i det kvartal som rapporteras.</w:t>
      </w:r>
      <w:r>
        <w:t xml:space="preserve"> </w:t>
      </w:r>
      <w:r>
        <w:t xml:space="preserve">Uppgifter ska endast rapporteras för månadsslut efter den 28 juni 2021.</w:t>
      </w:r>
    </w:p>
    <w:p w14:paraId="782EADBE"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19" w:name="_Toc516210660"/>
      <w:bookmarkStart w:id="20" w:name="_Toc19715805"/>
      <w:bookmarkStart w:id="21" w:name="_Toc151714445"/>
      <w:r>
        <w:rPr>
          <w:sz w:val="24"/>
          <w:rFonts w:ascii="Times New Roman" w:hAnsi="Times New Roman"/>
        </w:rPr>
        <w:t xml:space="preserve">Instruktioner för specifika positioner</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Kolumn</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0010, 0040, 0070</w:t>
            </w:r>
          </w:p>
        </w:tc>
        <w:tc>
          <w:tcPr>
            <w:tcW w:w="8108" w:type="dxa"/>
          </w:tcPr>
          <w:p w14:paraId="09D42C21"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LÅNGA DERIVATPOSITIONER</w:t>
            </w:r>
          </w:p>
          <w:p w14:paraId="2BADA7D6"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Artikel 273a.3 i förordning (EU) nr 575/2013</w:t>
            </w:r>
          </w:p>
          <w:p w14:paraId="400C78E9"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Summan av de absoluta marknadsvärdena av långa derivatpositioner på månadens sista dag ska rapporteras.</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0020, 0050,</w:t>
            </w:r>
          </w:p>
          <w:p w14:paraId="6AD3843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0080</w:t>
            </w:r>
          </w:p>
        </w:tc>
        <w:tc>
          <w:tcPr>
            <w:tcW w:w="8108" w:type="dxa"/>
          </w:tcPr>
          <w:p w14:paraId="4F840B3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KORTA DERIVATPOSITIONER</w:t>
            </w:r>
          </w:p>
          <w:p w14:paraId="17AF4A13"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rStyle w:val="InstructionsTabelleberschrift"/>
                <w:sz w:val="24"/>
                <w:rFonts w:ascii="Times New Roman" w:hAnsi="Times New Roman"/>
              </w:rPr>
              <w:t xml:space="preserve">Artikel 273a.3 i förordning (EU) nr 575/2013</w:t>
            </w:r>
          </w:p>
          <w:p w14:paraId="3AB96F8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Summan av de absoluta marknadsvärdena av korta derivatpositioner på månadens sista dag ska rapporteras.</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0030, 0060,</w:t>
            </w:r>
          </w:p>
          <w:p w14:paraId="1173DE8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0090</w:t>
            </w:r>
          </w:p>
        </w:tc>
        <w:tc>
          <w:tcPr>
            <w:tcW w:w="8108" w:type="dxa"/>
          </w:tcPr>
          <w:p w14:paraId="252D116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SUMMA</w:t>
            </w:r>
          </w:p>
          <w:p w14:paraId="4D024C67"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273a.3 b i förordning (EU) nr 575/2013</w:t>
            </w:r>
          </w:p>
          <w:p w14:paraId="6C39E208"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Summan av det absoluta värdet av långa derivatpositioner och det absoluta värdet av korta derivatpositioner.</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Rad</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0010</w:t>
            </w:r>
          </w:p>
        </w:tc>
        <w:tc>
          <w:tcPr>
            <w:tcW w:w="8187" w:type="dxa"/>
          </w:tcPr>
          <w:p w14:paraId="552E9C6B"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Derivatverksamhetens storlek</w:t>
            </w:r>
          </w:p>
          <w:p w14:paraId="78339108" w14:textId="77777777" w:rsidR="00EF74C7" w:rsidRPr="002A677E" w:rsidRDefault="00EF74C7" w:rsidP="00822842">
            <w:pPr>
              <w:spacing w:beforeLines="60" w:before="144" w:afterLines="60" w:after="144"/>
              <w:rPr>
                <w:bCs/>
                <w:sz w:val="24"/>
                <w:rFonts w:ascii="Times New Roman" w:hAnsi="Times New Roman"/>
              </w:rPr>
            </w:pPr>
            <w:r>
              <w:rPr>
                <w:sz w:val="24"/>
                <w:rFonts w:ascii="Times New Roman" w:hAnsi="Times New Roman"/>
              </w:rPr>
              <w:t xml:space="preserve">Artikel 273a.3 i förordning (EU) nr 575/2013</w:t>
            </w:r>
          </w:p>
          <w:p w14:paraId="6D4FE0C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Alla derivat inom och utanför balansräkningen ska tas med, utom kreditderivat som redovisas som interna säkringar mot kreditriskexponeringar utanför handelslagret.</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0020</w:t>
            </w:r>
            <w:r>
              <w:rPr>
                <w:sz w:val="24"/>
                <w:rFonts w:ascii="Times New Roman" w:hAnsi="Times New Roman"/>
              </w:rPr>
              <w:t xml:space="preserve"> </w:t>
            </w:r>
          </w:p>
        </w:tc>
        <w:tc>
          <w:tcPr>
            <w:tcW w:w="8187" w:type="dxa"/>
          </w:tcPr>
          <w:p w14:paraId="04982DD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Derivat inom och utanför balansräkningen</w:t>
            </w:r>
          </w:p>
          <w:p w14:paraId="5D2385C4"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273a.3 a och b i förordning (EU) nr 575/2013</w:t>
            </w:r>
          </w:p>
          <w:p w14:paraId="36CFA94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Det totala marknadsvärdet av derivatpositioner inom och utanför balansräkningen per den sista dagen i månaden ska rapporteras.</w:t>
            </w:r>
            <w:r>
              <w:rPr>
                <w:sz w:val="24"/>
                <w:rFonts w:ascii="Times New Roman" w:hAnsi="Times New Roman"/>
              </w:rPr>
              <w:t xml:space="preserve"> </w:t>
            </w:r>
            <w:r>
              <w:rPr>
                <w:sz w:val="24"/>
                <w:rFonts w:ascii="Times New Roman" w:hAnsi="Times New Roman"/>
              </w:rPr>
              <w:t xml:space="preserve">Om en positions marknadsvärde inte finns tillgängligt för den dagen ska instituten använda sig av det verkliga värdet för positionen den dagen.</w:t>
            </w:r>
            <w:r>
              <w:rPr>
                <w:sz w:val="24"/>
                <w:rFonts w:ascii="Times New Roman" w:hAnsi="Times New Roman"/>
              </w:rPr>
              <w:t xml:space="preserve"> </w:t>
            </w:r>
            <w:r>
              <w:rPr>
                <w:sz w:val="24"/>
                <w:rFonts w:ascii="Times New Roman" w:hAnsi="Times New Roman"/>
              </w:rPr>
              <w:t xml:space="preserve">Om en positions marknadsvärde och verkliga värde inte finns tillgängliga för den dagen ska instituten använda sig av det senaste av marknadsvärdet eller det verkliga värdet för positionen i fråga.</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0030</w:t>
            </w:r>
            <w:r>
              <w:rPr>
                <w:sz w:val="24"/>
                <w:rFonts w:ascii="Times New Roman" w:hAnsi="Times New Roman"/>
              </w:rPr>
              <w:t xml:space="preserve"> </w:t>
            </w:r>
          </w:p>
        </w:tc>
        <w:tc>
          <w:tcPr>
            <w:tcW w:w="8187" w:type="dxa"/>
          </w:tcPr>
          <w:p w14:paraId="36732A5F" w14:textId="77777777" w:rsidR="00EF74C7" w:rsidRPr="002A677E" w:rsidRDefault="00EF74C7" w:rsidP="00822842">
            <w:pPr>
              <w:spacing w:beforeLines="60" w:before="144" w:afterLines="60" w:after="144"/>
              <w:rPr>
                <w:b/>
                <w:sz w:val="24"/>
                <w:u w:val="single"/>
                <w:rFonts w:ascii="Times New Roman" w:hAnsi="Times New Roman"/>
              </w:rPr>
            </w:pPr>
            <w:r>
              <w:rPr>
                <w:b/>
                <w:sz w:val="24"/>
                <w:u w:val="single"/>
                <w:rFonts w:ascii="Times New Roman" w:hAnsi="Times New Roman"/>
              </w:rPr>
              <w:t xml:space="preserve">(-) Kreditderivat som betraktas som interna säkringar mot kreditriskexponeringar utanför handelslagret</w:t>
            </w:r>
          </w:p>
          <w:p w14:paraId="7B2D3F9F"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273a.3 c i förordning (EU) nr 575/2013</w:t>
            </w:r>
          </w:p>
          <w:p w14:paraId="11EEB10C"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Det totala marknadsvärdet av kreditderivat som betraktas som interna säkringar mot kreditriskexponeringar utanför handelslagret.</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0040</w:t>
            </w:r>
          </w:p>
        </w:tc>
        <w:tc>
          <w:tcPr>
            <w:tcW w:w="8187" w:type="dxa"/>
          </w:tcPr>
          <w:p w14:paraId="0BD00669"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Totala tillgångar</w:t>
            </w:r>
          </w:p>
          <w:p w14:paraId="46929946"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De totala tillgångarna i enlighet med tillämpliga redovisningsstandarder.</w:t>
            </w:r>
          </w:p>
          <w:p w14:paraId="010EF5F0" w14:textId="77777777" w:rsidR="00EF74C7" w:rsidRPr="002A677E" w:rsidRDefault="00EF74C7" w:rsidP="00822842">
            <w:pPr>
              <w:spacing w:beforeLines="60" w:before="144" w:afterLines="60" w:after="144"/>
              <w:rPr>
                <w:rStyle w:val="InstructionsTabelleberschrift"/>
                <w:b w:val="0"/>
                <w:sz w:val="24"/>
                <w:rFonts w:ascii="Times New Roman" w:hAnsi="Times New Roman"/>
              </w:rPr>
            </w:pPr>
            <w:r>
              <w:rPr>
                <w:sz w:val="24"/>
                <w:rFonts w:ascii="Times New Roman" w:hAnsi="Times New Roman"/>
              </w:rPr>
              <w:t xml:space="preserve">För konsoliderad rapportering ska institutet rapportera de totala tillgångarna i enlighet med kraven på konsolidering under tillsyn enligt del ett avdelning II kapitel 2 avsnitt 2 i förordning (EU) nr 575/2013.</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0050</w:t>
            </w:r>
          </w:p>
        </w:tc>
        <w:tc>
          <w:tcPr>
            <w:tcW w:w="8187" w:type="dxa"/>
          </w:tcPr>
          <w:p w14:paraId="2661369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Procentandel av de totala tillgångarna</w:t>
            </w:r>
          </w:p>
          <w:p w14:paraId="7A7748D7" w14:textId="77777777" w:rsidR="00EF74C7" w:rsidRPr="002A677E" w:rsidRDefault="00EF74C7" w:rsidP="00822842">
            <w:pPr>
              <w:spacing w:beforeLines="60" w:before="144" w:afterLines="60" w:after="144"/>
              <w:rPr>
                <w:b/>
                <w:sz w:val="24"/>
                <w:rFonts w:ascii="Times New Roman" w:hAnsi="Times New Roman"/>
              </w:rPr>
            </w:pPr>
            <w:r>
              <w:rPr>
                <w:rStyle w:val="InstructionsTabelleberschrift"/>
                <w:b w:val="0"/>
                <w:sz w:val="24"/>
                <w:u w:val="none"/>
                <w:rFonts w:ascii="Times New Roman" w:hAnsi="Times New Roman"/>
              </w:rPr>
              <w:t xml:space="preserve">Kvot som ska beräknas som derivatverksamhetens storlek (rad 0010) dividerad med totala tillgångar (rad 0040).</w:t>
            </w:r>
            <w:r>
              <w:rPr>
                <w:rStyle w:val="InstructionsTabelleberschrift"/>
                <w:b w:val="0"/>
                <w:sz w:val="24"/>
                <w:u w:val="none"/>
                <w:rFonts w:ascii="Times New Roman" w:hAnsi="Times New Roman"/>
              </w:rPr>
              <w:t xml:space="preserve"> </w:t>
            </w:r>
          </w:p>
        </w:tc>
      </w:tr>
      <w:tr w:rsidR="00EF74C7" w:rsidRPr="002A677E" w14:paraId="0399B49B" w14:textId="77777777" w:rsidTr="00822842">
        <w:tc>
          <w:tcPr>
            <w:tcW w:w="9039" w:type="dxa"/>
            <w:gridSpan w:val="2"/>
            <w:shd w:val="clear" w:color="auto" w:fill="A6A6A6" w:themeFill="background1" w:themeFillShade="A6"/>
          </w:tcPr>
          <w:p w14:paraId="2029EDEF" w14:textId="77777777" w:rsidR="00EF74C7" w:rsidRPr="002A677E" w:rsidRDefault="00EF74C7" w:rsidP="00822842">
            <w:pPr>
              <w:spacing w:beforeLines="60" w:before="144" w:afterLines="60" w:after="144"/>
              <w:rPr>
                <w:b/>
                <w:sz w:val="24"/>
                <w:rFonts w:ascii="Times New Roman" w:hAnsi="Times New Roman"/>
              </w:rPr>
            </w:pPr>
            <w:r>
              <w:rPr>
                <w:b/>
                <w:sz w:val="24"/>
                <w:rFonts w:ascii="Times New Roman" w:hAnsi="Times New Roman"/>
              </w:rPr>
              <w:t xml:space="preserve">UNDANTAG I ENLIGHET MED ARTIKEL 273a.4 I FÖRORDNING (EU) NR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0060</w:t>
            </w:r>
          </w:p>
        </w:tc>
        <w:tc>
          <w:tcPr>
            <w:tcW w:w="8187" w:type="dxa"/>
          </w:tcPr>
          <w:p w14:paraId="67908B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sz w:val="24"/>
                <w:b/>
                <w:u w:val="single"/>
                <w:rFonts w:ascii="Times New Roman" w:hAnsi="Times New Roman"/>
              </w:rPr>
              <w:t xml:space="preserve">Är villkoren i artikel 273a.4 i förordning (EU) nr 575/2013 uppfyllda, inklusive den behöriga myndighetens godkännande?</w:t>
            </w:r>
          </w:p>
          <w:p w14:paraId="2F3DE52A"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273a.4 i förordning (EU) nr 575/2013</w:t>
            </w:r>
          </w:p>
          <w:p w14:paraId="748D5951"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Institut s</w:t>
            </w:r>
            <w:r>
              <w:rPr>
                <w:sz w:val="24"/>
                <w:rStyle w:val="InstructionsTabelleberschrift"/>
                <w:b w:val="0"/>
                <w:u w:val="none"/>
                <w:rFonts w:ascii="Times New Roman" w:hAnsi="Times New Roman"/>
              </w:rPr>
              <w:t xml:space="preserve">om överstiger tröskelvärdena för att använda en förenklad metod för motpartsrisk men som fortfarande använder någon av dem på grundval av artikel 273a.4</w:t>
            </w:r>
            <w:r>
              <w:rPr>
                <w:sz w:val="24"/>
                <w:rFonts w:ascii="Times New Roman" w:hAnsi="Times New Roman"/>
              </w:rPr>
              <w:t xml:space="preserve"> i förordning (EU) nr 575/2013 </w:t>
            </w:r>
            <w:r>
              <w:rPr>
                <w:sz w:val="24"/>
                <w:rStyle w:val="InstructionsTabelleberschrift"/>
                <w:b w:val="0"/>
                <w:u w:val="none"/>
                <w:rFonts w:ascii="Times New Roman" w:hAnsi="Times New Roman"/>
              </w:rPr>
              <w:t xml:space="preserve">ska ange (med ja/nej) om de uppfyller alla villko</w:t>
            </w:r>
            <w:r>
              <w:rPr>
                <w:sz w:val="24"/>
                <w:rStyle w:val="InstructionsTabelleberschrift"/>
                <w:b w:val="0"/>
                <w:u w:val="none"/>
                <w:rFonts w:ascii="Times New Roman" w:hAnsi="Times New Roman"/>
              </w:rPr>
              <w:t xml:space="preserve">r i den artikeln.</w:t>
            </w:r>
          </w:p>
          <w:p w14:paraId="6DA86931"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Denna post ska endast rapporteras av de institut som tillämpar undantaget enligt artikel 273a.4 i förordning (EU) nr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0070</w:t>
            </w:r>
          </w:p>
        </w:tc>
        <w:tc>
          <w:tcPr>
            <w:tcW w:w="8187" w:type="dxa"/>
          </w:tcPr>
          <w:p w14:paraId="58491EC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 för beräkning av exponeringsvärden på gruppnivå</w:t>
            </w:r>
          </w:p>
          <w:p w14:paraId="082FDD18"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Artikel 273a.4 i förordning (EU) nr 575/2013</w:t>
            </w:r>
          </w:p>
          <w:p w14:paraId="2F4198CB"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sz w:val="24"/>
                <w:rFonts w:ascii="Times New Roman" w:hAnsi="Times New Roman"/>
              </w:rPr>
              <w:t xml:space="preserve">Metod för beräkning av exponeringsvärden för derivatpositioner på gruppnivå som också används på individuell nivå i enlighet med artikel 273a.4 i förordning (EU) nr 575/2013:</w:t>
            </w:r>
          </w:p>
          <w:p w14:paraId="028F6AA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OEM:</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Ursprunglig åtagandemetod</w:t>
            </w:r>
          </w:p>
          <w:p w14:paraId="52FA75E2" w14:textId="77777777" w:rsidR="00EF74C7" w:rsidRPr="002A677E" w:rsidRDefault="00EF74C7" w:rsidP="00822842">
            <w:pPr>
              <w:spacing w:beforeLines="60" w:before="144" w:afterLines="60" w:after="144"/>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 Förenklad SA-CCR:</w:t>
            </w:r>
            <w:r>
              <w:rPr>
                <w:rStyle w:val="InstructionsTabelleberschrift"/>
                <w:b w:val="0"/>
                <w:sz w:val="24"/>
                <w:u w:val="none"/>
                <w:rFonts w:ascii="Times New Roman" w:hAnsi="Times New Roman"/>
              </w:rPr>
              <w:t xml:space="preserve"> </w:t>
            </w:r>
            <w:r>
              <w:rPr>
                <w:rStyle w:val="InstructionsTabelleberschrift"/>
                <w:b w:val="0"/>
                <w:sz w:val="24"/>
                <w:u w:val="none"/>
                <w:rFonts w:ascii="Times New Roman" w:hAnsi="Times New Roman"/>
              </w:rPr>
              <w:t xml:space="preserve">Förenklad schablonmetod för motpartskreditrisk</w:t>
            </w:r>
            <w:r>
              <w:rPr>
                <w:rStyle w:val="InstructionsTabelleberschrift"/>
                <w:b w:val="0"/>
                <w:sz w:val="24"/>
                <w:u w:val="none"/>
                <w:rFonts w:ascii="Times New Roman" w:hAnsi="Times New Roman"/>
              </w:rPr>
              <w:t xml:space="preserve"> </w:t>
            </w:r>
          </w:p>
          <w:p w14:paraId="6D893F4F" w14:textId="77777777" w:rsidR="00EF74C7" w:rsidRPr="002A677E" w:rsidRDefault="00EF74C7" w:rsidP="00822842">
            <w:pPr>
              <w:spacing w:beforeLines="60" w:before="144" w:afterLines="60" w:after="144"/>
              <w:rPr>
                <w:b/>
                <w:sz w:val="24"/>
                <w:rFonts w:ascii="Times New Roman" w:hAnsi="Times New Roman"/>
              </w:rPr>
            </w:pPr>
            <w:r>
              <w:rPr>
                <w:sz w:val="24"/>
                <w:rFonts w:ascii="Times New Roman" w:hAnsi="Times New Roman"/>
              </w:rPr>
              <w:t xml:space="preserve">Denna post ska endast rapporteras av de institut som tillämpar undantaget enligt artikel 273a.4 i förordning (EU) nr 575/2013.</w:t>
            </w:r>
          </w:p>
        </w:tc>
      </w:tr>
    </w:tbl>
    <w:p w14:paraId="773ED03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2" w:name="_Toc19715806"/>
      <w:bookmarkStart w:id="23" w:name="_Toc151714446"/>
      <w:r>
        <w:rPr>
          <w:sz w:val="24"/>
          <w:rFonts w:ascii="Times New Roman" w:hAnsi="Times New Roman"/>
        </w:rPr>
        <w:t xml:space="preserve">C 34.02 – Exponeringar mot motpartsrisker per metod</w:t>
      </w:r>
      <w:bookmarkEnd w:id="22"/>
      <w:bookmarkEnd w:id="23"/>
      <w:r>
        <w:rPr>
          <w:sz w:val="24"/>
          <w:rFonts w:ascii="Times New Roman" w:hAnsi="Times New Roman"/>
        </w:rPr>
        <w:t xml:space="preserve"> </w:t>
      </w:r>
    </w:p>
    <w:p w14:paraId="3FC7FDB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4" w:name="_Toc19715807"/>
      <w:bookmarkStart w:id="25" w:name="_Toc151714447"/>
      <w:r>
        <w:rPr>
          <w:sz w:val="24"/>
          <w:rFonts w:ascii="Times New Roman" w:hAnsi="Times New Roman"/>
        </w:rPr>
        <w:t xml:space="preserve">Allmänna kommentarer</w:t>
      </w:r>
      <w:bookmarkEnd w:id="24"/>
      <w:bookmarkEnd w:id="25"/>
    </w:p>
    <w:p w14:paraId="765D46FE" w14:textId="20A30CC8"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124</w:t>
      </w:r>
      <w:r>
        <w:fldChar w:fldCharType="end"/>
      </w:r>
      <w:r>
        <w:t xml:space="preserve">.</w:t>
      </w:r>
      <w:r>
        <w:t xml:space="preserve"> </w:t>
      </w:r>
      <w:r>
        <w:t xml:space="preserve">Instituten ska rapportera mallen separat för alla exponeringar mot motpartsrisker, och för alla exponeringar mot motpartsrisker, exklusive exponeringar mot centrala motparter, enligt definitionen för mall C 34.10.</w:t>
      </w:r>
    </w:p>
    <w:p w14:paraId="737985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26" w:name="_Toc19715808"/>
      <w:bookmarkStart w:id="27" w:name="_Toc151714448"/>
      <w:r>
        <w:rPr>
          <w:sz w:val="24"/>
          <w:rFonts w:ascii="Times New Roman" w:hAnsi="Times New Roman"/>
        </w:rPr>
        <w:t xml:space="preserve">Instruktioner för specifika positioner</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 xml:space="preserve">0010</w:t>
            </w:r>
          </w:p>
        </w:tc>
        <w:tc>
          <w:tcPr>
            <w:tcW w:w="7655" w:type="dxa"/>
            <w:vAlign w:val="center"/>
          </w:tcPr>
          <w:p w14:paraId="2F369CA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MOTPARTER</w:t>
            </w:r>
          </w:p>
          <w:p w14:paraId="5D247700"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Antal enskilda motparter mot vilka institutet har exponeringar mot motpartsrisker.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 xml:space="preserve">0020</w:t>
            </w:r>
          </w:p>
        </w:tc>
        <w:tc>
          <w:tcPr>
            <w:tcW w:w="7655" w:type="dxa"/>
            <w:vAlign w:val="center"/>
          </w:tcPr>
          <w:p w14:paraId="6A419FF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p>
          <w:p w14:paraId="72A1DFED" w14:textId="77777777" w:rsidR="00EF74C7" w:rsidRPr="002A677E" w:rsidRDefault="00EF74C7" w:rsidP="00822842">
            <w:pPr>
              <w:autoSpaceDE w:val="0"/>
              <w:autoSpaceDN w:val="0"/>
              <w:adjustRightInd w:val="0"/>
              <w:spacing w:before="60"/>
              <w:rPr>
                <w:sz w:val="24"/>
                <w:rFonts w:ascii="Times New Roman" w:hAnsi="Times New Roman"/>
              </w:rPr>
            </w:pPr>
            <w:r>
              <w:rPr>
                <w:sz w:val="24"/>
                <w:rFonts w:ascii="Times New Roman" w:hAnsi="Times New Roman"/>
              </w:rPr>
              <w:t xml:space="preserve">Antal transaktioner som omfattas av motpartsrisk på rapporteringsdagen.</w:t>
            </w:r>
            <w:r>
              <w:rPr>
                <w:sz w:val="24"/>
                <w:rFonts w:ascii="Times New Roman" w:hAnsi="Times New Roman"/>
              </w:rPr>
              <w:t xml:space="preserve"> </w:t>
            </w:r>
            <w:r>
              <w:rPr>
                <w:sz w:val="24"/>
                <w:rFonts w:ascii="Times New Roman" w:hAnsi="Times New Roman"/>
              </w:rPr>
              <w:t xml:space="preserve">Observera att för central motpartsverksamhet ska siffrorna inte innefatta in- eller utflöden utan de totala positionerna i motpartsriskportföljen på rapporteringsdagen.</w:t>
            </w:r>
            <w:r>
              <w:rPr>
                <w:sz w:val="24"/>
                <w:rFonts w:ascii="Times New Roman" w:hAnsi="Times New Roman"/>
              </w:rPr>
              <w:t xml:space="preserve"> </w:t>
            </w:r>
            <w:r>
              <w:rPr>
                <w:sz w:val="24"/>
                <w:rFonts w:ascii="Times New Roman" w:hAnsi="Times New Roman"/>
              </w:rPr>
              <w:t xml:space="preserve">Dessutom ska ett derivatinstrument eller en transaktion för värdepappersfinansiering som är uppdelad i två eller flera delar (minst) av modelleringsskäl fortfarande betraktas som en enda transaktion.</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 xml:space="preserve">0030</w:t>
            </w:r>
          </w:p>
        </w:tc>
        <w:tc>
          <w:tcPr>
            <w:tcW w:w="7655" w:type="dxa"/>
            <w:vAlign w:val="center"/>
          </w:tcPr>
          <w:p w14:paraId="31BBD50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TEORETISKA BELOPP</w:t>
            </w:r>
          </w:p>
          <w:p w14:paraId="0DE79C1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teoretiska beloppen för derivat och för transaktioner för värdepappersfinansiering före all eventuell nettning och utan justeringar i enlighet med artikel 279b i förordning (EU) nr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 xml:space="preserve">0040</w:t>
            </w:r>
          </w:p>
        </w:tc>
        <w:tc>
          <w:tcPr>
            <w:tcW w:w="7655" w:type="dxa"/>
            <w:vAlign w:val="center"/>
          </w:tcPr>
          <w:p w14:paraId="0DCD00F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POSITIVT</w:t>
            </w:r>
          </w:p>
          <w:p w14:paraId="0CABD62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272.12 i förordning (EU) nr 575/2013</w:t>
            </w:r>
          </w:p>
          <w:p w14:paraId="37448E9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aktuella marknadsvärdena (CMV) för alla nettningsmängder med positivt CMV enligt definitionen i artikel 272.12 i förordning (EU) nr 575/2013.</w:t>
            </w:r>
            <w:r>
              <w:rPr>
                <w:sz w:val="24"/>
                <w:rFonts w:ascii="Times New Roman" w:hAnsi="Times New Roman"/>
              </w:rPr>
              <w:t xml:space="preserve">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 xml:space="preserve">0050</w:t>
            </w:r>
          </w:p>
        </w:tc>
        <w:tc>
          <w:tcPr>
            <w:tcW w:w="7655" w:type="dxa"/>
            <w:vAlign w:val="center"/>
          </w:tcPr>
          <w:p w14:paraId="4AE05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NEGATIVT</w:t>
            </w:r>
          </w:p>
          <w:p w14:paraId="1AE578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272.12 i förordning (EU) nr 575/2013</w:t>
            </w:r>
          </w:p>
          <w:p w14:paraId="7055CBF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Summan av de absoluta aktuella marknadsvärdena (CMV) för alla nettningsmängder med negativt CMV enligt definitionen i artikel 272.12 i förordning (EU) nr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t xml:space="preserve">0060</w:t>
            </w:r>
          </w:p>
        </w:tc>
        <w:tc>
          <w:tcPr>
            <w:tcW w:w="7655" w:type="dxa"/>
            <w:vAlign w:val="center"/>
          </w:tcPr>
          <w:p w14:paraId="48B3261E"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TILLÄGGSMARGINALSÄKERHET (VM), MOTTAGEN</w:t>
            </w:r>
          </w:p>
          <w:p w14:paraId="1BCA2FE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275.2, 275.3 och 276 i förordning (EU) nr 575/2013</w:t>
            </w:r>
          </w:p>
          <w:p w14:paraId="369BA28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belopp för tilläggsmarginalsäkerhet (VM) för alla marginalavtal för vilka VM tas emot, beräknad i enlighet med artikel 276 i förordning (EU) nr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 xml:space="preserve">0070</w:t>
            </w:r>
          </w:p>
        </w:tc>
        <w:tc>
          <w:tcPr>
            <w:tcW w:w="7655" w:type="dxa"/>
            <w:vAlign w:val="center"/>
          </w:tcPr>
          <w:p w14:paraId="3CBA9D04"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TILLÄGGSMARGINALSÄKERHET (VM), STÄLLD</w:t>
            </w:r>
          </w:p>
          <w:p w14:paraId="5E2680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275.2, 275.3 och 276 i förordning (EU) nr 575/2013</w:t>
            </w:r>
          </w:p>
          <w:p w14:paraId="061EF38D"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Summan av belopp för tilläggsmarginalsäkerhet (VM) för alla marginalavtal för vilka VM ställs, beräknad i enlighet med artikel 276 i förordning (EU) nr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 xml:space="preserve">0080</w:t>
            </w:r>
          </w:p>
        </w:tc>
        <w:tc>
          <w:tcPr>
            <w:tcW w:w="7655" w:type="dxa"/>
            <w:vAlign w:val="center"/>
          </w:tcPr>
          <w:p w14:paraId="2A71E90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NETTOBELOPP AV OBEROENDE SÄKERHETER (NICA), MOTTAGET</w:t>
            </w:r>
            <w:r>
              <w:rPr>
                <w:rStyle w:val="InstructionsTabelleberschrift"/>
                <w:sz w:val="24"/>
                <w:rFonts w:ascii="Times New Roman" w:hAnsi="Times New Roman"/>
              </w:rPr>
              <w:t xml:space="preserve"> </w:t>
            </w:r>
          </w:p>
          <w:p w14:paraId="6F05E00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272.12a, 275.3 och 276 i förordning (EU) nr 575/2013</w:t>
            </w:r>
          </w:p>
          <w:p w14:paraId="4F712E2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nettobeloppen av oberoende säkerheter (NICA) för alla marginalavtal för vilka NICA tas emot, beräknad i enlighet med artikel 276 i förordning (EU) nr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 xml:space="preserve">0090</w:t>
            </w:r>
          </w:p>
        </w:tc>
        <w:tc>
          <w:tcPr>
            <w:tcW w:w="7655" w:type="dxa"/>
            <w:vAlign w:val="center"/>
          </w:tcPr>
          <w:p w14:paraId="0E262EAD"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NETTOBELOPP AV OBEROENDE SÄKERHETER (NICA), STÄLLT</w:t>
            </w:r>
            <w:r>
              <w:rPr>
                <w:rStyle w:val="InstructionsTabelleberschrift"/>
                <w:sz w:val="24"/>
                <w:rFonts w:ascii="Times New Roman" w:hAnsi="Times New Roman"/>
              </w:rPr>
              <w:t xml:space="preserve"> </w:t>
            </w:r>
          </w:p>
          <w:p w14:paraId="69D94B0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272.12a, 275.3 och 276 i förordning (EU) nr 575/2013</w:t>
            </w:r>
          </w:p>
          <w:p w14:paraId="501F735A"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Summan av nettobeloppen av oberoende säkerheter (NICA) för alla marginalavtal för vilka NICA ställs, beräknad i enlighet med artikel 276 i förordning (EU) nr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 xml:space="preserve">0100</w:t>
            </w:r>
          </w:p>
        </w:tc>
        <w:tc>
          <w:tcPr>
            <w:tcW w:w="7655" w:type="dxa"/>
            <w:vAlign w:val="center"/>
          </w:tcPr>
          <w:p w14:paraId="4F8024BE"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ERSÄTTNINGSKOSTNAD (RC)</w:t>
            </w:r>
            <w:r>
              <w:rPr>
                <w:rStyle w:val="InstructionsTabelleberschrift"/>
                <w:sz w:val="24"/>
                <w:rFonts w:ascii="Times New Roman" w:hAnsi="Times New Roman"/>
              </w:rPr>
              <w:t xml:space="preserve"> </w:t>
            </w:r>
          </w:p>
          <w:p w14:paraId="020E5CFA"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Artiklarna 275, 281 och 282 i förordning (EU) nr 575/2013</w:t>
            </w:r>
          </w:p>
          <w:p w14:paraId="7C118F06" w14:textId="77777777" w:rsidR="00EF74C7" w:rsidRPr="002A677E" w:rsidRDefault="00EF74C7" w:rsidP="00822842">
            <w:pPr>
              <w:pStyle w:val="TableMainHeading"/>
              <w:spacing w:before="0" w:after="0"/>
              <w:jc w:val="both"/>
              <w:rPr>
                <w:sz w:val="24"/>
                <w:szCs w:val="24"/>
                <w:rFonts w:ascii="Times New Roman" w:hAnsi="Times New Roman"/>
              </w:rPr>
            </w:pPr>
            <w:r>
              <w:rPr>
                <w:sz w:val="24"/>
                <w:rFonts w:ascii="Times New Roman" w:hAnsi="Times New Roman"/>
              </w:rPr>
              <w:t xml:space="preserve">Ersättningskostnaden (RC) per nettningsmängd ska beräknas i enlighet med:</w:t>
            </w:r>
            <w:r>
              <w:rPr>
                <w:sz w:val="24"/>
                <w:rFonts w:ascii="Times New Roman" w:hAnsi="Times New Roman"/>
              </w:rPr>
              <w:t xml:space="preserve"> </w:t>
            </w:r>
          </w:p>
          <w:p w14:paraId="48A8DFD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282.3 i förordning (EU) nr 575/2013 för den ursprungliga åtagandemetoden.</w:t>
            </w:r>
            <w:r>
              <w:rPr>
                <w:sz w:val="24"/>
                <w:rFonts w:ascii="Times New Roman" w:hAnsi="Times New Roman"/>
              </w:rPr>
              <w:t xml:space="preserve"> </w:t>
            </w:r>
          </w:p>
          <w:p w14:paraId="119FA22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281 i förordning (EU) nr 575/2013 för den förenklade schablonmetoden för motpartsrisk.</w:t>
            </w:r>
          </w:p>
          <w:p w14:paraId="341C9FB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275 i förordning (EU) nr 575/2013 för schablonmetoden för motpartsrisk.</w:t>
            </w:r>
          </w:p>
          <w:p w14:paraId="4927F86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Institutet ska rapportera summan av ersättningskostnaderna för nettningsmängderna på respektive rad.</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 xml:space="preserve">0110</w:t>
            </w:r>
          </w:p>
        </w:tc>
        <w:tc>
          <w:tcPr>
            <w:tcW w:w="7655" w:type="dxa"/>
            <w:vAlign w:val="center"/>
          </w:tcPr>
          <w:p w14:paraId="2874AC61"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POTENTIELL FRAMTIDA EXPONERING (PFE)</w:t>
            </w:r>
          </w:p>
          <w:p w14:paraId="1F05C741"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Artiklarna 278, 281 och 282 i förordning (EU) nr 575/2013</w:t>
            </w:r>
          </w:p>
          <w:p w14:paraId="3BB9BD1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Potentiell framtida exponering (PFE) per nettningsmängd ska beräknas i enlighet med:</w:t>
            </w:r>
            <w:r>
              <w:rPr>
                <w:sz w:val="24"/>
                <w:rFonts w:ascii="Times New Roman" w:hAnsi="Times New Roman"/>
              </w:rPr>
              <w:t xml:space="preserve"> </w:t>
            </w:r>
          </w:p>
          <w:p w14:paraId="5F96EE5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282.4 i förordning (EU) nr 575/2013 för den ursprungliga åtagandemetoden.</w:t>
            </w:r>
            <w:r>
              <w:rPr>
                <w:sz w:val="24"/>
                <w:rFonts w:ascii="Times New Roman" w:hAnsi="Times New Roman"/>
              </w:rPr>
              <w:t xml:space="preserve"> </w:t>
            </w:r>
          </w:p>
          <w:p w14:paraId="3C4296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281 i förordning (EU) nr 575/2013 för den förenklade schablonmetoden för motpartsrisk.</w:t>
            </w:r>
          </w:p>
          <w:p w14:paraId="6194F2A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 Artikel 278 i förordning (EU) nr 575/2013 för schablonmetoden för motpartsrisk.</w:t>
            </w:r>
          </w:p>
          <w:p w14:paraId="2A2F0E46"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Institutet ska rapportera summan av alla potentiella framtida exponeringar för nettningsmängderna på respektive rad.</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t xml:space="preserve">0120</w:t>
            </w:r>
          </w:p>
        </w:tc>
        <w:tc>
          <w:tcPr>
            <w:tcW w:w="7655" w:type="dxa"/>
            <w:vAlign w:val="center"/>
          </w:tcPr>
          <w:p w14:paraId="1B837C4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 EXPONERING</w:t>
            </w:r>
          </w:p>
          <w:p w14:paraId="1E44224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Artikel 272.17 i förordning (EU) nr 575/2013</w:t>
            </w:r>
            <w:r>
              <w:rPr>
                <w:sz w:val="24"/>
                <w:rFonts w:ascii="Times New Roman" w:hAnsi="Times New Roman"/>
              </w:rPr>
              <w:t xml:space="preserve"> </w:t>
            </w:r>
          </w:p>
          <w:p w14:paraId="36E3361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 aktuella exponeringen per nettningsmängd ska vara det värde som anges i artikel 272.17 i förordning (EU) nr 575/2013.</w:t>
            </w:r>
          </w:p>
          <w:p w14:paraId="459ECA5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Institutet ska rapportera summan av alla aktuella exponeringar för nettningsmängderna på respektive rad.</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 xml:space="preserve">0130</w:t>
            </w:r>
          </w:p>
        </w:tc>
        <w:tc>
          <w:tcPr>
            <w:tcW w:w="7655" w:type="dxa"/>
            <w:vAlign w:val="center"/>
          </w:tcPr>
          <w:p w14:paraId="3EC3B867"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EFFEKTIV FÖRVÄNTAD POSITIV EXPONERING (EFFEKTIV EPE)</w:t>
            </w:r>
          </w:p>
          <w:p w14:paraId="758613C4"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Artiklarna 272.22, 284.3 och 284.6 i förordning (EU) nr 575/2013</w:t>
            </w:r>
          </w:p>
          <w:p w14:paraId="33B149EE" w14:textId="77777777" w:rsidR="00EF74C7" w:rsidRPr="002A677E" w:rsidRDefault="00EF74C7" w:rsidP="00822842">
            <w:pPr>
              <w:pStyle w:val="Default"/>
              <w:spacing w:after="120"/>
              <w:jc w:val="both"/>
              <w:rPr>
                <w:color w:val="auto"/>
                <w:rFonts w:ascii="Times New Roman" w:hAnsi="Times New Roman" w:cs="Times New Roman"/>
              </w:rPr>
            </w:pPr>
            <w:r>
              <w:rPr>
                <w:color w:val="auto"/>
                <w:rFonts w:ascii="Times New Roman" w:hAnsi="Times New Roman"/>
              </w:rPr>
              <w:t xml:space="preserve">Effektiv EPE per nettningsmängd definieras i artikel 272.22 i förordning (EU) nr 575/2013 och ska beräknas i enlighet med artikel 284.6 i förordning (EU) nr 575/2013.</w:t>
            </w:r>
          </w:p>
          <w:p w14:paraId="336DEF87"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Institutet ska rapportera summan av alla effektiva förväntade positiva exponeringar som tillämpats för fastställande av kapitalbaskrav i enlighet med artikel 284.3 i förordning (EU) nr 575/2013, dvs. antingen effektiv EPE beräknad med hjälp av aktuella marknadsdata, eller effektiv EPE beräknad med hjälp av en stresstestkalibrering, beroende på vilket som leder till ett högre kapitalbaskrav.</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 xml:space="preserve">0140</w:t>
            </w:r>
          </w:p>
        </w:tc>
        <w:tc>
          <w:tcPr>
            <w:tcW w:w="7655" w:type="dxa"/>
            <w:vAlign w:val="center"/>
          </w:tcPr>
          <w:p w14:paraId="2682CC5B"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ALFA SOM ANVÄNDS FÖR BERÄKNING AV DET LAGSTADGADE EXPONERINGSVÄRDET</w:t>
            </w:r>
            <w:r>
              <w:rPr>
                <w:rStyle w:val="InstructionsTabelleberschrift"/>
                <w:sz w:val="24"/>
                <w:rFonts w:ascii="Times New Roman" w:hAnsi="Times New Roman"/>
              </w:rPr>
              <w:t xml:space="preserve"> </w:t>
            </w:r>
          </w:p>
          <w:p w14:paraId="02E67AA1"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Artiklarna 274.2, 282.2, 281.1, 284.4 och 284.9 i förordning (EU) nr 575/2013</w:t>
            </w:r>
          </w:p>
          <w:p w14:paraId="5EFB3579"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Värdet på α är fastställt till 1,4 på raderna för OEM, förenklad SA-CCR och SA-CCR i enlighet med artiklarna 282.2, 281.1 och 274.2 i förordning (EU) nr 575/2013.</w:t>
            </w:r>
            <w:r>
              <w:rPr>
                <w:sz w:val="24"/>
                <w:rFonts w:ascii="Times New Roman" w:hAnsi="Times New Roman"/>
              </w:rPr>
              <w:t xml:space="preserve"> </w:t>
            </w:r>
            <w:r>
              <w:rPr>
                <w:sz w:val="24"/>
                <w:rFonts w:ascii="Times New Roman" w:hAnsi="Times New Roman"/>
              </w:rPr>
              <w:t xml:space="preserve">Vid användning av interna modeller kan värdet på α antingen vara schablonvärdet på 1,4 eller ett annat värde om de behöriga myndigheterna kräver en högre α i enlighet med artikel 284.4 i förordning (EU) nr 575/2013 eller tillåter institut att använda egna skattningar i enlighet med artikel 284.9 i den förordningen.</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 xml:space="preserve">0150</w:t>
            </w:r>
          </w:p>
        </w:tc>
        <w:tc>
          <w:tcPr>
            <w:tcW w:w="7655" w:type="dxa"/>
          </w:tcPr>
          <w:p w14:paraId="737A43B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EXPONERINGSVÄRDE FÖRE KREDITRISKREDUCERING</w:t>
            </w:r>
            <w:r>
              <w:rPr>
                <w:rStyle w:val="InstructionsTabelleberschrift"/>
                <w:sz w:val="24"/>
                <w:rFonts w:ascii="Times New Roman" w:hAnsi="Times New Roman"/>
              </w:rPr>
              <w:t xml:space="preserve"> </w:t>
            </w:r>
          </w:p>
          <w:p w14:paraId="3483D02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Exponeringsvärdet före kreditriskreducering för motpartsrisknettningsmängder ska beräknas i enlighet med metoderna i del tre avdelning II kapitlen 4 och 6 i förordning (EU) nr 575/2013, med beaktande av effekten av nettning, men utan beaktande av andra kreditriskreduceringstekniker (t.ex. marginalsäkerheter).</w:t>
            </w:r>
            <w:r>
              <w:rPr>
                <w:sz w:val="24"/>
                <w:rFonts w:ascii="Times New Roman" w:hAnsi="Times New Roman"/>
              </w:rPr>
              <w:t xml:space="preserve"> </w:t>
            </w:r>
          </w:p>
          <w:p w14:paraId="3FD5C6A1"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När det gäller transaktioner för värdepappersfinansiering ska värdepappersdelen inte beaktas vid fastställandet av exponeringsvärdet före kreditriskreducering när säkerhet tas emot, och ska därför inte minska exponeringsvärdet.</w:t>
            </w:r>
            <w:r>
              <w:rPr>
                <w:sz w:val="24"/>
                <w:rFonts w:ascii="Times New Roman" w:hAnsi="Times New Roman"/>
              </w:rPr>
              <w:t xml:space="preserve"> </w:t>
            </w:r>
            <w:r>
              <w:rPr>
                <w:sz w:val="24"/>
                <w:rFonts w:ascii="Times New Roman" w:hAnsi="Times New Roman"/>
              </w:rPr>
              <w:t xml:space="preserve">Däremot ska värdepappersdelen i transaktioner för värdepappersfinansiering beaktas vid fastställandet av exponeringsvärdet före kreditriskreducering på vanligt sätt när säkerhet ställs.</w:t>
            </w:r>
            <w:r>
              <w:rPr>
                <w:sz w:val="24"/>
                <w:rFonts w:ascii="Times New Roman" w:hAnsi="Times New Roman"/>
              </w:rPr>
              <w:t xml:space="preserve"> </w:t>
            </w:r>
          </w:p>
          <w:p w14:paraId="0731F37F"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Dessutom ska verksamhet med ställda säkerheter hanteras som osäkrad, dvs. inga marginaleffekter föreligger.</w:t>
            </w:r>
            <w:r>
              <w:rPr>
                <w:sz w:val="24"/>
                <w:rFonts w:ascii="Times New Roman" w:hAnsi="Times New Roman"/>
              </w:rPr>
              <w:t xml:space="preserve"> </w:t>
            </w:r>
          </w:p>
          <w:p w14:paraId="2256FCE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Exponeringsvärdet före kreditriskreducering för transaktioner där specifik korrelationsrisk har identifierats ska fastställas i enlighet med artikel 291 i förordning (EU) nr 575/2013.</w:t>
            </w:r>
            <w:r>
              <w:rPr>
                <w:sz w:val="24"/>
                <w:rFonts w:ascii="Times New Roman" w:hAnsi="Times New Roman"/>
              </w:rPr>
              <w:t xml:space="preserve"> </w:t>
            </w:r>
          </w:p>
          <w:p w14:paraId="7E319C8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Exponeringsvärdet före kreditriskreducering ska inte beakta avdraget för den uppkomna kreditvärdighetsjusteringsförlusten i enlighet med artikel 273.6 i förordning (EU) nr 575/2013.</w:t>
            </w:r>
            <w:r>
              <w:rPr>
                <w:sz w:val="24"/>
                <w:rFonts w:ascii="Times New Roman" w:hAnsi="Times New Roman"/>
              </w:rPr>
              <w:t xml:space="preserve"> </w:t>
            </w:r>
          </w:p>
          <w:p w14:paraId="504F137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Institutet ska rapportera summan av alla exponeringsvärden före kreditriskreducering på respektive rad.</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t xml:space="preserve">0160</w:t>
            </w:r>
          </w:p>
        </w:tc>
        <w:tc>
          <w:tcPr>
            <w:tcW w:w="7655" w:type="dxa"/>
          </w:tcPr>
          <w:p w14:paraId="2175395B"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EXPONERINGSVÄRDE EFTER KREDITRISKREDUCERING</w:t>
            </w:r>
            <w:r>
              <w:rPr>
                <w:rStyle w:val="InstructionsTabelleberschrift"/>
                <w:sz w:val="24"/>
                <w:rFonts w:ascii="Times New Roman" w:hAnsi="Times New Roman"/>
              </w:rPr>
              <w:t xml:space="preserve"> </w:t>
            </w:r>
          </w:p>
          <w:p w14:paraId="29261E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Exponeringsvärdet efter kreditriskreducering för motpartsrisknettningsmängder ska beräknas i enlighet med metoderna i del tre avdelning II kapitlen 4 och 6 i förordning (EU) nr 575/2013, efter tillämpning av metoder för kreditriskreducering enligt vad som är tillämpligt i enlighet med del tre avdelning II kapitlen 4 och 6 i den förordningen.</w:t>
            </w:r>
          </w:p>
          <w:p w14:paraId="365B588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Exponeringsvärdet efter kreditriskreducering för transaktioner där specifik korrelationsrisk har identifierats ska fastställas i enlighet med artikel 291 i förordning (EU) nr 575/2013.</w:t>
            </w:r>
            <w:r>
              <w:rPr>
                <w:sz w:val="24"/>
                <w:rFonts w:ascii="Times New Roman" w:hAnsi="Times New Roman"/>
              </w:rPr>
              <w:t xml:space="preserve"> </w:t>
            </w:r>
          </w:p>
          <w:p w14:paraId="695EEB6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Exponeringsvärdet efter kreditriskreducering ska inte beakta avdraget för den uppkomna kreditvärdighetsjusteringsförlusten i enlighet med artikel 273.6 i förordning (EU) nr 575/2013.</w:t>
            </w:r>
          </w:p>
          <w:p w14:paraId="797ADF5B"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Institutet ska rapportera summan av alla exponeringsvärden efter kreditriskreducering på respektive rad.</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 xml:space="preserve">0170</w:t>
            </w:r>
          </w:p>
        </w:tc>
        <w:tc>
          <w:tcPr>
            <w:tcW w:w="7655" w:type="dxa"/>
            <w:vAlign w:val="center"/>
          </w:tcPr>
          <w:p w14:paraId="05219E98"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EXPONERINGSVÄRDE</w:t>
            </w:r>
          </w:p>
          <w:p w14:paraId="75CDF24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Exponeringsvärde för motpartsrisknettningsmängder beräknat i enlighet med metoderna i del tre avdelning II kapitlen 4 och 6 i förordning (EU) nr 575/2013, vilket är det relevanta beloppet för beräkning av riskvägda exponeringsbelopp, dvs. efter tillämpning av metoder för kreditriskreducering enligt vad som är tillämpligt i enlighet med del tre avdelning II kapitlen 4 och 6 i förordning (EU) nr 575/2013 och med beaktande av avdraget av den uppkomna kreditvärdighetsjusteringsförlusten i enlighet med artikel 273.6 i förordning (EU) nr 575/2013.</w:t>
            </w:r>
            <w:r>
              <w:rPr>
                <w:sz w:val="24"/>
                <w:rFonts w:ascii="Times New Roman" w:hAnsi="Times New Roman"/>
              </w:rPr>
              <w:t xml:space="preserve"> </w:t>
            </w:r>
          </w:p>
          <w:p w14:paraId="78D55FF1" w14:textId="77777777" w:rsidR="00EF74C7" w:rsidRPr="002A677E" w:rsidRDefault="00EF74C7" w:rsidP="00822842">
            <w:pPr>
              <w:rPr>
                <w:sz w:val="24"/>
                <w:rFonts w:ascii="Times New Roman" w:hAnsi="Times New Roman"/>
              </w:rPr>
            </w:pPr>
            <w:r>
              <w:rPr>
                <w:sz w:val="24"/>
                <w:rFonts w:ascii="Times New Roman" w:hAnsi="Times New Roman"/>
              </w:rPr>
              <w:t xml:space="preserve">Exponeringsvärdet för transaktioner där specifik korrelationsrisk har identifierats ska fastställas i enlighet med artikel 291 i förordning (EU) nr 575/2013.</w:t>
            </w:r>
          </w:p>
          <w:p w14:paraId="2CCE970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I fall där mer än en motpartsriskmetod används för en enda motpart ska den uppkomna kreditvärdighetsjusteringsförlusten, som dras av på motpartsnivå, hänföras till exponeringsvärdet för de olika nettningsmängderna för varje motpartsnivå där andelen av exponeringsvärdet efter kreditriskreducering i respektive nettningsmängder återspeglas i förhållande till det totala exponeringsvärdet efter kreditriskreducering för motparten.</w:t>
            </w:r>
          </w:p>
          <w:p w14:paraId="0C842EAD" w14:textId="77777777" w:rsidR="00EF74C7" w:rsidRPr="002A677E" w:rsidRDefault="00EF74C7" w:rsidP="00822842">
            <w:r>
              <w:rPr>
                <w:sz w:val="24"/>
                <w:rFonts w:ascii="Times New Roman" w:hAnsi="Times New Roman"/>
              </w:rPr>
              <w:t xml:space="preserve">Institutet ska rapportera summan av alla exponeringsvärden på respektive rad.</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t xml:space="preserve">0180</w:t>
            </w:r>
          </w:p>
        </w:tc>
        <w:tc>
          <w:tcPr>
            <w:tcW w:w="7655" w:type="dxa"/>
          </w:tcPr>
          <w:p w14:paraId="0DF22580"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som behandlas enligt schablonmetoden för kreditrisk</w:t>
            </w:r>
          </w:p>
          <w:p w14:paraId="1D95615D"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Exponeringsvärde för motpartsrisk för positioner som behandlas enligt schablonmetoden för kreditrisk i enlighet med del tre avdelning II kapitel 2 i förordning (EU) nr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 xml:space="preserve">0190</w:t>
            </w:r>
          </w:p>
        </w:tc>
        <w:tc>
          <w:tcPr>
            <w:tcW w:w="7655" w:type="dxa"/>
          </w:tcPr>
          <w:p w14:paraId="2835516A"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som behandlas enligt internmetoden för kreditrisk</w:t>
            </w:r>
          </w:p>
          <w:p w14:paraId="208129A6" w14:textId="77777777" w:rsidR="00EF74C7" w:rsidRPr="002A677E" w:rsidRDefault="00EF74C7" w:rsidP="00822842">
            <w:pPr>
              <w:rPr>
                <w:sz w:val="24"/>
                <w:rFonts w:ascii="Times New Roman" w:hAnsi="Times New Roman"/>
              </w:rPr>
            </w:pPr>
            <w:r>
              <w:rPr>
                <w:sz w:val="24"/>
                <w:rFonts w:ascii="Times New Roman" w:hAnsi="Times New Roman"/>
              </w:rPr>
              <w:t xml:space="preserve">Exponeringsvärde för motpartsrisk för positioner som behandlas enligt internmetoden för kreditrisk i enlighet med del tre avdelning II kapitel 3 i förordning (EU) nr 575/2013.</w:t>
            </w:r>
            <w:r>
              <w:rPr>
                <w:sz w:val="24"/>
                <w:rFonts w:ascii="Times New Roman" w:hAnsi="Times New Roman"/>
              </w:rPr>
              <w:t xml:space="preserve">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 xml:space="preserve">0200</w:t>
            </w:r>
          </w:p>
        </w:tc>
        <w:tc>
          <w:tcPr>
            <w:tcW w:w="7655" w:type="dxa"/>
          </w:tcPr>
          <w:p w14:paraId="2E8CD327"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RISKVÄGDA EXPONERINGSBELOPP</w:t>
            </w:r>
          </w:p>
          <w:p w14:paraId="6B8D3CD5" w14:textId="6159F38D"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Riskvägda exponeringsbelopp för motpartsrisker enligt definitionen i artikel 92.3 i förordning (EU) nr 575/2013, beräknade i enlighet med metoderna i del tre avdelning II kapitlen 2 och 3.</w:t>
            </w:r>
          </w:p>
          <w:p w14:paraId="2463A407" w14:textId="77777777" w:rsidR="00EF74C7" w:rsidRPr="002A677E" w:rsidRDefault="00EF74C7" w:rsidP="00822842">
            <w:pPr>
              <w:rPr>
                <w:sz w:val="24"/>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beaktas.</w:t>
            </w:r>
            <w:r>
              <w:rPr>
                <w:sz w:val="24"/>
                <w:rFonts w:ascii="Times New Roman" w:hAnsi="Times New Roman"/>
              </w:rPr>
              <w:t xml:space="preserve">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 xml:space="preserve">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som behandlas enligt schablonmetoden för kreditrisk</w:t>
            </w:r>
          </w:p>
          <w:p w14:paraId="6E572F83"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Riskvägda exponeringsbelopp för motpartsriskexponeringar som behandlas enligt schablonmetoden för kreditrisk i enlighet med del tre avdelning II kapitel 2 i förordning (EU) nr 575/2013.</w:t>
            </w:r>
            <w:r>
              <w:rPr>
                <w:sz w:val="24"/>
                <w:rFonts w:ascii="Times New Roman" w:hAnsi="Times New Roman"/>
              </w:rPr>
              <w:t xml:space="preserve"> </w:t>
            </w:r>
          </w:p>
          <w:p w14:paraId="21C6ADFA" w14:textId="77777777" w:rsidR="00EF74C7" w:rsidRPr="002A677E" w:rsidRDefault="00EF74C7" w:rsidP="00822842">
            <w:pPr>
              <w:rPr>
                <w:sz w:val="24"/>
                <w:rFonts w:ascii="Times New Roman" w:hAnsi="Times New Roman"/>
              </w:rPr>
            </w:pPr>
            <w:r>
              <w:rPr>
                <w:sz w:val="24"/>
                <w:rFonts w:ascii="Times New Roman" w:hAnsi="Times New Roman"/>
              </w:rPr>
              <w:t xml:space="preserve">Beloppet är detsamma som det som ska anges i kolumn 0220 i mall C 07.00 för motpartsriskpositioner.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 xml:space="preserve">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Positioner som behandlas enligt internmetoden för kreditrisk</w:t>
            </w:r>
          </w:p>
          <w:p w14:paraId="51FF06D9"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Riskvägda exponeringsbelopp för motpartsriskexponeringar som behandlas enligt internmetoden för kreditrisk i enlighet med del tre avdelning II kapitel 3 i förordning (EU) nr 575/2013.</w:t>
            </w:r>
          </w:p>
          <w:p w14:paraId="3FB6A074" w14:textId="77777777" w:rsidR="00EF74C7" w:rsidRPr="002A677E" w:rsidRDefault="00EF74C7" w:rsidP="00822842">
            <w:pPr>
              <w:rPr>
                <w:sz w:val="24"/>
                <w:rFonts w:ascii="Times New Roman" w:hAnsi="Times New Roman"/>
              </w:rPr>
            </w:pPr>
            <w:r>
              <w:rPr>
                <w:sz w:val="24"/>
                <w:rFonts w:ascii="Times New Roman" w:hAnsi="Times New Roman"/>
              </w:rPr>
              <w:t xml:space="preserve">Beloppet är detsamma som det som ska anges i kolumn 0260 i mall C 08.01 för motpartsriskpositioner.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t xml:space="preserve">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KAPITALGOLV</w:t>
            </w:r>
          </w:p>
          <w:p w14:paraId="78547488" w14:textId="2021F309"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För institut som omfattas av kapitalgolvet enligt artikel 92.3 i förordning (EU) nr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 xml:space="preserve">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Default="00EF74C7" w:rsidP="00822842">
            <w:pPr>
              <w:rPr>
                <w:rStyle w:val="InstructionsTabelleberschrift"/>
                <w:sz w:val="24"/>
                <w:rFonts w:ascii="Times New Roman" w:eastAsiaTheme="minorEastAsia" w:hAnsi="Times New Roman"/>
              </w:rPr>
            </w:pPr>
            <w:r>
              <w:rPr>
                <w:rStyle w:val="InstructionsTabelleberschrift"/>
                <w:sz w:val="24"/>
                <w:rFonts w:ascii="Times New Roman" w:hAnsi="Times New Roman"/>
              </w:rPr>
              <w:t xml:space="preserve">EXPONERINGSVÄRDE FÖR BERÄKNING AV S-TREA</w:t>
            </w:r>
          </w:p>
          <w:p w14:paraId="076EA294" w14:textId="45BB26AF"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Style w:val="InstructionsTabelleberschrift"/>
                <w:rFonts w:ascii="Times New Roman" w:hAnsi="Times New Roman"/>
              </w:rPr>
              <w:t xml:space="preserve">Exponeringsvärdet</w:t>
            </w:r>
            <w:r>
              <w:rPr>
                <w:sz w:val="24"/>
                <w:rFonts w:ascii="Times New Roman" w:hAnsi="Times New Roman"/>
              </w:rPr>
              <w:t xml:space="preserve"> för exponeringar mot motpartskreditrisk inbegripet i beräkningen av det totala riskvägda exponeringsbeloppet enligt schablonmetoden (S-TREA)</w:t>
            </w:r>
            <w:r>
              <w:rPr>
                <w:sz w:val="24"/>
                <w:rStyle w:val="InstructionsTabelleberschrift"/>
                <w:rFonts w:ascii="Times New Roman" w:hAnsi="Times New Roman"/>
              </w:rPr>
              <w:t xml:space="preserve"> </w:t>
            </w:r>
            <w:r>
              <w:rPr>
                <w:sz w:val="24"/>
                <w:rFonts w:ascii="Times New Roman" w:hAnsi="Times New Roman"/>
              </w:rPr>
              <w:t xml:space="preserve">i enlighet med artikel 92.5 i förordning (EU) nr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 xml:space="preserve">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S-TREA</w:t>
            </w:r>
          </w:p>
          <w:p w14:paraId="3E780FC2" w14:textId="37C7D34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Totalt riskvägt exponeringsbelopp enligt schablonmetoden (S-TREA) beräknat i enlighet med artikel 92.5 i förordning (EU) nr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 xml:space="preserve">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MEMORANDUMPOSTER:</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RISKVÄGT EXPONERINGSBELOPP AVSEENDE EFFEKTERNA AV TILLÄMPNING AV ARTIKEL 465.4 I FÖRORDNING (EU) NR 575/2013</w:t>
            </w:r>
          </w:p>
          <w:p w14:paraId="5E592907" w14:textId="45615761"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sz w:val="24"/>
                <w:rFonts w:ascii="Times New Roman" w:hAnsi="Times New Roman"/>
              </w:rPr>
              <w:t xml:space="preserve">Artikel 465.4 i förordning (EU) nr 575/2013</w:t>
            </w:r>
            <w:r>
              <w:rPr>
                <w:sz w:val="24"/>
                <w:rFonts w:ascii="Times New Roman" w:hAnsi="Times New Roman"/>
              </w:rPr>
              <w:t xml:space="preserve"> </w:t>
            </w:r>
            <w:r>
              <w:rPr>
                <w:sz w:val="24"/>
                <w:rFonts w:ascii="Times New Roman" w:hAnsi="Times New Roman"/>
              </w:rPr>
              <w:t xml:space="preserve">Skillnaden mellan det riskvägda exponeringsbeloppet utan tillämpning av övergångsbestämmelserna, och det riskvägda exponeringsbeloppet med tillämpning av övergångsbestämmelserna, ska rapporteras.</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Rad</w:t>
            </w:r>
            <w:r>
              <w:rPr>
                <w:b/>
                <w:sz w:val="24"/>
                <w:rFonts w:ascii="Times New Roman" w:hAnsi="Times New Roman"/>
              </w:rPr>
              <w:t xml:space="preserve">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 xml:space="preserve">0010</w:t>
            </w:r>
          </w:p>
        </w:tc>
        <w:tc>
          <w:tcPr>
            <w:tcW w:w="7655" w:type="dxa"/>
          </w:tcPr>
          <w:p w14:paraId="596F329B"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URSPRUNGLIG ÅTAGANDEMETOD (FÖR DERIVAT)</w:t>
            </w:r>
            <w:r>
              <w:rPr>
                <w:rStyle w:val="InstructionsTabelleberschrift"/>
                <w:sz w:val="24"/>
                <w:rFonts w:ascii="Times New Roman" w:hAnsi="Times New Roman"/>
              </w:rPr>
              <w:t xml:space="preserve"> </w:t>
            </w:r>
          </w:p>
          <w:p w14:paraId="19F53DE3" w14:textId="77777777" w:rsidR="00EF74C7" w:rsidRPr="002A677E" w:rsidRDefault="00EF74C7" w:rsidP="00822842">
            <w:pPr>
              <w:pStyle w:val="TableMainHeading"/>
              <w:spacing w:before="60"/>
              <w:rPr>
                <w:i/>
                <w:sz w:val="24"/>
                <w:szCs w:val="24"/>
                <w:rFonts w:ascii="Times New Roman" w:hAnsi="Times New Roman"/>
              </w:rPr>
            </w:pPr>
            <w:r>
              <w:rPr>
                <w:sz w:val="24"/>
                <w:rFonts w:ascii="Times New Roman" w:hAnsi="Times New Roman"/>
              </w:rPr>
              <w:t xml:space="preserve">Derivat och transaktioner med lång avvecklingscykel för vilka institutet beräknar exponeringsvärdet i enlighet med del tre avdelning II kapitel 6 avsnitt 5 i förordning (EU) nr 575/2013.</w:t>
            </w:r>
            <w:r>
              <w:rPr>
                <w:sz w:val="24"/>
                <w:rFonts w:ascii="Times New Roman" w:hAnsi="Times New Roman"/>
              </w:rPr>
              <w:t xml:space="preserve"> </w:t>
            </w:r>
            <w:r>
              <w:rPr>
                <w:sz w:val="24"/>
                <w:rFonts w:ascii="Times New Roman" w:hAnsi="Times New Roman"/>
              </w:rPr>
              <w:t xml:space="preserve">Denna förenklade metod för beräkning av exponeringsvärdet får endast användas av institut som uppfyller villkoren i artikel 273a.2 eller 273a.4 i förordning (EU) nr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FÖRENKLAD SCHABLONMETOD FÖR MOTPARTSRISK (FÖRENKLAD SA-CCR FÖR DERIVAT)</w:t>
            </w:r>
          </w:p>
          <w:p w14:paraId="0C771BB4"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 och transaktioner med lång avvecklingscykel för vilka institutet beräknar exponeringsvärdet i enlighet med del tre avdelning II kapitel 6 avsnitt 4 i förordning (EU) nr 575/2013.</w:t>
            </w:r>
            <w:r>
              <w:rPr>
                <w:sz w:val="24"/>
                <w:rFonts w:ascii="Times New Roman" w:hAnsi="Times New Roman"/>
              </w:rPr>
              <w:t xml:space="preserve"> </w:t>
            </w:r>
            <w:r>
              <w:rPr>
                <w:sz w:val="24"/>
                <w:rFonts w:ascii="Times New Roman" w:hAnsi="Times New Roman"/>
              </w:rPr>
              <w:t xml:space="preserve">Denna förenklade schablonmetod för beräkning av exponeringsvärdet får endast användas av institut som uppfyller villkoren i artikel 273a.1 eller 273a.4 i förordning (EU) nr 575/2013.</w:t>
            </w:r>
            <w:r>
              <w:rPr>
                <w:sz w:val="24"/>
                <w:rFonts w:ascii="Times New Roman" w:hAnsi="Times New Roman"/>
              </w:rPr>
              <w:t xml:space="preserve">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SCHABLONMETOD FÖR MOTPARTSRISK (SA-CCR FÖR DERIVAT)</w:t>
            </w:r>
          </w:p>
          <w:p w14:paraId="771ED2E1"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Derivat och transaktioner med lång avvecklingscykel för vilka institutet beräknar exponeringsvärdet i enlighet med del tre avdelning II kapitel 6 avsnitt 3 i förordning (EU) nr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METODEN MED INTERNA MODELLER (FÖR DERIVAT OCH TRANSAKTIONER FÖR VÄRDEPAPPERSFINANSIERING)</w:t>
            </w:r>
          </w:p>
          <w:p w14:paraId="19499FEB" w14:textId="77777777" w:rsidR="00EF74C7" w:rsidRPr="002A677E" w:rsidRDefault="00EF74C7" w:rsidP="00822842">
            <w:pPr>
              <w:pStyle w:val="TableMainHeading"/>
              <w:spacing w:before="60"/>
              <w:rPr>
                <w:sz w:val="24"/>
                <w:szCs w:val="24"/>
                <w:rFonts w:ascii="Times New Roman" w:hAnsi="Times New Roman"/>
              </w:rPr>
            </w:pPr>
            <w:r>
              <w:rPr>
                <w:sz w:val="24"/>
                <w:rFonts w:ascii="Times New Roman" w:hAnsi="Times New Roman"/>
              </w:rPr>
              <w:t xml:space="preserve">Derivat, transaktioner med lång avvecklingscykel och transaktioner för värdepappersfinansiering för vilka institutet har fått tillstånd att beräkna exponeringsvärdet med användning av metoden med interna modeller (IMM) i enlighet med del tre avdelning II kapitel 6 avsnitt 6 i förordning (EU) nr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Nettningsmängder för transaktioner för värdepappersfinansiering</w:t>
            </w:r>
          </w:p>
          <w:p w14:paraId="08069DA3"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Nettningsmängder som endast innehåller transaktioner för värdepappersfinansiering enligt definitionen i artikel 4.139 i förordning (EU) nr 575/2013, för vilka institutet har fått tillstånd att fastställa exponeringsvärdet med hjälp av metoden med interna modeller.</w:t>
            </w:r>
          </w:p>
          <w:p w14:paraId="00DA27AC"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Transaktioner för värdepappersfinansiering som ingår i en nettningsmängd enligt ett avtal om produktövergripande nettning och därför rapporteras på rad 0070 ska inte rapporteras på denna rad.</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Nettningsmängder för derivat och transaktioner med lång avvecklingscykel</w:t>
            </w:r>
          </w:p>
          <w:p w14:paraId="0E97A475"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Nettningsmängder som endast innehåller derivatinstrument förtecknade i bilaga II till förordning (EU) nr 575/2013 och transaktioner med lång avvecklingscykel enligt definitionen i artikel 272.2 i förordning (EU) nr 575/2013, för vilka institutet har fått tillstånd att fastställa exponeringsvärdet med användning av metoden med interna modeller.</w:t>
            </w:r>
          </w:p>
          <w:p w14:paraId="6A8CD02A"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 och transaktioner med lång avvecklingscykel som ingår i en nettningsmängd enligt ett avtal om produktövergripande nettning och därför rapporteras på rad 0070 ska inte rapporteras på denna rad.</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Från nettningsmängder för avtal om produktövergripande nettning</w:t>
            </w:r>
          </w:p>
          <w:p w14:paraId="118D66FD" w14:textId="77777777" w:rsidR="00EF74C7" w:rsidRPr="002A677E" w:rsidRDefault="00EF74C7" w:rsidP="00822842">
            <w:pPr>
              <w:rPr>
                <w:sz w:val="24"/>
                <w:rFonts w:ascii="Times New Roman" w:hAnsi="Times New Roman"/>
              </w:rPr>
            </w:pPr>
            <w:r>
              <w:rPr>
                <w:sz w:val="24"/>
                <w:rFonts w:ascii="Times New Roman" w:hAnsi="Times New Roman"/>
              </w:rPr>
              <w:t xml:space="preserve">Artikel 272.11 och 272.25 i förordning (EU) nr 575/2013</w:t>
            </w:r>
          </w:p>
          <w:p w14:paraId="78B4A3BD"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Nettningsmängder som innehåller transaktioner i olika produktkategorier (artikel 272.11 i förordning (EU) nr 575/2013), dvs. derivat och transaktioner för värdepappersfinansiering, för vilka det finns ett avtal om produktövergripande nettning enligt definitionen i artikel 272.25 i förordning (EU) nr 575/2013 och för vilka institutet har fått tillstånd att fastställa exponeringsvärdet med användning av metoden med interna modeller.</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FÖRENKLAD METOD FÖR FINANSIELLA SÄKERHETER (FÖR TRANSAKTIONER FÖR VÄRDEPAPPERSFINANSIERING)</w:t>
            </w:r>
            <w:r>
              <w:rPr>
                <w:rStyle w:val="InstructionsTabelleberschrift"/>
                <w:sz w:val="24"/>
                <w:rFonts w:ascii="Times New Roman" w:hAnsi="Times New Roman"/>
              </w:rPr>
              <w:t xml:space="preserve"> </w:t>
            </w:r>
          </w:p>
          <w:p w14:paraId="1E933FE3" w14:textId="77777777" w:rsidR="00EF74C7" w:rsidRPr="002A677E" w:rsidRDefault="00EF74C7" w:rsidP="00822842">
            <w:pPr>
              <w:rPr>
                <w:sz w:val="24"/>
                <w:rFonts w:ascii="Times New Roman" w:hAnsi="Times New Roman"/>
              </w:rPr>
            </w:pPr>
            <w:r>
              <w:rPr>
                <w:sz w:val="24"/>
                <w:rFonts w:ascii="Times New Roman" w:hAnsi="Times New Roman"/>
              </w:rPr>
              <w:t xml:space="preserve">Artikel 222 i förordning (EU) nr 575/2013</w:t>
            </w:r>
          </w:p>
          <w:p w14:paraId="1206AB4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Repor, värdepappers- eller råvarulån, transaktioner med lång avvecklingscykel och marginalutlåningstransaktioner för vilka institutet har valt att fastställa exponeringsvärdet i enlighet med artikel 222 i förordning (EU) nr 575/2013 i stället för del tre avdelning II kapitel 6 i den förordningen i enlighet med artikel 271.2 i samma förordning.</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FULLSTÄNDIG METOD FÖR FINANSIELLA SÄKERHETER (FÖR TRANSAKTIONER FÖR VÄRDEPAPPERSFINANSIERING)</w:t>
            </w:r>
          </w:p>
          <w:p w14:paraId="13A72AE5" w14:textId="77777777" w:rsidR="00EF74C7" w:rsidRPr="002A677E" w:rsidRDefault="00EF74C7" w:rsidP="00822842">
            <w:pPr>
              <w:rPr>
                <w:sz w:val="24"/>
                <w:rFonts w:ascii="Times New Roman" w:hAnsi="Times New Roman"/>
              </w:rPr>
            </w:pPr>
            <w:r>
              <w:rPr>
                <w:sz w:val="24"/>
                <w:rFonts w:ascii="Times New Roman" w:hAnsi="Times New Roman"/>
              </w:rPr>
              <w:t xml:space="preserve">Artiklarna 220 och 223 i förordning (EU) nr 575/2013</w:t>
            </w:r>
          </w:p>
          <w:p w14:paraId="0F255BBA"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Repor, värdepappers- eller råvarulån, transaktioner med lång avvecklingscykel och marginalutlåningstransaktioner för vilka institutet har valt att fastställa exponeringsvärdet i enlighet med artikel 223 i förordning (EU) nr 575/2013 i stället för del tre avdelning II kapitel 6 i den förordningen i enlighet med artikel 271.2 i samma förordning.</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 xml:space="preserve">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 FÖR TRANSAKTIONER FÖR VÄRDEPAPPERSFINANSIERING</w:t>
            </w:r>
          </w:p>
          <w:p w14:paraId="769E33FD" w14:textId="77777777" w:rsidR="00EF74C7" w:rsidRPr="002A677E" w:rsidRDefault="00EF74C7" w:rsidP="00822842">
            <w:pPr>
              <w:rPr>
                <w:sz w:val="24"/>
                <w:rFonts w:ascii="Times New Roman" w:hAnsi="Times New Roman"/>
              </w:rPr>
            </w:pPr>
            <w:r>
              <w:rPr>
                <w:sz w:val="24"/>
                <w:rFonts w:ascii="Times New Roman" w:hAnsi="Times New Roman"/>
              </w:rPr>
              <w:t xml:space="preserve">Artikel 221 i förordning (EU) nr 575/2013</w:t>
            </w:r>
          </w:p>
          <w:p w14:paraId="2E3D6606"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Repor, värdepappers- eller råvarulån eller marginalutlåningstransaktioner, eller andra kapitalmarknadsrelaterade transaktioner än derivattransaktioner för vilka exponeringsvärdet, i enlighet med artikel 221 i förordning (EU) nr 575/2013 och med tillstånd från den behöriga myndigheten, beräknas med användning av en metod med interna modeller som tar hänsyn till korrelationseffekter mellan värdepapperspositioner som omfattas av ramavtalet om nettning samt de berörda instrumentens likviditet.</w:t>
            </w:r>
            <w:r>
              <w:rPr>
                <w:sz w:val="24"/>
                <w:rFonts w:ascii="Times New Roman" w:hAnsi="Times New Roman"/>
              </w:rPr>
              <w:t xml:space="preserv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 xml:space="preserve">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SUMMA</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 xml:space="preserve">0120</w:t>
            </w:r>
          </w:p>
        </w:tc>
        <w:tc>
          <w:tcPr>
            <w:tcW w:w="7655" w:type="dxa"/>
          </w:tcPr>
          <w:p w14:paraId="64672F51"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Positioner med specifik korrelationsrisk (SWWR)</w:t>
            </w:r>
          </w:p>
          <w:p w14:paraId="658F3281"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Style w:val="InstructionsTabelleberschrift"/>
                <w:b w:val="0"/>
                <w:u w:val="none"/>
                <w:rFonts w:ascii="Times New Roman" w:hAnsi="Times New Roman"/>
              </w:rPr>
              <w:t xml:space="preserve">Artikel 291 </w:t>
            </w:r>
            <w:r>
              <w:rPr>
                <w:sz w:val="24"/>
                <w:rFonts w:ascii="Times New Roman" w:hAnsi="Times New Roman"/>
              </w:rPr>
              <w:t xml:space="preserve">i förordning (EU) nr 575/2013</w:t>
            </w:r>
          </w:p>
          <w:p w14:paraId="41917746" w14:textId="77777777" w:rsidR="00EF74C7" w:rsidRPr="002A677E" w:rsidDel="003E0C6A" w:rsidRDefault="00EF74C7" w:rsidP="00822842">
            <w:pPr>
              <w:keepNext/>
              <w:spacing w:before="60"/>
              <w:rPr>
                <w:bCs/>
                <w:sz w:val="24"/>
                <w:rFonts w:ascii="Times New Roman" w:hAnsi="Times New Roman"/>
              </w:rPr>
            </w:pPr>
            <w:r>
              <w:rPr>
                <w:sz w:val="24"/>
                <w:rFonts w:ascii="Times New Roman" w:hAnsi="Times New Roman"/>
              </w:rPr>
              <w:t xml:space="preserve">Exponeringar för motpartsrisker för vilka specifik korrelationsrisk (SWWR) har identifierats i enlighet med artikel 291 i förordning (EU) nr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 xml:space="preserve">0130</w:t>
            </w:r>
          </w:p>
        </w:tc>
        <w:tc>
          <w:tcPr>
            <w:tcW w:w="7655" w:type="dxa"/>
          </w:tcPr>
          <w:p w14:paraId="794C69D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Verksamhet med marginalsäkerhet</w:t>
            </w:r>
          </w:p>
          <w:p w14:paraId="03856435" w14:textId="77777777" w:rsidR="00EF74C7" w:rsidRPr="002A677E" w:rsidRDefault="00EF74C7" w:rsidP="00822842">
            <w:pPr>
              <w:keepNext/>
              <w:spacing w:before="60"/>
              <w:rPr>
                <w:rStyle w:val="InstructionsTabelleberschrift"/>
                <w:b w:val="0"/>
                <w:sz w:val="24"/>
                <w:u w:val="none"/>
                <w:rFonts w:ascii="Times New Roman" w:hAnsi="Times New Roman"/>
              </w:rPr>
            </w:pPr>
            <w:r>
              <w:rPr>
                <w:sz w:val="24"/>
                <w:rFonts w:ascii="Times New Roman" w:hAnsi="Times New Roman"/>
              </w:rPr>
              <w:t xml:space="preserve">Artikel 272.7 i förordning (EU) nr 575/2013</w:t>
            </w:r>
          </w:p>
          <w:p w14:paraId="2F61E58D" w14:textId="77777777" w:rsidR="00EF74C7" w:rsidRPr="002A677E" w:rsidDel="003E0C6A" w:rsidRDefault="00EF74C7" w:rsidP="00822842">
            <w:pPr>
              <w:keepNext/>
              <w:spacing w:before="60"/>
              <w:rPr>
                <w:sz w:val="24"/>
                <w:rFonts w:ascii="Times New Roman" w:hAnsi="Times New Roman"/>
              </w:rPr>
            </w:pPr>
            <w:r>
              <w:rPr>
                <w:sz w:val="24"/>
                <w:rFonts w:ascii="Times New Roman" w:hAnsi="Times New Roman"/>
              </w:rPr>
              <w:t xml:space="preserve">Exponeringar mot motpartsrisker med marginalsäkerhet, dvs. nettningsmängder som omfattas av ett marginalavtal i enlighet med artikel 272.7 i förordning (EU) nr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t xml:space="preserve">0140</w:t>
            </w:r>
          </w:p>
        </w:tc>
        <w:tc>
          <w:tcPr>
            <w:tcW w:w="7655" w:type="dxa"/>
          </w:tcPr>
          <w:p w14:paraId="4739FB5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Verksamhet utan marginalsäkerhet</w:t>
            </w:r>
          </w:p>
          <w:p w14:paraId="166C3DE8" w14:textId="77777777" w:rsidR="00EF74C7" w:rsidRPr="002A677E" w:rsidDel="003E0C6A" w:rsidRDefault="00EF74C7" w:rsidP="00822842">
            <w:pPr>
              <w:rPr>
                <w:sz w:val="24"/>
                <w:rFonts w:ascii="Times New Roman" w:hAnsi="Times New Roman"/>
              </w:rPr>
            </w:pPr>
            <w:r>
              <w:rPr>
                <w:sz w:val="24"/>
                <w:rFonts w:ascii="Times New Roman" w:hAnsi="Times New Roman"/>
              </w:rPr>
              <w:t xml:space="preserve">Exponeringar mot motpartsrisker som inte täckts av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28" w:name="_Toc19715809"/>
      <w:bookmarkStart w:id="29" w:name="_Toc151714449"/>
      <w:r>
        <w:rPr>
          <w:sz w:val="24"/>
          <w:rFonts w:ascii="Times New Roman" w:hAnsi="Times New Roman"/>
        </w:rPr>
        <w:t xml:space="preserve">C 34.03 – Exponeringar mot motpartsrisker som behandlas enligt schablonmetoder:</w:t>
      </w:r>
      <w:r>
        <w:rPr>
          <w:sz w:val="24"/>
          <w:rFonts w:ascii="Times New Roman" w:hAnsi="Times New Roman"/>
        </w:rPr>
        <w:t xml:space="preserve"> </w:t>
      </w:r>
      <w:r>
        <w:rPr>
          <w:sz w:val="24"/>
          <w:rFonts w:ascii="Times New Roman" w:hAnsi="Times New Roman"/>
        </w:rPr>
        <w:t xml:space="preserve">SA-CCR och förenklad SA-CCR</w:t>
      </w:r>
      <w:bookmarkEnd w:id="28"/>
      <w:bookmarkEnd w:id="29"/>
    </w:p>
    <w:p w14:paraId="25A32DCA"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0" w:name="_Toc19715810"/>
      <w:bookmarkStart w:id="31" w:name="_Toc151714450"/>
      <w:r>
        <w:rPr>
          <w:sz w:val="24"/>
          <w:rFonts w:ascii="Times New Roman" w:hAnsi="Times New Roman"/>
        </w:rPr>
        <w:t xml:space="preserve">Allmänna kommentarer</w:t>
      </w:r>
      <w:bookmarkEnd w:id="30"/>
      <w:bookmarkEnd w:id="31"/>
    </w:p>
    <w:p w14:paraId="00205649" w14:textId="08D8CDD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125</w:t>
      </w:r>
      <w:r>
        <w:fldChar w:fldCharType="end"/>
      </w:r>
      <w:r>
        <w:t xml:space="preserve">.</w:t>
      </w:r>
      <w:r>
        <w:t xml:space="preserve"> </w:t>
      </w:r>
      <w:r>
        <w:t xml:space="preserve">Mallen ska användas separat för rapportering av de exponeringar mot motpartsrisker som beräknas med schablonmetoden för motpartsrisk eller med den förenklade schablonmetoden för motpartsrisk, beroende på vad som är tillämpligt.</w:t>
      </w:r>
    </w:p>
    <w:p w14:paraId="739ACEF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2" w:name="_Toc19715811"/>
      <w:bookmarkStart w:id="33" w:name="_Toc151714451"/>
      <w:r>
        <w:rPr>
          <w:sz w:val="24"/>
          <w:rFonts w:ascii="Times New Roman" w:hAnsi="Times New Roman"/>
        </w:rPr>
        <w:t xml:space="preserve">Instruktioner för specifika positioner</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 xml:space="preserve">0010</w:t>
            </w:r>
          </w:p>
        </w:tc>
        <w:tc>
          <w:tcPr>
            <w:tcW w:w="7655" w:type="dxa"/>
            <w:vAlign w:val="center"/>
          </w:tcPr>
          <w:p w14:paraId="1B4E242B" w14:textId="77777777" w:rsidR="00EF74C7" w:rsidRPr="002A677E" w:rsidRDefault="00EF74C7" w:rsidP="00822842">
            <w:pPr>
              <w:keepNext/>
              <w:spacing w:before="60"/>
              <w:rPr>
                <w:sz w:val="24"/>
                <w:rFonts w:ascii="Times New Roman" w:hAnsi="Times New Roman"/>
              </w:rPr>
            </w:pPr>
            <w:r>
              <w:rPr>
                <w:rStyle w:val="InstructionsTabelleberschrift"/>
                <w:sz w:val="24"/>
                <w:rFonts w:ascii="Times New Roman" w:hAnsi="Times New Roman"/>
              </w:rPr>
              <w:t xml:space="preserve">VALUTA</w:t>
            </w:r>
          </w:p>
          <w:p w14:paraId="1FCE36C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För transaktioner som placerats in i ränteriskkategorin ska transaktionens denomineringsvaluta rapporteras.</w:t>
            </w:r>
          </w:p>
          <w:p w14:paraId="451829C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För transaktioner som placerats in i valutariskkategorin ska denomineringsvalutan för ett av transaktionens två ben rapporteras.</w:t>
            </w:r>
            <w:r>
              <w:rPr>
                <w:sz w:val="24"/>
                <w:rFonts w:ascii="Times New Roman" w:hAnsi="Times New Roman"/>
              </w:rPr>
              <w:t xml:space="preserve"> </w:t>
            </w:r>
            <w:r>
              <w:rPr>
                <w:sz w:val="24"/>
                <w:rFonts w:ascii="Times New Roman" w:hAnsi="Times New Roman"/>
              </w:rPr>
              <w:t xml:space="preserve">Instituten ska ange valutorna i valutaparet i alfabetisk ordning, t.ex. för US-dollar/euro fylls denna kolumn i med EUR och kolumn 0020 med USD.</w:t>
            </w:r>
            <w:r>
              <w:rPr>
                <w:sz w:val="24"/>
                <w:rFonts w:ascii="Times New Roman" w:hAnsi="Times New Roman"/>
              </w:rPr>
              <w:t xml:space="preserve"> </w:t>
            </w:r>
          </w:p>
          <w:p w14:paraId="4B0703E4" w14:textId="77777777" w:rsidR="00EF74C7" w:rsidRPr="002A677E" w:rsidRDefault="00EF74C7" w:rsidP="00822842">
            <w:pPr>
              <w:keepNext/>
              <w:spacing w:before="60"/>
              <w:rPr>
                <w:i/>
                <w:sz w:val="24"/>
                <w:rFonts w:ascii="Times New Roman" w:hAnsi="Times New Roman"/>
              </w:rPr>
            </w:pPr>
            <w:hyperlink r:id="rId10" w:history="1">
              <w:r>
                <w:rPr>
                  <w:sz w:val="24"/>
                  <w:rFonts w:ascii="Times New Roman" w:hAnsi="Times New Roman"/>
                </w:rPr>
                <w:t xml:space="preserve">ISO-valutakoder</w:t>
              </w:r>
            </w:hyperlink>
            <w:r>
              <w:rPr>
                <w:sz w:val="24"/>
                <w:rFonts w:ascii="Times New Roman" w:hAnsi="Times New Roman"/>
              </w:rPr>
              <w:t xml:space="preserve"> ska användas.</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 xml:space="preserve">0020</w:t>
            </w:r>
          </w:p>
        </w:tc>
        <w:tc>
          <w:tcPr>
            <w:tcW w:w="7655" w:type="dxa"/>
            <w:vAlign w:val="center"/>
          </w:tcPr>
          <w:p w14:paraId="24D1130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ANDRA VALUTAN I PARET</w:t>
            </w:r>
          </w:p>
          <w:p w14:paraId="03D4A6E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För transaktioner som placerats in i valutariskkategorin ska denomineringsvalutan för transaktionens andra ben rapporteras (i förhållande till det som rapporterades i kolumn 0010).</w:t>
            </w:r>
            <w:r>
              <w:rPr>
                <w:sz w:val="24"/>
                <w:rFonts w:ascii="Times New Roman" w:hAnsi="Times New Roman"/>
              </w:rPr>
              <w:t xml:space="preserve"> </w:t>
            </w:r>
            <w:r>
              <w:rPr>
                <w:sz w:val="24"/>
                <w:rFonts w:ascii="Times New Roman" w:hAnsi="Times New Roman"/>
              </w:rPr>
              <w:t xml:space="preserve">Instituten ska ange valutorna i valutaparet i alfabetisk ordning, t.ex. för US-dollar/euro fylls denna kolumn i med USD och kolumn 0010 med EUR.</w:t>
            </w:r>
          </w:p>
          <w:p w14:paraId="1013A2D8" w14:textId="77777777" w:rsidR="00EF74C7" w:rsidRPr="002A677E" w:rsidRDefault="00EF74C7" w:rsidP="00822842">
            <w:pPr>
              <w:keepNext/>
              <w:spacing w:before="60"/>
              <w:rPr>
                <w:i/>
                <w:sz w:val="24"/>
                <w:rFonts w:ascii="Times New Roman" w:hAnsi="Times New Roman"/>
              </w:rPr>
            </w:pPr>
            <w:hyperlink r:id="rId11" w:history="1">
              <w:r>
                <w:rPr>
                  <w:sz w:val="24"/>
                  <w:rFonts w:ascii="Times New Roman" w:hAnsi="Times New Roman"/>
                </w:rPr>
                <w:t xml:space="preserve">ISO-valutakoder</w:t>
              </w:r>
            </w:hyperlink>
            <w:r>
              <w:rPr>
                <w:sz w:val="24"/>
                <w:rFonts w:ascii="Times New Roman" w:hAnsi="Times New Roman"/>
              </w:rPr>
              <w:t xml:space="preserve"> ska användas.</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 xml:space="preserve">0030</w:t>
            </w:r>
          </w:p>
        </w:tc>
        <w:tc>
          <w:tcPr>
            <w:tcW w:w="7655" w:type="dxa"/>
            <w:vAlign w:val="center"/>
          </w:tcPr>
          <w:p w14:paraId="2F0BA9E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p>
          <w:p w14:paraId="6D81C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Se instruktionerna till kolumn 0020 i mall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 xml:space="preserve">0040</w:t>
            </w:r>
          </w:p>
        </w:tc>
        <w:tc>
          <w:tcPr>
            <w:tcW w:w="7655" w:type="dxa"/>
            <w:vAlign w:val="center"/>
          </w:tcPr>
          <w:p w14:paraId="160D7E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TEORETISKA BELOPP</w:t>
            </w:r>
          </w:p>
          <w:p w14:paraId="1EAD85A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instruktionerna till kolumn 0030 i mall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t xml:space="preserve">0050</w:t>
            </w:r>
          </w:p>
        </w:tc>
        <w:tc>
          <w:tcPr>
            <w:tcW w:w="7655" w:type="dxa"/>
            <w:vAlign w:val="center"/>
          </w:tcPr>
          <w:p w14:paraId="4F3928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POSITIVT</w:t>
            </w:r>
          </w:p>
          <w:p w14:paraId="5ED54A9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aktuella marknadsvärdena (CMV) för alla säkringsmängder med positivt CMV i respektive riskkategori.</w:t>
            </w:r>
          </w:p>
          <w:p w14:paraId="379A6FF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CMV på säkringsmängdsnivå ska fastställas genom nettning av positiva och negativa marknadsvärden för transaktionerna inom en säkringsmängd brutto före eventuella säkerheter som innehas eller ställs.</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 xml:space="preserve">0060</w:t>
            </w:r>
          </w:p>
        </w:tc>
        <w:tc>
          <w:tcPr>
            <w:tcW w:w="7655" w:type="dxa"/>
            <w:vAlign w:val="center"/>
          </w:tcPr>
          <w:p w14:paraId="58A56A8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NEGATIVT</w:t>
            </w:r>
          </w:p>
          <w:p w14:paraId="5CF4FB5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absoluta aktuella marknadsvärdena (CMV) för alla säkringsmängder med negativt CMV i respektive riskkategori.</w:t>
            </w:r>
          </w:p>
          <w:p w14:paraId="3D5BE0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CMV på säkringsmängdsnivå ska fastställas genom nettning av positiva och negativa marknadsvärden för transaktionerna inom en säkringsmängd brutto före eventuella säkerheter som innehas eller ställs.</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 xml:space="preserve">0070</w:t>
            </w:r>
          </w:p>
        </w:tc>
        <w:tc>
          <w:tcPr>
            <w:tcW w:w="7655" w:type="dxa"/>
            <w:vAlign w:val="center"/>
          </w:tcPr>
          <w:p w14:paraId="22809508" w14:textId="77777777" w:rsidR="00EF74C7" w:rsidRPr="002A677E" w:rsidRDefault="00EF74C7" w:rsidP="00822842">
            <w:pPr>
              <w:keepNext/>
              <w:spacing w:before="60"/>
              <w:rPr>
                <w:sz w:val="24"/>
                <w:rFonts w:ascii="Times New Roman" w:hAnsi="Times New Roman"/>
              </w:rPr>
            </w:pPr>
            <w:r>
              <w:rPr>
                <w:sz w:val="24"/>
                <w:rStyle w:val="InstructionsTabelleberschrift"/>
                <w:rFonts w:ascii="Times New Roman" w:hAnsi="Times New Roman"/>
              </w:rPr>
              <w:t xml:space="preserve">TILLÄGG</w:t>
            </w:r>
            <w:r>
              <w:rPr>
                <w:sz w:val="24"/>
                <w:rFonts w:ascii="Times New Roman" w:hAnsi="Times New Roman"/>
              </w:rPr>
              <w:t xml:space="preserve"> </w:t>
            </w:r>
          </w:p>
          <w:p w14:paraId="39E215C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280a–280f och artikel 281.2 i förordning (EU) nr 575/2013</w:t>
            </w:r>
          </w:p>
          <w:p w14:paraId="3169F372"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Institutet ska rapportera summan av alla tillägg i respektive säkringsmängd/riskkategori.</w:t>
            </w:r>
            <w:r>
              <w:rPr>
                <w:sz w:val="24"/>
                <w:rFonts w:ascii="Times New Roman" w:hAnsi="Times New Roman"/>
              </w:rPr>
              <w:t xml:space="preserve"> </w:t>
            </w:r>
          </w:p>
          <w:p w14:paraId="48AD1D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Det tillägg per riskkategori som används för att fastställa en nettningsmängds potentiella framtida exponering i enlighet med artikel 278.1 eller artikel 281.2 f i förordning (EU) nr 575/2013 ska beräknas i enlighet med artikel 280a–280f i den förordningen.</w:t>
            </w:r>
            <w:r>
              <w:rPr>
                <w:sz w:val="24"/>
                <w:rFonts w:ascii="Times New Roman" w:hAnsi="Times New Roman"/>
              </w:rPr>
              <w:t xml:space="preserve"> </w:t>
            </w:r>
            <w:r>
              <w:rPr>
                <w:sz w:val="24"/>
                <w:rFonts w:ascii="Times New Roman" w:hAnsi="Times New Roman"/>
              </w:rPr>
              <w:t xml:space="preserve">För den förenklade schablonmetoden för motpartsrisk ska bestämmelserna i artikel 281.2 i förordning (EU) nr 575/2013 tillämpas.</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Rad</w:t>
            </w:r>
            <w:r>
              <w:rPr>
                <w:b/>
              </w:rPr>
              <w:t xml:space="preserv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 xml:space="preserve">0050, 0120, 0190, 0230, 0270, 0340</w:t>
            </w:r>
          </w:p>
        </w:tc>
        <w:tc>
          <w:tcPr>
            <w:tcW w:w="7655" w:type="dxa"/>
          </w:tcPr>
          <w:p w14:paraId="376D7AC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RISKKATEGORIER</w:t>
            </w:r>
          </w:p>
          <w:p w14:paraId="7E0D19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277 och 277a i förordning (EU) nr 575/2013</w:t>
            </w:r>
          </w:p>
          <w:p w14:paraId="578D076E"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Transaktionerna ska klassificeras enligt den riskkategori de tillhör i enlighet med artikel 277.1–277.4 i förordning (EU) nr 575/2013.</w:t>
            </w:r>
          </w:p>
          <w:p w14:paraId="5862E67E"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Hänförande till säkringsmängder enligt riskkategorin ska göras i enlighet med artikel 277a i förordning (EU) nr 575/2013.</w:t>
            </w:r>
          </w:p>
          <w:p w14:paraId="65316050" w14:textId="77777777" w:rsidR="00EF74C7" w:rsidRPr="002A677E" w:rsidRDefault="00EF74C7" w:rsidP="00822842">
            <w:pPr>
              <w:pStyle w:val="TableMainHeading"/>
              <w:spacing w:before="60"/>
              <w:jc w:val="both"/>
              <w:rPr>
                <w:sz w:val="24"/>
                <w:rFonts w:ascii="Times New Roman" w:hAnsi="Times New Roman"/>
              </w:rPr>
            </w:pPr>
            <w:r>
              <w:rPr>
                <w:sz w:val="24"/>
                <w:rFonts w:ascii="Times New Roman" w:hAnsi="Times New Roman"/>
              </w:rPr>
              <w:t xml:space="preserve">För den förenklade schablonmetoden för motpartsrisk ska bestämmelserna i artikel 281.2 i förordning (EU) nr 575/2013 tillämpas.</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t xml:space="preserve">0020–0040</w:t>
            </w:r>
          </w:p>
        </w:tc>
        <w:tc>
          <w:tcPr>
            <w:tcW w:w="7655" w:type="dxa"/>
          </w:tcPr>
          <w:p w14:paraId="4160411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Varav inplacerade i mer än en riskkategori</w:t>
            </w:r>
          </w:p>
          <w:p w14:paraId="24AE7BA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277.3 i förordning (EU) nr 575/2013</w:t>
            </w:r>
          </w:p>
          <w:p w14:paraId="54CB9801" w14:textId="77777777" w:rsidR="00EF74C7" w:rsidRPr="002A677E" w:rsidRDefault="00EF74C7" w:rsidP="00822842">
            <w:pPr>
              <w:pStyle w:val="TableMainHeading"/>
              <w:spacing w:before="60"/>
              <w:jc w:val="both"/>
              <w:rPr>
                <w:i/>
                <w:sz w:val="24"/>
                <w:szCs w:val="24"/>
                <w:rFonts w:ascii="Times New Roman" w:hAnsi="Times New Roman"/>
              </w:rPr>
            </w:pPr>
            <w:r>
              <w:rPr>
                <w:sz w:val="24"/>
                <w:rFonts w:ascii="Times New Roman" w:hAnsi="Times New Roman"/>
              </w:rPr>
              <w:t xml:space="preserve">Derivattransaktioner med mer än en väsentlig riskdrivare som placerats in i två (0020), tre (0030) eller fler än tre (0040) riskkategorier på grundval av de väsentligaste riskdrivarna i varje riskkategori, i enlighet med artikel 277.3 i förordning (EU) nr 575/2013 och EBA:s tekniska tillsynsstandarder som avses i artikel 277.5 i den förordningen.</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 xml:space="preserve">0070–0110 och 0140–0180</w:t>
            </w:r>
          </w:p>
        </w:tc>
        <w:tc>
          <w:tcPr>
            <w:tcW w:w="7655" w:type="dxa"/>
          </w:tcPr>
          <w:p w14:paraId="18AF84E8" w14:textId="77777777" w:rsidR="00EF74C7" w:rsidRPr="002A677E" w:rsidRDefault="00EF74C7" w:rsidP="00822842">
            <w:pPr>
              <w:pStyle w:val="TableMainHeading"/>
              <w:spacing w:before="60"/>
              <w:jc w:val="both"/>
              <w:rPr>
                <w:rStyle w:val="InstructionsTabelleberschrift"/>
                <w:sz w:val="24"/>
                <w:szCs w:val="24"/>
                <w:rFonts w:ascii="Times New Roman" w:eastAsiaTheme="minorEastAsia" w:hAnsi="Times New Roman"/>
              </w:rPr>
            </w:pPr>
            <w:r>
              <w:rPr>
                <w:rStyle w:val="InstructionsTabelleberschrift"/>
                <w:sz w:val="24"/>
                <w:rFonts w:ascii="Times New Roman" w:hAnsi="Times New Roman"/>
              </w:rPr>
              <w:t xml:space="preserve">Största valuta och valutapar</w:t>
            </w:r>
          </w:p>
          <w:p w14:paraId="208A8263" w14:textId="77777777" w:rsidR="00EF74C7" w:rsidRPr="002A677E" w:rsidRDefault="00EF74C7" w:rsidP="00822842">
            <w:pPr>
              <w:rPr>
                <w:sz w:val="24"/>
                <w:rFonts w:ascii="Times New Roman" w:hAnsi="Times New Roman"/>
              </w:rPr>
            </w:pPr>
            <w:r>
              <w:rPr>
                <w:sz w:val="24"/>
                <w:rFonts w:ascii="Times New Roman" w:hAnsi="Times New Roman"/>
              </w:rPr>
              <w:t xml:space="preserve">Denna klassificering ska göras på grundval av aktuellt marknadsvärde för institutets portfölj inom ramen för schablonmetoden för motpartsrisk eller den förenklade schablonmetoden för motpartsrisk, beroende på vad som är tillämpligt, för transaktioner som placerats in i ränteriskkategorin respektive valutariskkategorin.</w:t>
            </w:r>
            <w:r>
              <w:rPr>
                <w:sz w:val="24"/>
                <w:rFonts w:ascii="Times New Roman" w:hAnsi="Times New Roman"/>
              </w:rPr>
              <w:t xml:space="preserve"> </w:t>
            </w:r>
          </w:p>
          <w:p w14:paraId="7CB8DC17" w14:textId="77777777" w:rsidR="00EF74C7" w:rsidRPr="002A677E" w:rsidRDefault="00EF74C7" w:rsidP="00822842">
            <w:pPr>
              <w:rPr>
                <w:i/>
                <w:sz w:val="24"/>
                <w:rFonts w:ascii="Times New Roman" w:hAnsi="Times New Roman"/>
              </w:rPr>
            </w:pPr>
            <w:r>
              <w:rPr>
                <w:sz w:val="24"/>
                <w:rFonts w:ascii="Times New Roman" w:hAnsi="Times New Roman"/>
              </w:rPr>
              <w:t xml:space="preserve">För klassificeringen ska det absoluta värdet av positionernas aktuella marknadsvärde summeras.</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 xml:space="preserve">0060, 0130, 0200, 0240, 0280</w:t>
            </w:r>
          </w:p>
        </w:tc>
        <w:tc>
          <w:tcPr>
            <w:tcW w:w="7655" w:type="dxa"/>
          </w:tcPr>
          <w:p w14:paraId="3DB2476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Exklusiv inplacering</w:t>
            </w:r>
          </w:p>
          <w:p w14:paraId="7B69873D"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Artikel 277.1 och 277.2 i förordning (EU) nr 575/2013</w:t>
            </w:r>
          </w:p>
          <w:p w14:paraId="1A762D0B"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Derivattransaktioner som placerats i endast en riskkategori i enlighet med artikel 277.1 och 277.2 i förordning (EU) nr 575/2013.</w:t>
            </w:r>
            <w:r>
              <w:rPr>
                <w:sz w:val="24"/>
                <w:rFonts w:ascii="Times New Roman" w:hAnsi="Times New Roman"/>
              </w:rPr>
              <w:t xml:space="preserve"> </w:t>
            </w:r>
          </w:p>
          <w:p w14:paraId="42AAB877" w14:textId="77777777" w:rsidR="00EF74C7" w:rsidRPr="002A677E" w:rsidRDefault="00EF74C7" w:rsidP="00822842">
            <w:pPr>
              <w:pStyle w:val="TableMainHeading"/>
              <w:spacing w:before="60"/>
              <w:jc w:val="both"/>
              <w:rPr>
                <w:sz w:val="24"/>
                <w:szCs w:val="24"/>
                <w:rFonts w:ascii="Times New Roman" w:hAnsi="Times New Roman"/>
              </w:rPr>
            </w:pPr>
            <w:r>
              <w:rPr>
                <w:sz w:val="24"/>
                <w:rFonts w:ascii="Times New Roman" w:hAnsi="Times New Roman"/>
              </w:rPr>
              <w:t xml:space="preserve">Transaktioner som placerats in i olika riskkategorier i enlighet med artikel 277.3 i förordning (EU) nr 575/2013 ska inte tas med.</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w:t>
            </w:r>
            <w:r>
              <w:t xml:space="preserve"> </w:t>
            </w:r>
          </w:p>
        </w:tc>
        <w:tc>
          <w:tcPr>
            <w:tcW w:w="7655" w:type="dxa"/>
          </w:tcPr>
          <w:p w14:paraId="4C85502F" w14:textId="77777777" w:rsidR="00EF74C7" w:rsidRPr="00624117" w:rsidRDefault="00EF74C7" w:rsidP="00822842">
            <w:pPr>
              <w:pStyle w:val="TableMainHeading"/>
              <w:spacing w:before="60"/>
              <w:jc w:val="both"/>
              <w:rPr>
                <w:rStyle w:val="InstructionsTabelleberschrift"/>
                <w:sz w:val="24"/>
                <w:rFonts w:ascii="Times New Roman" w:hAnsi="Times New Roman"/>
              </w:rPr>
            </w:pPr>
            <w:r>
              <w:rPr>
                <w:rStyle w:val="InstructionsTabelleberschrift"/>
                <w:sz w:val="24"/>
                <w:rFonts w:ascii="Times New Roman" w:hAnsi="Times New Roman"/>
              </w:rPr>
              <w:t xml:space="preserve">Transaktioner med ett enda namn</w:t>
            </w:r>
            <w:r>
              <w:rPr>
                <w:rStyle w:val="InstructionsTabelleberschrift"/>
                <w:sz w:val="24"/>
                <w:rFonts w:ascii="Times New Roman" w:hAnsi="Times New Roman"/>
              </w:rPr>
              <w:t xml:space="preserve"> </w:t>
            </w:r>
          </w:p>
          <w:p w14:paraId="31620001" w14:textId="77777777" w:rsidR="00EF74C7" w:rsidRPr="002A677E" w:rsidRDefault="00EF74C7" w:rsidP="00822842">
            <w:pPr>
              <w:pStyle w:val="TableMainHeading"/>
              <w:spacing w:before="60"/>
              <w:jc w:val="both"/>
              <w:rPr>
                <w:rStyle w:val="InstructionsTabelleberschrift"/>
                <w:sz w:val="24"/>
                <w:rFonts w:ascii="Times New Roman" w:hAnsi="Times New Roman"/>
              </w:rPr>
            </w:pPr>
            <w:r>
              <w:rPr>
                <w:sz w:val="24"/>
                <w:rFonts w:ascii="Times New Roman" w:hAnsi="Times New Roman"/>
              </w:rPr>
              <w:t xml:space="preserve">Transaktioner med ett enda namn som placerats in i kreditriskkategorin respektive aktieriskkategorin.</w:t>
            </w:r>
            <w:r>
              <w:rPr>
                <w:sz w:val="24"/>
                <w:rStyle w:val="InstructionsTabelleberschrift"/>
                <w:rFonts w:ascii="Times New Roman" w:hAnsi="Times New Roman"/>
              </w:rPr>
              <w:t xml:space="preserve"> </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 xml:space="preserve">0220, 0260</w:t>
            </w:r>
          </w:p>
        </w:tc>
        <w:tc>
          <w:tcPr>
            <w:tcW w:w="7655" w:type="dxa"/>
          </w:tcPr>
          <w:p w14:paraId="116A322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Transaktioner med flera namn</w:t>
            </w:r>
          </w:p>
          <w:p w14:paraId="3213EA59"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Transaktioner med flera namn som placerats in i kreditriskkategorin respektive aktieriskkategorin.</w:t>
            </w:r>
            <w:r>
              <w:rPr>
                <w:sz w:val="24"/>
                <w:rFonts w:ascii="Times New Roman" w:hAnsi="Times New Roman"/>
              </w:rPr>
              <w:t xml:space="preserve">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 xml:space="preserve">0290–0330</w:t>
            </w:r>
          </w:p>
        </w:tc>
        <w:tc>
          <w:tcPr>
            <w:tcW w:w="7655" w:type="dxa"/>
          </w:tcPr>
          <w:p w14:paraId="759D733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Säkringsmängder för råvaruriskkategorin</w:t>
            </w:r>
          </w:p>
          <w:p w14:paraId="345A15AB"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Derivattransaktioner som hänförs till säkringsmängder för råvaruriskkategorin enligt förteckningen i artikel 277a.1 e i förordning (EU) nr 575/2013.</w:t>
            </w:r>
          </w:p>
        </w:tc>
      </w:tr>
    </w:tbl>
    <w:p w14:paraId="73ED3197" w14:textId="77777777" w:rsidR="00EF74C7" w:rsidRPr="002A677E" w:rsidRDefault="00EF74C7" w:rsidP="00EF74C7">
      <w:pPr>
        <w:tabs>
          <w:tab w:val="left" w:pos="1430"/>
        </w:tabs>
        <w:rPr>
          <w:rFonts w:ascii="Times New Roman" w:hAnsi="Times New Roman"/>
        </w:rPr>
      </w:pPr>
    </w:p>
    <w:p w14:paraId="6D94642A"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4" w:name="_Toc19715812"/>
      <w:bookmarkStart w:id="35" w:name="_Toc151714452"/>
      <w:r>
        <w:rPr>
          <w:sz w:val="24"/>
          <w:rFonts w:ascii="Times New Roman" w:hAnsi="Times New Roman"/>
        </w:rPr>
        <w:t xml:space="preserve">C 34.04 – Exponeringar mot motpartsrisker som behandlas enligt den ursprungliga åtagandemetoden (OEM)</w:t>
      </w:r>
      <w:bookmarkEnd w:id="34"/>
      <w:bookmarkEnd w:id="35"/>
    </w:p>
    <w:p w14:paraId="70D39844"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36" w:name="_Toc19715813"/>
      <w:bookmarkStart w:id="37" w:name="_Toc151714453"/>
      <w:r>
        <w:rPr>
          <w:sz w:val="24"/>
          <w:rFonts w:ascii="Times New Roman" w:hAnsi="Times New Roman"/>
        </w:rPr>
        <w:t xml:space="preserve">Instruktioner för specifika positioner</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 xml:space="preserve">0010 - 0020</w:t>
            </w:r>
          </w:p>
        </w:tc>
        <w:tc>
          <w:tcPr>
            <w:tcW w:w="7655" w:type="dxa"/>
            <w:vAlign w:val="center"/>
          </w:tcPr>
          <w:p w14:paraId="1143FA3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Instruktionerna för kolumnerna 0010 och 0020 är desamma som de som ges för mall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 xml:space="preserve">0030</w:t>
            </w:r>
          </w:p>
        </w:tc>
        <w:tc>
          <w:tcPr>
            <w:tcW w:w="7655" w:type="dxa"/>
            <w:vAlign w:val="center"/>
          </w:tcPr>
          <w:p w14:paraId="625DEDC4"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POSITIVT</w:t>
            </w:r>
          </w:p>
          <w:p w14:paraId="487751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aktuella marknadsvärdena (CMV) för alla transaktioner med positivt CMV i respektive riskkategori.</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 xml:space="preserve">0040</w:t>
            </w:r>
          </w:p>
        </w:tc>
        <w:tc>
          <w:tcPr>
            <w:tcW w:w="7655" w:type="dxa"/>
            <w:vAlign w:val="center"/>
          </w:tcPr>
          <w:p w14:paraId="70CB5B2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NEGATIVT</w:t>
            </w:r>
          </w:p>
          <w:p w14:paraId="4475C6E2" w14:textId="77777777" w:rsidR="00EF74C7" w:rsidRPr="002A677E" w:rsidRDefault="00EF74C7" w:rsidP="00822842">
            <w:pPr>
              <w:keepNext/>
              <w:spacing w:before="60"/>
              <w:rPr>
                <w:rStyle w:val="InstructionsTabelleberschrift"/>
                <w:b w:val="0"/>
                <w:bCs w:val="0"/>
                <w:sz w:val="24"/>
                <w:u w:val="none"/>
                <w:rFonts w:ascii="Times New Roman" w:hAnsi="Times New Roman"/>
              </w:rPr>
            </w:pPr>
            <w:r>
              <w:rPr>
                <w:sz w:val="24"/>
                <w:rFonts w:ascii="Times New Roman" w:hAnsi="Times New Roman"/>
              </w:rPr>
              <w:t xml:space="preserve">Summan av de absoluta aktuella marknadsvärdena (CMV) för alla transaktioner med negativt CMV i respektive riskkategori.</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 xml:space="preserve">0050</w:t>
            </w:r>
          </w:p>
        </w:tc>
        <w:tc>
          <w:tcPr>
            <w:tcW w:w="7655" w:type="dxa"/>
            <w:vAlign w:val="center"/>
          </w:tcPr>
          <w:p w14:paraId="734C59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POTENTIELL FRAMTIDA EXPONERING (PFE)</w:t>
            </w:r>
          </w:p>
          <w:p w14:paraId="53085A1E"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Institutet ska rapportera summan av potentiella framtida exponeringar för alla transaktioner som tillhör samma riskkategori.</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Rad</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 xml:space="preserve">0020 - 0070</w:t>
            </w:r>
          </w:p>
        </w:tc>
        <w:tc>
          <w:tcPr>
            <w:tcW w:w="7655" w:type="dxa"/>
            <w:vAlign w:val="center"/>
          </w:tcPr>
          <w:p w14:paraId="31AB6B37"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RISKKATEGORIER</w:t>
            </w:r>
          </w:p>
          <w:p w14:paraId="183CF2D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Derivattransaktioner som placerats in i riskkategorier enligt förteckningen i artikel 282.4 b i förordning (EU) nr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38" w:name="_Toc19715814"/>
      <w:bookmarkStart w:id="39" w:name="_Toc151714454"/>
      <w:r>
        <w:rPr>
          <w:sz w:val="24"/>
          <w:rFonts w:ascii="Times New Roman" w:hAnsi="Times New Roman"/>
        </w:rPr>
        <w:t xml:space="preserve">C 34.05 – Exponeringar mot motpartsrisker som behandlas enligt metoden med interna modeller (IMM)</w:t>
      </w:r>
      <w:bookmarkEnd w:id="38"/>
      <w:bookmarkEnd w:id="39"/>
    </w:p>
    <w:p w14:paraId="055BB797"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0" w:name="_Toc19715815"/>
      <w:bookmarkStart w:id="41" w:name="_Toc151714455"/>
      <w:r>
        <w:rPr>
          <w:sz w:val="24"/>
          <w:rFonts w:ascii="Times New Roman" w:hAnsi="Times New Roman"/>
        </w:rPr>
        <w:t xml:space="preserve">Instruktioner för specifika positioner</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 xml:space="preserve">00010 - 0080</w:t>
            </w:r>
          </w:p>
        </w:tc>
        <w:tc>
          <w:tcPr>
            <w:tcW w:w="7655" w:type="dxa"/>
            <w:vAlign w:val="center"/>
          </w:tcPr>
          <w:p w14:paraId="4E699B36" w14:textId="77777777" w:rsidR="00EF74C7" w:rsidRPr="002A677E" w:rsidRDefault="00EF74C7" w:rsidP="00822842">
            <w:pPr>
              <w:keepNext/>
              <w:spacing w:before="60"/>
              <w:rPr>
                <w:strike/>
                <w:sz w:val="24"/>
                <w:rFonts w:ascii="Times New Roman" w:hAnsi="Times New Roman"/>
              </w:rPr>
            </w:pPr>
            <w:r>
              <w:rPr>
                <w:rStyle w:val="InstructionsTabelleberschrift"/>
                <w:sz w:val="24"/>
                <w:rFonts w:ascii="Times New Roman" w:hAnsi="Times New Roman"/>
              </w:rPr>
              <w:t xml:space="preserve">MED MARGINALSÄKERHET</w:t>
            </w:r>
            <w:r>
              <w:rPr>
                <w:rStyle w:val="InstructionsTabelleberschrift"/>
                <w:sz w:val="24"/>
                <w:rFonts w:ascii="Times New Roman" w:hAnsi="Times New Roman"/>
              </w:rPr>
              <w:t xml:space="preserve"> </w:t>
            </w:r>
          </w:p>
          <w:p w14:paraId="4474340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instruktionerna till rad 0130 i mall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 xml:space="preserve">0090 - 0160</w:t>
            </w:r>
          </w:p>
        </w:tc>
        <w:tc>
          <w:tcPr>
            <w:tcW w:w="7655" w:type="dxa"/>
            <w:vAlign w:val="center"/>
          </w:tcPr>
          <w:p w14:paraId="77C0E439"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UTAN MARGINALSÄKERHET</w:t>
            </w:r>
            <w:r>
              <w:rPr>
                <w:rStyle w:val="InstructionsTabelleberschrift"/>
                <w:sz w:val="24"/>
                <w:rFonts w:ascii="Times New Roman" w:hAnsi="Times New Roman"/>
              </w:rPr>
              <w:t xml:space="preserve"> </w:t>
            </w:r>
          </w:p>
          <w:p w14:paraId="3E0059F7"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instruktionerna till rad 0140 i mall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 xml:space="preserve">0010, 0090</w:t>
            </w:r>
          </w:p>
        </w:tc>
        <w:tc>
          <w:tcPr>
            <w:tcW w:w="7655" w:type="dxa"/>
            <w:vAlign w:val="center"/>
          </w:tcPr>
          <w:p w14:paraId="10F9DAA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TRANSAKTIONER</w:t>
            </w:r>
            <w:r>
              <w:rPr>
                <w:rStyle w:val="InstructionsTabelleberschrift"/>
                <w:sz w:val="24"/>
                <w:rFonts w:ascii="Times New Roman" w:hAnsi="Times New Roman"/>
              </w:rPr>
              <w:t xml:space="preserve"> </w:t>
            </w:r>
          </w:p>
          <w:p w14:paraId="5C4653C5"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instruktionerna till kolumn 0020 i mall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 xml:space="preserve">0020, 0100</w:t>
            </w:r>
          </w:p>
        </w:tc>
        <w:tc>
          <w:tcPr>
            <w:tcW w:w="7655" w:type="dxa"/>
            <w:vAlign w:val="center"/>
          </w:tcPr>
          <w:p w14:paraId="73CC08BF" w14:textId="77777777" w:rsidR="00EF74C7" w:rsidRPr="002A677E" w:rsidRDefault="00EF74C7" w:rsidP="00822842">
            <w:pPr>
              <w:keepNext/>
              <w:spacing w:before="60"/>
              <w:rPr>
                <w:rStyle w:val="InstructionsTabelleberschrift"/>
                <w:b w:val="0"/>
                <w:bCs w:val="0"/>
                <w:sz w:val="24"/>
                <w:rFonts w:ascii="Times New Roman" w:hAnsi="Times New Roman"/>
              </w:rPr>
            </w:pPr>
            <w:r>
              <w:rPr>
                <w:rStyle w:val="InstructionsTabelleberschrift"/>
                <w:sz w:val="24"/>
                <w:rFonts w:ascii="Times New Roman" w:hAnsi="Times New Roman"/>
              </w:rPr>
              <w:t xml:space="preserve">TEORETISKA BELOPP</w:t>
            </w:r>
            <w:r>
              <w:rPr>
                <w:rStyle w:val="InstructionsTabelleberschrift"/>
                <w:sz w:val="24"/>
                <w:rFonts w:ascii="Times New Roman" w:hAnsi="Times New Roman"/>
              </w:rPr>
              <w:t xml:space="preserve"> </w:t>
            </w:r>
          </w:p>
          <w:p w14:paraId="75787B39" w14:textId="77777777" w:rsidR="00EF74C7" w:rsidRPr="002A677E" w:rsidRDefault="00EF74C7" w:rsidP="00822842">
            <w:pPr>
              <w:keepNext/>
              <w:spacing w:before="60"/>
              <w:rPr>
                <w:i/>
                <w:strike/>
                <w:sz w:val="24"/>
                <w:rFonts w:ascii="Times New Roman" w:hAnsi="Times New Roman"/>
              </w:rPr>
            </w:pPr>
            <w:r>
              <w:rPr>
                <w:sz w:val="24"/>
                <w:rFonts w:ascii="Times New Roman" w:hAnsi="Times New Roman"/>
              </w:rPr>
              <w:t xml:space="preserve">Se instruktionerna till kolumn 0030 i mall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t xml:space="preserve">0030, 0110</w:t>
            </w:r>
          </w:p>
        </w:tc>
        <w:tc>
          <w:tcPr>
            <w:tcW w:w="7655" w:type="dxa"/>
            <w:vAlign w:val="center"/>
          </w:tcPr>
          <w:p w14:paraId="5D4ADBBE"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POSITIVT</w:t>
            </w:r>
          </w:p>
          <w:p w14:paraId="1BDCFC6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Summan av de aktuella marknadsvärdena (CMV) för alla transaktioner med positivt CMV som tillhör samma tillgångsklass.</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 xml:space="preserve">0040, 0120</w:t>
            </w:r>
          </w:p>
        </w:tc>
        <w:tc>
          <w:tcPr>
            <w:tcW w:w="7655" w:type="dxa"/>
            <w:vAlign w:val="center"/>
          </w:tcPr>
          <w:p w14:paraId="06A034B3"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AKTUELLT MARKNADSVÄRDE (CMV), NEGATIVT</w:t>
            </w:r>
          </w:p>
          <w:p w14:paraId="4B126FBF"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Summan av de absoluta aktuella marknadsvärdena (CMV) för alla transaktioner med negativt CMV som tillhör samma tillgångsklass.</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 xml:space="preserve">0050, 0130</w:t>
            </w:r>
          </w:p>
        </w:tc>
        <w:tc>
          <w:tcPr>
            <w:tcW w:w="7655" w:type="dxa"/>
            <w:vAlign w:val="center"/>
          </w:tcPr>
          <w:p w14:paraId="6BEF0650"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AKTUELL EXPONERING</w:t>
            </w:r>
          </w:p>
          <w:p w14:paraId="4BD20CD9"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Se instruktionerna till kolumn 0120 i mall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 xml:space="preserve">0060, 0140</w:t>
            </w:r>
          </w:p>
        </w:tc>
        <w:tc>
          <w:tcPr>
            <w:tcW w:w="7655" w:type="dxa"/>
            <w:vAlign w:val="center"/>
          </w:tcPr>
          <w:p w14:paraId="5F8AFE09"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EFFEKTIV FÖRVÄNTAD POSITIV EXPONERING (EFFEKTIV EPE)</w:t>
            </w:r>
          </w:p>
          <w:p w14:paraId="72409BA6" w14:textId="77777777" w:rsidR="00EF74C7" w:rsidRPr="002A677E" w:rsidRDefault="00EF74C7" w:rsidP="00822842">
            <w:pPr>
              <w:pStyle w:val="Default"/>
              <w:spacing w:after="120"/>
              <w:jc w:val="both"/>
              <w:rPr>
                <w:strike/>
                <w:color w:val="auto"/>
                <w:rFonts w:ascii="Times New Roman" w:hAnsi="Times New Roman" w:cs="Times New Roman"/>
              </w:rPr>
            </w:pPr>
            <w:r>
              <w:rPr>
                <w:color w:val="auto"/>
                <w:rFonts w:ascii="Times New Roman" w:hAnsi="Times New Roman"/>
              </w:rPr>
              <w:t xml:space="preserve">Se instruktionerna till kolumn 0130 i mall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 xml:space="preserve">0070,0150</w:t>
            </w:r>
          </w:p>
        </w:tc>
        <w:tc>
          <w:tcPr>
            <w:tcW w:w="7655" w:type="dxa"/>
            <w:vAlign w:val="center"/>
          </w:tcPr>
          <w:p w14:paraId="0290C6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EFFEKTIV EPE ENLIGT STRESSTEST</w:t>
            </w:r>
          </w:p>
          <w:p w14:paraId="071BB18F"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284.6 och 292.2 i förordning (EU) nr 575/2013</w:t>
            </w:r>
          </w:p>
          <w:p w14:paraId="4C777000"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Effektiv EPE enligt stresstest beräknas i analogi med effektiv EPE (artikel 284.6 i förordning (EU) nr 575/2013), men med användning av kalibrering av stresstester i enlighet med artikel 292.2 i förordning (EU) nr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 xml:space="preserve">0080, 0160, 0170</w:t>
            </w:r>
          </w:p>
        </w:tc>
        <w:tc>
          <w:tcPr>
            <w:tcW w:w="7655" w:type="dxa"/>
            <w:vAlign w:val="center"/>
          </w:tcPr>
          <w:p w14:paraId="38883B3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EXPONERINGSVÄRDE</w:t>
            </w:r>
          </w:p>
          <w:p w14:paraId="5D5537F3" w14:textId="77777777" w:rsidR="00EF74C7" w:rsidRPr="002A677E" w:rsidRDefault="00EF74C7" w:rsidP="00822842">
            <w:pPr>
              <w:keepNext/>
              <w:spacing w:before="60"/>
              <w:rPr>
                <w:rStyle w:val="InstructionsTabelleberschrift"/>
                <w:sz w:val="24"/>
                <w:rFonts w:ascii="Times New Roman" w:hAnsi="Times New Roman"/>
              </w:rPr>
            </w:pPr>
            <w:r>
              <w:rPr>
                <w:sz w:val="24"/>
                <w:rFonts w:ascii="Times New Roman" w:hAnsi="Times New Roman"/>
              </w:rPr>
              <w:t xml:space="preserve">Se instruktionerna till kolumn 0170 i mall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Rad</w:t>
            </w:r>
            <w:r>
              <w:rPr>
                <w:b/>
              </w:rPr>
              <w:t xml:space="preserv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Förklaring</w:t>
            </w:r>
            <w:r>
              <w:rPr>
                <w:b/>
                <w:sz w:val="24"/>
                <w:rFonts w:ascii="Times New Roman" w:hAnsi="Times New Roman"/>
              </w:rPr>
              <w:t xml:space="preserv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 xml:space="preserve">0010</w:t>
            </w:r>
          </w:p>
        </w:tc>
        <w:tc>
          <w:tcPr>
            <w:tcW w:w="7655" w:type="dxa"/>
          </w:tcPr>
          <w:p w14:paraId="155D9C7F"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SUMMA</w:t>
            </w:r>
            <w:r>
              <w:rPr>
                <w:rStyle w:val="InstructionsTabelleberschrift"/>
                <w:sz w:val="24"/>
                <w:rFonts w:ascii="Times New Roman" w:hAnsi="Times New Roman"/>
              </w:rPr>
              <w:t xml:space="preserve"> </w:t>
            </w:r>
          </w:p>
          <w:p w14:paraId="43496D3B" w14:textId="77777777" w:rsidR="00EF74C7" w:rsidRPr="002A677E" w:rsidRDefault="00EF74C7" w:rsidP="00822842">
            <w:pPr>
              <w:keepNext/>
              <w:spacing w:before="60"/>
              <w:rPr>
                <w:sz w:val="24"/>
              </w:rPr>
            </w:pPr>
            <w:r>
              <w:rPr>
                <w:sz w:val="24"/>
                <w:rFonts w:ascii="Times New Roman" w:hAnsi="Times New Roman"/>
              </w:rPr>
              <w:t xml:space="preserve">Artikel 283 i förordning (EU) nr 575/2013</w:t>
            </w:r>
          </w:p>
          <w:p w14:paraId="72F05A01" w14:textId="77777777" w:rsidR="00EF74C7" w:rsidRPr="002A677E" w:rsidRDefault="00EF74C7" w:rsidP="00822842">
            <w:pPr>
              <w:rPr>
                <w:sz w:val="24"/>
              </w:rPr>
            </w:pPr>
            <w:r>
              <w:rPr>
                <w:sz w:val="24"/>
                <w:rFonts w:ascii="Times New Roman" w:hAnsi="Times New Roman"/>
              </w:rPr>
              <w:t xml:space="preserve">Institutet ska rapportera relevant information om derivat, transaktioner med lång avvecklingscykel och transaktioner för värdepappersfinansiering för vilka det har fått tillstånd att fastställa exponeringsvärdet beräknat med hjälp av metoden med interna modeller (IMM) i enlighet med artikel 283 i förordning (EU) nr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 xml:space="preserve">0020</w:t>
            </w:r>
          </w:p>
        </w:tc>
        <w:tc>
          <w:tcPr>
            <w:tcW w:w="7655" w:type="dxa"/>
          </w:tcPr>
          <w:p w14:paraId="0331298D"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Varav:</w:t>
            </w:r>
            <w:r>
              <w:rPr>
                <w:rStyle w:val="InstructionsTabelleberschrift"/>
                <w:sz w:val="24"/>
                <w:rFonts w:ascii="Times New Roman" w:hAnsi="Times New Roman"/>
              </w:rPr>
              <w:t xml:space="preserve"> </w:t>
            </w:r>
            <w:r>
              <w:rPr>
                <w:rStyle w:val="InstructionsTabelleberschrift"/>
                <w:sz w:val="24"/>
                <w:rFonts w:ascii="Times New Roman" w:hAnsi="Times New Roman"/>
              </w:rPr>
              <w:t xml:space="preserve">Positioner med specifik korrelationsrisk (SWWR)</w:t>
            </w:r>
          </w:p>
          <w:p w14:paraId="1013C757" w14:textId="77777777" w:rsidR="00EF74C7" w:rsidRPr="002A677E" w:rsidRDefault="00EF74C7" w:rsidP="00822842">
            <w:pPr>
              <w:rPr>
                <w:sz w:val="24"/>
                <w:rFonts w:ascii="Times New Roman" w:hAnsi="Times New Roman"/>
              </w:rPr>
            </w:pPr>
            <w:r>
              <w:rPr>
                <w:sz w:val="24"/>
                <w:rFonts w:ascii="Times New Roman" w:hAnsi="Times New Roman"/>
              </w:rPr>
              <w:t xml:space="preserve">Se instruktionerna till rad 0120 i mall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 xml:space="preserve">0030</w:t>
            </w:r>
          </w:p>
        </w:tc>
        <w:tc>
          <w:tcPr>
            <w:tcW w:w="7655" w:type="dxa"/>
          </w:tcPr>
          <w:p w14:paraId="5DE0314C"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Nettningsmängder som behandlas enligt schablonmetoden för kreditrisk</w:t>
            </w:r>
          </w:p>
          <w:p w14:paraId="7CD0087F"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Se instruktionerna till kolumn 0180 i mall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 xml:space="preserve">0040</w:t>
            </w:r>
          </w:p>
        </w:tc>
        <w:tc>
          <w:tcPr>
            <w:tcW w:w="7655" w:type="dxa"/>
          </w:tcPr>
          <w:p w14:paraId="79702292"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Nettningsmängder som behandlas enligt internmetoden för kreditrisk</w:t>
            </w:r>
          </w:p>
          <w:p w14:paraId="5DEB3BFD" w14:textId="77777777" w:rsidR="00EF74C7" w:rsidRPr="002A677E" w:rsidRDefault="00EF74C7" w:rsidP="00822842">
            <w:pPr>
              <w:rPr>
                <w:rStyle w:val="InstructionsTabelleberschrift"/>
                <w:b w:val="0"/>
                <w:bCs w:val="0"/>
                <w:sz w:val="24"/>
                <w:rFonts w:ascii="Times New Roman" w:hAnsi="Times New Roman" w:cstheme="minorBidi"/>
              </w:rPr>
            </w:pPr>
            <w:r>
              <w:rPr>
                <w:sz w:val="24"/>
                <w:rFonts w:ascii="Times New Roman" w:hAnsi="Times New Roman"/>
              </w:rPr>
              <w:t xml:space="preserve">Se instruktionerna till kolumn 0190 i mall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t xml:space="preserve">0050 - 0110</w:t>
            </w:r>
          </w:p>
        </w:tc>
        <w:tc>
          <w:tcPr>
            <w:tcW w:w="7655" w:type="dxa"/>
          </w:tcPr>
          <w:p w14:paraId="3D695FB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OTC-DERIVAT</w:t>
            </w:r>
          </w:p>
          <w:p w14:paraId="0E8A5849" w14:textId="77777777" w:rsidR="00EF74C7" w:rsidRPr="002A677E" w:rsidRDefault="00EF74C7" w:rsidP="00822842">
            <w:pPr>
              <w:rPr>
                <w:sz w:val="24"/>
                <w:rFonts w:ascii="Times New Roman" w:hAnsi="Times New Roman"/>
              </w:rPr>
            </w:pPr>
            <w:r>
              <w:rPr>
                <w:sz w:val="24"/>
                <w:rFonts w:ascii="Times New Roman" w:hAnsi="Times New Roman"/>
              </w:rPr>
              <w:t xml:space="preserve">Institutet ska rapportera relevant information om nettningsmängder som endast innehåller OTC-derivat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 xml:space="preserve">0120 - 0180</w:t>
            </w:r>
          </w:p>
        </w:tc>
        <w:tc>
          <w:tcPr>
            <w:tcW w:w="7655" w:type="dxa"/>
          </w:tcPr>
          <w:p w14:paraId="1F81FD2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BÖRSHANDLADE DERIVAT</w:t>
            </w:r>
          </w:p>
          <w:p w14:paraId="58D9B48E" w14:textId="77777777" w:rsidR="00EF74C7" w:rsidRPr="002A677E" w:rsidRDefault="00EF74C7" w:rsidP="00822842">
            <w:pPr>
              <w:rPr>
                <w:sz w:val="24"/>
                <w:rFonts w:ascii="Times New Roman" w:hAnsi="Times New Roman"/>
              </w:rPr>
            </w:pPr>
            <w:r>
              <w:rPr>
                <w:sz w:val="24"/>
                <w:rFonts w:ascii="Times New Roman" w:hAnsi="Times New Roman"/>
              </w:rPr>
              <w:t xml:space="preserve">Institutet ska rapportera relevant information om nettningsmängder som endast innehåller börshandlade derivat eller transaktioner med lång avvecklingscykel för vilka det har fått tillstånd att fastställa exponeringsvärdet med användning av metoden med interna modeller, uppdelat efter de olika tillgångsklasserna med avseende på det underliggande (ränta, valuta, kreditrisk, aktier, råvaror eller annat).</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 xml:space="preserve">0190 - 0220</w:t>
            </w:r>
          </w:p>
        </w:tc>
        <w:tc>
          <w:tcPr>
            <w:tcW w:w="7655" w:type="dxa"/>
          </w:tcPr>
          <w:p w14:paraId="52D3A7C8"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TRANSAKTIONER FÖR VÄRDEPAPPERSFINANSIERING</w:t>
            </w:r>
          </w:p>
          <w:p w14:paraId="1CD88A29" w14:textId="77777777" w:rsidR="00EF74C7" w:rsidRPr="002A677E" w:rsidRDefault="00EF74C7" w:rsidP="00822842">
            <w:pPr>
              <w:rPr>
                <w:sz w:val="24"/>
                <w:rFonts w:ascii="Times New Roman" w:hAnsi="Times New Roman"/>
              </w:rPr>
            </w:pPr>
            <w:r>
              <w:rPr>
                <w:sz w:val="24"/>
                <w:rFonts w:ascii="Times New Roman" w:hAnsi="Times New Roman"/>
              </w:rPr>
              <w:t xml:space="preserve">Institutet ska rapportera relevant information om nettningsmängder som endast innehåller transaktioner för värdepappersfinansiering för vilka det har fått tillstånd att fastställa exponeringsvärdet med användning av metoden med interna modeller, indelat efter typ av underliggande i värdepappersdelen i transaktionen för värdepapperisering (obligationer, aktier eller annat).</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 xml:space="preserve">0230</w:t>
            </w:r>
          </w:p>
        </w:tc>
        <w:tc>
          <w:tcPr>
            <w:tcW w:w="7655" w:type="dxa"/>
          </w:tcPr>
          <w:p w14:paraId="1980D95A"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NETTNINGSMÄNGDER FÖR AVTAL OM PRODUKTÖVERGRIPANDE NETTNING</w:t>
            </w:r>
          </w:p>
          <w:p w14:paraId="7F1F09BD" w14:textId="77777777" w:rsidR="00EF74C7" w:rsidRPr="002A677E" w:rsidRDefault="00EF74C7" w:rsidP="00822842">
            <w:pPr>
              <w:rPr>
                <w:sz w:val="24"/>
                <w:rFonts w:ascii="Times New Roman" w:hAnsi="Times New Roman"/>
              </w:rPr>
            </w:pPr>
            <w:r>
              <w:rPr>
                <w:sz w:val="24"/>
                <w:rFonts w:ascii="Times New Roman" w:hAnsi="Times New Roman"/>
              </w:rPr>
              <w:t xml:space="preserve">Se instruktionerna till rad 0070 i mall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2" w:name="_Toc19715816"/>
      <w:bookmarkStart w:id="43" w:name="_Toc151714456"/>
      <w:r>
        <w:rPr>
          <w:sz w:val="24"/>
          <w:rFonts w:ascii="Times New Roman" w:hAnsi="Times New Roman"/>
        </w:rPr>
        <w:t xml:space="preserve">C 34.06 – De tjugo största motparterna</w:t>
      </w:r>
      <w:bookmarkEnd w:id="42"/>
      <w:bookmarkEnd w:id="43"/>
    </w:p>
    <w:p w14:paraId="41D5F70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4" w:name="_Toc19715817"/>
      <w:bookmarkStart w:id="45" w:name="_Toc151714457"/>
      <w:r>
        <w:rPr>
          <w:sz w:val="24"/>
          <w:rFonts w:ascii="Times New Roman" w:hAnsi="Times New Roman"/>
        </w:rPr>
        <w:t xml:space="preserve">Allmänna kommentarer</w:t>
      </w:r>
      <w:bookmarkEnd w:id="44"/>
      <w:bookmarkEnd w:id="45"/>
    </w:p>
    <w:p w14:paraId="4872503C" w14:textId="005C8DB1"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126</w:t>
      </w:r>
      <w:r>
        <w:fldChar w:fldCharType="end"/>
      </w:r>
      <w:r>
        <w:t xml:space="preserve">.</w:t>
      </w:r>
      <w:r>
        <w:t xml:space="preserve"> </w:t>
      </w:r>
      <w:r>
        <w:t xml:space="preserve">Instituten ska rapportera uppgifter om de 20 motparter som de har de högsta motpartsriskexponeringarna mot.</w:t>
      </w:r>
      <w:r>
        <w:t xml:space="preserve"> </w:t>
      </w:r>
      <w:r>
        <w:t xml:space="preserve">Rangordningen ska göras med hjälp av de exponeringsvärden för motpartsrisker som rapporteras i kolumn 0120 i denna mall för alla nettningsmängder med respektive motpart.</w:t>
      </w:r>
      <w:r>
        <w:t xml:space="preserve"> </w:t>
      </w:r>
      <w:r>
        <w:t xml:space="preserve">Gruppinterna exponeringar eller andra exponeringar som ger upphov till motpartsrisk men för vilka instituten åsätter en riskvikt på noll för beräkningen av kapitalbaskraven, i enlighet med artikel 113.6 och 113.7 i förordning (EU) nr 575/2013, ska fortfarande beaktas för listan över de 20 största motparterna.</w:t>
      </w:r>
    </w:p>
    <w:p w14:paraId="647CEA55" w14:textId="4D26183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127</w:t>
      </w:r>
      <w:r>
        <w:fldChar w:fldCharType="end"/>
      </w:r>
      <w:r>
        <w:t xml:space="preserve">.</w:t>
      </w:r>
      <w:r>
        <w:t xml:space="preserve"> </w:t>
      </w:r>
      <w:r>
        <w:t xml:space="preserve">Institut som tillämpar schablonmetoden (SA-CCR) eller metoden med interna modeller (IMM) för beräkning av motpartsriskexponeringar enligt del tre avdelning II kapitel 6 avsnitten 3 och 6 i förordning (EU) nr 575/2013 ska rapportera denna mall kvartalsvis.</w:t>
      </w:r>
      <w:r>
        <w:t xml:space="preserve"> </w:t>
      </w:r>
      <w:r>
        <w:t xml:space="preserve">Institut som tillämpar den förenklade schablonmetoden eller den ursprungliga åtagandemetoden (OEM) för beräkning av motpartsriskexponeringar enligt del tre avdelning II kapitel 6 avsnitten 4 och 5 i förordning (EU) nr 575/2013 ska rapportera denna mall halvårsvis.</w:t>
      </w:r>
      <w:r>
        <w:t xml:space="preserve"> </w:t>
      </w:r>
      <w:bookmarkStart w:id="46" w:name="_Toc19715818"/>
      <w:r>
        <w:t xml:space="preserve">Instruktioner för specifika positioner</w:t>
      </w:r>
      <w:bookmarkEnd w:id="46"/>
      <w:r>
        <w:t xml:space="preserve">.</w:t>
      </w:r>
    </w:p>
    <w:p w14:paraId="2736A53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47" w:name="_Toc151714458"/>
      <w:r>
        <w:rPr>
          <w:sz w:val="24"/>
          <w:rFonts w:ascii="Times New Roman" w:hAnsi="Times New Roman"/>
        </w:rPr>
        <w:t xml:space="preserve">Instruktioner för specifika positioner</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 xml:space="preserve">0011</w:t>
            </w:r>
          </w:p>
        </w:tc>
        <w:tc>
          <w:tcPr>
            <w:tcW w:w="7655" w:type="dxa"/>
            <w:vAlign w:val="center"/>
          </w:tcPr>
          <w:p w14:paraId="2145838B" w14:textId="77777777" w:rsidR="00EF74C7" w:rsidRPr="002A677E" w:rsidRDefault="00EF74C7" w:rsidP="00822842">
            <w:pPr>
              <w:keepNext/>
              <w:spacing w:before="60"/>
              <w:rPr>
                <w:rStyle w:val="InstructionsTabelleberschrift"/>
                <w:sz w:val="24"/>
                <w:rFonts w:ascii="Times New Roman" w:hAnsi="Times New Roman"/>
              </w:rPr>
            </w:pPr>
            <w:r>
              <w:rPr>
                <w:rStyle w:val="InstructionsTabelleberschrift"/>
                <w:sz w:val="24"/>
                <w:rFonts w:ascii="Times New Roman" w:hAnsi="Times New Roman"/>
              </w:rPr>
              <w:t xml:space="preserve">NAMN</w:t>
            </w:r>
          </w:p>
          <w:p w14:paraId="02D41CBA" w14:textId="77777777" w:rsidR="00EF74C7" w:rsidRPr="002A677E" w:rsidRDefault="00EF74C7" w:rsidP="00822842">
            <w:pPr>
              <w:keepNext/>
              <w:spacing w:before="60"/>
              <w:rPr>
                <w:szCs w:val="22"/>
                <w:rFonts w:ascii="Times New Roman" w:hAnsi="Times New Roman"/>
              </w:rPr>
            </w:pPr>
            <w:r>
              <w:rPr>
                <w:sz w:val="24"/>
                <w:rFonts w:ascii="Times New Roman" w:hAnsi="Times New Roman"/>
              </w:rPr>
              <w:t xml:space="preserve">Motpartens namn</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 xml:space="preserve">0020</w:t>
            </w:r>
          </w:p>
        </w:tc>
        <w:tc>
          <w:tcPr>
            <w:tcW w:w="7655" w:type="dxa"/>
            <w:vAlign w:val="center"/>
          </w:tcPr>
          <w:p w14:paraId="6CCE0F62"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KOD</w:t>
            </w:r>
          </w:p>
          <w:p w14:paraId="38310236" w14:textId="77777777" w:rsidR="00EF74C7" w:rsidRPr="002A677E" w:rsidRDefault="00EF74C7" w:rsidP="00822842">
            <w:pPr>
              <w:keepNext/>
              <w:spacing w:before="60"/>
              <w:rPr>
                <w:sz w:val="24"/>
                <w:u w:val="single"/>
                <w:rFonts w:ascii="Times New Roman" w:hAnsi="Times New Roman"/>
              </w:rPr>
            </w:pPr>
            <w:r>
              <w:rPr>
                <w:sz w:val="24"/>
                <w:rFonts w:ascii="Times New Roman" w:hAnsi="Times New Roman"/>
              </w:rPr>
              <w:t xml:space="preserve">Koden som en del av en radidentifierare måste vara unik för varje rapporterad enhet.</w:t>
            </w:r>
            <w:r>
              <w:rPr>
                <w:sz w:val="24"/>
                <w:rFonts w:ascii="Times New Roman" w:hAnsi="Times New Roman"/>
              </w:rPr>
              <w:t xml:space="preserve"> </w:t>
            </w:r>
            <w:r>
              <w:rPr>
                <w:sz w:val="24"/>
                <w:rFonts w:ascii="Times New Roman" w:hAnsi="Times New Roman"/>
              </w:rPr>
              <w:t xml:space="preserve">För institut och försäkringsföretag ska koden vara LEI-koden.</w:t>
            </w:r>
            <w:r>
              <w:rPr>
                <w:sz w:val="24"/>
                <w:rFonts w:ascii="Times New Roman" w:hAnsi="Times New Roman"/>
              </w:rPr>
              <w:t xml:space="preserve"> </w:t>
            </w:r>
            <w:r>
              <w:rPr>
                <w:sz w:val="24"/>
                <w:rFonts w:ascii="Times New Roman" w:hAnsi="Times New Roman"/>
              </w:rPr>
              <w:t xml:space="preserve">För andra enheter ska koden vara LEI-koden eller, om sådan kod saknas, en icke-LEI-kod.</w:t>
            </w:r>
            <w:r>
              <w:rPr>
                <w:sz w:val="24"/>
                <w:rFonts w:ascii="Times New Roman" w:hAnsi="Times New Roman"/>
              </w:rPr>
              <w:t xml:space="preserve"> </w:t>
            </w:r>
            <w:r>
              <w:rPr>
                <w:sz w:val="24"/>
                <w:rFonts w:ascii="Times New Roman" w:hAnsi="Times New Roman"/>
              </w:rPr>
              <w:t xml:space="preserve">Koden ska vara unik och användas konsekvent i mallarna och över tiden.</w:t>
            </w:r>
            <w:r>
              <w:rPr>
                <w:sz w:val="24"/>
                <w:rFonts w:ascii="Times New Roman" w:hAnsi="Times New Roman"/>
              </w:rPr>
              <w:t xml:space="preserve"> </w:t>
            </w:r>
            <w:r>
              <w:rPr>
                <w:sz w:val="24"/>
                <w:rFonts w:ascii="Times New Roman" w:hAnsi="Times New Roman"/>
              </w:rPr>
              <w:t xml:space="preserve">Koden ska alltid ha ett värde.</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 xml:space="preserve">0030</w:t>
            </w:r>
          </w:p>
        </w:tc>
        <w:tc>
          <w:tcPr>
            <w:tcW w:w="7655" w:type="dxa"/>
            <w:vAlign w:val="center"/>
          </w:tcPr>
          <w:p w14:paraId="0F71916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TYP AV KOD</w:t>
            </w:r>
          </w:p>
          <w:p w14:paraId="12E4A55E" w14:textId="77777777" w:rsidR="00EF74C7" w:rsidRPr="002A677E" w:rsidRDefault="00EF74C7" w:rsidP="00822842">
            <w:pPr>
              <w:rPr>
                <w:rStyle w:val="FormatvorlageInstructionsTabelleText"/>
                <w:rFonts w:ascii="Calibri" w:hAnsi="Calibri" w:cs="Calibri"/>
              </w:rPr>
            </w:pPr>
            <w:r>
              <w:rPr>
                <w:sz w:val="24"/>
                <w:rFonts w:ascii="Times New Roman" w:hAnsi="Times New Roman"/>
              </w:rPr>
              <w:t xml:space="preserve">Institutet ska ange typ av kod som rapporteras i </w:t>
            </w:r>
            <w:r>
              <w:rPr>
                <w:sz w:val="24"/>
                <w:rStyle w:val="FormatvorlageInstructionsTabelleText"/>
                <w:rFonts w:ascii="Times New Roman" w:hAnsi="Times New Roman"/>
              </w:rPr>
              <w:t xml:space="preserve">kolumn 0020 som ”LEI-kod” eller ”nationell kod”.</w:t>
            </w:r>
          </w:p>
          <w:p w14:paraId="68A8C569" w14:textId="77777777" w:rsidR="00EF74C7" w:rsidRPr="002A677E" w:rsidRDefault="00EF74C7" w:rsidP="00822842">
            <w:pPr>
              <w:rPr>
                <w:bCs/>
                <w:sz w:val="24"/>
                <w:rFonts w:ascii="Times New Roman" w:hAnsi="Times New Roman"/>
              </w:rPr>
            </w:pPr>
            <w:r>
              <w:rPr>
                <w:sz w:val="24"/>
                <w:rFonts w:ascii="Times New Roman" w:hAnsi="Times New Roman"/>
              </w:rPr>
              <w:t xml:space="preserve">Typ av kod ska alltid rapporteras.</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 xml:space="preserve">0035</w:t>
            </w:r>
          </w:p>
        </w:tc>
        <w:tc>
          <w:tcPr>
            <w:tcW w:w="7655" w:type="dxa"/>
            <w:vAlign w:val="center"/>
          </w:tcPr>
          <w:p w14:paraId="6012FDEC"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NATIONELL KOD</w:t>
            </w:r>
          </w:p>
          <w:p w14:paraId="53A43075" w14:textId="77777777" w:rsidR="00EF74C7" w:rsidRPr="002A677E" w:rsidRDefault="00EF74C7" w:rsidP="00822842">
            <w:pPr>
              <w:pStyle w:val="ListParagraph"/>
              <w:ind w:left="65"/>
              <w:rPr>
                <w:b/>
                <w:sz w:val="24"/>
                <w:u w:val="single"/>
                <w:rFonts w:ascii="Times New Roman" w:hAnsi="Times New Roman"/>
              </w:rPr>
            </w:pPr>
            <w:r>
              <w:rPr>
                <w:sz w:val="24"/>
                <w:rFonts w:ascii="Times New Roman" w:hAnsi="Times New Roman"/>
              </w:rPr>
              <w:t xml:space="preserve">Institutet kan även rapportera den nationella koden när det rapporterar LEI-kod som identifierare i kolumnen 0020 ”Kod”.</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 xml:space="preserve">0040</w:t>
            </w:r>
          </w:p>
        </w:tc>
        <w:tc>
          <w:tcPr>
            <w:tcW w:w="7655" w:type="dxa"/>
            <w:vAlign w:val="center"/>
          </w:tcPr>
          <w:p w14:paraId="2A302176"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MOTPARTENS SEKTOR</w:t>
            </w:r>
          </w:p>
          <w:p w14:paraId="138065F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En sektor ska väljas för varje motpart på grundval av följande kategorier av ekonomiska sektorer enligt Finrep (se del 3 i bilaga V till denna genomförandeförordning):</w:t>
            </w:r>
          </w:p>
          <w:p w14:paraId="3FD3794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w:t>
            </w:r>
            <w:r>
              <w:rPr>
                <w:sz w:val="24"/>
                <w:rFonts w:ascii="Times New Roman" w:hAnsi="Times New Roman"/>
              </w:rPr>
              <w:t xml:space="preserve"> </w:t>
            </w:r>
            <w:r>
              <w:rPr>
                <w:sz w:val="24"/>
                <w:rFonts w:ascii="Times New Roman" w:hAnsi="Times New Roman"/>
              </w:rPr>
              <w:tab/>
            </w:r>
            <w:r>
              <w:rPr>
                <w:sz w:val="24"/>
                <w:rFonts w:ascii="Times New Roman" w:hAnsi="Times New Roman"/>
              </w:rPr>
              <w:t xml:space="preserve">Centralbanker.</w:t>
            </w:r>
          </w:p>
          <w:p w14:paraId="2EDFC75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w:t>
            </w:r>
            <w:r>
              <w:rPr>
                <w:sz w:val="24"/>
                <w:rFonts w:ascii="Times New Roman" w:hAnsi="Times New Roman"/>
              </w:rPr>
              <w:tab/>
            </w:r>
            <w:r>
              <w:rPr>
                <w:sz w:val="24"/>
                <w:rFonts w:ascii="Times New Roman" w:hAnsi="Times New Roman"/>
              </w:rPr>
              <w:t xml:space="preserve">Offentlig sektor</w:t>
            </w:r>
          </w:p>
          <w:p w14:paraId="59EF6A2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(iii)</w:t>
            </w:r>
            <w:r>
              <w:rPr>
                <w:sz w:val="24"/>
                <w:rFonts w:ascii="Times New Roman" w:hAnsi="Times New Roman"/>
              </w:rPr>
              <w:tab/>
            </w:r>
            <w:r>
              <w:rPr>
                <w:sz w:val="24"/>
                <w:rFonts w:ascii="Times New Roman" w:hAnsi="Times New Roman"/>
              </w:rPr>
              <w:t xml:space="preserve">Kreditinstitut</w:t>
            </w:r>
          </w:p>
          <w:p w14:paraId="50C8960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(iv)</w:t>
            </w:r>
            <w:r>
              <w:rPr>
                <w:sz w:val="24"/>
                <w:rFonts w:ascii="Times New Roman" w:hAnsi="Times New Roman"/>
              </w:rPr>
              <w:tab/>
            </w:r>
            <w:r>
              <w:rPr>
                <w:sz w:val="24"/>
                <w:rFonts w:ascii="Times New Roman" w:hAnsi="Times New Roman"/>
              </w:rPr>
              <w:t xml:space="preserve">Värdepappersföretag enligt definitionen i artikel 4.1.2 i förordning (EU) nr 575/2013.</w:t>
            </w:r>
          </w:p>
          <w:p w14:paraId="3A2FD93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w:t>
            </w:r>
            <w:r>
              <w:rPr>
                <w:sz w:val="24"/>
                <w:rFonts w:ascii="Times New Roman" w:hAnsi="Times New Roman"/>
              </w:rPr>
              <w:tab/>
            </w:r>
            <w:r>
              <w:rPr>
                <w:sz w:val="24"/>
                <w:rFonts w:ascii="Times New Roman" w:hAnsi="Times New Roman"/>
              </w:rPr>
              <w:t xml:space="preserve">Övriga finansiella företag (exklusive värdepappersföretag)</w:t>
            </w:r>
          </w:p>
          <w:p w14:paraId="58ADE56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(vi)</w:t>
            </w:r>
            <w:r>
              <w:rPr>
                <w:sz w:val="24"/>
                <w:rFonts w:ascii="Times New Roman" w:hAnsi="Times New Roman"/>
              </w:rPr>
              <w:tab/>
            </w:r>
            <w:r>
              <w:rPr>
                <w:sz w:val="24"/>
                <w:rFonts w:ascii="Times New Roman" w:hAnsi="Times New Roman"/>
              </w:rPr>
              <w:t xml:space="preserve">Icke-finansiella företag</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 xml:space="preserve">0050</w:t>
            </w:r>
          </w:p>
        </w:tc>
        <w:tc>
          <w:tcPr>
            <w:tcW w:w="7655" w:type="dxa"/>
            <w:vAlign w:val="center"/>
          </w:tcPr>
          <w:p w14:paraId="72BF6C7A"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TYP AV MOTPART</w:t>
            </w:r>
          </w:p>
          <w:p w14:paraId="34B1867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Institutet ska ange typ av motpart, som kan vara:</w:t>
            </w:r>
          </w:p>
          <w:p w14:paraId="1980971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QCCP:</w:t>
            </w:r>
            <w:r>
              <w:rPr>
                <w:sz w:val="24"/>
                <w:rFonts w:ascii="Times New Roman" w:hAnsi="Times New Roman"/>
              </w:rPr>
              <w:t xml:space="preserve"> </w:t>
            </w:r>
            <w:r>
              <w:rPr>
                <w:sz w:val="24"/>
                <w:rFonts w:ascii="Times New Roman" w:hAnsi="Times New Roman"/>
              </w:rPr>
              <w:t xml:space="preserve">om motparten är en kvalificerad central motpart.</w:t>
            </w:r>
          </w:p>
          <w:p w14:paraId="7530291C"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Icke-QCCP:</w:t>
            </w:r>
            <w:r>
              <w:rPr>
                <w:sz w:val="24"/>
                <w:rFonts w:ascii="Times New Roman" w:hAnsi="Times New Roman"/>
              </w:rPr>
              <w:t xml:space="preserve"> </w:t>
            </w:r>
            <w:r>
              <w:rPr>
                <w:sz w:val="24"/>
                <w:rFonts w:ascii="Times New Roman" w:hAnsi="Times New Roman"/>
              </w:rPr>
              <w:t xml:space="preserve">om motparten är en icke-kvalificerad central motpart.</w:t>
            </w:r>
          </w:p>
          <w:p w14:paraId="53A61161"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 Ej CCP:</w:t>
            </w:r>
            <w:r>
              <w:rPr>
                <w:sz w:val="24"/>
                <w:rFonts w:ascii="Times New Roman" w:hAnsi="Times New Roman"/>
              </w:rPr>
              <w:t xml:space="preserve"> </w:t>
            </w:r>
            <w:r>
              <w:rPr>
                <w:sz w:val="24"/>
                <w:rFonts w:ascii="Times New Roman" w:hAnsi="Times New Roman"/>
              </w:rPr>
              <w:t xml:space="preserve">om motparten inte är en central motpart.</w:t>
            </w:r>
            <w:r>
              <w:rPr>
                <w:sz w:val="24"/>
                <w:rFonts w:ascii="Times New Roman" w:hAnsi="Times New Roman"/>
              </w:rPr>
              <w:t xml:space="preserve">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t xml:space="preserve">0060</w:t>
            </w:r>
          </w:p>
        </w:tc>
        <w:tc>
          <w:tcPr>
            <w:tcW w:w="7655" w:type="dxa"/>
            <w:vAlign w:val="center"/>
          </w:tcPr>
          <w:p w14:paraId="653C0A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MOTPARTENS HEMVIST</w:t>
            </w:r>
          </w:p>
          <w:p w14:paraId="4B5E06D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ISO-kod enligt 3166-1 alpha-2 ska användas för motpartens registreringsland (inklusive pseudo-ISO-koder för internationella organisationer, som finns i Eurostats anvisningar för uppgifter om betalningsbalansen, </w:t>
            </w:r>
            <w:r>
              <w:rPr>
                <w:sz w:val="24"/>
                <w:i/>
                <w:rFonts w:ascii="Times New Roman" w:hAnsi="Times New Roman"/>
              </w:rPr>
              <w:t xml:space="preserve">Balance of Payments Vademecum</w:t>
            </w:r>
            <w:r>
              <w:rPr>
                <w:sz w:val="24"/>
                <w:rFonts w:ascii="Times New Roman" w:hAnsi="Times New Roman"/>
              </w:rPr>
              <w:t xml:space="preserve">, enligt senast ändrade version).</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 xml:space="preserve">0070</w:t>
            </w:r>
          </w:p>
        </w:tc>
        <w:tc>
          <w:tcPr>
            <w:tcW w:w="7655" w:type="dxa"/>
            <w:vAlign w:val="center"/>
          </w:tcPr>
          <w:p w14:paraId="1141BEDE"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ANTAL TRANSAKTIONER</w:t>
            </w:r>
          </w:p>
          <w:p w14:paraId="22440C23"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instruktionerna till kolumn 0020 i mall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 xml:space="preserve">0080</w:t>
            </w:r>
          </w:p>
        </w:tc>
        <w:tc>
          <w:tcPr>
            <w:tcW w:w="7655" w:type="dxa"/>
            <w:vAlign w:val="center"/>
          </w:tcPr>
          <w:p w14:paraId="7D28C82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TEORETISKA BELOPP</w:t>
            </w:r>
          </w:p>
          <w:p w14:paraId="2092F8D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instruktionerna till kolumn 0030 i mall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 xml:space="preserve">0090</w:t>
            </w:r>
          </w:p>
        </w:tc>
        <w:tc>
          <w:tcPr>
            <w:tcW w:w="7655" w:type="dxa"/>
            <w:vAlign w:val="center"/>
          </w:tcPr>
          <w:p w14:paraId="05F00A70"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AKTUELLT MARKNADSVÄRDE (CMV), positivt</w:t>
            </w:r>
          </w:p>
          <w:p w14:paraId="64CD132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instruktionerna till kolumn 0040 i mall C 34.02.</w:t>
            </w:r>
          </w:p>
          <w:p w14:paraId="2A6475F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Institutet ska rapportera summan av nettningsmängder med positivt CMV om det finns flera nettningsmängder för samma motpart.</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 xml:space="preserve">0100</w:t>
            </w:r>
          </w:p>
        </w:tc>
        <w:tc>
          <w:tcPr>
            <w:tcW w:w="7655" w:type="dxa"/>
            <w:vAlign w:val="center"/>
          </w:tcPr>
          <w:p w14:paraId="6ED129D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AKTUELLT MARKNADSVÄRDE (CMV), negativt</w:t>
            </w:r>
          </w:p>
          <w:p w14:paraId="693E2E96"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instruktionerna till kolumn 0040 i mall C 34.02.</w:t>
            </w:r>
          </w:p>
          <w:p w14:paraId="118E0D7B"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Institutet ska rapportera den absoluta summan av nettningsmängder med negativt CMV om det finns flera nettningsmängder för samma motpart.</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 xml:space="preserve">0110</w:t>
            </w:r>
          </w:p>
        </w:tc>
        <w:tc>
          <w:tcPr>
            <w:tcW w:w="7655" w:type="dxa"/>
            <w:vAlign w:val="center"/>
          </w:tcPr>
          <w:p w14:paraId="3099FFC7"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EXPONERINGSVÄRDE EFTER KREDITRISKREDUCERING</w:t>
            </w:r>
          </w:p>
          <w:p w14:paraId="1EF646BE"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instruktionerna till kolumn 0160 i mall C 34.02.</w:t>
            </w:r>
            <w:r>
              <w:rPr>
                <w:sz w:val="24"/>
                <w:rFonts w:ascii="Times New Roman" w:hAnsi="Times New Roman"/>
              </w:rPr>
              <w:t xml:space="preserve"> </w:t>
            </w:r>
          </w:p>
          <w:p w14:paraId="6904AB81"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Institutet ska rapportera summan av nettningsmängders exponeringsvärde efter kreditriskreducering om det finns flera nettningsmängder för samma motpart.</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 xml:space="preserve">0120</w:t>
            </w:r>
          </w:p>
        </w:tc>
        <w:tc>
          <w:tcPr>
            <w:tcW w:w="7655" w:type="dxa"/>
            <w:vAlign w:val="center"/>
          </w:tcPr>
          <w:p w14:paraId="40235E21"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EXPONERINGSVÄRDE</w:t>
            </w:r>
          </w:p>
          <w:p w14:paraId="27DEE9F6"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instruktionerna till kolumn 0170 i mall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 xml:space="preserve">0130</w:t>
            </w:r>
          </w:p>
        </w:tc>
        <w:tc>
          <w:tcPr>
            <w:tcW w:w="7655" w:type="dxa"/>
            <w:vAlign w:val="center"/>
          </w:tcPr>
          <w:p w14:paraId="31E4AF74" w14:textId="77777777" w:rsidR="00EF74C7" w:rsidRPr="002A677E" w:rsidRDefault="00EF74C7" w:rsidP="00822842">
            <w:pPr>
              <w:keepNext/>
              <w:spacing w:before="60"/>
              <w:rPr>
                <w:b/>
                <w:sz w:val="24"/>
                <w:u w:val="single"/>
                <w:rFonts w:ascii="Times New Roman" w:hAnsi="Times New Roman"/>
              </w:rPr>
            </w:pPr>
            <w:r>
              <w:rPr>
                <w:b/>
                <w:sz w:val="24"/>
                <w:u w:val="single"/>
                <w:rFonts w:ascii="Times New Roman" w:hAnsi="Times New Roman"/>
              </w:rPr>
              <w:t xml:space="preserve">RISKVÄGDA EXPONERINGSBELOPP</w:t>
            </w:r>
          </w:p>
          <w:p w14:paraId="2D2BB308" w14:textId="77777777" w:rsidR="00EF74C7" w:rsidRPr="002A677E" w:rsidRDefault="00EF74C7" w:rsidP="00822842">
            <w:pPr>
              <w:keepNext/>
              <w:spacing w:before="60"/>
              <w:rPr>
                <w:b/>
                <w:sz w:val="24"/>
                <w:u w:val="single"/>
                <w:rFonts w:ascii="Times New Roman" w:hAnsi="Times New Roman"/>
              </w:rPr>
            </w:pPr>
            <w:r>
              <w:rPr>
                <w:sz w:val="24"/>
                <w:rFonts w:ascii="Times New Roman" w:hAnsi="Times New Roman"/>
              </w:rPr>
              <w:t xml:space="preserve">Se instruktionerna till kolumn 0200 i mall C 34.02.</w:t>
            </w:r>
          </w:p>
        </w:tc>
      </w:tr>
    </w:tbl>
    <w:p w14:paraId="4CB615BB" w14:textId="77777777" w:rsidR="00EF74C7" w:rsidRPr="002A677E" w:rsidRDefault="00EF74C7" w:rsidP="00EF74C7">
      <w:pPr>
        <w:pStyle w:val="Titlelevel2"/>
        <w:spacing w:before="120" w:after="120"/>
        <w:jc w:val="both"/>
        <w:rPr>
          <w:rFonts w:ascii="Times New Roman" w:hAnsi="Times New Roman" w:cs="Times New Roman"/>
          <w:color w:val="auto"/>
          <w:sz w:val="24"/>
          <w:lang w:val="en-GB"/>
        </w:rPr>
      </w:pPr>
    </w:p>
    <w:p w14:paraId="006C82E0"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48" w:name="_Toc19715819"/>
      <w:bookmarkStart w:id="49" w:name="_Toc151714459"/>
      <w:r>
        <w:rPr>
          <w:sz w:val="24"/>
          <w:rFonts w:ascii="Times New Roman" w:hAnsi="Times New Roman"/>
        </w:rPr>
        <w:t xml:space="preserve">C 34.07 – Internmetoden – motpartsriskexponeringar per exponeringsklass och PD-skala</w:t>
      </w:r>
      <w:bookmarkEnd w:id="48"/>
      <w:bookmarkEnd w:id="49"/>
      <w:r>
        <w:rPr>
          <w:sz w:val="24"/>
          <w:rFonts w:ascii="Times New Roman" w:hAnsi="Times New Roman"/>
        </w:rPr>
        <w:t xml:space="preserve"> </w:t>
      </w:r>
    </w:p>
    <w:p w14:paraId="5DE58571"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0" w:name="_Toc19715820"/>
      <w:bookmarkStart w:id="51" w:name="_Toc151714460"/>
      <w:r>
        <w:rPr>
          <w:sz w:val="24"/>
          <w:rFonts w:ascii="Times New Roman" w:hAnsi="Times New Roman"/>
        </w:rPr>
        <w:t xml:space="preserve">Allmänna kommentarer</w:t>
      </w:r>
      <w:bookmarkEnd w:id="50"/>
      <w:bookmarkEnd w:id="51"/>
    </w:p>
    <w:p w14:paraId="493D377D" w14:textId="08D4F1D7"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128</w:t>
      </w:r>
      <w:r>
        <w:fldChar w:fldCharType="end"/>
      </w:r>
      <w:r>
        <w:t xml:space="preserve">.</w:t>
      </w:r>
      <w:r>
        <w:t xml:space="preserve"> </w:t>
      </w:r>
      <w:r>
        <w:t xml:space="preserve">Denna mall ska rapporteras av institut som använder antingen den avancerade eller den grundläggande internmetoden för att beräkna riskvägda exponeringsbelopp för hela eller delar av sina motpartsriskexponeringar i enlighet med artikel 107 i förordning (EU) nr 575/2013, oberoende av vilken motpartsriskmetod som används för att fastställa exponeringsvärden i enlighet med del tre avdelning II kapitlen 4 och 6 i förordning (EU) nr 575/2013.</w:t>
      </w:r>
      <w:r>
        <w:t xml:space="preserve"> </w:t>
      </w:r>
    </w:p>
    <w:p w14:paraId="4C8689E1" w14:textId="222A66BC"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129</w:t>
      </w:r>
      <w:r>
        <w:fldChar w:fldCharType="end"/>
      </w:r>
      <w:r>
        <w:t xml:space="preserve">.</w:t>
      </w:r>
      <w:r>
        <w:t xml:space="preserve"> </w:t>
      </w:r>
      <w:r>
        <w:t xml:space="preserve">Mallen ska rapporteras separat för summan av alla exponeringsklasser samt separat för var och en av de exponeringsklasser som anges i artikel 147 i förordning (EU) nr 575/2013.</w:t>
      </w:r>
      <w:r>
        <w:t xml:space="preserve"> </w:t>
      </w:r>
      <w:r>
        <w:t xml:space="preserve">Denna mall omfattar inte exponeringar som clearas genom en central motpart.</w:t>
      </w:r>
      <w:r>
        <w:t xml:space="preserve"> </w:t>
      </w:r>
    </w:p>
    <w:p w14:paraId="606463EA" w14:textId="4FB3F05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130</w:t>
      </w:r>
      <w:r>
        <w:fldChar w:fldCharType="end"/>
      </w:r>
      <w:r>
        <w:t xml:space="preserve">.</w:t>
      </w:r>
      <w:r>
        <w:t xml:space="preserve"> </w:t>
      </w:r>
      <w:r>
        <w:t xml:space="preserve">För att klargöra om institutet använder sina egna skattningar av LGD-värden och/eller kreditkonverteringsfaktorer ska följande uppgifter lämnas för varje rapporterad exponeringsklass:</w:t>
      </w:r>
    </w:p>
    <w:p w14:paraId="0659E66C"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”NEJ” = om man använder tillsynsmyndighetens skattning av LGD-värden och kreditkonverteringsfaktorer (grundläggande internmetod).</w:t>
      </w:r>
    </w:p>
    <w:p w14:paraId="41E96B9D" w14:textId="77777777" w:rsidR="00EF74C7" w:rsidRPr="002A677E" w:rsidRDefault="00EF74C7" w:rsidP="00EF74C7">
      <w:pPr>
        <w:autoSpaceDE w:val="0"/>
        <w:autoSpaceDN w:val="0"/>
        <w:adjustRightInd w:val="0"/>
        <w:spacing w:after="240"/>
        <w:ind w:left="709"/>
        <w:rPr>
          <w:sz w:val="24"/>
          <w:rFonts w:ascii="Times New Roman" w:hAnsi="Times New Roman"/>
        </w:rPr>
      </w:pPr>
      <w:r>
        <w:rPr>
          <w:sz w:val="24"/>
          <w:rFonts w:ascii="Times New Roman" w:hAnsi="Times New Roman"/>
        </w:rPr>
        <w:t xml:space="preserve">”JA” = om man använder egna skattningar av LGD-värden och kreditkonverteringsfaktorer (avancerad internmetod).</w:t>
      </w:r>
      <w:r>
        <w:rPr>
          <w:sz w:val="24"/>
          <w:rFonts w:ascii="Times New Roman" w:hAnsi="Times New Roman"/>
        </w:rPr>
        <w:t xml:space="preserve"> </w:t>
      </w:r>
    </w:p>
    <w:p w14:paraId="32D2509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2" w:name="_Toc19715821"/>
      <w:bookmarkStart w:id="53" w:name="_Toc151714461"/>
      <w:r>
        <w:rPr>
          <w:sz w:val="24"/>
          <w:rFonts w:ascii="Times New Roman" w:hAnsi="Times New Roman"/>
        </w:rPr>
        <w:t xml:space="preserve">Instruktioner för specifika positioner</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0010</w:t>
            </w:r>
          </w:p>
        </w:tc>
        <w:tc>
          <w:tcPr>
            <w:tcW w:w="7654" w:type="dxa"/>
          </w:tcPr>
          <w:p w14:paraId="67C92FD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Exponeringsvärde</w:t>
            </w:r>
            <w:r>
              <w:rPr>
                <w:rStyle w:val="InstructionsTabelleberschrift"/>
                <w:sz w:val="24"/>
                <w:rFonts w:ascii="Times New Roman" w:hAnsi="Times New Roman"/>
              </w:rPr>
              <w:t xml:space="preserve"> </w:t>
            </w:r>
          </w:p>
          <w:p w14:paraId="2C3DDF84"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Exponeringsvärde (se instruktionerna till kolumn 0170 i mall C 34.02), uppdelat efter aktuell PD-skala.</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0020</w:t>
            </w:r>
          </w:p>
        </w:tc>
        <w:tc>
          <w:tcPr>
            <w:tcW w:w="7654" w:type="dxa"/>
          </w:tcPr>
          <w:p w14:paraId="57F61D37"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Exponeringsvägt genomsnittligt PD (%)</w:t>
            </w:r>
          </w:p>
          <w:p w14:paraId="17CBA31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Medelvärde av enskilda motpartsriskklassers PD-värden, viktat med motsvarande exponeringsvärde enligt kolumn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0030</w:t>
            </w:r>
          </w:p>
        </w:tc>
        <w:tc>
          <w:tcPr>
            <w:tcW w:w="7654" w:type="dxa"/>
          </w:tcPr>
          <w:p w14:paraId="2AD2D5DC"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Antal gäldenärer</w:t>
            </w:r>
            <w:r>
              <w:rPr>
                <w:rStyle w:val="InstructionsTabelleberschrift"/>
                <w:sz w:val="24"/>
                <w:rFonts w:ascii="Times New Roman" w:hAnsi="Times New Roman"/>
              </w:rPr>
              <w:t xml:space="preserve"> </w:t>
            </w:r>
          </w:p>
          <w:p w14:paraId="75633515" w14:textId="77777777" w:rsidR="00EF74C7" w:rsidRPr="002A677E" w:rsidRDefault="00EF74C7" w:rsidP="00822842">
            <w:pPr>
              <w:rPr>
                <w:sz w:val="24"/>
                <w:rFonts w:ascii="Times New Roman" w:hAnsi="Times New Roman"/>
              </w:rPr>
            </w:pPr>
            <w:r>
              <w:rPr>
                <w:sz w:val="24"/>
                <w:rFonts w:ascii="Times New Roman" w:hAnsi="Times New Roman"/>
              </w:rPr>
              <w:t xml:space="preserve">Antalet juridiska personer eller gäldenärer som hänförts till varje undergrupp av den fasta PD-skalan, som kreditvärderats separat, oavsett antalet olika beviljade lån eller exponeringar.</w:t>
            </w:r>
          </w:p>
          <w:p w14:paraId="79F85080" w14:textId="77777777" w:rsidR="00EF74C7" w:rsidRPr="002A677E" w:rsidRDefault="00EF74C7" w:rsidP="00822842">
            <w:pPr>
              <w:rPr>
                <w:sz w:val="24"/>
                <w:rFonts w:ascii="Times New Roman" w:hAnsi="Times New Roman"/>
              </w:rPr>
            </w:pPr>
            <w:r>
              <w:rPr>
                <w:sz w:val="24"/>
                <w:rFonts w:ascii="Times New Roman" w:hAnsi="Times New Roman"/>
              </w:rPr>
              <w:t xml:space="preserve">Om olika exponeringar mot samma gäldenär har en separat kreditvärdering ska de räknas separat.</w:t>
            </w:r>
            <w:r>
              <w:rPr>
                <w:sz w:val="24"/>
                <w:rFonts w:ascii="Times New Roman" w:hAnsi="Times New Roman"/>
              </w:rPr>
              <w:t xml:space="preserve"> </w:t>
            </w:r>
            <w:r>
              <w:rPr>
                <w:sz w:val="24"/>
                <w:rFonts w:ascii="Times New Roman" w:hAnsi="Times New Roman"/>
              </w:rPr>
              <w:t xml:space="preserve">En sådan situation kan uppstå om separata exponeringar mot samma gäldenär hänförs till olika motpartsriskklasser i enlighet med artikel 172.1 e andra meningen i förordning (EU) nr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sz w:val="24"/>
                <w:szCs w:val="22"/>
                <w:rFonts w:ascii="Times New Roman" w:hAnsi="Times New Roman"/>
              </w:rPr>
            </w:pPr>
            <w:r>
              <w:rPr>
                <w:sz w:val="24"/>
                <w:rFonts w:ascii="Times New Roman" w:hAnsi="Times New Roman"/>
              </w:rPr>
              <w:t xml:space="preserve">0040</w:t>
            </w:r>
          </w:p>
        </w:tc>
        <w:tc>
          <w:tcPr>
            <w:tcW w:w="7654" w:type="dxa"/>
          </w:tcPr>
          <w:p w14:paraId="1D60931A" w14:textId="77777777" w:rsidR="00EF74C7" w:rsidRPr="001235ED" w:rsidRDefault="00EF74C7" w:rsidP="00822842">
            <w:pPr>
              <w:spacing w:before="60" w:after="240"/>
              <w:rPr>
                <w:rStyle w:val="InstructionsTabelleberschrift"/>
                <w:sz w:val="24"/>
                <w:rFonts w:ascii="Times New Roman" w:hAnsi="Times New Roman"/>
              </w:rPr>
            </w:pPr>
            <w:r>
              <w:rPr>
                <w:rStyle w:val="InstructionsTabelleberschrift"/>
                <w:sz w:val="24"/>
                <w:rFonts w:ascii="Times New Roman" w:hAnsi="Times New Roman"/>
              </w:rPr>
              <w:t xml:space="preserve">Exponeringsvägt genomsnittligt LGD-värde (%)</w:t>
            </w:r>
          </w:p>
          <w:p w14:paraId="1CF7FBBB"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Medelvärde av motpartsriskklassers LGD-värden, viktat med motsvarande exponeringsvärde enligt kolumn 0010.</w:t>
            </w:r>
          </w:p>
          <w:p w14:paraId="7080F0A6" w14:textId="080029A0" w:rsidR="00EF74C7" w:rsidRPr="002A677E" w:rsidRDefault="00EF74C7" w:rsidP="00822842">
            <w:pPr>
              <w:rPr>
                <w:sz w:val="24"/>
                <w:rFonts w:ascii="Times New Roman" w:hAnsi="Times New Roman"/>
              </w:rPr>
            </w:pPr>
            <w:r>
              <w:rPr>
                <w:sz w:val="24"/>
                <w:rFonts w:ascii="Times New Roman" w:hAnsi="Times New Roman"/>
              </w:rPr>
              <w:t xml:space="preserve">Det rapporterade LGD-värdet ska motsvara den slutliga LGD-skattning som används vid beräkningen av riskvägda exponeringsbelopp som erhålls efter beaktande av alla eventuella effekter av kreditriskreducering och konjunkturnedgångar, i enlighet med vad som anges i del tre avdelning II kapitlen 3 och 4 i förordning (EU) nr 575/2013, i tillämpliga fall.</w:t>
            </w:r>
            <w:r>
              <w:rPr>
                <w:sz w:val="24"/>
                <w:rFonts w:ascii="Times New Roman" w:hAnsi="Times New Roman"/>
              </w:rPr>
              <w:t xml:space="preserve"> </w:t>
            </w:r>
            <w:r>
              <w:rPr>
                <w:sz w:val="24"/>
                <w:rFonts w:ascii="Times New Roman" w:hAnsi="Times New Roman"/>
              </w:rPr>
              <w:t xml:space="preserve">Särskilt för institut som tillämpar internmetoden men som inte använder egna skattningar av LGD-värden speglas de finansiella säkerheternas kreditriskreduceringseffekter i E*, exponeringens fullständigt justerade värde, och sedan i LGD* i enlighet med artikel 230 i förordning (EU) nr 575/2013.</w:t>
            </w:r>
            <w:r>
              <w:rPr>
                <w:sz w:val="24"/>
                <w:rFonts w:ascii="Times New Roman" w:hAnsi="Times New Roman"/>
              </w:rPr>
              <w:t xml:space="preserve"> </w:t>
            </w:r>
            <w:r>
              <w:rPr>
                <w:sz w:val="24"/>
                <w:rFonts w:ascii="Times New Roman" w:hAnsi="Times New Roman"/>
              </w:rPr>
              <w:t xml:space="preserve">Institut som använder egna skattningar av LGD-värden ska tillämpa artiklarna 175, 181.1 och 181.2 i förordning (EU) nr 575/2013.</w:t>
            </w:r>
          </w:p>
          <w:p w14:paraId="1D9D0798" w14:textId="77777777" w:rsidR="00EF74C7" w:rsidRPr="002A677E" w:rsidRDefault="00EF74C7" w:rsidP="00822842">
            <w:pPr>
              <w:rPr>
                <w:sz w:val="24"/>
                <w:rFonts w:ascii="Times New Roman" w:hAnsi="Times New Roman"/>
              </w:rPr>
            </w:pPr>
            <w:r>
              <w:rPr>
                <w:sz w:val="24"/>
                <w:rFonts w:ascii="Times New Roman" w:hAnsi="Times New Roman"/>
              </w:rPr>
              <w:t xml:space="preserve">Om det finns exponeringar som omfattas av hantering av dubbla fallissemang ska institutet rapportera det LGD-värde som valts i enlighet med artikel 161.4 i förordning (EU) nr 575/2013.</w:t>
            </w:r>
          </w:p>
          <w:p w14:paraId="2C390C4A" w14:textId="77777777" w:rsidR="00EF74C7" w:rsidRPr="002A677E" w:rsidRDefault="00EF74C7" w:rsidP="00822842">
            <w:pPr>
              <w:spacing w:before="60" w:after="240"/>
              <w:rPr>
                <w:strike/>
                <w:sz w:val="24"/>
                <w:rFonts w:ascii="Times New Roman" w:hAnsi="Times New Roman"/>
              </w:rPr>
            </w:pPr>
            <w:r>
              <w:rPr>
                <w:sz w:val="24"/>
                <w:rFonts w:ascii="Times New Roman" w:hAnsi="Times New Roman"/>
              </w:rPr>
              <w:t xml:space="preserve">För fallerade exponeringar enligt den avancerade internmetoden ska bestämmelserna i artikel 181.1 h i förordning (EU) nr 575/2013 beaktas.</w:t>
            </w:r>
            <w:r>
              <w:rPr>
                <w:sz w:val="24"/>
                <w:rFonts w:ascii="Times New Roman" w:hAnsi="Times New Roman"/>
              </w:rPr>
              <w:t xml:space="preserve"> </w:t>
            </w:r>
            <w:r>
              <w:rPr>
                <w:sz w:val="24"/>
                <w:rFonts w:ascii="Times New Roman" w:hAnsi="Times New Roman"/>
              </w:rPr>
              <w:t xml:space="preserve">Det rapporterade LGD-värdet ska motsvara skattningen av LGD vid fallissemang.</w:t>
            </w:r>
            <w:r>
              <w:rPr>
                <w:sz w:val="24"/>
                <w:rFonts w:ascii="Times New Roman" w:hAnsi="Times New Roman"/>
              </w:rPr>
              <w:t xml:space="preserve">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sz w:val="24"/>
                <w:rFonts w:ascii="Times New Roman" w:hAnsi="Times New Roman"/>
              </w:rPr>
            </w:pPr>
            <w:r>
              <w:rPr>
                <w:sz w:val="24"/>
                <w:rFonts w:ascii="Times New Roman" w:hAnsi="Times New Roman"/>
              </w:rPr>
              <w:t xml:space="preserve">0050</w:t>
            </w:r>
          </w:p>
        </w:tc>
        <w:tc>
          <w:tcPr>
            <w:tcW w:w="7654" w:type="dxa"/>
          </w:tcPr>
          <w:p w14:paraId="6BAEF9EB"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Exponeringsvägd genomsnittlig löptid (år)</w:t>
            </w:r>
          </w:p>
          <w:p w14:paraId="32B69B7E" w14:textId="77777777" w:rsidR="00EF74C7" w:rsidRPr="002A677E" w:rsidRDefault="00EF74C7" w:rsidP="00822842">
            <w:pPr>
              <w:spacing w:before="60"/>
              <w:rPr>
                <w:sz w:val="24"/>
                <w:rFonts w:ascii="Times New Roman" w:hAnsi="Times New Roman"/>
              </w:rPr>
            </w:pPr>
            <w:r>
              <w:rPr>
                <w:sz w:val="24"/>
                <w:rStyle w:val="InstructionsTabelleberschrift"/>
                <w:b w:val="0"/>
                <w:u w:val="none"/>
                <w:rFonts w:ascii="Times New Roman" w:hAnsi="Times New Roman"/>
              </w:rPr>
              <w:t xml:space="preserve">Medelvärde</w:t>
            </w:r>
            <w:r>
              <w:rPr>
                <w:sz w:val="24"/>
                <w:rFonts w:ascii="Times New Roman" w:hAnsi="Times New Roman"/>
              </w:rPr>
              <w:t xml:space="preserve"> av gäldenärers löptider i år, viktat med motsvarande exponeringsvärde enligt kolumn 0010.</w:t>
            </w:r>
          </w:p>
          <w:p w14:paraId="2277F2A3" w14:textId="77777777" w:rsidR="00EF74C7" w:rsidRPr="002A677E" w:rsidRDefault="00EF74C7" w:rsidP="00822842">
            <w:pPr>
              <w:rPr>
                <w:sz w:val="24"/>
                <w:rFonts w:ascii="Times New Roman" w:hAnsi="Times New Roman"/>
              </w:rPr>
            </w:pPr>
            <w:r>
              <w:rPr>
                <w:sz w:val="24"/>
                <w:rFonts w:ascii="Times New Roman" w:hAnsi="Times New Roman"/>
              </w:rPr>
              <w:t xml:space="preserve">Löptiden ska fastställas i enlighet med artikel 162 i förordning (EU) nr 575/2013.</w:t>
            </w:r>
            <w:r>
              <w:rPr>
                <w:sz w:val="24"/>
                <w:rFonts w:ascii="Times New Roman" w:hAnsi="Times New Roman"/>
              </w:rPr>
              <w:t xml:space="preserve">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sz w:val="24"/>
                <w:rFonts w:ascii="Times New Roman" w:hAnsi="Times New Roman"/>
              </w:rPr>
              <w:t xml:space="preserve">0060</w:t>
            </w:r>
          </w:p>
        </w:tc>
        <w:tc>
          <w:tcPr>
            <w:tcW w:w="7654" w:type="dxa"/>
          </w:tcPr>
          <w:p w14:paraId="46D2D7DB" w14:textId="77777777" w:rsidR="00EF74C7" w:rsidRPr="002A677E" w:rsidRDefault="00EF74C7" w:rsidP="00822842">
            <w:pPr>
              <w:spacing w:before="60"/>
              <w:rPr>
                <w:sz w:val="24"/>
                <w:rFonts w:ascii="Times New Roman" w:hAnsi="Times New Roman"/>
              </w:rPr>
            </w:pPr>
            <w:r>
              <w:rPr>
                <w:sz w:val="24"/>
                <w:rStyle w:val="InstructionsTabelleberschrift"/>
                <w:rFonts w:ascii="Times New Roman" w:hAnsi="Times New Roman"/>
              </w:rPr>
              <w:t xml:space="preserve">Riskvägda exponeringsbelopp</w:t>
            </w:r>
            <w:r>
              <w:rPr>
                <w:sz w:val="24"/>
                <w:i/>
                <w:rFonts w:ascii="Times New Roman" w:hAnsi="Times New Roman"/>
              </w:rPr>
              <w:t xml:space="preserve"> </w:t>
            </w:r>
          </w:p>
          <w:p w14:paraId="21AFCDAB" w14:textId="09499DC5" w:rsidR="00EF74C7" w:rsidRPr="002A677E" w:rsidRDefault="00EF74C7" w:rsidP="00822842">
            <w:pPr>
              <w:spacing w:before="60"/>
              <w:rPr>
                <w:sz w:val="24"/>
                <w:rFonts w:ascii="Times New Roman" w:hAnsi="Times New Roman"/>
              </w:rPr>
            </w:pPr>
            <w:r>
              <w:rPr>
                <w:sz w:val="24"/>
                <w:rFonts w:ascii="Times New Roman" w:hAnsi="Times New Roman"/>
              </w:rPr>
              <w:t xml:space="preserve">Riskvägda exponeringsbelopp, enligt definitionen i artikel 92.3 i förordning (EU) nr 575/2013, för positioner vars riskvikter uppskattas på grundval av kraven i del tre avdelning II kapitel 3 i förordning (EU) nr 575/2013 och för vilka exponeringsvärdet för motpartsriskverksamhet beräknas i enlighet med del tre avdelning II kapitlen 4 och 6 i den förordningen.</w:t>
            </w:r>
            <w:r>
              <w:rPr>
                <w:sz w:val="24"/>
                <w:rFonts w:ascii="Times New Roman" w:hAnsi="Times New Roman"/>
              </w:rPr>
              <w:t xml:space="preserve"> </w:t>
            </w:r>
          </w:p>
          <w:p w14:paraId="7071DC2E" w14:textId="77777777" w:rsidR="00EF74C7" w:rsidRPr="002A677E" w:rsidRDefault="00EF74C7" w:rsidP="00822842">
            <w:pPr>
              <w:spacing w:before="60" w:after="240"/>
              <w:rPr>
                <w:i/>
                <w:sz w:val="24"/>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beaktas.</w:t>
            </w:r>
            <w:r>
              <w:rPr>
                <w:sz w:val="24"/>
                <w:rFonts w:ascii="Times New Roman" w:hAnsi="Times New Roman"/>
              </w:rPr>
              <w:t xml:space="preserve">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sz w:val="24"/>
                <w:rFonts w:ascii="Times New Roman" w:hAnsi="Times New Roman"/>
              </w:rPr>
              <w:t xml:space="preserve">0070</w:t>
            </w:r>
          </w:p>
        </w:tc>
        <w:tc>
          <w:tcPr>
            <w:tcW w:w="7654" w:type="dxa"/>
          </w:tcPr>
          <w:p w14:paraId="6C5FAC81" w14:textId="77777777" w:rsidR="00EF74C7" w:rsidRPr="001235ED"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Densitet hos riskvägda exponeringsbelopp</w:t>
            </w:r>
            <w:r>
              <w:rPr>
                <w:rStyle w:val="InstructionsTabelleberschrift"/>
                <w:sz w:val="24"/>
                <w:rFonts w:ascii="Times New Roman" w:hAnsi="Times New Roman"/>
              </w:rPr>
              <w:t xml:space="preserve"> </w:t>
            </w:r>
          </w:p>
          <w:p w14:paraId="2D69B724" w14:textId="77777777" w:rsidR="00EF74C7" w:rsidRPr="002A677E" w:rsidDel="00291448" w:rsidRDefault="00EF74C7" w:rsidP="00822842">
            <w:pPr>
              <w:spacing w:before="60"/>
              <w:rPr>
                <w:sz w:val="24"/>
                <w:rFonts w:ascii="Times New Roman" w:hAnsi="Times New Roman"/>
              </w:rPr>
            </w:pPr>
            <w:r>
              <w:rPr>
                <w:sz w:val="24"/>
                <w:rFonts w:ascii="Times New Roman" w:hAnsi="Times New Roman"/>
              </w:rPr>
              <w:t xml:space="preserve">Förhållandet mellan de totala riskvägda exponeringsbeloppen (som rapporteras i kolumn 0060) och exponeringsvärdet (som rapporteras i kolumn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822842">
        <w:trPr>
          <w:trHeight w:val="720"/>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Rad</w:t>
            </w:r>
            <w:r>
              <w:rPr>
                <w:b/>
                <w:sz w:val="24"/>
                <w:rFonts w:ascii="Times New Roman" w:hAnsi="Times New Roman"/>
              </w:rPr>
              <w:t xml:space="preserv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 xml:space="preserve">0010 - 0170</w:t>
            </w:r>
          </w:p>
        </w:tc>
        <w:tc>
          <w:tcPr>
            <w:tcW w:w="7655" w:type="dxa"/>
            <w:vAlign w:val="center"/>
          </w:tcPr>
          <w:p w14:paraId="2D3B901D" w14:textId="77777777" w:rsidR="00EF74C7" w:rsidRPr="002A677E" w:rsidRDefault="00EF74C7" w:rsidP="00822842">
            <w:pPr>
              <w:spacing w:before="60"/>
              <w:rPr>
                <w:b/>
                <w:bCs/>
                <w:sz w:val="24"/>
                <w:u w:val="single"/>
                <w:rFonts w:ascii="Times New Roman" w:hAnsi="Times New Roman"/>
              </w:rPr>
            </w:pPr>
            <w:r>
              <w:rPr>
                <w:rStyle w:val="InstructionsTabelleberschrift"/>
                <w:sz w:val="24"/>
                <w:rFonts w:ascii="Times New Roman" w:hAnsi="Times New Roman"/>
              </w:rPr>
              <w:t xml:space="preserve">PD-skala</w:t>
            </w:r>
          </w:p>
          <w:p w14:paraId="61146F57" w14:textId="68363C58" w:rsidR="00EF74C7" w:rsidRPr="002A677E" w:rsidRDefault="00EF74C7" w:rsidP="00822842">
            <w:pPr>
              <w:spacing w:before="60"/>
              <w:rPr>
                <w:sz w:val="24"/>
                <w:rFonts w:ascii="Times New Roman" w:hAnsi="Times New Roman"/>
              </w:rPr>
            </w:pPr>
            <w:r>
              <w:rPr>
                <w:sz w:val="24"/>
                <w:rFonts w:ascii="Times New Roman" w:hAnsi="Times New Roman"/>
              </w:rPr>
              <w:t xml:space="preserve">Motpartsriskexponeringar (fastställda på motpartsnivå) ska hänföras till en lämplig undergrupp inom den fasta PD-skalan baserat på det PD-värde som skattats för varje gäldenär som tillhör denna exponeringsklass (utan beaktande av eventuella substitutionseffekter till följd av en garanti eller ett kreditderivat).</w:t>
            </w:r>
            <w:r>
              <w:rPr>
                <w:sz w:val="24"/>
                <w:rFonts w:ascii="Times New Roman" w:hAnsi="Times New Roman"/>
              </w:rPr>
              <w:t xml:space="preserve"> </w:t>
            </w:r>
            <w:r>
              <w:rPr>
                <w:sz w:val="24"/>
                <w:rFonts w:ascii="Times New Roman" w:hAnsi="Times New Roman"/>
              </w:rPr>
              <w:t xml:space="preserve">Instituten ska placera in exponering för exponering i den PD-skala som anges i mallen, även med beaktande av kontinuerliga skalor.</w:t>
            </w:r>
            <w:r>
              <w:rPr>
                <w:sz w:val="24"/>
                <w:rFonts w:ascii="Times New Roman" w:hAnsi="Times New Roman"/>
              </w:rPr>
              <w:t xml:space="preserve"> </w:t>
            </w:r>
            <w:r>
              <w:rPr>
                <w:sz w:val="24"/>
                <w:rFonts w:ascii="Times New Roman" w:hAnsi="Times New Roman"/>
              </w:rPr>
              <w:t xml:space="preserve">Alla fallerade exponeringar ska ingå i den undergrupp som motsvarar ett PD-värde på 100 %.</w:t>
            </w:r>
          </w:p>
        </w:tc>
      </w:tr>
    </w:tbl>
    <w:p w14:paraId="6EF2BA05"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54" w:name="_Toc19715822"/>
      <w:bookmarkStart w:id="55" w:name="_Toc151714462"/>
      <w:r>
        <w:rPr>
          <w:sz w:val="24"/>
          <w:rFonts w:ascii="Times New Roman" w:hAnsi="Times New Roman"/>
        </w:rPr>
        <w:t xml:space="preserve">C 34.08 – Sammansättning av säkerheter för motpartsriskexponeringar</w:t>
      </w:r>
      <w:bookmarkEnd w:id="54"/>
      <w:bookmarkEnd w:id="55"/>
    </w:p>
    <w:p w14:paraId="70D733F8"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6" w:name="_Toc19715823"/>
      <w:bookmarkStart w:id="57" w:name="_Toc151714463"/>
      <w:r>
        <w:rPr>
          <w:sz w:val="24"/>
          <w:rFonts w:ascii="Times New Roman" w:hAnsi="Times New Roman"/>
        </w:rPr>
        <w:t xml:space="preserve">Allmänna kommentarer</w:t>
      </w:r>
      <w:bookmarkEnd w:id="56"/>
      <w:bookmarkEnd w:id="57"/>
    </w:p>
    <w:p w14:paraId="0AF1AF80" w14:textId="794CBD92"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131</w:t>
      </w:r>
      <w:r>
        <w:fldChar w:fldCharType="end"/>
      </w:r>
      <w:r>
        <w:t xml:space="preserve">.</w:t>
      </w:r>
      <w:r>
        <w:t xml:space="preserve"> </w:t>
      </w:r>
      <w:r>
        <w:t xml:space="preserve">Denna mall ska fyllas i med de verkliga värdena för säkerheter (ställda eller erhållna) som används i motpartsriskexponeringar i samband med derivattransaktioner, transaktioner med lång avvecklingscykel eller transaktioner för värdepappersfinansiering, oavsett om transaktionerna clearas genom en central motpart eller inte och oavsett om säkerhet ställs till en central motpart eller inte.</w:t>
      </w:r>
      <w:r>
        <w:t xml:space="preserve"> </w:t>
      </w:r>
    </w:p>
    <w:p w14:paraId="74E68575"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58" w:name="_Toc19715824"/>
      <w:bookmarkStart w:id="59" w:name="_Toc151714464"/>
      <w:r>
        <w:rPr>
          <w:sz w:val="24"/>
          <w:rFonts w:ascii="Times New Roman" w:hAnsi="Times New Roman"/>
        </w:rPr>
        <w:t xml:space="preserve">Instruktioner för specifika positioner</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b/>
                <w:sz w:val="24"/>
                <w:szCs w:val="24"/>
                <w:rFonts w:ascii="Times New Roman" w:hAnsi="Times New Roman"/>
              </w:rPr>
            </w:pPr>
            <w:r>
              <w:rPr>
                <w:b/>
                <w:sz w:val="24"/>
                <w:rFonts w:ascii="Times New Roman" w:hAnsi="Times New Roman"/>
              </w:rPr>
              <w:t xml:space="preserve">Kolumn</w:t>
            </w:r>
            <w:r>
              <w:rPr>
                <w:b/>
                <w:sz w:val="24"/>
                <w:rFonts w:ascii="Times New Roman" w:hAnsi="Times New Roman"/>
              </w:rPr>
              <w:t xml:space="preserv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 xml:space="preserve">0010 - 0080</w:t>
            </w:r>
          </w:p>
        </w:tc>
        <w:tc>
          <w:tcPr>
            <w:tcW w:w="7655" w:type="dxa"/>
            <w:vAlign w:val="center"/>
          </w:tcPr>
          <w:p w14:paraId="64904DC2"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Säkerheter som används i samband med derivattransaktioner</w:t>
            </w:r>
            <w:r>
              <w:rPr>
                <w:rStyle w:val="InstructionsTabelleberschrift"/>
                <w:sz w:val="24"/>
                <w:rFonts w:ascii="Times New Roman" w:hAnsi="Times New Roman"/>
              </w:rPr>
              <w:t xml:space="preserve"> </w:t>
            </w:r>
          </w:p>
          <w:p w14:paraId="0F03F847"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Instituten ska rapportera den säkerhet (inklusive initial marginalsäkerhet och tilläggsmarginalsäkerhet) som används i motpartsriskexponeringar i samband med de derivatinstrument som förtecknas i bilaga II till förordning (EU) nr 575/2013 eller en transaktion med lång avvecklingscykel enligt definitionen i artikel 272.2 i samma förordning som inte klassificeras som en transaktion för värdepappersfinansiering.</w:t>
            </w:r>
            <w:r>
              <w:rPr>
                <w:sz w:val="24"/>
                <w:rFonts w:ascii="Times New Roman" w:hAnsi="Times New Roman"/>
              </w:rPr>
              <w:t xml:space="preserve">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 xml:space="preserve">0090 - 0180</w:t>
            </w:r>
          </w:p>
        </w:tc>
        <w:tc>
          <w:tcPr>
            <w:tcW w:w="7655" w:type="dxa"/>
            <w:vAlign w:val="center"/>
          </w:tcPr>
          <w:p w14:paraId="3C96417C"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Säkerheter som används inom ramen för transaktioner för värdepappersfinansiering</w:t>
            </w:r>
            <w:r>
              <w:rPr>
                <w:rStyle w:val="InstructionsTabelleberschrift"/>
                <w:sz w:val="24"/>
                <w:rFonts w:ascii="Times New Roman" w:hAnsi="Times New Roman"/>
              </w:rPr>
              <w:t xml:space="preserve"> </w:t>
            </w:r>
          </w:p>
          <w:p w14:paraId="6B5AF52E" w14:textId="77777777" w:rsidR="00EF74C7" w:rsidRPr="002A677E" w:rsidRDefault="00EF74C7" w:rsidP="00822842">
            <w:pPr>
              <w:pStyle w:val="numberedparagraph"/>
              <w:numPr>
                <w:ilvl w:val="0"/>
                <w:numId w:val="0"/>
              </w:numPr>
              <w:spacing w:before="60" w:line="240" w:lineRule="auto"/>
              <w:rPr>
                <w:sz w:val="24"/>
                <w:rFonts w:ascii="Times New Roman" w:hAnsi="Times New Roman" w:cs="Times New Roman"/>
              </w:rPr>
            </w:pPr>
            <w:r>
              <w:rPr>
                <w:sz w:val="24"/>
                <w:rFonts w:ascii="Times New Roman" w:hAnsi="Times New Roman"/>
              </w:rPr>
              <w:t xml:space="preserve">Instituten ska rapportera den säkerhet (inklusive initial marginalsäkerhet och tilläggsmarginalsäkerhet samt säkerheten i transaktionen för värdepappersfinansiering) som används i exponeringar mot motpartsrisker i samband med transaktioner för värdepappersfinansiering eller transaktioner med lång avvecklingscykel som inte klassificeras som derivat.</w:t>
            </w:r>
            <w:r>
              <w:rPr>
                <w:sz w:val="24"/>
                <w:rFonts w:ascii="Times New Roman" w:hAnsi="Times New Roman"/>
              </w:rPr>
              <w:t xml:space="preserve">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 xml:space="preserve">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Segregerad</w:t>
            </w:r>
          </w:p>
          <w:p w14:paraId="3338D91C"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Artikel 300.1 i förordning (EU) nr 575/2013</w:t>
            </w:r>
          </w:p>
          <w:p w14:paraId="26EDC9B6"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Instituten ska rapportera säkerhet som hålls på ett konkursskyddat sätt enligt definitionen i artikel 300.1 i förordning (EU) nr 575/2013, vidare indelat i säkerhet i form av initial marginalsäkerhet eller tilläggsmarginalsäkerhet.</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w:t>
            </w:r>
            <w:r>
              <w:t xml:space="preserve"> </w:t>
            </w:r>
          </w:p>
        </w:tc>
        <w:tc>
          <w:tcPr>
            <w:tcW w:w="7655" w:type="dxa"/>
          </w:tcPr>
          <w:p w14:paraId="0860899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Ej segregerad</w:t>
            </w:r>
            <w:r>
              <w:rPr>
                <w:rStyle w:val="InstructionsTabelleberschrift"/>
                <w:sz w:val="24"/>
                <w:rFonts w:ascii="Times New Roman" w:hAnsi="Times New Roman"/>
              </w:rPr>
              <w:t xml:space="preserve"> </w:t>
            </w:r>
          </w:p>
          <w:p w14:paraId="7A8B9376" w14:textId="77777777" w:rsidR="00EF74C7" w:rsidRPr="002A677E" w:rsidRDefault="00EF74C7" w:rsidP="00822842">
            <w:pPr>
              <w:spacing w:before="60"/>
              <w:rPr>
                <w:rStyle w:val="InstructionsTabelleberschrift"/>
                <w:sz w:val="24"/>
                <w:rFonts w:ascii="Times New Roman" w:hAnsi="Times New Roman"/>
              </w:rPr>
            </w:pPr>
            <w:r>
              <w:rPr>
                <w:sz w:val="24"/>
                <w:rFonts w:ascii="Times New Roman" w:hAnsi="Times New Roman"/>
              </w:rPr>
              <w:t xml:space="preserve">Artikel 300.1 i förordning (EU) nr 575/2013</w:t>
            </w:r>
          </w:p>
          <w:p w14:paraId="57A510C0" w14:textId="77777777" w:rsidR="00EF74C7" w:rsidRPr="002A677E" w:rsidRDefault="00EF74C7" w:rsidP="00822842">
            <w:pPr>
              <w:rPr>
                <w:sz w:val="24"/>
                <w:rFonts w:ascii="Times New Roman" w:hAnsi="Times New Roman"/>
              </w:rPr>
            </w:pPr>
            <w:r>
              <w:rPr>
                <w:sz w:val="24"/>
                <w:rFonts w:ascii="Times New Roman" w:hAnsi="Times New Roman"/>
              </w:rPr>
              <w:t xml:space="preserve">Instituten ska rapportera säkerhet som inte hålls på ett konkursskyddat sätt enligt definitionen i artikel 300.1 i förordning (EU) nr 575/2013, vidare indelat i initial marginalsäkerhet, tilläggsmarginalsäkerhet och värdepappret i transaktionen för värdepappersfinansiering.</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 xml:space="preserve">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Initial marginalsäkerhet</w:t>
            </w:r>
          </w:p>
          <w:p w14:paraId="3EA695F0"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Artikel 4.1.140 i förordning (EU) nr 575/2013</w:t>
            </w:r>
          </w:p>
          <w:p w14:paraId="17D2E11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Instituten ska rapportera verkliga värden för erhållna eller ställda initiala marginalsäkerheter (enligt definitionen i artikel 4.1.140 i förordning (EU) nr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t xml:space="preserve">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Tilläggsmarginalsäkerhet</w:t>
            </w:r>
          </w:p>
          <w:p w14:paraId="054E9606"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Instituten ska rapportera verkliga värden för erhållna eller ställda tilläggsmarginalsäkerheter.</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 xml:space="preserve">0130, 0180</w:t>
            </w:r>
          </w:p>
        </w:tc>
        <w:tc>
          <w:tcPr>
            <w:tcW w:w="7655" w:type="dxa"/>
            <w:vAlign w:val="center"/>
          </w:tcPr>
          <w:p w14:paraId="47509680" w14:textId="77777777" w:rsidR="00EF74C7" w:rsidRPr="002A677E" w:rsidRDefault="00EF74C7" w:rsidP="00822842">
            <w:pPr>
              <w:spacing w:before="60"/>
              <w:rPr>
                <w:rStyle w:val="InstructionsTabelleberschrift"/>
                <w:sz w:val="24"/>
                <w:rFonts w:ascii="Times New Roman" w:hAnsi="Times New Roman"/>
              </w:rPr>
            </w:pPr>
            <w:r>
              <w:rPr>
                <w:rStyle w:val="InstructionsTabelleberschrift"/>
                <w:sz w:val="24"/>
                <w:rFonts w:ascii="Times New Roman" w:hAnsi="Times New Roman"/>
              </w:rPr>
              <w:t xml:space="preserve">SFT-värdepapper</w:t>
            </w:r>
            <w:r>
              <w:rPr>
                <w:rStyle w:val="InstructionsTabelleberschrift"/>
                <w:sz w:val="24"/>
                <w:rFonts w:ascii="Times New Roman" w:hAnsi="Times New Roman"/>
              </w:rPr>
              <w:t xml:space="preserve"> </w:t>
            </w:r>
          </w:p>
          <w:p w14:paraId="79AA9223" w14:textId="77777777" w:rsidR="00EF74C7" w:rsidRPr="002A677E" w:rsidRDefault="00EF74C7" w:rsidP="00822842">
            <w:pPr>
              <w:spacing w:before="60"/>
              <w:rPr>
                <w:i/>
                <w:sz w:val="24"/>
                <w:rFonts w:ascii="Times New Roman" w:eastAsia="Calibri" w:hAnsi="Times New Roman"/>
              </w:rPr>
            </w:pPr>
            <w:r>
              <w:rPr>
                <w:sz w:val="24"/>
                <w:rFonts w:ascii="Times New Roman" w:hAnsi="Times New Roman"/>
              </w:rPr>
              <w:t xml:space="preserve">Instituten ska rapportera verkliga värden för säkerheter i form av värdepapper i transaktioner för värdepappersfinansiering (t.ex. den värdepappersdel i transaktionen för värdepappersfinansiering som har mottagits för kolumn 0130 eller som ställts för kolumn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822842">
        <w:trPr>
          <w:trHeight w:val="238"/>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Rad</w:t>
            </w:r>
            <w:r>
              <w:rPr>
                <w:b/>
                <w:sz w:val="24"/>
                <w:rFonts w:ascii="Times New Roman" w:hAnsi="Times New Roman"/>
              </w:rPr>
              <w:t xml:space="preserv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Typ av säkerhet</w:t>
            </w:r>
          </w:p>
          <w:p w14:paraId="4B5DD4D2"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Uppdelning efter olika typer av säkerheter</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0" w:name="_Toc19715825"/>
      <w:bookmarkStart w:id="61" w:name="_Toc151714465"/>
      <w:r>
        <w:rPr>
          <w:sz w:val="24"/>
          <w:rFonts w:ascii="Times New Roman" w:hAnsi="Times New Roman"/>
        </w:rPr>
        <w:t xml:space="preserve">C 34.09 – Kreditderivatexponeringar</w:t>
      </w:r>
      <w:bookmarkEnd w:id="60"/>
      <w:bookmarkEnd w:id="61"/>
    </w:p>
    <w:p w14:paraId="64D36FD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2" w:name="_Toc19715826"/>
      <w:bookmarkStart w:id="63" w:name="_Toc151714466"/>
      <w:r>
        <w:rPr>
          <w:sz w:val="24"/>
          <w:rFonts w:ascii="Times New Roman" w:hAnsi="Times New Roman"/>
        </w:rPr>
        <w:t xml:space="preserve">Instruktioner för specifika positioner</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r>
              <w:rPr>
                <w:b/>
                <w:sz w:val="24"/>
                <w:rFonts w:ascii="Times New Roman" w:hAnsi="Times New Roman"/>
              </w:rPr>
              <w:t xml:space="preserv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KREDITDERIVATSKYDD</w:t>
            </w:r>
          </w:p>
          <w:p w14:paraId="7A5AD5A8" w14:textId="77777777" w:rsidR="00EF74C7" w:rsidRPr="002A677E" w:rsidRDefault="00EF74C7" w:rsidP="00822842">
            <w:pPr>
              <w:autoSpaceDE w:val="0"/>
              <w:autoSpaceDN w:val="0"/>
              <w:adjustRightInd w:val="0"/>
              <w:spacing w:before="60"/>
              <w:rPr>
                <w:b/>
                <w:sz w:val="24"/>
                <w:rFonts w:ascii="Times New Roman" w:hAnsi="Times New Roman"/>
              </w:rPr>
            </w:pPr>
            <w:r>
              <w:rPr>
                <w:sz w:val="24"/>
                <w:rFonts w:ascii="Times New Roman" w:hAnsi="Times New Roman"/>
              </w:rPr>
              <w:t xml:space="preserve">Kreditderivatskydd som köpts eller sålts.</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TEORETISKA BELOPP</w:t>
            </w:r>
            <w:r>
              <w:rPr>
                <w:rStyle w:val="InstructionsTabelleberschrift"/>
                <w:sz w:val="24"/>
                <w:rFonts w:ascii="Times New Roman" w:hAnsi="Times New Roman"/>
              </w:rPr>
              <w:t xml:space="preserve"> </w:t>
            </w:r>
          </w:p>
          <w:p w14:paraId="10378DB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Summan av de teoretiska derivatbeloppen före eventuell nettning, uppdelade efter produkttyp.</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sz w:val="24"/>
                <w:rFonts w:ascii="Times New Roman" w:hAnsi="Times New Roman"/>
              </w:rPr>
            </w:pPr>
            <w:r>
              <w:rPr>
                <w:rStyle w:val="InstructionsTabelleberschrift"/>
                <w:sz w:val="24"/>
                <w:rFonts w:ascii="Times New Roman" w:hAnsi="Times New Roman"/>
              </w:rPr>
              <w:t xml:space="preserve">VERKLIGA VÄRDEN</w:t>
            </w:r>
          </w:p>
          <w:p w14:paraId="3C50834E" w14:textId="77777777" w:rsidR="00EF74C7" w:rsidRPr="002A677E" w:rsidRDefault="00EF74C7" w:rsidP="00822842">
            <w:pPr>
              <w:autoSpaceDE w:val="0"/>
              <w:autoSpaceDN w:val="0"/>
              <w:adjustRightInd w:val="0"/>
              <w:spacing w:before="60"/>
              <w:rPr>
                <w:i/>
                <w:sz w:val="24"/>
                <w:rFonts w:ascii="Times New Roman" w:hAnsi="Times New Roman"/>
              </w:rPr>
            </w:pPr>
            <w:r>
              <w:rPr>
                <w:sz w:val="24"/>
                <w:rFonts w:ascii="Times New Roman" w:hAnsi="Times New Roman"/>
              </w:rPr>
              <w:t xml:space="preserve">Summan av verkliga värden uppdelade efter skydd som köpts eller skydd som sålts.</w:t>
            </w:r>
            <w:r>
              <w:rPr>
                <w:sz w:val="24"/>
                <w:rFonts w:ascii="Times New Roman" w:hAnsi="Times New Roman"/>
              </w:rPr>
              <w:t xml:space="preserve">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822842">
        <w:trPr>
          <w:trHeight w:val="238"/>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Rad</w:t>
            </w:r>
            <w:r>
              <w:rPr>
                <w:b/>
                <w:sz w:val="24"/>
                <w:rFonts w:ascii="Times New Roman" w:hAnsi="Times New Roman"/>
              </w:rPr>
              <w:t xml:space="preserv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Produkttyp</w:t>
            </w:r>
          </w:p>
          <w:p w14:paraId="6C2C37AC"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Uppdelning av kreditderivat efter produkttyp.</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Summa</w:t>
            </w:r>
          </w:p>
          <w:p w14:paraId="6166DDC1" w14:textId="77777777" w:rsidR="00EF74C7" w:rsidRPr="002A677E" w:rsidRDefault="00EF74C7" w:rsidP="00822842">
            <w:pPr>
              <w:autoSpaceDE w:val="0"/>
              <w:autoSpaceDN w:val="0"/>
              <w:adjustRightInd w:val="0"/>
              <w:rPr>
                <w:rStyle w:val="InstructionsTabelleberschrift"/>
                <w:b w:val="0"/>
                <w:sz w:val="24"/>
                <w:u w:val="none"/>
                <w:rFonts w:ascii="Times New Roman" w:hAnsi="Times New Roman"/>
              </w:rPr>
            </w:pPr>
            <w:r>
              <w:rPr>
                <w:rStyle w:val="InstructionsTabelleberschrift"/>
                <w:b w:val="0"/>
                <w:sz w:val="24"/>
                <w:u w:val="none"/>
                <w:rFonts w:ascii="Times New Roman" w:hAnsi="Times New Roman"/>
              </w:rPr>
              <w:t xml:space="preserve">Summan av alla produkttyper.</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sz w:val="24"/>
                <w:rFonts w:ascii="Times New Roman" w:hAnsi="Times New Roman"/>
              </w:rPr>
            </w:pPr>
            <w:r>
              <w:rPr>
                <w:sz w:val="24"/>
                <w:rFonts w:ascii="Times New Roman" w:hAnsi="Times New Roman"/>
              </w:rPr>
              <w:t xml:space="preserve">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sz w:val="24"/>
                <w:rFonts w:ascii="Times New Roman" w:hAnsi="Times New Roman"/>
              </w:rPr>
            </w:pPr>
            <w:r>
              <w:rPr>
                <w:rStyle w:val="InstructionsTabelleberschrift"/>
                <w:sz w:val="24"/>
                <w:rFonts w:ascii="Times New Roman" w:hAnsi="Times New Roman"/>
              </w:rPr>
              <w:t xml:space="preserve">Verkliga värden</w:t>
            </w:r>
          </w:p>
          <w:p w14:paraId="69350AE6" w14:textId="77777777" w:rsidR="00EF74C7" w:rsidRPr="002A677E" w:rsidRDefault="00EF74C7" w:rsidP="00822842">
            <w:pPr>
              <w:autoSpaceDE w:val="0"/>
              <w:autoSpaceDN w:val="0"/>
              <w:adjustRightInd w:val="0"/>
              <w:rPr>
                <w:bCs/>
                <w:sz w:val="24"/>
                <w:rFonts w:ascii="Times New Roman" w:hAnsi="Times New Roman"/>
              </w:rPr>
            </w:pPr>
            <w:r>
              <w:rPr>
                <w:sz w:val="24"/>
                <w:rFonts w:ascii="Times New Roman" w:hAnsi="Times New Roman"/>
              </w:rPr>
              <w:t xml:space="preserve">Verkliga värden uppdelade efter produkttyp samt tillgångar (positiva verkliga värden) och skulder (negativa verkliga värden).</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64" w:name="_Toc19715827"/>
      <w:bookmarkStart w:id="65" w:name="_Toc151714467"/>
      <w:r>
        <w:rPr>
          <w:sz w:val="24"/>
          <w:rFonts w:ascii="Times New Roman" w:hAnsi="Times New Roman"/>
        </w:rPr>
        <w:t xml:space="preserve">C 34.10 – Exponeringar mot centrala motparter</w:t>
      </w:r>
      <w:bookmarkEnd w:id="64"/>
      <w:bookmarkEnd w:id="65"/>
    </w:p>
    <w:p w14:paraId="61966719"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6" w:name="_Toc19715828"/>
      <w:bookmarkStart w:id="67" w:name="_Toc151714468"/>
      <w:r>
        <w:rPr>
          <w:sz w:val="24"/>
          <w:rFonts w:ascii="Times New Roman" w:hAnsi="Times New Roman"/>
        </w:rPr>
        <w:t xml:space="preserve">Allmänna kommentarer</w:t>
      </w:r>
      <w:bookmarkEnd w:id="66"/>
      <w:bookmarkEnd w:id="67"/>
    </w:p>
    <w:p w14:paraId="61FE0E56" w14:textId="36BE8166"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132</w:t>
      </w:r>
      <w:r>
        <w:fldChar w:fldCharType="end"/>
      </w:r>
      <w:r>
        <w:t xml:space="preserve">.</w:t>
      </w:r>
      <w:r>
        <w:t xml:space="preserve"> </w:t>
      </w:r>
      <w:r>
        <w:t xml:space="preserve">Instituten ska rapportera information om exponeringar mot centrala motparter, dvs. mot kontrakt och transaktioner som förtecknas i artikel 301.1 i förordning (EU) nr 575/2013 så länge de är utestående hos en central motpart, och exponeringar från motpartsrelaterade transaktioner, i enlighet med artikel 300.2 i) i den förordningen, för vilka kapitalbaskraven beräknas i enlighet med del tre avdelning II kapitel 6 avsnitt 9 i den förordningen.</w:t>
      </w:r>
      <w:r>
        <w:t xml:space="preserve"> </w:t>
      </w:r>
    </w:p>
    <w:p w14:paraId="6A78D46D"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68" w:name="_Toc19715829"/>
      <w:bookmarkStart w:id="69" w:name="_Toc151714469"/>
      <w:r>
        <w:rPr>
          <w:sz w:val="24"/>
          <w:rFonts w:ascii="Times New Roman" w:hAnsi="Times New Roman"/>
        </w:rPr>
        <w:t xml:space="preserve">Instruktioner för specifika positioner</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b/>
                <w:sz w:val="24"/>
                <w:rFonts w:ascii="Times New Roman" w:hAnsi="Times New Roman"/>
              </w:rPr>
            </w:pPr>
            <w:r>
              <w:rPr>
                <w:b/>
                <w:sz w:val="24"/>
                <w:rFonts w:ascii="Times New Roman" w:hAnsi="Times New Roman"/>
              </w:rPr>
              <w:t xml:space="preserve">Kolumn</w:t>
            </w:r>
            <w:r>
              <w:rPr>
                <w:b/>
                <w:sz w:val="24"/>
                <w:rFonts w:ascii="Times New Roman" w:hAnsi="Times New Roman"/>
              </w:rPr>
              <w:t xml:space="preserve"> </w:t>
            </w:r>
          </w:p>
        </w:tc>
      </w:tr>
      <w:tr w:rsidR="00EF74C7" w:rsidRPr="002A677E" w14:paraId="124AAA9B" w14:textId="77777777" w:rsidTr="00822842">
        <w:trPr>
          <w:trHeight w:val="680"/>
        </w:trPr>
        <w:tc>
          <w:tcPr>
            <w:tcW w:w="1384" w:type="dxa"/>
          </w:tcPr>
          <w:p w14:paraId="011E66AA" w14:textId="77777777" w:rsidR="00EF74C7" w:rsidRPr="002A677E" w:rsidRDefault="00EF74C7" w:rsidP="00822842">
            <w:pPr>
              <w:pStyle w:val="Applicationdirecte"/>
              <w:spacing w:before="0" w:after="0"/>
            </w:pPr>
            <w:r>
              <w:t xml:space="preserve">0010</w:t>
            </w:r>
          </w:p>
        </w:tc>
        <w:tc>
          <w:tcPr>
            <w:tcW w:w="7655" w:type="dxa"/>
            <w:vAlign w:val="center"/>
          </w:tcPr>
          <w:p w14:paraId="06553A7D"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EXPONERINGSVÄRDE</w:t>
            </w:r>
            <w:r>
              <w:rPr>
                <w:rStyle w:val="InstructionsTabelleberschrift"/>
                <w:sz w:val="24"/>
                <w:rFonts w:ascii="Times New Roman" w:hAnsi="Times New Roman"/>
              </w:rPr>
              <w:t xml:space="preserve"> </w:t>
            </w:r>
          </w:p>
          <w:p w14:paraId="0EB17FC4"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Exponeringsvärde för transaktioner som omfattas av del tre avdelning II kapitel 6 avsnitt 9 i förordning (EU) nr 575/2013, beräknat i enlighet med de relevanta metoder som fastställs i det kapitlet, särskilt avsnitt 9.</w:t>
            </w:r>
          </w:p>
          <w:p w14:paraId="4A7F4393"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Det exponeringsvärde som rapporteras ska vara det belopp som är relevant för beräkning av kapitalbaskraven i enlighet med del tre avdelning II kapitel 6 avsnitt 9 i förordning (EU) nr 575/2013, med beaktande av kraven i artikel 497 i den förordningen under den övergångsperiod som föreskrivs i den artikeln.</w:t>
            </w:r>
          </w:p>
          <w:p w14:paraId="0F502FE9"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En exponering kan vara en handelsexponering enligt definitionen i artikel 4.1.91 i förordning (EU) nr 575/2013.</w:t>
            </w:r>
          </w:p>
        </w:tc>
      </w:tr>
      <w:tr w:rsidR="00EF74C7" w:rsidRPr="002A677E" w14:paraId="774930E7" w14:textId="77777777" w:rsidTr="00822842">
        <w:trPr>
          <w:trHeight w:val="680"/>
        </w:trPr>
        <w:tc>
          <w:tcPr>
            <w:tcW w:w="1384" w:type="dxa"/>
          </w:tcPr>
          <w:p w14:paraId="557FAF2F" w14:textId="77777777" w:rsidR="00EF74C7" w:rsidRPr="002A677E" w:rsidRDefault="00EF74C7" w:rsidP="00822842">
            <w:pPr>
              <w:pStyle w:val="Applicationdirecte"/>
              <w:spacing w:before="0" w:after="0"/>
            </w:pPr>
            <w:r>
              <w:t xml:space="preserve">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sz w:val="24"/>
                <w:rFonts w:ascii="Times New Roman" w:hAnsi="Times New Roman"/>
              </w:rPr>
            </w:pPr>
            <w:r>
              <w:rPr>
                <w:rStyle w:val="InstructionsTabelleberschrift"/>
                <w:sz w:val="24"/>
                <w:rFonts w:ascii="Times New Roman" w:hAnsi="Times New Roman"/>
              </w:rPr>
              <w:t xml:space="preserve">RISKVÄGDA EXPONERINGSBELOPP</w:t>
            </w:r>
          </w:p>
          <w:p w14:paraId="5DA0A790" w14:textId="77777777" w:rsidR="00EF74C7" w:rsidRPr="002A677E" w:rsidRDefault="00EF74C7" w:rsidP="00822842">
            <w:pPr>
              <w:keepNext/>
              <w:spacing w:before="60"/>
              <w:rPr>
                <w:strike/>
                <w:sz w:val="24"/>
                <w:rFonts w:ascii="Times New Roman" w:hAnsi="Times New Roman"/>
              </w:rPr>
            </w:pPr>
            <w:r>
              <w:rPr>
                <w:sz w:val="24"/>
                <w:rFonts w:ascii="Times New Roman" w:hAnsi="Times New Roman"/>
              </w:rPr>
              <w:t xml:space="preserve">Riskvägda exponeringsbelopp som fastställs i enlighet med del tre avdelning II kapitel 6 avsnitt 9 i förordning (EU) nr 575/2013, med beaktande av kraven i artikel 497 i den förordningen under den övergångsperiod som föreskrivs i den artikeln.</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822842">
            <w:pPr>
              <w:autoSpaceDE w:val="0"/>
              <w:autoSpaceDN w:val="0"/>
              <w:adjustRightInd w:val="0"/>
              <w:rPr>
                <w:sz w:val="24"/>
                <w:rFonts w:ascii="Times New Roman" w:hAnsi="Times New Roman"/>
              </w:rPr>
            </w:pPr>
            <w:r>
              <w:rPr>
                <w:b/>
                <w:sz w:val="24"/>
                <w:rFonts w:ascii="Times New Roman" w:hAnsi="Times New Roman"/>
              </w:rPr>
              <w:t xml:space="preserve">Rad</w:t>
            </w:r>
            <w:r>
              <w:rPr>
                <w:b/>
                <w:sz w:val="24"/>
                <w:rFonts w:ascii="Times New Roman" w:hAnsi="Times New Roman"/>
              </w:rPr>
              <w:t xml:space="preserv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 xml:space="preserve">0010–0100</w:t>
            </w:r>
          </w:p>
        </w:tc>
        <w:tc>
          <w:tcPr>
            <w:tcW w:w="7655" w:type="dxa"/>
            <w:vAlign w:val="center"/>
          </w:tcPr>
          <w:p w14:paraId="23F00BBB" w14:textId="77777777" w:rsidR="00EF74C7" w:rsidRPr="002A677E" w:rsidRDefault="00EF74C7" w:rsidP="00822842">
            <w:pPr>
              <w:spacing w:beforeLines="60" w:before="144" w:afterLines="60" w:after="144"/>
              <w:rPr>
                <w:sz w:val="24"/>
                <w:rFonts w:ascii="Times New Roman" w:hAnsi="Times New Roman"/>
              </w:rPr>
            </w:pPr>
            <w:r>
              <w:rPr>
                <w:sz w:val="24"/>
                <w:rStyle w:val="InstructionsTabelleberschrift"/>
                <w:rFonts w:ascii="Times New Roman" w:hAnsi="Times New Roman"/>
              </w:rPr>
              <w:t xml:space="preserve">Kvalificerad central motpart (QCCP)</w:t>
            </w:r>
            <w:r>
              <w:rPr>
                <w:sz w:val="24"/>
                <w:rFonts w:ascii="Times New Roman" w:hAnsi="Times New Roman"/>
              </w:rPr>
              <w:t xml:space="preserve"> </w:t>
            </w:r>
          </w:p>
          <w:p w14:paraId="4AFED555" w14:textId="77777777" w:rsidR="00EF74C7" w:rsidRPr="002A677E" w:rsidRDefault="00EF74C7" w:rsidP="00822842">
            <w:pPr>
              <w:spacing w:beforeLines="60" w:before="144" w:afterLines="60" w:after="144"/>
              <w:rPr>
                <w:sz w:val="24"/>
                <w:rFonts w:ascii="Times New Roman" w:hAnsi="Times New Roman"/>
              </w:rPr>
            </w:pPr>
            <w:r>
              <w:rPr>
                <w:sz w:val="24"/>
                <w:rFonts w:ascii="Times New Roman" w:hAnsi="Times New Roman"/>
              </w:rPr>
              <w:t xml:space="preserve">En kvalificerad central motpart enligt definitionen i artikel 4.1.88 i förordning (EU) nr 575/2013.</w:t>
            </w:r>
            <w:r>
              <w:rPr>
                <w:sz w:val="24"/>
                <w:rFonts w:ascii="Times New Roman" w:hAnsi="Times New Roman"/>
              </w:rPr>
              <w:t xml:space="preserve">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 xml:space="preserve">0070, 0080</w:t>
            </w:r>
          </w:p>
          <w:p w14:paraId="30D4CBEC" w14:textId="77777777" w:rsidR="00EF74C7" w:rsidRPr="002A677E" w:rsidRDefault="00EF74C7" w:rsidP="00822842">
            <w:pPr>
              <w:pStyle w:val="Fait"/>
            </w:pPr>
            <w:r>
              <w:t xml:space="preserve">0170, 0180</w:t>
            </w:r>
          </w:p>
        </w:tc>
        <w:tc>
          <w:tcPr>
            <w:tcW w:w="7655" w:type="dxa"/>
            <w:vAlign w:val="center"/>
          </w:tcPr>
          <w:p w14:paraId="6E9FD7DA" w14:textId="77777777" w:rsidR="00EF74C7" w:rsidRPr="002A677E" w:rsidRDefault="00EF74C7" w:rsidP="00822842">
            <w:pPr>
              <w:keepNext/>
              <w:spacing w:before="60"/>
              <w:rPr>
                <w:rStyle w:val="InstructionsTabelleberschrift"/>
                <w:b w:val="0"/>
                <w:sz w:val="24"/>
                <w:rFonts w:ascii="Times New Roman" w:hAnsi="Times New Roman"/>
              </w:rPr>
            </w:pPr>
            <w:r>
              <w:rPr>
                <w:rStyle w:val="InstructionsTabelleberschrift"/>
                <w:sz w:val="24"/>
                <w:rFonts w:ascii="Times New Roman" w:hAnsi="Times New Roman"/>
              </w:rPr>
              <w:t xml:space="preserve">Initial marginalsäkerhet</w:t>
            </w:r>
          </w:p>
          <w:p w14:paraId="0528AC1A"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Se instruktioner för mall C 34.08.</w:t>
            </w:r>
          </w:p>
          <w:p w14:paraId="045F1620" w14:textId="77777777" w:rsidR="00EF74C7" w:rsidRPr="002A677E" w:rsidRDefault="00EF74C7" w:rsidP="00822842">
            <w:pPr>
              <w:keepNext/>
              <w:spacing w:before="60"/>
              <w:rPr>
                <w:i/>
                <w:sz w:val="24"/>
                <w:rFonts w:ascii="Times New Roman" w:hAnsi="Times New Roman"/>
              </w:rPr>
            </w:pPr>
            <w:r>
              <w:rPr>
                <w:sz w:val="24"/>
                <w:rFonts w:ascii="Times New Roman" w:hAnsi="Times New Roman"/>
              </w:rPr>
              <w:t xml:space="preserve">För användningen av denna mall ska initial marginalsäkerhet inte omfatta bidrag till en central motpart för ömsesidiga förlustdelningsarrangemang (dvs. om en central motpart använder initial marginalsäkerhet för att göra förluster ömsesidiga mellan clearingmedlemmar ska det behandlas som en obeståndsfondsexponering).</w:t>
            </w:r>
            <w:r>
              <w:rPr>
                <w:sz w:val="24"/>
                <w:rFonts w:ascii="Times New Roman" w:hAnsi="Times New Roman"/>
              </w:rPr>
              <w:t xml:space="preserve">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 xml:space="preserve">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Förfinansierade bidrag till obeståndsfond</w:t>
            </w:r>
          </w:p>
          <w:p w14:paraId="10ECCD47"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Artiklarna 308 och 309 i förordning (EU) nr 575/2013,</w:t>
            </w:r>
            <w:r>
              <w:rPr>
                <w:sz w:val="24"/>
                <w:rFonts w:ascii="Times New Roman" w:hAnsi="Times New Roman"/>
              </w:rPr>
              <w:t xml:space="preserve"> </w:t>
            </w:r>
            <w:r>
              <w:rPr>
                <w:sz w:val="24"/>
                <w:rFonts w:ascii="Times New Roman" w:hAnsi="Times New Roman"/>
              </w:rPr>
              <w:t xml:space="preserve">en obeståndsfond enligt definitionen i artikel 4.1.89 i förordning (EU) nr 575/2013.</w:t>
            </w:r>
            <w:r>
              <w:rPr>
                <w:sz w:val="24"/>
                <w:rFonts w:ascii="Times New Roman" w:hAnsi="Times New Roman"/>
              </w:rPr>
              <w:t xml:space="preserve"> </w:t>
            </w:r>
            <w:r>
              <w:rPr>
                <w:sz w:val="24"/>
                <w:rFonts w:ascii="Times New Roman" w:hAnsi="Times New Roman"/>
              </w:rPr>
              <w:t xml:space="preserve">bidrag till en central motparts obeståndsfond som institutet betalar in.</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 xml:space="preserve">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Ofinansierade bidrag till obeståndsfond</w:t>
            </w:r>
          </w:p>
          <w:p w14:paraId="4758699C" w14:textId="77777777" w:rsidR="00EF74C7" w:rsidRPr="002A677E" w:rsidRDefault="00EF74C7" w:rsidP="00822842">
            <w:pPr>
              <w:keepNext/>
              <w:spacing w:before="60"/>
              <w:rPr>
                <w:rStyle w:val="InstructionsTabelleberschrift"/>
                <w:b w:val="0"/>
                <w:bCs w:val="0"/>
                <w:sz w:val="24"/>
                <w:rFonts w:ascii="Times New Roman" w:hAnsi="Times New Roman"/>
              </w:rPr>
            </w:pPr>
            <w:r>
              <w:rPr>
                <w:sz w:val="24"/>
                <w:rFonts w:ascii="Times New Roman" w:hAnsi="Times New Roman"/>
              </w:rPr>
              <w:t xml:space="preserve">Artiklarna 309 och 310 i förordning (EU) nr 575/2013,</w:t>
            </w:r>
            <w:r>
              <w:rPr>
                <w:sz w:val="24"/>
                <w:rFonts w:ascii="Times New Roman" w:hAnsi="Times New Roman"/>
              </w:rPr>
              <w:t xml:space="preserve"> </w:t>
            </w:r>
            <w:r>
              <w:rPr>
                <w:sz w:val="24"/>
                <w:rFonts w:ascii="Times New Roman" w:hAnsi="Times New Roman"/>
              </w:rPr>
              <w:t xml:space="preserve">en obeståndsfond enligt definitionen i artikel 4.1.89 i förordning (EU) nr 575/2013.</w:t>
            </w:r>
          </w:p>
          <w:p w14:paraId="25D87385" w14:textId="77777777" w:rsidR="00EF74C7" w:rsidRPr="002A677E" w:rsidRDefault="00EF74C7" w:rsidP="00822842">
            <w:pPr>
              <w:keepNext/>
              <w:spacing w:before="60"/>
              <w:rPr>
                <w:sz w:val="24"/>
                <w:rFonts w:ascii="Times New Roman" w:hAnsi="Times New Roman"/>
              </w:rPr>
            </w:pPr>
            <w:r>
              <w:rPr>
                <w:sz w:val="24"/>
                <w:rFonts w:ascii="Times New Roman" w:hAnsi="Times New Roman"/>
              </w:rPr>
              <w:t xml:space="preserve">Instituten ska rapportera bidrag som ett institut som fungerar som clearingmedlem enligt avtal har åtagit sig att tillhandahålla en central motpart efter det att den centrala motparten har förbrukat sin obeståndsfond för att täcka de förluster som den ådragit sig till följd av att en eller flera clearingmedlemmar har fallerat.</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 xml:space="preserve">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Segregerad</w:t>
            </w:r>
          </w:p>
          <w:p w14:paraId="7144C419"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Se instruktioner för mall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 xml:space="preserve">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Ej segregerad</w:t>
            </w:r>
          </w:p>
          <w:p w14:paraId="002F04D5" w14:textId="77777777" w:rsidR="00EF74C7" w:rsidRPr="002A677E" w:rsidRDefault="00EF74C7" w:rsidP="00822842">
            <w:pPr>
              <w:spacing w:before="60"/>
              <w:rPr>
                <w:sz w:val="24"/>
                <w:rFonts w:ascii="Times New Roman" w:eastAsia="Calibri" w:hAnsi="Times New Roman"/>
              </w:rPr>
            </w:pPr>
            <w:r>
              <w:rPr>
                <w:sz w:val="24"/>
                <w:rFonts w:ascii="Times New Roman" w:hAnsi="Times New Roman"/>
              </w:rPr>
              <w:t xml:space="preserve">Se instruktioner för mall C 34.08.</w:t>
            </w:r>
          </w:p>
        </w:tc>
      </w:tr>
    </w:tbl>
    <w:p w14:paraId="7128280E" w14:textId="77777777" w:rsidR="00EF74C7" w:rsidRPr="002A677E" w:rsidRDefault="00EF74C7" w:rsidP="00EF74C7">
      <w:pPr>
        <w:pStyle w:val="Instructionsberschrift2"/>
        <w:numPr>
          <w:ilvl w:val="2"/>
          <w:numId w:val="29"/>
        </w:numPr>
        <w:rPr>
          <w:sz w:val="24"/>
          <w:rFonts w:ascii="Times New Roman" w:hAnsi="Times New Roman" w:cs="Times New Roman"/>
        </w:rPr>
      </w:pPr>
      <w:bookmarkStart w:id="70" w:name="_Toc19715830"/>
      <w:bookmarkStart w:id="71" w:name="_Toc151714470"/>
      <w:r>
        <w:rPr>
          <w:sz w:val="24"/>
          <w:rFonts w:ascii="Times New Roman" w:hAnsi="Times New Roman"/>
        </w:rPr>
        <w:t xml:space="preserve">C 34.11 – Flödesanalys för riskvägda exponeringsbelopp för motpartsriskexponeringar enligt metoden med interna modeller</w:t>
      </w:r>
      <w:bookmarkEnd w:id="70"/>
      <w:bookmarkEnd w:id="71"/>
    </w:p>
    <w:p w14:paraId="2C95A3D6"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2" w:name="_Toc19715831"/>
      <w:bookmarkStart w:id="73" w:name="_Toc151714471"/>
      <w:r>
        <w:rPr>
          <w:sz w:val="24"/>
          <w:rFonts w:ascii="Times New Roman" w:hAnsi="Times New Roman"/>
        </w:rPr>
        <w:t xml:space="preserve">Allmänna kommentarer</w:t>
      </w:r>
      <w:bookmarkEnd w:id="72"/>
      <w:bookmarkEnd w:id="73"/>
    </w:p>
    <w:p w14:paraId="03BB213D" w14:textId="647FCB93"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133</w:t>
      </w:r>
      <w:r>
        <w:fldChar w:fldCharType="end"/>
      </w:r>
      <w:r>
        <w:t xml:space="preserve">.</w:t>
      </w:r>
      <w:r>
        <w:t xml:space="preserve"> </w:t>
      </w:r>
      <w:r>
        <w:t xml:space="preserve">Institut som använder metoden med interna modeller för att beräkna riskvägda exponeringsbelopp för alla eller delar av sina motpartsriskexponeringar i enlighet med del tre avdelning II kapitel 6 i förordning (EU) nr 575/2013, oavsett vilken kreditriskmetod som används för att fastställa motsvarande riskvikter, ska rapportera denna mall med en flödesanalys som förklarar förändringar i riskvägda exponeringsbelopp för derivat och transaktioner för värdepappersfinansiering som omfattas av metoden med interna modeller, uppdelat efter viktiga orsaker och baserat på rimliga uppskattningar.</w:t>
      </w:r>
    </w:p>
    <w:p w14:paraId="3CF6C221" w14:textId="3050BF14"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134</w:t>
      </w:r>
      <w:r>
        <w:fldChar w:fldCharType="end"/>
      </w:r>
      <w:r>
        <w:t xml:space="preserve">.</w:t>
      </w:r>
      <w:r>
        <w:t xml:space="preserve"> </w:t>
      </w:r>
      <w:r>
        <w:t xml:space="preserve">Institut som ska rapportera denna blankett kvartalsvis ska endast fylla i kolumn 0010.</w:t>
      </w:r>
      <w:r>
        <w:t xml:space="preserve"> </w:t>
      </w:r>
      <w:r>
        <w:t xml:space="preserve">Institut som ska rapportera denna blankett årligen ska endast fylla i kolumn 0020.</w:t>
      </w:r>
      <w:r>
        <w:t xml:space="preserve"> </w:t>
      </w:r>
    </w:p>
    <w:p w14:paraId="618242D4" w14:textId="24BF40AD" w:rsidR="00EF74C7" w:rsidRPr="002A677E" w:rsidRDefault="00EF74C7" w:rsidP="00EF74C7">
      <w:pPr>
        <w:pStyle w:val="InstructionsText2"/>
        <w:numPr>
          <w:ilvl w:val="0"/>
          <w:numId w:val="0"/>
        </w:numPr>
        <w:ind w:left="993"/>
      </w:pPr>
      <w:r>
        <w:fldChar w:fldCharType="begin" w:dirty="true"/>
      </w:r>
      <w:r>
        <w:instrText>seq paragraphs</w:instrText>
      </w:r>
      <w:r>
        <w:fldChar w:fldCharType="separate"/>
      </w:r>
      <w:r w:rsidRPr="002A677E">
        <w:t>135</w:t>
      </w:r>
      <w:r>
        <w:fldChar w:fldCharType="end"/>
      </w:r>
      <w:r>
        <w:t xml:space="preserve">.</w:t>
      </w:r>
      <w:r>
        <w:t xml:space="preserve"> </w:t>
      </w:r>
      <w:r>
        <w:t xml:space="preserve">I denna mall ingår inte riskvägda exponeringsbelopp för exponeringar mot en central motpart (del tre avdelning II kapitel 6 avsnitt 9 i förordning (EU) nr 575/2013).</w:t>
      </w:r>
    </w:p>
    <w:p w14:paraId="5D4AACDC" w14:textId="77777777" w:rsidR="00EF74C7" w:rsidRPr="002A677E" w:rsidRDefault="00EF74C7" w:rsidP="00EF74C7">
      <w:pPr>
        <w:pStyle w:val="Instructionsberschrift2"/>
        <w:numPr>
          <w:ilvl w:val="3"/>
          <w:numId w:val="29"/>
        </w:numPr>
        <w:rPr>
          <w:sz w:val="24"/>
          <w:rFonts w:ascii="Times New Roman" w:hAnsi="Times New Roman" w:cs="Times New Roman"/>
        </w:rPr>
      </w:pPr>
      <w:bookmarkStart w:id="74" w:name="_Toc19715832"/>
      <w:bookmarkStart w:id="75" w:name="_Toc151714472"/>
      <w:r>
        <w:rPr>
          <w:sz w:val="24"/>
          <w:rFonts w:ascii="Times New Roman" w:hAnsi="Times New Roman"/>
        </w:rPr>
        <w:t xml:space="preserve">Instruktioner för specifika positioner</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b/>
                <w:sz w:val="24"/>
                <w:rFonts w:ascii="Times New Roman" w:hAnsi="Times New Roman"/>
              </w:rPr>
            </w:pPr>
            <w:r>
              <w:rPr>
                <w:b/>
                <w:sz w:val="24"/>
                <w:rFonts w:ascii="Times New Roman" w:hAnsi="Times New Roman"/>
              </w:rPr>
              <w:t xml:space="preserve">Kolumn</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 xml:space="preserve">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RISKVÄGDA EXPONERINGSBELOPP</w:t>
            </w:r>
          </w:p>
          <w:p w14:paraId="0630F3A5" w14:textId="03B5FB80" w:rsidR="00EF74C7" w:rsidRPr="002A677E" w:rsidRDefault="00EF74C7" w:rsidP="00822842">
            <w:pPr>
              <w:rPr>
                <w:sz w:val="24"/>
                <w:rFonts w:ascii="Times New Roman" w:hAnsi="Times New Roman"/>
              </w:rPr>
            </w:pPr>
            <w:r>
              <w:rPr>
                <w:sz w:val="24"/>
                <w:rFonts w:ascii="Times New Roman" w:hAnsi="Times New Roman"/>
              </w:rPr>
              <w:t xml:space="preserve">Riskvägda exponeringsbelopp, enligt definitionen i artikel 92.3 i förordning (EU) nr 575/2013, för positioner vars riskvikter uppskattas på grundval av kraven i del tre avdelning II kapitlen 2 och 3 i förordning (EU) nr 575/2013 och för vilka institutet har fått tillstånd att fastställa exponeringsvärdet beräknat med hjälp av metoden med interna modeller (IMM) i enlighet med del tre avdelning II kapitel 6 avsnitt 6 i den förordningen.</w:t>
            </w:r>
            <w:r>
              <w:rPr>
                <w:sz w:val="24"/>
                <w:rFonts w:ascii="Times New Roman" w:hAnsi="Times New Roman"/>
              </w:rPr>
              <w:t xml:space="preserve"> </w:t>
            </w:r>
          </w:p>
          <w:p w14:paraId="1EFFB8C4"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Stödfaktorerna för små och medelstora företag och infrastruktur som fastställs i artiklarna 501 och 501a i förordning (EU) nr 575/2013 ska beaktas.</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b/>
                <w:sz w:val="24"/>
                <w:rFonts w:ascii="Times New Roman" w:hAnsi="Times New Roman"/>
              </w:rPr>
            </w:pPr>
            <w:r>
              <w:rPr>
                <w:b/>
                <w:sz w:val="24"/>
                <w:rFonts w:ascii="Times New Roman" w:hAnsi="Times New Roman"/>
              </w:rPr>
              <w:t xml:space="preserve">Rad</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 xml:space="preserve">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RISKVÄGDA EXPONERINGSBELOPP PER SLUTET AV FÖREGÅENDE RAPPORTERINGSPERIOD</w:t>
            </w:r>
          </w:p>
          <w:p w14:paraId="27A42CBA"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Riskvägda exponeringsbelopp för motpartsriskexponeringar enligt metoden med interna modeller per slutet av föregående rapporteringsperiod</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 xml:space="preserve">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Tillgångsstorlek</w:t>
            </w:r>
          </w:p>
          <w:p w14:paraId="1826143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i riskvägda exponeringsbelopp (positiva eller negativa) till följd av förändringar i storleken på bokfört värde och sammansättning som ett resultat av den normala verksamheten (inklusive ny verksamhet och utlöpande exponeringar), men exklusive förändringar i det bokförda värdet till följd av förvärv och avyttring av enheter.</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 xml:space="preserve">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Motparternas kreditkvalitet</w:t>
            </w:r>
            <w:r>
              <w:rPr>
                <w:rStyle w:val="InstructionsTabelleberschrift"/>
                <w:sz w:val="24"/>
                <w:rFonts w:ascii="Times New Roman" w:hAnsi="Times New Roman"/>
              </w:rPr>
              <w:t xml:space="preserve"> </w:t>
            </w:r>
          </w:p>
          <w:p w14:paraId="250F3251"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av riskvägda exponeringsbelopp (positiva eller negativa) till följd av förändringar i institutets motparters kreditkvalitet, mätt i enlighet med kreditriskramen, oavsett vilken metod institutet använder.</w:t>
            </w:r>
            <w:r>
              <w:rPr>
                <w:sz w:val="24"/>
                <w:rFonts w:ascii="Times New Roman" w:hAnsi="Times New Roman"/>
              </w:rPr>
              <w:t xml:space="preserve"> </w:t>
            </w:r>
            <w:r>
              <w:rPr>
                <w:sz w:val="24"/>
                <w:rFonts w:ascii="Times New Roman" w:hAnsi="Times New Roman"/>
              </w:rPr>
              <w:t xml:space="preserve">I denna rad ingår även potentiella förändringar i riskvägda exponeringsbelopp till följd av internmetoder när institutet använder en internmetod.</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t xml:space="preserve">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Modelluppdateringar (endast metoden med interna modeller)</w:t>
            </w:r>
          </w:p>
          <w:p w14:paraId="18D81B07"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av riskvägda exponeringsbelopp (positiva eller negativa) till följd av modellgenomförande, förändringar i modellens räckvidd eller eventuella ändringar för att åtgärda brister i modellen.</w:t>
            </w:r>
          </w:p>
          <w:p w14:paraId="35919C0F"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Denna rad gäller endast förändringar av IMM-modellen.</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 xml:space="preserve">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Metodologi och reglering (endast metoden för interna modeller)</w:t>
            </w:r>
          </w:p>
          <w:p w14:paraId="492776FC"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av riskvägda exponeringsbelopp (positiva eller negativa) till följd av metodförändringar för beräkningarna till följd av ändrad regleringspolitik, t.ex. nya regler (endast för IMM-modellen).</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 xml:space="preserve">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Förvärv och avyttringar</w:t>
            </w:r>
          </w:p>
          <w:p w14:paraId="556F6F9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av riskvägda exponeringsbelopp (positiva eller negativa) till följd av förändringar i storleken på bokfört värde till följd av förvärv och avyttring av enheter.</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 xml:space="preserve">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Växelkursförändringar</w:t>
            </w:r>
          </w:p>
          <w:p w14:paraId="29E3F8C8"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Förändringar av riskvägda exponeringsbelopp (positiva eller negativa) till följd av förändringar som uppstår genom rörelser av växelkurser för utländska valutor.</w:t>
            </w:r>
            <w:r>
              <w:rPr>
                <w:sz w:val="24"/>
                <w:rFonts w:ascii="Times New Roman" w:hAnsi="Times New Roman"/>
              </w:rPr>
              <w:t xml:space="preserve">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 xml:space="preserve">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Övrigt</w:t>
            </w:r>
          </w:p>
          <w:p w14:paraId="0BAC5EB4" w14:textId="77777777" w:rsidR="00EF74C7" w:rsidRPr="002A677E" w:rsidRDefault="00EF74C7" w:rsidP="00822842">
            <w:pPr>
              <w:spacing w:before="60"/>
              <w:rPr>
                <w:sz w:val="24"/>
                <w:rFonts w:ascii="Times New Roman" w:hAnsi="Times New Roman"/>
              </w:rPr>
            </w:pPr>
            <w:r>
              <w:rPr>
                <w:sz w:val="24"/>
                <w:rFonts w:ascii="Times New Roman" w:hAnsi="Times New Roman"/>
              </w:rPr>
              <w:t xml:space="preserve">Denna kategori ska användas för att fånga upp förändringar av riskvägda exponeringsbelopp (positiva eller negativa) som inte kan hänföras till ovanstående kategorier.</w:t>
            </w:r>
            <w:r>
              <w:rPr>
                <w:sz w:val="24"/>
                <w:rFonts w:ascii="Times New Roman" w:hAnsi="Times New Roman"/>
              </w:rPr>
              <w:t xml:space="preserv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 xml:space="preserve">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sz w:val="24"/>
                <w:rFonts w:ascii="Times New Roman" w:hAnsi="Times New Roman"/>
              </w:rPr>
            </w:pPr>
            <w:r>
              <w:rPr>
                <w:rStyle w:val="InstructionsTabelleberschrift"/>
                <w:sz w:val="24"/>
                <w:rFonts w:ascii="Times New Roman" w:hAnsi="Times New Roman"/>
              </w:rPr>
              <w:t xml:space="preserve">Riskvägda exponeringsbelopp per slutet av aktuell rapporteringsperiod</w:t>
            </w:r>
          </w:p>
          <w:p w14:paraId="51365175" w14:textId="77777777" w:rsidR="00EF74C7" w:rsidRPr="002A677E" w:rsidRDefault="00EF74C7" w:rsidP="00822842">
            <w:pPr>
              <w:spacing w:before="60"/>
              <w:rPr>
                <w:i/>
                <w:sz w:val="24"/>
                <w:rFonts w:ascii="Times New Roman" w:hAnsi="Times New Roman"/>
              </w:rPr>
            </w:pPr>
            <w:r>
              <w:rPr>
                <w:sz w:val="24"/>
                <w:rFonts w:ascii="Times New Roman" w:hAnsi="Times New Roman"/>
              </w:rPr>
              <w:t xml:space="preserve">Riskvägda exponeringsbelopp för motpartsriskexponeringar enligt metoden med interna modeller per slutet av aktuell rapporteringsperiod</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Title:  - Description: EBA Ordinarie användning"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Title:  - Description: EBA Ordinarie användning"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Ordinarie använd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Title:  - Description: EBA Ordinarie användning"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Ordinarie användning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val="sv-SE"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val="sv-SE"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val="sv-SE"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val="sv-SE"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val="sv-SE"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val="sv-SE"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val="sv-S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sv-SE"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sv-S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sv-S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sv-S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sv-S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sv-S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val="sv-SE"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sv-S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val="sv-SE"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sv-S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sv-S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val="sv-SE"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sv-S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val="sv-SE"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sv-S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val="sv-SE"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sv-SE"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val="sv-SE"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sv-SE"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sv-SE"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val="sv-SE"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val="sv-SE"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val="sv-SE"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sv-SE"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lang w:val="sv-SE"/>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sv-SE"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lang w:val="sv-SE"/>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val="sv-SE"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sv-SE"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lang w:val="sv-SE"/>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lang w:val="sv-SE"/>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lang w:val="sv-SE"/>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lang w:val="sv-SE"/>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val="sv-SE" w:eastAsia="en-GB"/>
    </w:rPr>
  </w:style>
  <w:style w:type="paragraph" w:customStyle="1" w:styleId="List1">
    <w:name w:val="List1"/>
    <w:autoRedefine/>
    <w:qFormat/>
    <w:rsid w:val="00EF74C7"/>
    <w:pPr>
      <w:numPr>
        <w:numId w:val="23"/>
      </w:numPr>
      <w:spacing w:after="0" w:line="240" w:lineRule="auto"/>
    </w:pPr>
    <w:rPr>
      <w:rFonts w:eastAsiaTheme="minorEastAsia"/>
      <w:kern w:val="0"/>
      <w:lang w:val="sv-SE"/>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lang w:val="sv-SE"/>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lang w:val="sv-SE"/>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sv-SE"/>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lang w:val="sv-SE"/>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lang w:val="sv-SE"/>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val="sv-SE"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lang w:val="sv-SE"/>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lang w:val="sv-SE"/>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lang w:val="sv-SE"/>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lang w:val="sv-SE"/>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sv-SE"/>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sv-SE"/>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val="sv-SE"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lang w:val="sv-SE"/>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lang w:val="sv-SE"/>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val="sv-SE"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val="sv-SE"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val="sv-SE"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val="sv-SE"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val="sv-SE"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sv-S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val="sv-SE"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B2F14C06-4134-4972-96E2-2F8616EFEE1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7372</Words>
  <Characters>42023</Characters>
  <Application>Microsoft Office Word</Application>
  <DocSecurity>0</DocSecurity>
  <Lines>350</Lines>
  <Paragraphs>98</Paragraphs>
  <ScaleCrop>false</ScaleCrop>
  <Company>European Banking Authority</Company>
  <LinksUpToDate>false</LinksUpToDate>
  <CharactersWithSpaces>49297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2024-06-19T16:03:00Z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ies>
</file>