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4B188" w14:textId="7DA9C519" w:rsidR="001F0676" w:rsidRPr="00500637" w:rsidRDefault="001F0676" w:rsidP="000B66BC">
      <w:pPr>
        <w:spacing w:after="240"/>
        <w:jc w:val="center"/>
        <w:rPr>
          <w:rFonts w:ascii="Times New Roman" w:hAnsi="Times New Roman"/>
          <w:sz w:val="24"/>
          <w:szCs w:val="24"/>
        </w:rPr>
      </w:pPr>
    </w:p>
    <w:p w14:paraId="6E4B8B64" w14:textId="77777777" w:rsidR="00BB7DB0" w:rsidRPr="00500637" w:rsidRDefault="00BB7DB0" w:rsidP="000B66BC">
      <w:pPr>
        <w:spacing w:after="240"/>
        <w:jc w:val="center"/>
        <w:rPr>
          <w:rFonts w:ascii="Times New Roman" w:hAnsi="Times New Roman"/>
          <w:sz w:val="24"/>
          <w:szCs w:val="24"/>
        </w:rPr>
      </w:pPr>
    </w:p>
    <w:p w14:paraId="764E2AE3" w14:textId="77777777" w:rsidR="00D0488C" w:rsidRPr="00500637" w:rsidRDefault="00D0488C" w:rsidP="00D0488C">
      <w:pPr>
        <w:jc w:val="center"/>
        <w:rPr>
          <w:rFonts w:ascii="Times New Roman" w:hAnsi="Times New Roman"/>
          <w:color w:val="auto"/>
          <w:sz w:val="24"/>
        </w:rPr>
      </w:pPr>
      <w:r w:rsidRPr="00500637">
        <w:rPr>
          <w:rFonts w:ascii="Times New Roman" w:hAnsi="Times New Roman"/>
          <w:sz w:val="24"/>
        </w:rPr>
        <w:t>DE</w:t>
      </w:r>
    </w:p>
    <w:p w14:paraId="2FD0301D" w14:textId="77777777" w:rsidR="00D0488C" w:rsidRPr="00500637" w:rsidRDefault="00D0488C" w:rsidP="00D0488C">
      <w:pPr>
        <w:rPr>
          <w:rFonts w:asciiTheme="minorHAnsi" w:hAnsiTheme="minorHAnsi"/>
          <w:sz w:val="22"/>
        </w:rPr>
      </w:pPr>
    </w:p>
    <w:p w14:paraId="632F6520" w14:textId="77777777" w:rsidR="001807E9" w:rsidRPr="00500637" w:rsidRDefault="001807E9" w:rsidP="000B66BC">
      <w:pPr>
        <w:spacing w:after="240"/>
        <w:jc w:val="center"/>
        <w:rPr>
          <w:rFonts w:ascii="Times New Roman" w:hAnsi="Times New Roman"/>
          <w:sz w:val="24"/>
          <w:szCs w:val="24"/>
        </w:rPr>
      </w:pPr>
    </w:p>
    <w:p w14:paraId="2C4768C0" w14:textId="77777777" w:rsidR="00A15D28" w:rsidRPr="00500637" w:rsidRDefault="00A15D28" w:rsidP="000B66BC">
      <w:pPr>
        <w:spacing w:after="240"/>
        <w:jc w:val="center"/>
        <w:rPr>
          <w:rFonts w:ascii="Times New Roman" w:hAnsi="Times New Roman"/>
          <w:sz w:val="24"/>
          <w:szCs w:val="24"/>
        </w:rPr>
      </w:pPr>
      <w:r w:rsidRPr="00500637">
        <w:rPr>
          <w:rFonts w:ascii="Times New Roman" w:hAnsi="Times New Roman"/>
          <w:sz w:val="24"/>
        </w:rPr>
        <w:t>ANHANG XI</w:t>
      </w:r>
    </w:p>
    <w:p w14:paraId="4A8A4559" w14:textId="0A064FD8" w:rsidR="00A15D28" w:rsidRPr="00500637" w:rsidRDefault="00A84D67" w:rsidP="000B66BC">
      <w:pPr>
        <w:spacing w:after="240"/>
        <w:jc w:val="center"/>
        <w:rPr>
          <w:rFonts w:ascii="Times New Roman" w:hAnsi="Times New Roman"/>
          <w:sz w:val="24"/>
          <w:szCs w:val="24"/>
        </w:rPr>
      </w:pPr>
      <w:r w:rsidRPr="00500637">
        <w:rPr>
          <w:rFonts w:ascii="Times New Roman" w:hAnsi="Times New Roman"/>
          <w:b/>
          <w:sz w:val="24"/>
        </w:rPr>
        <w:t>ERLÄUTERUNGEN FÜR DIE MELDUNG DER VERSCHULDUNG</w:t>
      </w:r>
    </w:p>
    <w:p w14:paraId="359338A1" w14:textId="77777777" w:rsidR="00F4754B" w:rsidRPr="00500637" w:rsidRDefault="00F4754B" w:rsidP="000B66BC">
      <w:pPr>
        <w:pStyle w:val="BodyText1"/>
        <w:spacing w:after="240"/>
        <w:rPr>
          <w:rFonts w:ascii="Times New Roman" w:hAnsi="Times New Roman"/>
          <w:sz w:val="24"/>
          <w:szCs w:val="24"/>
        </w:rPr>
      </w:pPr>
    </w:p>
    <w:p w14:paraId="6BF05566" w14:textId="77777777" w:rsidR="00A15D28" w:rsidRPr="00500637" w:rsidRDefault="00A15D28" w:rsidP="000B66BC">
      <w:pPr>
        <w:pStyle w:val="BodyText1"/>
        <w:spacing w:after="240"/>
        <w:rPr>
          <w:rFonts w:ascii="Times New Roman" w:hAnsi="Times New Roman"/>
          <w:sz w:val="24"/>
          <w:szCs w:val="24"/>
        </w:rPr>
      </w:pPr>
    </w:p>
    <w:p w14:paraId="7E090CE2" w14:textId="77777777" w:rsidR="00F4754B" w:rsidRPr="00500637" w:rsidRDefault="00F4754B" w:rsidP="000B66BC">
      <w:pPr>
        <w:pStyle w:val="BodyText1"/>
        <w:spacing w:after="240"/>
        <w:rPr>
          <w:rFonts w:ascii="Times New Roman" w:hAnsi="Times New Roman"/>
          <w:sz w:val="24"/>
          <w:szCs w:val="24"/>
        </w:rPr>
      </w:pPr>
    </w:p>
    <w:p w14:paraId="3C402A6B" w14:textId="77777777" w:rsidR="009112BB" w:rsidRPr="00500637" w:rsidRDefault="009112BB" w:rsidP="000B66BC">
      <w:pPr>
        <w:pStyle w:val="BodyText1"/>
        <w:spacing w:after="240"/>
        <w:ind w:left="720"/>
        <w:rPr>
          <w:rFonts w:ascii="Times New Roman" w:hAnsi="Times New Roman"/>
          <w:sz w:val="24"/>
          <w:szCs w:val="24"/>
        </w:rPr>
      </w:pPr>
    </w:p>
    <w:p w14:paraId="3A6FD1BB" w14:textId="71638957" w:rsidR="001703B4" w:rsidRPr="00500637" w:rsidRDefault="00391EF9" w:rsidP="00500637">
      <w:pPr>
        <w:pStyle w:val="TOC2"/>
        <w:rPr>
          <w:rFonts w:asciiTheme="minorHAnsi" w:eastAsiaTheme="minorEastAsia" w:hAnsiTheme="minorHAnsi" w:cstheme="minorBidi"/>
          <w:kern w:val="2"/>
          <w:sz w:val="22"/>
          <w:lang w:eastAsia="de-DE"/>
          <w14:ligatures w14:val="standardContextual"/>
        </w:rPr>
      </w:pPr>
      <w:r w:rsidRPr="00500637">
        <w:rPr>
          <w:rFonts w:ascii="Times New Roman" w:hAnsi="Times New Roman"/>
          <w:noProof w:val="0"/>
          <w:sz w:val="24"/>
        </w:rPr>
        <w:fldChar w:fldCharType="begin"/>
      </w:r>
      <w:r w:rsidRPr="00500637">
        <w:rPr>
          <w:rFonts w:ascii="Times New Roman" w:hAnsi="Times New Roman"/>
          <w:noProof w:val="0"/>
          <w:sz w:val="24"/>
        </w:rPr>
        <w:instrText xml:space="preserve"> TOC \o "1-3" \h \z \u </w:instrText>
      </w:r>
      <w:r w:rsidRPr="00500637">
        <w:rPr>
          <w:rFonts w:ascii="Times New Roman" w:hAnsi="Times New Roman"/>
          <w:noProof w:val="0"/>
          <w:sz w:val="24"/>
        </w:rPr>
        <w:fldChar w:fldCharType="separate"/>
      </w:r>
      <w:hyperlink w:anchor="_Toc188886272" w:history="1">
        <w:r w:rsidR="001703B4" w:rsidRPr="00500637">
          <w:rPr>
            <w:rStyle w:val="Hyperlink"/>
            <w:rFonts w:ascii="Times New Roman" w:hAnsi="Times New Roman"/>
          </w:rPr>
          <w:t>TEIL I: ALLGEMEINE ERLÄUTERUNGEN</w:t>
        </w:r>
        <w:r w:rsidR="001703B4" w:rsidRPr="00500637">
          <w:rPr>
            <w:webHidden/>
          </w:rPr>
          <w:tab/>
        </w:r>
        <w:r w:rsidR="001703B4" w:rsidRPr="00500637">
          <w:rPr>
            <w:webHidden/>
          </w:rPr>
          <w:fldChar w:fldCharType="begin"/>
        </w:r>
        <w:r w:rsidR="001703B4" w:rsidRPr="00500637">
          <w:rPr>
            <w:webHidden/>
          </w:rPr>
          <w:instrText xml:space="preserve"> PAGEREF _Toc188886272 \h </w:instrText>
        </w:r>
        <w:r w:rsidR="001703B4" w:rsidRPr="00500637">
          <w:rPr>
            <w:webHidden/>
          </w:rPr>
        </w:r>
        <w:r w:rsidR="001703B4" w:rsidRPr="00500637">
          <w:rPr>
            <w:webHidden/>
          </w:rPr>
          <w:fldChar w:fldCharType="separate"/>
        </w:r>
        <w:r w:rsidR="00AF4551">
          <w:rPr>
            <w:webHidden/>
          </w:rPr>
          <w:t>2</w:t>
        </w:r>
        <w:r w:rsidR="001703B4" w:rsidRPr="00500637">
          <w:rPr>
            <w:webHidden/>
          </w:rPr>
          <w:fldChar w:fldCharType="end"/>
        </w:r>
      </w:hyperlink>
    </w:p>
    <w:p w14:paraId="6ECDD337" w14:textId="30F69820" w:rsidR="001703B4" w:rsidRPr="00500637" w:rsidRDefault="00ED229A">
      <w:pPr>
        <w:pStyle w:val="TOC2"/>
        <w:rPr>
          <w:rFonts w:asciiTheme="minorHAnsi" w:eastAsiaTheme="minorEastAsia" w:hAnsiTheme="minorHAnsi" w:cstheme="minorBidi"/>
          <w:b w:val="0"/>
          <w:smallCaps w:val="0"/>
          <w:kern w:val="2"/>
          <w:sz w:val="22"/>
          <w:lang w:eastAsia="de-DE"/>
          <w14:ligatures w14:val="standardContextual"/>
        </w:rPr>
      </w:pPr>
      <w:hyperlink w:anchor="_Toc188886273" w:history="1">
        <w:r w:rsidR="001703B4" w:rsidRPr="00500637">
          <w:rPr>
            <w:rStyle w:val="Hyperlink"/>
            <w:rFonts w:ascii="Times New Roman" w:hAnsi="Times New Roman"/>
          </w:rPr>
          <w:t>1.</w:t>
        </w:r>
        <w:r w:rsidR="001703B4" w:rsidRPr="00500637">
          <w:rPr>
            <w:rFonts w:asciiTheme="minorHAnsi" w:eastAsiaTheme="minorEastAsia" w:hAnsiTheme="minorHAnsi" w:cstheme="minorBidi"/>
            <w:b w:val="0"/>
            <w:smallCaps w:val="0"/>
            <w:kern w:val="2"/>
            <w:sz w:val="22"/>
            <w:lang w:eastAsia="de-DE"/>
            <w14:ligatures w14:val="standardContextual"/>
          </w:rPr>
          <w:tab/>
        </w:r>
        <w:r w:rsidR="001703B4" w:rsidRPr="00500637">
          <w:rPr>
            <w:rStyle w:val="Hyperlink"/>
            <w:rFonts w:ascii="Times New Roman" w:hAnsi="Times New Roman"/>
          </w:rPr>
          <w:t>Aufbau und sonstige Konventionen</w:t>
        </w:r>
        <w:r w:rsidR="001703B4" w:rsidRPr="00500637">
          <w:rPr>
            <w:webHidden/>
          </w:rPr>
          <w:tab/>
        </w:r>
        <w:r w:rsidR="001703B4" w:rsidRPr="00500637">
          <w:rPr>
            <w:webHidden/>
          </w:rPr>
          <w:fldChar w:fldCharType="begin"/>
        </w:r>
        <w:r w:rsidR="001703B4" w:rsidRPr="00500637">
          <w:rPr>
            <w:webHidden/>
          </w:rPr>
          <w:instrText xml:space="preserve"> PAGEREF _Toc188886273 \h </w:instrText>
        </w:r>
        <w:r w:rsidR="001703B4" w:rsidRPr="00500637">
          <w:rPr>
            <w:webHidden/>
          </w:rPr>
        </w:r>
        <w:r w:rsidR="001703B4" w:rsidRPr="00500637">
          <w:rPr>
            <w:webHidden/>
          </w:rPr>
          <w:fldChar w:fldCharType="separate"/>
        </w:r>
        <w:r w:rsidR="00AF4551">
          <w:rPr>
            <w:webHidden/>
          </w:rPr>
          <w:t>2</w:t>
        </w:r>
        <w:r w:rsidR="001703B4" w:rsidRPr="00500637">
          <w:rPr>
            <w:webHidden/>
          </w:rPr>
          <w:fldChar w:fldCharType="end"/>
        </w:r>
      </w:hyperlink>
    </w:p>
    <w:p w14:paraId="692CCE7A" w14:textId="493B4F55" w:rsidR="001703B4" w:rsidRPr="00500637" w:rsidRDefault="00ED229A">
      <w:pPr>
        <w:pStyle w:val="TOC3"/>
        <w:rPr>
          <w:rFonts w:asciiTheme="minorHAnsi" w:eastAsiaTheme="minorEastAsia" w:hAnsiTheme="minorHAnsi" w:cstheme="minorBidi"/>
          <w:smallCaps w:val="0"/>
          <w:kern w:val="2"/>
          <w:sz w:val="22"/>
          <w:szCs w:val="22"/>
          <w:lang w:eastAsia="de-DE"/>
          <w14:ligatures w14:val="standardContextual"/>
        </w:rPr>
      </w:pPr>
      <w:hyperlink w:anchor="_Toc188886274" w:history="1">
        <w:r w:rsidR="001703B4" w:rsidRPr="00500637">
          <w:rPr>
            <w:rStyle w:val="Hyperlink"/>
            <w:rFonts w:ascii="Times New Roman" w:hAnsi="Times New Roman"/>
            <w:b/>
          </w:rPr>
          <w:t>1.1.</w:t>
        </w:r>
        <w:r w:rsidR="001703B4" w:rsidRPr="00500637">
          <w:rPr>
            <w:rFonts w:asciiTheme="minorHAnsi" w:eastAsiaTheme="minorEastAsia" w:hAnsiTheme="minorHAnsi" w:cstheme="minorBidi"/>
            <w:smallCaps w:val="0"/>
            <w:kern w:val="2"/>
            <w:sz w:val="22"/>
            <w:szCs w:val="22"/>
            <w:lang w:eastAsia="de-DE"/>
            <w14:ligatures w14:val="standardContextual"/>
          </w:rPr>
          <w:tab/>
        </w:r>
        <w:r w:rsidR="001703B4" w:rsidRPr="00500637">
          <w:rPr>
            <w:rStyle w:val="Hyperlink"/>
            <w:rFonts w:ascii="Times New Roman" w:hAnsi="Times New Roman"/>
            <w:b/>
          </w:rPr>
          <w:t>Aufbau</w:t>
        </w:r>
        <w:r w:rsidR="001703B4" w:rsidRPr="00500637">
          <w:rPr>
            <w:webHidden/>
          </w:rPr>
          <w:tab/>
        </w:r>
        <w:r w:rsidR="001703B4" w:rsidRPr="00500637">
          <w:rPr>
            <w:webHidden/>
          </w:rPr>
          <w:fldChar w:fldCharType="begin"/>
        </w:r>
        <w:r w:rsidR="001703B4" w:rsidRPr="00500637">
          <w:rPr>
            <w:webHidden/>
          </w:rPr>
          <w:instrText xml:space="preserve"> PAGEREF _Toc188886274 \h </w:instrText>
        </w:r>
        <w:r w:rsidR="001703B4" w:rsidRPr="00500637">
          <w:rPr>
            <w:webHidden/>
          </w:rPr>
        </w:r>
        <w:r w:rsidR="001703B4" w:rsidRPr="00500637">
          <w:rPr>
            <w:webHidden/>
          </w:rPr>
          <w:fldChar w:fldCharType="separate"/>
        </w:r>
        <w:r w:rsidR="00AF4551">
          <w:rPr>
            <w:webHidden/>
          </w:rPr>
          <w:t>2</w:t>
        </w:r>
        <w:r w:rsidR="001703B4" w:rsidRPr="00500637">
          <w:rPr>
            <w:webHidden/>
          </w:rPr>
          <w:fldChar w:fldCharType="end"/>
        </w:r>
      </w:hyperlink>
    </w:p>
    <w:p w14:paraId="76FA14EE" w14:textId="245E7371" w:rsidR="001703B4" w:rsidRPr="00500637" w:rsidRDefault="00ED229A">
      <w:pPr>
        <w:pStyle w:val="TOC3"/>
        <w:rPr>
          <w:rFonts w:asciiTheme="minorHAnsi" w:eastAsiaTheme="minorEastAsia" w:hAnsiTheme="minorHAnsi" w:cstheme="minorBidi"/>
          <w:smallCaps w:val="0"/>
          <w:kern w:val="2"/>
          <w:sz w:val="22"/>
          <w:szCs w:val="22"/>
          <w:lang w:eastAsia="de-DE"/>
          <w14:ligatures w14:val="standardContextual"/>
        </w:rPr>
      </w:pPr>
      <w:hyperlink w:anchor="_Toc188886275" w:history="1">
        <w:r w:rsidR="001703B4" w:rsidRPr="00500637">
          <w:rPr>
            <w:rStyle w:val="Hyperlink"/>
            <w:rFonts w:ascii="Times New Roman" w:hAnsi="Times New Roman"/>
            <w:b/>
          </w:rPr>
          <w:t>1.2.</w:t>
        </w:r>
        <w:r w:rsidR="001703B4" w:rsidRPr="00500637">
          <w:rPr>
            <w:rFonts w:asciiTheme="minorHAnsi" w:eastAsiaTheme="minorEastAsia" w:hAnsiTheme="minorHAnsi" w:cstheme="minorBidi"/>
            <w:smallCaps w:val="0"/>
            <w:kern w:val="2"/>
            <w:sz w:val="22"/>
            <w:szCs w:val="22"/>
            <w:lang w:eastAsia="de-DE"/>
            <w14:ligatures w14:val="standardContextual"/>
          </w:rPr>
          <w:tab/>
        </w:r>
        <w:r w:rsidR="001703B4" w:rsidRPr="00500637">
          <w:rPr>
            <w:rStyle w:val="Hyperlink"/>
            <w:rFonts w:ascii="Times New Roman" w:hAnsi="Times New Roman"/>
            <w:b/>
          </w:rPr>
          <w:t>Nummerierungskonvention</w:t>
        </w:r>
        <w:r w:rsidR="001703B4" w:rsidRPr="00500637">
          <w:rPr>
            <w:webHidden/>
          </w:rPr>
          <w:tab/>
        </w:r>
        <w:r w:rsidR="001703B4" w:rsidRPr="00500637">
          <w:rPr>
            <w:webHidden/>
          </w:rPr>
          <w:fldChar w:fldCharType="begin"/>
        </w:r>
        <w:r w:rsidR="001703B4" w:rsidRPr="00500637">
          <w:rPr>
            <w:webHidden/>
          </w:rPr>
          <w:instrText xml:space="preserve"> PAGEREF _Toc188886275 \h </w:instrText>
        </w:r>
        <w:r w:rsidR="001703B4" w:rsidRPr="00500637">
          <w:rPr>
            <w:webHidden/>
          </w:rPr>
        </w:r>
        <w:r w:rsidR="001703B4" w:rsidRPr="00500637">
          <w:rPr>
            <w:webHidden/>
          </w:rPr>
          <w:fldChar w:fldCharType="separate"/>
        </w:r>
        <w:r w:rsidR="00AF4551">
          <w:rPr>
            <w:webHidden/>
          </w:rPr>
          <w:t>2</w:t>
        </w:r>
        <w:r w:rsidR="001703B4" w:rsidRPr="00500637">
          <w:rPr>
            <w:webHidden/>
          </w:rPr>
          <w:fldChar w:fldCharType="end"/>
        </w:r>
      </w:hyperlink>
    </w:p>
    <w:p w14:paraId="7301DCE7" w14:textId="6D323BF4" w:rsidR="001703B4" w:rsidRPr="00500637" w:rsidRDefault="00ED229A">
      <w:pPr>
        <w:pStyle w:val="TOC3"/>
        <w:rPr>
          <w:rFonts w:asciiTheme="minorHAnsi" w:eastAsiaTheme="minorEastAsia" w:hAnsiTheme="minorHAnsi" w:cstheme="minorBidi"/>
          <w:smallCaps w:val="0"/>
          <w:kern w:val="2"/>
          <w:sz w:val="22"/>
          <w:szCs w:val="22"/>
          <w:lang w:eastAsia="de-DE"/>
          <w14:ligatures w14:val="standardContextual"/>
        </w:rPr>
      </w:pPr>
      <w:hyperlink w:anchor="_Toc188886276" w:history="1">
        <w:r w:rsidR="001703B4" w:rsidRPr="00500637">
          <w:rPr>
            <w:rStyle w:val="Hyperlink"/>
            <w:rFonts w:ascii="Times New Roman" w:hAnsi="Times New Roman"/>
            <w:b/>
          </w:rPr>
          <w:t>1.3.</w:t>
        </w:r>
        <w:r w:rsidR="001703B4" w:rsidRPr="00500637">
          <w:rPr>
            <w:rFonts w:asciiTheme="minorHAnsi" w:eastAsiaTheme="minorEastAsia" w:hAnsiTheme="minorHAnsi" w:cstheme="minorBidi"/>
            <w:smallCaps w:val="0"/>
            <w:kern w:val="2"/>
            <w:sz w:val="22"/>
            <w:szCs w:val="22"/>
            <w:lang w:eastAsia="de-DE"/>
            <w14:ligatures w14:val="standardContextual"/>
          </w:rPr>
          <w:tab/>
        </w:r>
        <w:r w:rsidR="001703B4" w:rsidRPr="00500637">
          <w:rPr>
            <w:rStyle w:val="Hyperlink"/>
            <w:rFonts w:ascii="Times New Roman" w:hAnsi="Times New Roman"/>
            <w:b/>
          </w:rPr>
          <w:t>Abkürzungen</w:t>
        </w:r>
        <w:r w:rsidR="001703B4" w:rsidRPr="00500637">
          <w:rPr>
            <w:webHidden/>
          </w:rPr>
          <w:tab/>
        </w:r>
        <w:r w:rsidR="001703B4" w:rsidRPr="00500637">
          <w:rPr>
            <w:webHidden/>
          </w:rPr>
          <w:fldChar w:fldCharType="begin"/>
        </w:r>
        <w:r w:rsidR="001703B4" w:rsidRPr="00500637">
          <w:rPr>
            <w:webHidden/>
          </w:rPr>
          <w:instrText xml:space="preserve"> PAGEREF _Toc188886276 \h </w:instrText>
        </w:r>
        <w:r w:rsidR="001703B4" w:rsidRPr="00500637">
          <w:rPr>
            <w:webHidden/>
          </w:rPr>
        </w:r>
        <w:r w:rsidR="001703B4" w:rsidRPr="00500637">
          <w:rPr>
            <w:webHidden/>
          </w:rPr>
          <w:fldChar w:fldCharType="separate"/>
        </w:r>
        <w:r w:rsidR="00AF4551">
          <w:rPr>
            <w:webHidden/>
          </w:rPr>
          <w:t>3</w:t>
        </w:r>
        <w:r w:rsidR="001703B4" w:rsidRPr="00500637">
          <w:rPr>
            <w:webHidden/>
          </w:rPr>
          <w:fldChar w:fldCharType="end"/>
        </w:r>
      </w:hyperlink>
    </w:p>
    <w:p w14:paraId="2984803B" w14:textId="1EA35DF5" w:rsidR="001703B4" w:rsidRPr="00500637" w:rsidRDefault="00ED229A">
      <w:pPr>
        <w:pStyle w:val="TOC3"/>
        <w:rPr>
          <w:rFonts w:asciiTheme="minorHAnsi" w:eastAsiaTheme="minorEastAsia" w:hAnsiTheme="minorHAnsi" w:cstheme="minorBidi"/>
          <w:smallCaps w:val="0"/>
          <w:kern w:val="2"/>
          <w:sz w:val="22"/>
          <w:szCs w:val="22"/>
          <w:lang w:eastAsia="de-DE"/>
          <w14:ligatures w14:val="standardContextual"/>
        </w:rPr>
      </w:pPr>
      <w:hyperlink w:anchor="_Toc188886277" w:history="1">
        <w:r w:rsidR="001703B4" w:rsidRPr="00500637">
          <w:rPr>
            <w:rStyle w:val="Hyperlink"/>
            <w:rFonts w:ascii="Times New Roman" w:hAnsi="Times New Roman"/>
            <w:b/>
          </w:rPr>
          <w:t>1.4.</w:t>
        </w:r>
        <w:r w:rsidR="001703B4" w:rsidRPr="00500637">
          <w:rPr>
            <w:rFonts w:asciiTheme="minorHAnsi" w:eastAsiaTheme="minorEastAsia" w:hAnsiTheme="minorHAnsi" w:cstheme="minorBidi"/>
            <w:smallCaps w:val="0"/>
            <w:kern w:val="2"/>
            <w:sz w:val="22"/>
            <w:szCs w:val="22"/>
            <w:lang w:eastAsia="de-DE"/>
            <w14:ligatures w14:val="standardContextual"/>
          </w:rPr>
          <w:tab/>
        </w:r>
        <w:r w:rsidR="001703B4" w:rsidRPr="00500637">
          <w:rPr>
            <w:rStyle w:val="Hyperlink"/>
            <w:rFonts w:ascii="Times New Roman" w:hAnsi="Times New Roman"/>
            <w:b/>
          </w:rPr>
          <w:t>Vorzeichenkonvention</w:t>
        </w:r>
        <w:r w:rsidR="001703B4" w:rsidRPr="00500637">
          <w:rPr>
            <w:webHidden/>
          </w:rPr>
          <w:tab/>
        </w:r>
        <w:r w:rsidR="001703B4" w:rsidRPr="00500637">
          <w:rPr>
            <w:webHidden/>
          </w:rPr>
          <w:fldChar w:fldCharType="begin"/>
        </w:r>
        <w:r w:rsidR="001703B4" w:rsidRPr="00500637">
          <w:rPr>
            <w:webHidden/>
          </w:rPr>
          <w:instrText xml:space="preserve"> PAGEREF _Toc188886277 \h </w:instrText>
        </w:r>
        <w:r w:rsidR="001703B4" w:rsidRPr="00500637">
          <w:rPr>
            <w:webHidden/>
          </w:rPr>
        </w:r>
        <w:r w:rsidR="001703B4" w:rsidRPr="00500637">
          <w:rPr>
            <w:webHidden/>
          </w:rPr>
          <w:fldChar w:fldCharType="separate"/>
        </w:r>
        <w:r w:rsidR="00AF4551">
          <w:rPr>
            <w:webHidden/>
          </w:rPr>
          <w:t>3</w:t>
        </w:r>
        <w:r w:rsidR="001703B4" w:rsidRPr="00500637">
          <w:rPr>
            <w:webHidden/>
          </w:rPr>
          <w:fldChar w:fldCharType="end"/>
        </w:r>
      </w:hyperlink>
    </w:p>
    <w:p w14:paraId="5B382A14" w14:textId="376371AF" w:rsidR="001703B4" w:rsidRPr="00500637" w:rsidRDefault="00ED229A" w:rsidP="00500637">
      <w:pPr>
        <w:pStyle w:val="TOC2"/>
        <w:rPr>
          <w:rFonts w:asciiTheme="minorHAnsi" w:eastAsiaTheme="minorEastAsia" w:hAnsiTheme="minorHAnsi" w:cstheme="minorBidi"/>
          <w:kern w:val="2"/>
          <w:sz w:val="22"/>
          <w:lang w:eastAsia="de-DE"/>
          <w14:ligatures w14:val="standardContextual"/>
        </w:rPr>
      </w:pPr>
      <w:hyperlink w:anchor="_Toc188886278" w:history="1">
        <w:r w:rsidR="001703B4" w:rsidRPr="00500637">
          <w:rPr>
            <w:rStyle w:val="Hyperlink"/>
            <w:rFonts w:ascii="Times New Roman" w:hAnsi="Times New Roman"/>
          </w:rPr>
          <w:t>TEIL II: ERLÄUTERUNGEN ZU DEN EINZELNEN MELDEBÖGEN</w:t>
        </w:r>
        <w:r w:rsidR="001703B4" w:rsidRPr="00500637">
          <w:rPr>
            <w:webHidden/>
          </w:rPr>
          <w:tab/>
        </w:r>
        <w:r w:rsidR="001703B4" w:rsidRPr="00500637">
          <w:rPr>
            <w:webHidden/>
          </w:rPr>
          <w:fldChar w:fldCharType="begin"/>
        </w:r>
        <w:r w:rsidR="001703B4" w:rsidRPr="00500637">
          <w:rPr>
            <w:webHidden/>
          </w:rPr>
          <w:instrText xml:space="preserve"> PAGEREF _Toc188886278 \h </w:instrText>
        </w:r>
        <w:r w:rsidR="001703B4" w:rsidRPr="00500637">
          <w:rPr>
            <w:webHidden/>
          </w:rPr>
        </w:r>
        <w:r w:rsidR="001703B4" w:rsidRPr="00500637">
          <w:rPr>
            <w:webHidden/>
          </w:rPr>
          <w:fldChar w:fldCharType="separate"/>
        </w:r>
        <w:r w:rsidR="00AF4551">
          <w:rPr>
            <w:webHidden/>
          </w:rPr>
          <w:t>4</w:t>
        </w:r>
        <w:r w:rsidR="001703B4" w:rsidRPr="00500637">
          <w:rPr>
            <w:webHidden/>
          </w:rPr>
          <w:fldChar w:fldCharType="end"/>
        </w:r>
      </w:hyperlink>
    </w:p>
    <w:p w14:paraId="14B32885" w14:textId="4A7DE67C" w:rsidR="001703B4" w:rsidRPr="00500637" w:rsidRDefault="00ED229A">
      <w:pPr>
        <w:pStyle w:val="TOC2"/>
        <w:rPr>
          <w:rFonts w:asciiTheme="minorHAnsi" w:eastAsiaTheme="minorEastAsia" w:hAnsiTheme="minorHAnsi" w:cstheme="minorBidi"/>
          <w:b w:val="0"/>
          <w:smallCaps w:val="0"/>
          <w:kern w:val="2"/>
          <w:sz w:val="22"/>
          <w:lang w:eastAsia="de-DE"/>
          <w14:ligatures w14:val="standardContextual"/>
        </w:rPr>
      </w:pPr>
      <w:hyperlink w:anchor="_Toc188886279" w:history="1">
        <w:r w:rsidR="001703B4" w:rsidRPr="00500637">
          <w:rPr>
            <w:rStyle w:val="Hyperlink"/>
            <w:rFonts w:ascii="Times New Roman" w:hAnsi="Times New Roman"/>
          </w:rPr>
          <w:t>1.</w:t>
        </w:r>
        <w:r w:rsidR="001703B4" w:rsidRPr="00500637">
          <w:rPr>
            <w:rFonts w:asciiTheme="minorHAnsi" w:eastAsiaTheme="minorEastAsia" w:hAnsiTheme="minorHAnsi" w:cstheme="minorBidi"/>
            <w:b w:val="0"/>
            <w:smallCaps w:val="0"/>
            <w:kern w:val="2"/>
            <w:sz w:val="22"/>
            <w:lang w:eastAsia="de-DE"/>
            <w14:ligatures w14:val="standardContextual"/>
          </w:rPr>
          <w:tab/>
        </w:r>
        <w:r w:rsidR="001703B4" w:rsidRPr="00500637">
          <w:rPr>
            <w:rStyle w:val="Hyperlink"/>
            <w:rFonts w:ascii="Times New Roman" w:hAnsi="Times New Roman"/>
          </w:rPr>
          <w:t>Formeln zur Berechnung der Verschuldungsquote</w:t>
        </w:r>
        <w:r w:rsidR="001703B4" w:rsidRPr="00500637">
          <w:rPr>
            <w:webHidden/>
          </w:rPr>
          <w:tab/>
        </w:r>
        <w:r w:rsidR="001703B4" w:rsidRPr="00500637">
          <w:rPr>
            <w:webHidden/>
          </w:rPr>
          <w:fldChar w:fldCharType="begin"/>
        </w:r>
        <w:r w:rsidR="001703B4" w:rsidRPr="00500637">
          <w:rPr>
            <w:webHidden/>
          </w:rPr>
          <w:instrText xml:space="preserve"> PAGEREF _Toc188886279 \h </w:instrText>
        </w:r>
        <w:r w:rsidR="001703B4" w:rsidRPr="00500637">
          <w:rPr>
            <w:webHidden/>
          </w:rPr>
        </w:r>
        <w:r w:rsidR="001703B4" w:rsidRPr="00500637">
          <w:rPr>
            <w:webHidden/>
          </w:rPr>
          <w:fldChar w:fldCharType="separate"/>
        </w:r>
        <w:r w:rsidR="00AF4551">
          <w:rPr>
            <w:webHidden/>
          </w:rPr>
          <w:t>4</w:t>
        </w:r>
        <w:r w:rsidR="001703B4" w:rsidRPr="00500637">
          <w:rPr>
            <w:webHidden/>
          </w:rPr>
          <w:fldChar w:fldCharType="end"/>
        </w:r>
      </w:hyperlink>
    </w:p>
    <w:p w14:paraId="38263555" w14:textId="241DCC17" w:rsidR="001703B4" w:rsidRPr="00500637" w:rsidRDefault="00ED229A">
      <w:pPr>
        <w:pStyle w:val="TOC2"/>
        <w:rPr>
          <w:rFonts w:asciiTheme="minorHAnsi" w:eastAsiaTheme="minorEastAsia" w:hAnsiTheme="minorHAnsi" w:cstheme="minorBidi"/>
          <w:b w:val="0"/>
          <w:smallCaps w:val="0"/>
          <w:kern w:val="2"/>
          <w:sz w:val="22"/>
          <w:lang w:eastAsia="de-DE"/>
          <w14:ligatures w14:val="standardContextual"/>
        </w:rPr>
      </w:pPr>
      <w:hyperlink w:anchor="_Toc188886280" w:history="1">
        <w:r w:rsidR="001703B4" w:rsidRPr="00500637">
          <w:rPr>
            <w:rStyle w:val="Hyperlink"/>
            <w:rFonts w:ascii="Times New Roman" w:hAnsi="Times New Roman"/>
          </w:rPr>
          <w:t>2.</w:t>
        </w:r>
        <w:r w:rsidR="001703B4" w:rsidRPr="00500637">
          <w:rPr>
            <w:rFonts w:asciiTheme="minorHAnsi" w:eastAsiaTheme="minorEastAsia" w:hAnsiTheme="minorHAnsi" w:cstheme="minorBidi"/>
            <w:b w:val="0"/>
            <w:smallCaps w:val="0"/>
            <w:kern w:val="2"/>
            <w:sz w:val="22"/>
            <w:lang w:eastAsia="de-DE"/>
            <w14:ligatures w14:val="standardContextual"/>
          </w:rPr>
          <w:tab/>
        </w:r>
        <w:r w:rsidR="001703B4" w:rsidRPr="00500637">
          <w:rPr>
            <w:rStyle w:val="Hyperlink"/>
            <w:rFonts w:ascii="Times New Roman" w:hAnsi="Times New Roman"/>
          </w:rPr>
          <w:t>Erheblichkeitsschwellen für Derivate</w:t>
        </w:r>
        <w:r w:rsidR="001703B4" w:rsidRPr="00500637">
          <w:rPr>
            <w:webHidden/>
          </w:rPr>
          <w:tab/>
        </w:r>
        <w:r w:rsidR="001703B4" w:rsidRPr="00500637">
          <w:rPr>
            <w:webHidden/>
          </w:rPr>
          <w:fldChar w:fldCharType="begin"/>
        </w:r>
        <w:r w:rsidR="001703B4" w:rsidRPr="00500637">
          <w:rPr>
            <w:webHidden/>
          </w:rPr>
          <w:instrText xml:space="preserve"> PAGEREF _Toc188886280 \h </w:instrText>
        </w:r>
        <w:r w:rsidR="001703B4" w:rsidRPr="00500637">
          <w:rPr>
            <w:webHidden/>
          </w:rPr>
        </w:r>
        <w:r w:rsidR="001703B4" w:rsidRPr="00500637">
          <w:rPr>
            <w:webHidden/>
          </w:rPr>
          <w:fldChar w:fldCharType="separate"/>
        </w:r>
        <w:r w:rsidR="00AF4551">
          <w:rPr>
            <w:webHidden/>
          </w:rPr>
          <w:t>4</w:t>
        </w:r>
        <w:r w:rsidR="001703B4" w:rsidRPr="00500637">
          <w:rPr>
            <w:webHidden/>
          </w:rPr>
          <w:fldChar w:fldCharType="end"/>
        </w:r>
      </w:hyperlink>
    </w:p>
    <w:p w14:paraId="2CD8CE81" w14:textId="5969E72D" w:rsidR="001703B4" w:rsidRPr="00500637" w:rsidRDefault="00ED229A">
      <w:pPr>
        <w:pStyle w:val="TOC2"/>
        <w:rPr>
          <w:rFonts w:asciiTheme="minorHAnsi" w:eastAsiaTheme="minorEastAsia" w:hAnsiTheme="minorHAnsi" w:cstheme="minorBidi"/>
          <w:b w:val="0"/>
          <w:smallCaps w:val="0"/>
          <w:kern w:val="2"/>
          <w:sz w:val="22"/>
          <w:lang w:eastAsia="de-DE"/>
          <w14:ligatures w14:val="standardContextual"/>
        </w:rPr>
      </w:pPr>
      <w:hyperlink w:anchor="_Toc188886281" w:history="1">
        <w:r w:rsidR="001703B4" w:rsidRPr="00500637">
          <w:rPr>
            <w:rStyle w:val="Hyperlink"/>
            <w:rFonts w:ascii="Times New Roman" w:hAnsi="Times New Roman"/>
          </w:rPr>
          <w:t>3.</w:t>
        </w:r>
        <w:r w:rsidR="001703B4" w:rsidRPr="00500637">
          <w:rPr>
            <w:rFonts w:asciiTheme="minorHAnsi" w:eastAsiaTheme="minorEastAsia" w:hAnsiTheme="minorHAnsi" w:cstheme="minorBidi"/>
            <w:b w:val="0"/>
            <w:smallCaps w:val="0"/>
            <w:kern w:val="2"/>
            <w:sz w:val="22"/>
            <w:lang w:eastAsia="de-DE"/>
            <w14:ligatures w14:val="standardContextual"/>
          </w:rPr>
          <w:tab/>
        </w:r>
        <w:r w:rsidR="001703B4" w:rsidRPr="00500637">
          <w:rPr>
            <w:rStyle w:val="Hyperlink"/>
            <w:rFonts w:ascii="Times New Roman" w:hAnsi="Times New Roman"/>
          </w:rPr>
          <w:t>C 47.00 – Berechnung der Verschuldungsquote (LRCalc)</w:t>
        </w:r>
        <w:r w:rsidR="001703B4" w:rsidRPr="00500637">
          <w:rPr>
            <w:webHidden/>
          </w:rPr>
          <w:tab/>
        </w:r>
        <w:r w:rsidR="001703B4" w:rsidRPr="00500637">
          <w:rPr>
            <w:webHidden/>
          </w:rPr>
          <w:fldChar w:fldCharType="begin"/>
        </w:r>
        <w:r w:rsidR="001703B4" w:rsidRPr="00500637">
          <w:rPr>
            <w:webHidden/>
          </w:rPr>
          <w:instrText xml:space="preserve"> PAGEREF _Toc188886281 \h </w:instrText>
        </w:r>
        <w:r w:rsidR="001703B4" w:rsidRPr="00500637">
          <w:rPr>
            <w:webHidden/>
          </w:rPr>
        </w:r>
        <w:r w:rsidR="001703B4" w:rsidRPr="00500637">
          <w:rPr>
            <w:webHidden/>
          </w:rPr>
          <w:fldChar w:fldCharType="separate"/>
        </w:r>
        <w:r w:rsidR="00AF4551">
          <w:rPr>
            <w:webHidden/>
          </w:rPr>
          <w:t>5</w:t>
        </w:r>
        <w:r w:rsidR="001703B4" w:rsidRPr="00500637">
          <w:rPr>
            <w:webHidden/>
          </w:rPr>
          <w:fldChar w:fldCharType="end"/>
        </w:r>
      </w:hyperlink>
    </w:p>
    <w:p w14:paraId="1476EF6D" w14:textId="77C635A8" w:rsidR="001703B4" w:rsidRPr="00500637" w:rsidRDefault="00ED229A">
      <w:pPr>
        <w:pStyle w:val="TOC2"/>
        <w:rPr>
          <w:rFonts w:asciiTheme="minorHAnsi" w:eastAsiaTheme="minorEastAsia" w:hAnsiTheme="minorHAnsi" w:cstheme="minorBidi"/>
          <w:b w:val="0"/>
          <w:smallCaps w:val="0"/>
          <w:kern w:val="2"/>
          <w:sz w:val="22"/>
          <w:lang w:eastAsia="de-DE"/>
          <w14:ligatures w14:val="standardContextual"/>
        </w:rPr>
      </w:pPr>
      <w:hyperlink w:anchor="_Toc188886282" w:history="1">
        <w:r w:rsidR="001703B4" w:rsidRPr="00500637">
          <w:rPr>
            <w:rStyle w:val="Hyperlink"/>
            <w:rFonts w:ascii="Times New Roman" w:hAnsi="Times New Roman"/>
          </w:rPr>
          <w:t>4.</w:t>
        </w:r>
        <w:r w:rsidR="001703B4" w:rsidRPr="00500637">
          <w:rPr>
            <w:rFonts w:asciiTheme="minorHAnsi" w:eastAsiaTheme="minorEastAsia" w:hAnsiTheme="minorHAnsi" w:cstheme="minorBidi"/>
            <w:b w:val="0"/>
            <w:smallCaps w:val="0"/>
            <w:kern w:val="2"/>
            <w:sz w:val="22"/>
            <w:lang w:eastAsia="de-DE"/>
            <w14:ligatures w14:val="standardContextual"/>
          </w:rPr>
          <w:tab/>
        </w:r>
        <w:r w:rsidR="001703B4" w:rsidRPr="00500637">
          <w:rPr>
            <w:rStyle w:val="Hyperlink"/>
            <w:rFonts w:ascii="Times New Roman" w:hAnsi="Times New Roman"/>
          </w:rPr>
          <w:t>C 40.00 – Alternative Behandlung der Risikopositionsmessgröße (LR1)</w:t>
        </w:r>
        <w:r w:rsidR="001703B4" w:rsidRPr="00500637">
          <w:rPr>
            <w:webHidden/>
          </w:rPr>
          <w:tab/>
        </w:r>
        <w:r w:rsidR="001703B4" w:rsidRPr="00500637">
          <w:rPr>
            <w:webHidden/>
          </w:rPr>
          <w:fldChar w:fldCharType="begin"/>
        </w:r>
        <w:r w:rsidR="001703B4" w:rsidRPr="00500637">
          <w:rPr>
            <w:webHidden/>
          </w:rPr>
          <w:instrText xml:space="preserve"> PAGEREF _Toc188886282 \h </w:instrText>
        </w:r>
        <w:r w:rsidR="001703B4" w:rsidRPr="00500637">
          <w:rPr>
            <w:webHidden/>
          </w:rPr>
        </w:r>
        <w:r w:rsidR="001703B4" w:rsidRPr="00500637">
          <w:rPr>
            <w:webHidden/>
          </w:rPr>
          <w:fldChar w:fldCharType="separate"/>
        </w:r>
        <w:r w:rsidR="00AF4551">
          <w:rPr>
            <w:webHidden/>
          </w:rPr>
          <w:t>34</w:t>
        </w:r>
        <w:r w:rsidR="001703B4" w:rsidRPr="00500637">
          <w:rPr>
            <w:webHidden/>
          </w:rPr>
          <w:fldChar w:fldCharType="end"/>
        </w:r>
      </w:hyperlink>
    </w:p>
    <w:p w14:paraId="31CBE3CB" w14:textId="3CD0E3AB" w:rsidR="001703B4" w:rsidRPr="00500637" w:rsidRDefault="00ED229A">
      <w:pPr>
        <w:pStyle w:val="TOC2"/>
        <w:rPr>
          <w:rFonts w:asciiTheme="minorHAnsi" w:eastAsiaTheme="minorEastAsia" w:hAnsiTheme="minorHAnsi" w:cstheme="minorBidi"/>
          <w:b w:val="0"/>
          <w:smallCaps w:val="0"/>
          <w:kern w:val="2"/>
          <w:sz w:val="22"/>
          <w:lang w:eastAsia="de-DE"/>
          <w14:ligatures w14:val="standardContextual"/>
        </w:rPr>
      </w:pPr>
      <w:hyperlink w:anchor="_Toc188886283" w:history="1">
        <w:r w:rsidR="001703B4" w:rsidRPr="00500637">
          <w:rPr>
            <w:rStyle w:val="Hyperlink"/>
            <w:rFonts w:ascii="Times New Roman" w:hAnsi="Times New Roman"/>
          </w:rPr>
          <w:t>5.</w:t>
        </w:r>
        <w:r w:rsidR="001703B4" w:rsidRPr="00500637">
          <w:rPr>
            <w:rFonts w:asciiTheme="minorHAnsi" w:eastAsiaTheme="minorEastAsia" w:hAnsiTheme="minorHAnsi" w:cstheme="minorBidi"/>
            <w:b w:val="0"/>
            <w:smallCaps w:val="0"/>
            <w:kern w:val="2"/>
            <w:sz w:val="22"/>
            <w:lang w:eastAsia="de-DE"/>
            <w14:ligatures w14:val="standardContextual"/>
          </w:rPr>
          <w:tab/>
        </w:r>
        <w:r w:rsidR="001703B4" w:rsidRPr="00500637">
          <w:rPr>
            <w:rStyle w:val="Hyperlink"/>
            <w:rFonts w:ascii="Times New Roman" w:hAnsi="Times New Roman"/>
          </w:rPr>
          <w:t>C 43.00 – Alternative Aufgliederung der Bestandteile der Risikopositionsmessgröße für die Verschuldungsquote (LR4)</w:t>
        </w:r>
        <w:r w:rsidR="001703B4" w:rsidRPr="00500637">
          <w:rPr>
            <w:webHidden/>
          </w:rPr>
          <w:tab/>
        </w:r>
        <w:r w:rsidR="001703B4" w:rsidRPr="00500637">
          <w:rPr>
            <w:webHidden/>
          </w:rPr>
          <w:fldChar w:fldCharType="begin"/>
        </w:r>
        <w:r w:rsidR="001703B4" w:rsidRPr="00500637">
          <w:rPr>
            <w:webHidden/>
          </w:rPr>
          <w:instrText xml:space="preserve"> PAGEREF _Toc188886283 \h </w:instrText>
        </w:r>
        <w:r w:rsidR="001703B4" w:rsidRPr="00500637">
          <w:rPr>
            <w:webHidden/>
          </w:rPr>
        </w:r>
        <w:r w:rsidR="001703B4" w:rsidRPr="00500637">
          <w:rPr>
            <w:webHidden/>
          </w:rPr>
          <w:fldChar w:fldCharType="separate"/>
        </w:r>
        <w:r w:rsidR="00AF4551">
          <w:rPr>
            <w:webHidden/>
          </w:rPr>
          <w:t>47</w:t>
        </w:r>
        <w:r w:rsidR="001703B4" w:rsidRPr="00500637">
          <w:rPr>
            <w:webHidden/>
          </w:rPr>
          <w:fldChar w:fldCharType="end"/>
        </w:r>
      </w:hyperlink>
    </w:p>
    <w:p w14:paraId="75EEA940" w14:textId="0070502C" w:rsidR="001703B4" w:rsidRPr="00500637" w:rsidRDefault="00ED229A">
      <w:pPr>
        <w:pStyle w:val="TOC2"/>
        <w:rPr>
          <w:rFonts w:asciiTheme="minorHAnsi" w:eastAsiaTheme="minorEastAsia" w:hAnsiTheme="minorHAnsi" w:cstheme="minorBidi"/>
          <w:b w:val="0"/>
          <w:smallCaps w:val="0"/>
          <w:kern w:val="2"/>
          <w:sz w:val="22"/>
          <w:lang w:eastAsia="de-DE"/>
          <w14:ligatures w14:val="standardContextual"/>
        </w:rPr>
      </w:pPr>
      <w:hyperlink w:anchor="_Toc188886284" w:history="1">
        <w:r w:rsidR="001703B4" w:rsidRPr="00500637">
          <w:rPr>
            <w:rStyle w:val="Hyperlink"/>
            <w:rFonts w:ascii="Times New Roman" w:hAnsi="Times New Roman"/>
          </w:rPr>
          <w:t>6.</w:t>
        </w:r>
        <w:r w:rsidR="001703B4" w:rsidRPr="00500637">
          <w:rPr>
            <w:rFonts w:asciiTheme="minorHAnsi" w:eastAsiaTheme="minorEastAsia" w:hAnsiTheme="minorHAnsi" w:cstheme="minorBidi"/>
            <w:b w:val="0"/>
            <w:smallCaps w:val="0"/>
            <w:kern w:val="2"/>
            <w:sz w:val="22"/>
            <w:lang w:eastAsia="de-DE"/>
            <w14:ligatures w14:val="standardContextual"/>
          </w:rPr>
          <w:tab/>
        </w:r>
        <w:r w:rsidR="001703B4" w:rsidRPr="00500637">
          <w:rPr>
            <w:rStyle w:val="Hyperlink"/>
            <w:rFonts w:ascii="Times New Roman" w:hAnsi="Times New Roman"/>
          </w:rPr>
          <w:t>C 44.00 – Allgemeine Angaben (LR5)</w:t>
        </w:r>
        <w:r w:rsidR="001703B4" w:rsidRPr="00500637">
          <w:rPr>
            <w:webHidden/>
          </w:rPr>
          <w:tab/>
        </w:r>
        <w:r w:rsidR="001703B4" w:rsidRPr="00500637">
          <w:rPr>
            <w:webHidden/>
          </w:rPr>
          <w:fldChar w:fldCharType="begin"/>
        </w:r>
        <w:r w:rsidR="001703B4" w:rsidRPr="00500637">
          <w:rPr>
            <w:webHidden/>
          </w:rPr>
          <w:instrText xml:space="preserve"> PAGEREF _Toc188886284 \h </w:instrText>
        </w:r>
        <w:r w:rsidR="001703B4" w:rsidRPr="00500637">
          <w:rPr>
            <w:webHidden/>
          </w:rPr>
        </w:r>
        <w:r w:rsidR="001703B4" w:rsidRPr="00500637">
          <w:rPr>
            <w:webHidden/>
          </w:rPr>
          <w:fldChar w:fldCharType="separate"/>
        </w:r>
        <w:r w:rsidR="00AF4551">
          <w:rPr>
            <w:webHidden/>
          </w:rPr>
          <w:t>77</w:t>
        </w:r>
        <w:r w:rsidR="001703B4" w:rsidRPr="00500637">
          <w:rPr>
            <w:webHidden/>
          </w:rPr>
          <w:fldChar w:fldCharType="end"/>
        </w:r>
      </w:hyperlink>
    </w:p>
    <w:p w14:paraId="5FDFF987" w14:textId="1A3C0FEC" w:rsidR="001703B4" w:rsidRPr="00500637" w:rsidRDefault="00ED229A">
      <w:pPr>
        <w:pStyle w:val="TOC2"/>
        <w:rPr>
          <w:rFonts w:asciiTheme="minorHAnsi" w:eastAsiaTheme="minorEastAsia" w:hAnsiTheme="minorHAnsi" w:cstheme="minorBidi"/>
          <w:b w:val="0"/>
          <w:smallCaps w:val="0"/>
          <w:kern w:val="2"/>
          <w:sz w:val="22"/>
          <w:lang w:eastAsia="de-DE"/>
          <w14:ligatures w14:val="standardContextual"/>
        </w:rPr>
      </w:pPr>
      <w:hyperlink w:anchor="_Toc188886285" w:history="1">
        <w:r w:rsidR="001703B4" w:rsidRPr="00500637">
          <w:rPr>
            <w:rStyle w:val="Hyperlink"/>
            <w:rFonts w:ascii="Times New Roman" w:hAnsi="Times New Roman"/>
          </w:rPr>
          <w:t>7.</w:t>
        </w:r>
        <w:r w:rsidR="001703B4" w:rsidRPr="00500637">
          <w:rPr>
            <w:rFonts w:asciiTheme="minorHAnsi" w:eastAsiaTheme="minorEastAsia" w:hAnsiTheme="minorHAnsi" w:cstheme="minorBidi"/>
            <w:b w:val="0"/>
            <w:smallCaps w:val="0"/>
            <w:kern w:val="2"/>
            <w:sz w:val="22"/>
            <w:lang w:eastAsia="de-DE"/>
            <w14:ligatures w14:val="standardContextual"/>
          </w:rPr>
          <w:tab/>
        </w:r>
        <w:r w:rsidR="001703B4" w:rsidRPr="00500637">
          <w:rPr>
            <w:rStyle w:val="Hyperlink"/>
            <w:rFonts w:ascii="Times New Roman" w:hAnsi="Times New Roman"/>
          </w:rPr>
          <w:t>C 48.00 – Volatilität der Verschuldungsquote (LR6)</w:t>
        </w:r>
        <w:r w:rsidR="001703B4" w:rsidRPr="00500637">
          <w:rPr>
            <w:webHidden/>
          </w:rPr>
          <w:tab/>
        </w:r>
        <w:r w:rsidR="001703B4" w:rsidRPr="00500637">
          <w:rPr>
            <w:webHidden/>
          </w:rPr>
          <w:fldChar w:fldCharType="begin"/>
        </w:r>
        <w:r w:rsidR="001703B4" w:rsidRPr="00500637">
          <w:rPr>
            <w:webHidden/>
          </w:rPr>
          <w:instrText xml:space="preserve"> PAGEREF _Toc188886285 \h </w:instrText>
        </w:r>
        <w:r w:rsidR="001703B4" w:rsidRPr="00500637">
          <w:rPr>
            <w:webHidden/>
          </w:rPr>
        </w:r>
        <w:r w:rsidR="001703B4" w:rsidRPr="00500637">
          <w:rPr>
            <w:webHidden/>
          </w:rPr>
          <w:fldChar w:fldCharType="separate"/>
        </w:r>
        <w:r w:rsidR="00AF4551">
          <w:rPr>
            <w:webHidden/>
          </w:rPr>
          <w:t>79</w:t>
        </w:r>
        <w:r w:rsidR="001703B4" w:rsidRPr="00500637">
          <w:rPr>
            <w:webHidden/>
          </w:rPr>
          <w:fldChar w:fldCharType="end"/>
        </w:r>
      </w:hyperlink>
    </w:p>
    <w:p w14:paraId="2E74A4DC" w14:textId="1AA3E04A" w:rsidR="001703B4" w:rsidRPr="00500637" w:rsidRDefault="00ED229A">
      <w:pPr>
        <w:pStyle w:val="TOC2"/>
        <w:rPr>
          <w:rFonts w:asciiTheme="minorHAnsi" w:eastAsiaTheme="minorEastAsia" w:hAnsiTheme="minorHAnsi" w:cstheme="minorBidi"/>
          <w:b w:val="0"/>
          <w:smallCaps w:val="0"/>
          <w:kern w:val="2"/>
          <w:sz w:val="22"/>
          <w:lang w:eastAsia="de-DE"/>
          <w14:ligatures w14:val="standardContextual"/>
        </w:rPr>
      </w:pPr>
      <w:hyperlink w:anchor="_Toc188886286" w:history="1">
        <w:r w:rsidR="001703B4" w:rsidRPr="00500637">
          <w:rPr>
            <w:rStyle w:val="Hyperlink"/>
            <w:rFonts w:ascii="Times New Roman" w:hAnsi="Times New Roman"/>
          </w:rPr>
          <w:t>8.</w:t>
        </w:r>
        <w:r w:rsidR="001703B4" w:rsidRPr="00500637">
          <w:rPr>
            <w:rFonts w:asciiTheme="minorHAnsi" w:eastAsiaTheme="minorEastAsia" w:hAnsiTheme="minorHAnsi" w:cstheme="minorBidi"/>
            <w:b w:val="0"/>
            <w:smallCaps w:val="0"/>
            <w:kern w:val="2"/>
            <w:sz w:val="22"/>
            <w:lang w:eastAsia="de-DE"/>
            <w14:ligatures w14:val="standardContextual"/>
          </w:rPr>
          <w:tab/>
        </w:r>
        <w:r w:rsidR="001703B4" w:rsidRPr="00500637">
          <w:rPr>
            <w:rStyle w:val="Hyperlink"/>
            <w:rFonts w:ascii="Times New Roman" w:hAnsi="Times New Roman"/>
          </w:rPr>
          <w:t>C 48.01 – Volatilität der Verschuldungsquote: Mittelwert für den Berichtszeitraum</w:t>
        </w:r>
        <w:r w:rsidR="001703B4" w:rsidRPr="00500637">
          <w:rPr>
            <w:webHidden/>
          </w:rPr>
          <w:tab/>
        </w:r>
        <w:r w:rsidR="001703B4" w:rsidRPr="00500637">
          <w:rPr>
            <w:webHidden/>
          </w:rPr>
          <w:fldChar w:fldCharType="begin"/>
        </w:r>
        <w:r w:rsidR="001703B4" w:rsidRPr="00500637">
          <w:rPr>
            <w:webHidden/>
          </w:rPr>
          <w:instrText xml:space="preserve"> PAGEREF _Toc188886286 \h </w:instrText>
        </w:r>
        <w:r w:rsidR="001703B4" w:rsidRPr="00500637">
          <w:rPr>
            <w:webHidden/>
          </w:rPr>
        </w:r>
        <w:r w:rsidR="001703B4" w:rsidRPr="00500637">
          <w:rPr>
            <w:webHidden/>
          </w:rPr>
          <w:fldChar w:fldCharType="separate"/>
        </w:r>
        <w:r w:rsidR="00AF4551">
          <w:rPr>
            <w:webHidden/>
          </w:rPr>
          <w:t>79</w:t>
        </w:r>
        <w:r w:rsidR="001703B4" w:rsidRPr="00500637">
          <w:rPr>
            <w:webHidden/>
          </w:rPr>
          <w:fldChar w:fldCharType="end"/>
        </w:r>
      </w:hyperlink>
    </w:p>
    <w:p w14:paraId="4BE54637" w14:textId="4C2C0FD7" w:rsidR="001703B4" w:rsidRPr="00500637" w:rsidRDefault="00ED229A">
      <w:pPr>
        <w:pStyle w:val="TOC2"/>
        <w:rPr>
          <w:rFonts w:asciiTheme="minorHAnsi" w:eastAsiaTheme="minorEastAsia" w:hAnsiTheme="minorHAnsi" w:cstheme="minorBidi"/>
          <w:b w:val="0"/>
          <w:smallCaps w:val="0"/>
          <w:kern w:val="2"/>
          <w:sz w:val="22"/>
          <w:lang w:eastAsia="de-DE"/>
          <w14:ligatures w14:val="standardContextual"/>
        </w:rPr>
      </w:pPr>
      <w:hyperlink w:anchor="_Toc188886287" w:history="1">
        <w:r w:rsidR="001703B4" w:rsidRPr="00500637">
          <w:rPr>
            <w:rStyle w:val="Hyperlink"/>
            <w:rFonts w:ascii="Times New Roman" w:hAnsi="Times New Roman"/>
          </w:rPr>
          <w:t>9.</w:t>
        </w:r>
        <w:r w:rsidR="001703B4" w:rsidRPr="00500637">
          <w:rPr>
            <w:rFonts w:asciiTheme="minorHAnsi" w:eastAsiaTheme="minorEastAsia" w:hAnsiTheme="minorHAnsi" w:cstheme="minorBidi"/>
            <w:b w:val="0"/>
            <w:smallCaps w:val="0"/>
            <w:kern w:val="2"/>
            <w:sz w:val="22"/>
            <w:lang w:eastAsia="de-DE"/>
            <w14:ligatures w14:val="standardContextual"/>
          </w:rPr>
          <w:tab/>
        </w:r>
        <w:r w:rsidR="001703B4" w:rsidRPr="00500637">
          <w:rPr>
            <w:rStyle w:val="Hyperlink"/>
            <w:rFonts w:ascii="Times New Roman" w:hAnsi="Times New Roman"/>
          </w:rPr>
          <w:t>C 48.02 – Volatilität der Verschuldungsquote: tägliche Werte im Berichtszeitraum</w:t>
        </w:r>
        <w:r w:rsidR="001703B4" w:rsidRPr="00500637">
          <w:rPr>
            <w:webHidden/>
          </w:rPr>
          <w:tab/>
        </w:r>
        <w:r w:rsidR="001703B4" w:rsidRPr="00500637">
          <w:rPr>
            <w:webHidden/>
          </w:rPr>
          <w:fldChar w:fldCharType="begin"/>
        </w:r>
        <w:r w:rsidR="001703B4" w:rsidRPr="00500637">
          <w:rPr>
            <w:webHidden/>
          </w:rPr>
          <w:instrText xml:space="preserve"> PAGEREF _Toc188886287 \h </w:instrText>
        </w:r>
        <w:r w:rsidR="001703B4" w:rsidRPr="00500637">
          <w:rPr>
            <w:webHidden/>
          </w:rPr>
        </w:r>
        <w:r w:rsidR="001703B4" w:rsidRPr="00500637">
          <w:rPr>
            <w:webHidden/>
          </w:rPr>
          <w:fldChar w:fldCharType="separate"/>
        </w:r>
        <w:r w:rsidR="00AF4551">
          <w:rPr>
            <w:webHidden/>
          </w:rPr>
          <w:t>80</w:t>
        </w:r>
        <w:r w:rsidR="001703B4" w:rsidRPr="00500637">
          <w:rPr>
            <w:webHidden/>
          </w:rPr>
          <w:fldChar w:fldCharType="end"/>
        </w:r>
      </w:hyperlink>
    </w:p>
    <w:p w14:paraId="43D747E1" w14:textId="35C391F5" w:rsidR="00AC3257" w:rsidRPr="00500637" w:rsidRDefault="00391EF9" w:rsidP="000B66BC">
      <w:pPr>
        <w:pStyle w:val="BodyText1"/>
        <w:rPr>
          <w:rFonts w:ascii="Times New Roman" w:hAnsi="Times New Roman"/>
          <w:sz w:val="24"/>
        </w:rPr>
        <w:sectPr w:rsidR="00AC3257" w:rsidRPr="00500637" w:rsidSect="00DC2C28">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code="9"/>
          <w:pgMar w:top="1417" w:right="1417" w:bottom="1134" w:left="1417" w:header="720" w:footer="720" w:gutter="0"/>
          <w:cols w:space="720"/>
          <w:titlePg/>
          <w:docGrid w:linePitch="360"/>
        </w:sectPr>
      </w:pPr>
      <w:r w:rsidRPr="00500637">
        <w:rPr>
          <w:rFonts w:ascii="Times New Roman" w:hAnsi="Times New Roman"/>
          <w:sz w:val="24"/>
        </w:rPr>
        <w:fldChar w:fldCharType="end"/>
      </w:r>
    </w:p>
    <w:p w14:paraId="34ED68DE" w14:textId="77777777" w:rsidR="00F4754B" w:rsidRPr="00500637" w:rsidRDefault="00F4754B" w:rsidP="000B66BC">
      <w:pPr>
        <w:pStyle w:val="BodyText1"/>
        <w:spacing w:after="240"/>
        <w:rPr>
          <w:rFonts w:ascii="Times New Roman" w:hAnsi="Times New Roman"/>
          <w:sz w:val="24"/>
          <w:szCs w:val="24"/>
        </w:rPr>
      </w:pPr>
    </w:p>
    <w:p w14:paraId="12DCD63B" w14:textId="77777777" w:rsidR="00217D1F" w:rsidRPr="00500637"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188886272"/>
      <w:r w:rsidRPr="00500637">
        <w:rPr>
          <w:rFonts w:ascii="Times New Roman" w:hAnsi="Times New Roman"/>
          <w:b/>
          <w:sz w:val="24"/>
        </w:rPr>
        <w:t>TEIL I:</w:t>
      </w:r>
      <w:bookmarkEnd w:id="0"/>
      <w:r w:rsidRPr="00500637">
        <w:rPr>
          <w:rFonts w:ascii="Times New Roman" w:hAnsi="Times New Roman"/>
          <w:b/>
          <w:sz w:val="24"/>
        </w:rPr>
        <w:t xml:space="preserve"> ALLGEMEINE ERLÄUTERUNGEN</w:t>
      </w:r>
      <w:bookmarkEnd w:id="1"/>
      <w:bookmarkEnd w:id="2"/>
      <w:bookmarkEnd w:id="3"/>
      <w:bookmarkEnd w:id="4"/>
      <w:bookmarkEnd w:id="5"/>
    </w:p>
    <w:p w14:paraId="2A030BBF" w14:textId="593C59C8" w:rsidR="00217D1F" w:rsidRPr="00500637"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188886273"/>
      <w:r w:rsidRPr="00500637">
        <w:rPr>
          <w:rFonts w:ascii="Times New Roman" w:hAnsi="Times New Roman"/>
          <w:b/>
          <w:sz w:val="24"/>
        </w:rPr>
        <w:t>1.</w:t>
      </w:r>
      <w:r w:rsidRPr="00500637">
        <w:tab/>
      </w:r>
      <w:r w:rsidRPr="00500637">
        <w:rPr>
          <w:rFonts w:ascii="Times New Roman" w:hAnsi="Times New Roman"/>
          <w:b/>
          <w:sz w:val="24"/>
        </w:rPr>
        <w:t>Aufbau und sonstige Konventionen</w:t>
      </w:r>
      <w:bookmarkEnd w:id="6"/>
      <w:bookmarkEnd w:id="7"/>
      <w:bookmarkEnd w:id="8"/>
      <w:bookmarkEnd w:id="9"/>
      <w:bookmarkEnd w:id="10"/>
    </w:p>
    <w:p w14:paraId="0F3236AE" w14:textId="6FB096EE" w:rsidR="00217D1F" w:rsidRPr="00500637"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188886274"/>
      <w:bookmarkStart w:id="15" w:name="_Toc264038399"/>
      <w:bookmarkStart w:id="16" w:name="_Toc294018834"/>
      <w:r w:rsidRPr="00500637">
        <w:rPr>
          <w:rFonts w:ascii="Times New Roman" w:hAnsi="Times New Roman"/>
          <w:b/>
          <w:sz w:val="24"/>
        </w:rPr>
        <w:t>1.1.</w:t>
      </w:r>
      <w:r w:rsidRPr="00500637">
        <w:tab/>
      </w:r>
      <w:bookmarkEnd w:id="11"/>
      <w:bookmarkEnd w:id="12"/>
      <w:bookmarkEnd w:id="13"/>
      <w:r w:rsidRPr="00500637">
        <w:rPr>
          <w:rFonts w:ascii="Times New Roman" w:hAnsi="Times New Roman"/>
          <w:b/>
          <w:sz w:val="24"/>
        </w:rPr>
        <w:t>Aufbau</w:t>
      </w:r>
      <w:bookmarkEnd w:id="14"/>
    </w:p>
    <w:p w14:paraId="050538F0" w14:textId="50037B39" w:rsidR="00E22856" w:rsidRPr="00500637" w:rsidRDefault="00500508" w:rsidP="000B66BC">
      <w:pPr>
        <w:pStyle w:val="BodyText1"/>
        <w:spacing w:after="240"/>
        <w:ind w:left="720" w:hanging="360"/>
        <w:rPr>
          <w:rFonts w:ascii="Times New Roman" w:hAnsi="Times New Roman"/>
          <w:sz w:val="24"/>
          <w:szCs w:val="24"/>
        </w:rPr>
      </w:pPr>
      <w:r w:rsidRPr="00500637">
        <w:rPr>
          <w:rFonts w:ascii="Times New Roman" w:hAnsi="Times New Roman"/>
          <w:sz w:val="24"/>
        </w:rPr>
        <w:t>1.</w:t>
      </w:r>
      <w:r w:rsidRPr="00500637">
        <w:tab/>
      </w:r>
      <w:r w:rsidRPr="00500637">
        <w:rPr>
          <w:rFonts w:ascii="Times New Roman" w:hAnsi="Times New Roman"/>
          <w:sz w:val="24"/>
        </w:rPr>
        <w:t xml:space="preserve">Dieser Anhang beinhaltet zusätzliche Hinweise, wie die in Anhang X enthaltenen Meldebögen (im Folgenden als „LR“ bezeichnet = Leverage Ratio, Verschuldungsquote) auszufüllen sind. </w:t>
      </w:r>
    </w:p>
    <w:p w14:paraId="4B2766E9" w14:textId="78B19E69" w:rsidR="00F4754B" w:rsidRPr="00500637" w:rsidRDefault="00500508" w:rsidP="009339D1">
      <w:pPr>
        <w:pStyle w:val="InstructionsText2"/>
        <w:numPr>
          <w:ilvl w:val="0"/>
          <w:numId w:val="0"/>
        </w:numPr>
        <w:ind w:left="720" w:hanging="360"/>
        <w:rPr>
          <w:rFonts w:eastAsia="Times New Roman"/>
          <w:bCs/>
          <w:sz w:val="24"/>
        </w:rPr>
      </w:pPr>
      <w:r w:rsidRPr="00500637">
        <w:rPr>
          <w:sz w:val="24"/>
        </w:rPr>
        <w:t>2.</w:t>
      </w:r>
      <w:r w:rsidRPr="00500637">
        <w:tab/>
      </w:r>
      <w:r w:rsidRPr="00500637">
        <w:rPr>
          <w:sz w:val="24"/>
        </w:rPr>
        <w:t>Insgesamt besteht der Rahmen aus fünf Meldebögen:</w:t>
      </w:r>
    </w:p>
    <w:p w14:paraId="41A3C48C" w14:textId="77777777" w:rsidR="00675587" w:rsidRPr="00500637" w:rsidRDefault="00500508" w:rsidP="009339D1">
      <w:pPr>
        <w:pStyle w:val="InstructionsText2"/>
        <w:numPr>
          <w:ilvl w:val="0"/>
          <w:numId w:val="0"/>
        </w:numPr>
        <w:ind w:left="1080" w:hanging="360"/>
        <w:rPr>
          <w:rFonts w:eastAsia="Times New Roman"/>
          <w:bCs/>
          <w:sz w:val="24"/>
        </w:rPr>
      </w:pPr>
      <w:r w:rsidRPr="00500637">
        <w:rPr>
          <w:rFonts w:ascii="Symbol" w:hAnsi="Symbol"/>
          <w:sz w:val="24"/>
        </w:rPr>
        <w:t></w:t>
      </w:r>
      <w:r w:rsidRPr="00500637">
        <w:tab/>
      </w:r>
      <w:r w:rsidRPr="00500637">
        <w:rPr>
          <w:sz w:val="24"/>
        </w:rPr>
        <w:t>C47.00: Berechnung der Verschuldungsquote (LRCalc): Berechnung der Verschuldungsquote;</w:t>
      </w:r>
    </w:p>
    <w:p w14:paraId="42B808C6" w14:textId="77777777" w:rsidR="00675587" w:rsidRPr="00500637" w:rsidRDefault="00500508" w:rsidP="009339D1">
      <w:pPr>
        <w:pStyle w:val="InstructionsText2"/>
        <w:numPr>
          <w:ilvl w:val="0"/>
          <w:numId w:val="0"/>
        </w:numPr>
        <w:ind w:left="1080" w:hanging="360"/>
        <w:rPr>
          <w:rFonts w:eastAsia="Times New Roman"/>
          <w:bCs/>
          <w:sz w:val="24"/>
        </w:rPr>
      </w:pPr>
      <w:r w:rsidRPr="00500637">
        <w:rPr>
          <w:rFonts w:ascii="Symbol" w:hAnsi="Symbol"/>
          <w:sz w:val="24"/>
        </w:rPr>
        <w:t></w:t>
      </w:r>
      <w:r w:rsidRPr="00500637">
        <w:tab/>
      </w:r>
      <w:r w:rsidRPr="00500637">
        <w:rPr>
          <w:sz w:val="24"/>
        </w:rPr>
        <w:t>C40.00: Verschuldungsquote – Meldebogen 1 (LR1): Alternative Behandlung der Risikopositionsmessgröße;</w:t>
      </w:r>
    </w:p>
    <w:p w14:paraId="29356C92" w14:textId="650F5016" w:rsidR="00675587" w:rsidRPr="00500637" w:rsidRDefault="00500508" w:rsidP="009339D1">
      <w:pPr>
        <w:pStyle w:val="InstructionsText2"/>
        <w:numPr>
          <w:ilvl w:val="0"/>
          <w:numId w:val="0"/>
        </w:numPr>
        <w:ind w:left="1080" w:hanging="360"/>
        <w:rPr>
          <w:rFonts w:eastAsia="Times New Roman"/>
          <w:bCs/>
          <w:sz w:val="24"/>
        </w:rPr>
      </w:pPr>
      <w:r w:rsidRPr="00500637">
        <w:rPr>
          <w:rFonts w:ascii="Symbol" w:hAnsi="Symbol"/>
          <w:sz w:val="24"/>
        </w:rPr>
        <w:t></w:t>
      </w:r>
      <w:r w:rsidRPr="00500637">
        <w:tab/>
      </w:r>
      <w:r w:rsidRPr="00500637">
        <w:rPr>
          <w:sz w:val="24"/>
        </w:rPr>
        <w:t>C43.00: Verschuldungsquote – Meldebogen 4 (LR4): Alternative Aufschlüsselung der Bestandteile der Risikopositionsmessgröße für die Verschuldungsquote;</w:t>
      </w:r>
    </w:p>
    <w:p w14:paraId="0192F250" w14:textId="1780456B" w:rsidR="00675587" w:rsidRPr="00500637" w:rsidRDefault="00500508" w:rsidP="009339D1">
      <w:pPr>
        <w:pStyle w:val="InstructionsText2"/>
        <w:numPr>
          <w:ilvl w:val="0"/>
          <w:numId w:val="0"/>
        </w:numPr>
        <w:ind w:left="1080" w:hanging="360"/>
        <w:rPr>
          <w:rFonts w:eastAsia="Times New Roman"/>
          <w:bCs/>
          <w:sz w:val="24"/>
        </w:rPr>
      </w:pPr>
      <w:r w:rsidRPr="00500637">
        <w:rPr>
          <w:rFonts w:ascii="Symbol" w:hAnsi="Symbol"/>
          <w:sz w:val="24"/>
        </w:rPr>
        <w:t></w:t>
      </w:r>
      <w:r w:rsidRPr="00500637">
        <w:tab/>
      </w:r>
      <w:r w:rsidRPr="00500637">
        <w:rPr>
          <w:sz w:val="24"/>
        </w:rPr>
        <w:t>C44.00: Verschuldungsquote – Meldebogen 5 (LR5): Allgemeine Angaben;</w:t>
      </w:r>
    </w:p>
    <w:p w14:paraId="7D668F4C" w14:textId="2EF3E327" w:rsidR="00BE473C" w:rsidRPr="00500637" w:rsidRDefault="00BE473C" w:rsidP="00AF4551">
      <w:pPr>
        <w:pStyle w:val="InstructionsText2"/>
        <w:numPr>
          <w:ilvl w:val="0"/>
          <w:numId w:val="26"/>
        </w:numPr>
        <w:rPr>
          <w:rFonts w:eastAsia="Times New Roman"/>
          <w:bCs/>
          <w:sz w:val="24"/>
        </w:rPr>
      </w:pPr>
      <w:r w:rsidRPr="00500637">
        <w:rPr>
          <w:sz w:val="24"/>
        </w:rPr>
        <w:t>C48.00: Volatilität der Verschuldungsquote (LR6).</w:t>
      </w:r>
    </w:p>
    <w:p w14:paraId="6D2FC52A" w14:textId="5D5E1B5E" w:rsidR="00FC2664" w:rsidRPr="00500637" w:rsidRDefault="00500508" w:rsidP="000B66BC">
      <w:pPr>
        <w:pStyle w:val="InstructionsText2"/>
        <w:numPr>
          <w:ilvl w:val="0"/>
          <w:numId w:val="0"/>
        </w:numPr>
        <w:ind w:left="720" w:hanging="360"/>
        <w:rPr>
          <w:sz w:val="24"/>
        </w:rPr>
      </w:pPr>
      <w:r w:rsidRPr="00500637">
        <w:rPr>
          <w:sz w:val="24"/>
        </w:rPr>
        <w:t>3.</w:t>
      </w:r>
      <w:r w:rsidRPr="00500637">
        <w:tab/>
      </w:r>
      <w:r w:rsidRPr="00500637">
        <w:rPr>
          <w:sz w:val="24"/>
        </w:rPr>
        <w:t>Zu jedem Meldebogen werden die Rechtsgrundlage sowie weitere, detaillierte Angaben zu allgemeineren Gesichtspunkten der Meldung übermittelt.</w:t>
      </w:r>
    </w:p>
    <w:p w14:paraId="5CABBDF6" w14:textId="77777777" w:rsidR="00217D1F" w:rsidRPr="00500637"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188886275"/>
      <w:bookmarkEnd w:id="17"/>
      <w:r w:rsidRPr="00500637">
        <w:rPr>
          <w:rFonts w:ascii="Times New Roman" w:hAnsi="Times New Roman"/>
          <w:b/>
          <w:sz w:val="24"/>
        </w:rPr>
        <w:t>1.2.</w:t>
      </w:r>
      <w:r w:rsidRPr="00500637">
        <w:tab/>
      </w:r>
      <w:r w:rsidRPr="00500637">
        <w:rPr>
          <w:rFonts w:ascii="Times New Roman" w:hAnsi="Times New Roman"/>
          <w:b/>
          <w:sz w:val="24"/>
        </w:rPr>
        <w:t>Nummerierungskonvention</w:t>
      </w:r>
      <w:bookmarkEnd w:id="18"/>
      <w:bookmarkEnd w:id="19"/>
      <w:bookmarkEnd w:id="20"/>
      <w:bookmarkEnd w:id="21"/>
      <w:bookmarkEnd w:id="22"/>
    </w:p>
    <w:p w14:paraId="729F6A05" w14:textId="77777777" w:rsidR="00F4754B" w:rsidRPr="00500637" w:rsidRDefault="00500508" w:rsidP="009339D1">
      <w:pPr>
        <w:pStyle w:val="InstructionsText2"/>
        <w:numPr>
          <w:ilvl w:val="0"/>
          <w:numId w:val="0"/>
        </w:numPr>
        <w:ind w:left="720" w:hanging="360"/>
        <w:rPr>
          <w:rFonts w:eastAsia="Times New Roman"/>
          <w:bCs/>
          <w:sz w:val="24"/>
        </w:rPr>
      </w:pPr>
      <w:r w:rsidRPr="00500637">
        <w:rPr>
          <w:sz w:val="24"/>
        </w:rPr>
        <w:t>4.</w:t>
      </w:r>
      <w:r w:rsidRPr="00500637">
        <w:tab/>
      </w:r>
      <w:r w:rsidRPr="00500637">
        <w:rPr>
          <w:sz w:val="24"/>
        </w:rPr>
        <w:t>Bei Bezugnahme auf Spalten, Zeilen und Felder der Meldebögen folgt das Dokument den in den folgenden Abschnitten festgelegten Bezeichnungskonventionen. Von diesen Zahlencodes wird in den Validierungsregeln ausführlich Gebrauch gemacht.</w:t>
      </w:r>
    </w:p>
    <w:p w14:paraId="68B33760" w14:textId="77777777" w:rsidR="00F4754B" w:rsidRPr="00500637" w:rsidRDefault="00500508" w:rsidP="009339D1">
      <w:pPr>
        <w:pStyle w:val="InstructionsText2"/>
        <w:numPr>
          <w:ilvl w:val="0"/>
          <w:numId w:val="0"/>
        </w:numPr>
        <w:ind w:left="720" w:hanging="360"/>
        <w:rPr>
          <w:rFonts w:eastAsia="Times New Roman"/>
          <w:bCs/>
          <w:sz w:val="24"/>
        </w:rPr>
      </w:pPr>
      <w:r w:rsidRPr="00500637">
        <w:rPr>
          <w:sz w:val="24"/>
        </w:rPr>
        <w:t>5.</w:t>
      </w:r>
      <w:r w:rsidRPr="00500637">
        <w:tab/>
      </w:r>
      <w:r w:rsidRPr="00500637">
        <w:rPr>
          <w:sz w:val="24"/>
        </w:rPr>
        <w:t>In den Erläuterungen wird folgende allgemeine Notation verwendet: {Meldebogen;Zeile;Spalte}. Ein Sternchen verweist auf die gesamte Zeile oder Spalte.</w:t>
      </w:r>
    </w:p>
    <w:p w14:paraId="3E605DEE" w14:textId="77777777" w:rsidR="00F4754B" w:rsidRPr="00500637" w:rsidRDefault="00500508" w:rsidP="009339D1">
      <w:pPr>
        <w:pStyle w:val="InstructionsText2"/>
        <w:numPr>
          <w:ilvl w:val="0"/>
          <w:numId w:val="0"/>
        </w:numPr>
        <w:ind w:left="720" w:hanging="360"/>
        <w:rPr>
          <w:rFonts w:eastAsia="Times New Roman"/>
          <w:bCs/>
          <w:sz w:val="24"/>
        </w:rPr>
      </w:pPr>
      <w:r w:rsidRPr="00500637">
        <w:rPr>
          <w:sz w:val="24"/>
        </w:rPr>
        <w:t>6.</w:t>
      </w:r>
      <w:r w:rsidRPr="00500637">
        <w:tab/>
      </w:r>
      <w:r w:rsidRPr="00500637">
        <w:rPr>
          <w:sz w:val="24"/>
        </w:rPr>
        <w:t>Bei Validierungen innerhalb eines Meldebogens, bei denen nur Datenpunkte aus diesem Meldebogen benutzt werden, verweisen die Notationen nicht auf einen Meldebogen: {Zeile;Spalte}.</w:t>
      </w:r>
    </w:p>
    <w:p w14:paraId="12003733" w14:textId="77777777" w:rsidR="00F4754B" w:rsidRPr="00500637" w:rsidRDefault="00500508" w:rsidP="009339D1">
      <w:pPr>
        <w:pStyle w:val="InstructionsText2"/>
        <w:numPr>
          <w:ilvl w:val="0"/>
          <w:numId w:val="0"/>
        </w:numPr>
        <w:ind w:left="720" w:hanging="360"/>
        <w:rPr>
          <w:rFonts w:eastAsia="Times New Roman"/>
          <w:bCs/>
          <w:sz w:val="24"/>
        </w:rPr>
      </w:pPr>
      <w:r w:rsidRPr="00500637">
        <w:rPr>
          <w:sz w:val="24"/>
        </w:rPr>
        <w:t>7.</w:t>
      </w:r>
      <w:r w:rsidRPr="00500637">
        <w:tab/>
      </w:r>
      <w:r w:rsidRPr="00500637">
        <w:rPr>
          <w:sz w:val="24"/>
        </w:rPr>
        <w:t xml:space="preserve">Bei der Meldung der Verschuldung bezieht sich der Begriff „davon“ auf eine Position, die Teilmenge einer übergeordneten Risikopositionskategorie ist, während „Zusatzinformationen“ einen separaten Posten darstellen, bei dem es sich nicht um eine Untergruppe einer Forderungsklasse handelt. In beiden Feldtypen müssen zwingend Angaben gemacht werden, sofern nichts anderes angegeben ist. </w:t>
      </w:r>
    </w:p>
    <w:p w14:paraId="2D525ACC" w14:textId="77777777" w:rsidR="001D6F2F" w:rsidRPr="00500637" w:rsidRDefault="00500508" w:rsidP="00500637">
      <w:pPr>
        <w:pStyle w:val="BodyText1"/>
        <w:keepNext/>
        <w:spacing w:after="240"/>
        <w:ind w:left="357" w:hanging="357"/>
        <w:outlineLvl w:val="2"/>
        <w:rPr>
          <w:rFonts w:ascii="Times New Roman" w:hAnsi="Times New Roman"/>
          <w:b/>
          <w:sz w:val="24"/>
          <w:szCs w:val="24"/>
        </w:rPr>
      </w:pPr>
      <w:bookmarkStart w:id="23" w:name="_Toc423089064"/>
      <w:bookmarkStart w:id="24" w:name="_Toc188886276"/>
      <w:r w:rsidRPr="00500637">
        <w:rPr>
          <w:rFonts w:ascii="Times New Roman" w:hAnsi="Times New Roman"/>
          <w:b/>
          <w:sz w:val="24"/>
        </w:rPr>
        <w:lastRenderedPageBreak/>
        <w:t>1.3.</w:t>
      </w:r>
      <w:r w:rsidRPr="00500637">
        <w:tab/>
      </w:r>
      <w:r w:rsidRPr="00500637">
        <w:rPr>
          <w:rFonts w:ascii="Times New Roman" w:hAnsi="Times New Roman"/>
          <w:b/>
          <w:sz w:val="24"/>
        </w:rPr>
        <w:t>Abkürzungen</w:t>
      </w:r>
      <w:bookmarkEnd w:id="23"/>
      <w:bookmarkEnd w:id="24"/>
    </w:p>
    <w:p w14:paraId="72197A49" w14:textId="4CE8CABE" w:rsidR="00627E07" w:rsidRPr="00500637"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sidRPr="00500637">
        <w:rPr>
          <w:sz w:val="24"/>
        </w:rPr>
        <w:t>8.</w:t>
      </w:r>
      <w:r w:rsidRPr="00500637">
        <w:tab/>
      </w:r>
      <w:r w:rsidRPr="00500637">
        <w:rPr>
          <w:sz w:val="24"/>
        </w:rPr>
        <w:t>Für die Zwecke dieses Anhangs und der damit zusammenhängenden Meldebögen werden folgende Abkürzungen verwendet:</w:t>
      </w:r>
    </w:p>
    <w:p w14:paraId="567537B5" w14:textId="38559007" w:rsidR="00627E07" w:rsidRPr="00500637" w:rsidRDefault="00627E07" w:rsidP="009339D1">
      <w:pPr>
        <w:pStyle w:val="InstructionsText2"/>
        <w:numPr>
          <w:ilvl w:val="0"/>
          <w:numId w:val="0"/>
        </w:numPr>
        <w:ind w:left="1440" w:hanging="360"/>
        <w:rPr>
          <w:rFonts w:eastAsia="Times New Roman"/>
          <w:bCs/>
          <w:sz w:val="24"/>
          <w:lang w:eastAsia="de-DE"/>
        </w:rPr>
      </w:pPr>
    </w:p>
    <w:p w14:paraId="69E6F7E3" w14:textId="639EDFA1" w:rsidR="007E2989" w:rsidRPr="00500637" w:rsidRDefault="007E2989" w:rsidP="009339D1">
      <w:pPr>
        <w:pStyle w:val="InstructionsText2"/>
        <w:numPr>
          <w:ilvl w:val="0"/>
          <w:numId w:val="0"/>
        </w:numPr>
        <w:ind w:left="1440" w:hanging="360"/>
        <w:rPr>
          <w:rFonts w:eastAsia="Times New Roman"/>
          <w:bCs/>
          <w:sz w:val="24"/>
          <w:lang w:eastAsia="de-DE"/>
        </w:rPr>
      </w:pPr>
    </w:p>
    <w:p w14:paraId="5CC0B733" w14:textId="5D25F616" w:rsidR="00627E07" w:rsidRPr="00500637" w:rsidRDefault="007E2989" w:rsidP="009339D1">
      <w:pPr>
        <w:pStyle w:val="InstructionsText2"/>
        <w:numPr>
          <w:ilvl w:val="0"/>
          <w:numId w:val="0"/>
        </w:numPr>
        <w:ind w:left="1440" w:hanging="360"/>
        <w:rPr>
          <w:rFonts w:eastAsia="Times New Roman"/>
          <w:bCs/>
          <w:sz w:val="24"/>
        </w:rPr>
      </w:pPr>
      <w:r w:rsidRPr="00500637">
        <w:rPr>
          <w:sz w:val="24"/>
        </w:rPr>
        <w:t>c.</w:t>
      </w:r>
      <w:r w:rsidRPr="00500637">
        <w:tab/>
      </w:r>
      <w:r w:rsidRPr="00500637">
        <w:rPr>
          <w:sz w:val="24"/>
        </w:rPr>
        <w:t xml:space="preserve">SFT – Wertpapierfinanzierungsgeschäft, d. h. „ein Pensionsgeschäft, ein Wertpapier- oder Warenverleih- oder </w:t>
      </w:r>
      <w:r w:rsidRPr="00500637">
        <w:rPr>
          <w:sz w:val="24"/>
        </w:rPr>
        <w:noBreakHyphen/>
        <w:t>leihgeschäft oder ein Lombardgeschäft“ nach Artikel 4 Absatz 1 Nummer 139 der Verordnung (EU) Nr. 575/2013</w:t>
      </w:r>
    </w:p>
    <w:p w14:paraId="68410368" w14:textId="7E4CDAEF" w:rsidR="008E7068" w:rsidRPr="00500637" w:rsidRDefault="007E2989" w:rsidP="009339D1">
      <w:pPr>
        <w:pStyle w:val="InstructionsText2"/>
        <w:numPr>
          <w:ilvl w:val="0"/>
          <w:numId w:val="0"/>
        </w:numPr>
        <w:ind w:left="1440" w:hanging="360"/>
        <w:rPr>
          <w:rFonts w:eastAsia="Times New Roman"/>
          <w:bCs/>
          <w:sz w:val="24"/>
        </w:rPr>
      </w:pPr>
      <w:r w:rsidRPr="00500637">
        <w:rPr>
          <w:sz w:val="24"/>
        </w:rPr>
        <w:t>d.</w:t>
      </w:r>
      <w:r w:rsidRPr="00500637">
        <w:tab/>
      </w:r>
      <w:r w:rsidRPr="00500637">
        <w:rPr>
          <w:sz w:val="24"/>
        </w:rPr>
        <w:t>CRM – Kreditrisikominderung</w:t>
      </w:r>
    </w:p>
    <w:p w14:paraId="212C8B7E" w14:textId="6577F157" w:rsidR="007E2989" w:rsidRPr="00500637" w:rsidRDefault="007E2989" w:rsidP="009339D1">
      <w:pPr>
        <w:pStyle w:val="InstructionsText2"/>
        <w:numPr>
          <w:ilvl w:val="0"/>
          <w:numId w:val="0"/>
        </w:numPr>
        <w:ind w:left="1440" w:hanging="360"/>
        <w:rPr>
          <w:rFonts w:eastAsia="Times New Roman"/>
          <w:bCs/>
          <w:sz w:val="24"/>
        </w:rPr>
      </w:pPr>
      <w:r w:rsidRPr="00500637">
        <w:rPr>
          <w:sz w:val="24"/>
        </w:rPr>
        <w:t>e.</w:t>
      </w:r>
      <w:r w:rsidRPr="00500637">
        <w:tab/>
      </w:r>
      <w:r w:rsidRPr="00500637">
        <w:rPr>
          <w:sz w:val="24"/>
        </w:rPr>
        <w:t>CSD – Zentralverwahrer</w:t>
      </w:r>
    </w:p>
    <w:p w14:paraId="44F02B07" w14:textId="457293D0" w:rsidR="007E2989" w:rsidRPr="00500637" w:rsidRDefault="007E2989" w:rsidP="009339D1">
      <w:pPr>
        <w:pStyle w:val="InstructionsText2"/>
        <w:numPr>
          <w:ilvl w:val="0"/>
          <w:numId w:val="0"/>
        </w:numPr>
        <w:ind w:left="1440" w:hanging="360"/>
        <w:rPr>
          <w:rFonts w:eastAsia="Times New Roman"/>
          <w:bCs/>
          <w:sz w:val="24"/>
        </w:rPr>
      </w:pPr>
      <w:r w:rsidRPr="00500637">
        <w:rPr>
          <w:sz w:val="24"/>
        </w:rPr>
        <w:t xml:space="preserve">f. </w:t>
      </w:r>
      <w:r w:rsidRPr="00500637">
        <w:tab/>
      </w:r>
      <w:r w:rsidRPr="00500637">
        <w:rPr>
          <w:sz w:val="24"/>
        </w:rPr>
        <w:t>QZGP – qualifizierte zentrale Gegenpartei</w:t>
      </w:r>
    </w:p>
    <w:p w14:paraId="4CAF859B" w14:textId="77777777" w:rsidR="007E2989" w:rsidRPr="00500637" w:rsidRDefault="007E2989" w:rsidP="009339D1">
      <w:pPr>
        <w:pStyle w:val="InstructionsText2"/>
        <w:numPr>
          <w:ilvl w:val="0"/>
          <w:numId w:val="0"/>
        </w:numPr>
        <w:ind w:left="1440" w:hanging="360"/>
        <w:rPr>
          <w:rFonts w:eastAsia="Times New Roman"/>
          <w:bCs/>
          <w:sz w:val="24"/>
        </w:rPr>
      </w:pPr>
      <w:r w:rsidRPr="00500637">
        <w:rPr>
          <w:sz w:val="24"/>
        </w:rPr>
        <w:t xml:space="preserve">g. </w:t>
      </w:r>
      <w:r w:rsidRPr="00500637">
        <w:tab/>
      </w:r>
      <w:r w:rsidRPr="00500637">
        <w:rPr>
          <w:sz w:val="24"/>
        </w:rPr>
        <w:t>PFE – potenzielle künftige Risikoposition</w:t>
      </w:r>
    </w:p>
    <w:p w14:paraId="04A571E4" w14:textId="77777777" w:rsidR="00217D1F" w:rsidRPr="00500637"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188886277"/>
      <w:r w:rsidRPr="00500637">
        <w:rPr>
          <w:rFonts w:ascii="Times New Roman" w:hAnsi="Times New Roman"/>
          <w:b/>
          <w:sz w:val="24"/>
        </w:rPr>
        <w:t>1.4.</w:t>
      </w:r>
      <w:r w:rsidRPr="00500637">
        <w:tab/>
      </w:r>
      <w:r w:rsidRPr="00500637">
        <w:rPr>
          <w:rFonts w:ascii="Times New Roman" w:hAnsi="Times New Roman"/>
          <w:b/>
          <w:sz w:val="24"/>
        </w:rPr>
        <w:t>Vorzeichenkonvention</w:t>
      </w:r>
      <w:bookmarkEnd w:id="15"/>
      <w:bookmarkEnd w:id="16"/>
      <w:bookmarkEnd w:id="26"/>
      <w:bookmarkEnd w:id="27"/>
      <w:bookmarkEnd w:id="28"/>
      <w:bookmarkEnd w:id="29"/>
      <w:bookmarkEnd w:id="30"/>
    </w:p>
    <w:p w14:paraId="077A5720" w14:textId="08AE4F7D" w:rsidR="0058289F" w:rsidRPr="00500637" w:rsidRDefault="00500508" w:rsidP="009339D1">
      <w:pPr>
        <w:pStyle w:val="InstructionsText2"/>
        <w:numPr>
          <w:ilvl w:val="0"/>
          <w:numId w:val="0"/>
        </w:numPr>
        <w:ind w:left="720" w:hanging="360"/>
        <w:rPr>
          <w:rFonts w:eastAsia="Times New Roman"/>
          <w:bCs/>
          <w:sz w:val="24"/>
        </w:rPr>
      </w:pPr>
      <w:bookmarkStart w:id="31" w:name="_Toc322687869"/>
      <w:r w:rsidRPr="00500637">
        <w:rPr>
          <w:sz w:val="24"/>
        </w:rPr>
        <w:t>9.</w:t>
      </w:r>
      <w:r w:rsidRPr="00500637">
        <w:tab/>
      </w:r>
      <w:r w:rsidRPr="00500637">
        <w:rPr>
          <w:sz w:val="24"/>
        </w:rPr>
        <w:t>Alle Beträge sind als positive Werte auszuweisen.</w:t>
      </w:r>
      <w:bookmarkStart w:id="32" w:name="_Toc264033192"/>
      <w:bookmarkEnd w:id="32"/>
      <w:r w:rsidRPr="00500637">
        <w:rPr>
          <w:sz w:val="24"/>
        </w:rPr>
        <w:t xml:space="preserve"> Mit Ausnahme von:</w:t>
      </w:r>
    </w:p>
    <w:p w14:paraId="7B6D27CF" w14:textId="222C2E2D" w:rsidR="0058289F" w:rsidRPr="00500637" w:rsidRDefault="00A5392D" w:rsidP="009339D1">
      <w:pPr>
        <w:pStyle w:val="InstructionsText2"/>
        <w:numPr>
          <w:ilvl w:val="0"/>
          <w:numId w:val="25"/>
        </w:numPr>
        <w:rPr>
          <w:rFonts w:eastAsia="Times New Roman"/>
          <w:bCs/>
          <w:sz w:val="24"/>
        </w:rPr>
      </w:pPr>
      <w:r w:rsidRPr="00500637">
        <w:rPr>
          <w:sz w:val="24"/>
        </w:rPr>
        <w:t>Positionen, vor deren Bezeichnung ein negatives Vorzeichen (-) steht und bei denen davon ausgegangen wird, dass für die betreffende Position kein positiver Wert ausgewiesen wird.</w:t>
      </w:r>
    </w:p>
    <w:p w14:paraId="259D3174" w14:textId="186210E9" w:rsidR="00E40D66" w:rsidRPr="00500637" w:rsidRDefault="00E40D66" w:rsidP="009339D1">
      <w:pPr>
        <w:pStyle w:val="InstructionsText2"/>
        <w:numPr>
          <w:ilvl w:val="0"/>
          <w:numId w:val="25"/>
        </w:numPr>
        <w:rPr>
          <w:rFonts w:eastAsia="Times New Roman"/>
          <w:bCs/>
          <w:sz w:val="24"/>
        </w:rPr>
      </w:pPr>
      <w:r w:rsidRPr="00500637">
        <w:rPr>
          <w:sz w:val="24"/>
        </w:rPr>
        <w:t>{LRCalc;0310;0010}, {LRCalc;0320;0010}, {LRCalc;0330;0010}, {LRCalc;0340;0010}, die im Extremfall einen negativen Wert haben können, ansonsten einen positiven Wert haben.</w:t>
      </w:r>
    </w:p>
    <w:p w14:paraId="1A7EEF5B" w14:textId="10CFE72E" w:rsidR="0060741B" w:rsidRPr="00500637" w:rsidRDefault="00C62C1B" w:rsidP="00AB2B09">
      <w:pPr>
        <w:pStyle w:val="InstructionsText2"/>
        <w:numPr>
          <w:ilvl w:val="0"/>
          <w:numId w:val="0"/>
        </w:numPr>
        <w:ind w:left="1080"/>
        <w:rPr>
          <w:rFonts w:eastAsia="Times New Roman"/>
          <w:bCs/>
          <w:sz w:val="24"/>
        </w:rPr>
      </w:pPr>
      <w:r w:rsidRPr="00500637">
        <w:rPr>
          <w:sz w:val="24"/>
        </w:rPr>
        <w:t xml:space="preserve"> </w:t>
      </w:r>
    </w:p>
    <w:p w14:paraId="12B14317" w14:textId="77777777" w:rsidR="001F28C3" w:rsidRPr="00500637" w:rsidRDefault="00360A3D" w:rsidP="009339D1">
      <w:pPr>
        <w:pStyle w:val="InstructionsText2"/>
        <w:numPr>
          <w:ilvl w:val="0"/>
          <w:numId w:val="0"/>
        </w:numPr>
        <w:ind w:left="720"/>
        <w:rPr>
          <w:rFonts w:eastAsia="Times New Roman"/>
          <w:bCs/>
          <w:sz w:val="24"/>
        </w:rPr>
      </w:pPr>
      <w:r w:rsidRPr="00500637">
        <w:rPr>
          <w:sz w:val="24"/>
        </w:rPr>
        <w:t xml:space="preserve"> </w:t>
      </w:r>
    </w:p>
    <w:p w14:paraId="35677258" w14:textId="77777777" w:rsidR="00217D1F" w:rsidRPr="00500637" w:rsidRDefault="00F4754B" w:rsidP="000B66BC">
      <w:pPr>
        <w:pStyle w:val="BodyText1"/>
        <w:spacing w:after="240"/>
        <w:outlineLvl w:val="0"/>
        <w:rPr>
          <w:rFonts w:ascii="Times New Roman" w:hAnsi="Times New Roman"/>
          <w:b/>
          <w:sz w:val="24"/>
          <w:szCs w:val="24"/>
        </w:rPr>
      </w:pPr>
      <w:r w:rsidRPr="00500637">
        <w:br w:type="page"/>
      </w:r>
      <w:bookmarkStart w:id="33" w:name="_Toc351048504"/>
      <w:bookmarkStart w:id="34" w:name="_Toc359414281"/>
      <w:bookmarkStart w:id="35" w:name="_Toc423089066"/>
      <w:bookmarkStart w:id="36" w:name="_Toc188886278"/>
      <w:r w:rsidRPr="00500637">
        <w:rPr>
          <w:rFonts w:ascii="Times New Roman" w:hAnsi="Times New Roman"/>
          <w:b/>
          <w:sz w:val="24"/>
        </w:rPr>
        <w:lastRenderedPageBreak/>
        <w:t>TEIL II: ERLÄUTERUNGEN ZU DEN EINZELNEN MELDEBÖGEN</w:t>
      </w:r>
      <w:bookmarkEnd w:id="31"/>
      <w:bookmarkEnd w:id="33"/>
      <w:bookmarkEnd w:id="34"/>
      <w:bookmarkEnd w:id="35"/>
      <w:bookmarkEnd w:id="36"/>
    </w:p>
    <w:p w14:paraId="4C8C375F" w14:textId="77777777" w:rsidR="00505096" w:rsidRPr="00500637"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188886279"/>
      <w:bookmarkStart w:id="40" w:name="_Toc322533849"/>
      <w:r w:rsidRPr="00500637">
        <w:rPr>
          <w:rFonts w:ascii="Times New Roman" w:hAnsi="Times New Roman"/>
          <w:b/>
          <w:sz w:val="24"/>
        </w:rPr>
        <w:t>1.</w:t>
      </w:r>
      <w:r w:rsidRPr="00500637">
        <w:tab/>
      </w:r>
      <w:r w:rsidRPr="00500637">
        <w:rPr>
          <w:rFonts w:ascii="Times New Roman" w:hAnsi="Times New Roman"/>
          <w:b/>
          <w:sz w:val="24"/>
        </w:rPr>
        <w:t>Formeln zur Berechnung der Verschuldungsquote</w:t>
      </w:r>
      <w:bookmarkEnd w:id="37"/>
      <w:bookmarkEnd w:id="38"/>
      <w:bookmarkEnd w:id="39"/>
    </w:p>
    <w:p w14:paraId="23B05B4C" w14:textId="08E66F21" w:rsidR="00505096" w:rsidRPr="00500637" w:rsidRDefault="006F588E" w:rsidP="000B66BC">
      <w:pPr>
        <w:pStyle w:val="BodyText1"/>
        <w:spacing w:after="240" w:line="240" w:lineRule="auto"/>
        <w:ind w:left="720" w:hanging="360"/>
        <w:rPr>
          <w:rFonts w:ascii="Times New Roman" w:hAnsi="Times New Roman"/>
          <w:sz w:val="24"/>
          <w:szCs w:val="24"/>
        </w:rPr>
      </w:pPr>
      <w:r w:rsidRPr="00500637">
        <w:rPr>
          <w:rFonts w:ascii="Times New Roman" w:hAnsi="Times New Roman"/>
          <w:sz w:val="24"/>
        </w:rPr>
        <w:t>1.</w:t>
      </w:r>
      <w:r w:rsidRPr="00500637">
        <w:tab/>
      </w:r>
      <w:r w:rsidRPr="00500637">
        <w:rPr>
          <w:rFonts w:ascii="Times New Roman" w:hAnsi="Times New Roman"/>
          <w:sz w:val="24"/>
        </w:rPr>
        <w:t xml:space="preserve">Die Verschuldungsquote basiert auf einer Kapitalmessgröße und einer Gesamtrisikopositionsmessgröße, die anhand der Felder aus LRCalc berechnet werden kann. </w:t>
      </w:r>
    </w:p>
    <w:p w14:paraId="25E094A5" w14:textId="09CDBDB2" w:rsidR="00F4754B" w:rsidRPr="00500637" w:rsidRDefault="006F588E" w:rsidP="000B66BC">
      <w:pPr>
        <w:pStyle w:val="BodyText1"/>
        <w:spacing w:after="240" w:line="240" w:lineRule="auto"/>
        <w:ind w:left="720" w:hanging="360"/>
        <w:rPr>
          <w:rFonts w:ascii="Times New Roman" w:hAnsi="Times New Roman"/>
          <w:sz w:val="24"/>
          <w:szCs w:val="24"/>
        </w:rPr>
      </w:pPr>
      <w:r w:rsidRPr="00500637">
        <w:rPr>
          <w:rFonts w:ascii="Times New Roman" w:hAnsi="Times New Roman"/>
          <w:sz w:val="24"/>
        </w:rPr>
        <w:t>2.</w:t>
      </w:r>
      <w:r w:rsidRPr="00500637">
        <w:tab/>
      </w:r>
      <w:r w:rsidRPr="00500637">
        <w:rPr>
          <w:rFonts w:ascii="Times New Roman" w:hAnsi="Times New Roman"/>
          <w:sz w:val="24"/>
        </w:rPr>
        <w:t>Verschuldungsquote – unter Verwendung der Definition nach vollständiger Einführung der neuen Bestimmungen = {LRCalc;0310;0010} / {LRCalc;0290;0010}.</w:t>
      </w:r>
    </w:p>
    <w:p w14:paraId="0177EE20" w14:textId="51F58570" w:rsidR="00B8400B" w:rsidRPr="00500637" w:rsidRDefault="006F588E" w:rsidP="000B66BC">
      <w:pPr>
        <w:pStyle w:val="BodyText1"/>
        <w:spacing w:after="240" w:line="240" w:lineRule="auto"/>
        <w:ind w:left="720" w:hanging="360"/>
        <w:rPr>
          <w:rFonts w:ascii="Times New Roman" w:hAnsi="Times New Roman"/>
          <w:sz w:val="24"/>
          <w:szCs w:val="24"/>
        </w:rPr>
      </w:pPr>
      <w:r w:rsidRPr="00500637">
        <w:rPr>
          <w:rFonts w:ascii="Times New Roman" w:hAnsi="Times New Roman"/>
          <w:sz w:val="24"/>
        </w:rPr>
        <w:t>3.</w:t>
      </w:r>
      <w:r w:rsidRPr="00500637">
        <w:tab/>
      </w:r>
      <w:r w:rsidRPr="00500637">
        <w:rPr>
          <w:rFonts w:ascii="Times New Roman" w:hAnsi="Times New Roman"/>
          <w:sz w:val="24"/>
        </w:rPr>
        <w:t>Verschuldungsquote – unter Verwendung der Übergangsdefinition = {LRCalc;0320;0010} / {LRCalc;0300;0010}.</w:t>
      </w:r>
    </w:p>
    <w:p w14:paraId="5857476D" w14:textId="11118B79" w:rsidR="00505096" w:rsidRPr="00500637"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188886280"/>
      <w:bookmarkStart w:id="44" w:name="_Toc322533852"/>
      <w:bookmarkEnd w:id="40"/>
      <w:r w:rsidRPr="00500637">
        <w:rPr>
          <w:rFonts w:ascii="Times New Roman" w:hAnsi="Times New Roman"/>
          <w:b/>
          <w:sz w:val="24"/>
        </w:rPr>
        <w:t>2.</w:t>
      </w:r>
      <w:r w:rsidRPr="00500637">
        <w:tab/>
      </w:r>
      <w:r w:rsidRPr="00500637">
        <w:rPr>
          <w:rFonts w:ascii="Times New Roman" w:hAnsi="Times New Roman"/>
          <w:b/>
          <w:sz w:val="24"/>
        </w:rPr>
        <w:t>Erheblichkeitsschwellen für Derivate</w:t>
      </w:r>
      <w:bookmarkEnd w:id="41"/>
      <w:bookmarkEnd w:id="42"/>
      <w:bookmarkEnd w:id="43"/>
    </w:p>
    <w:p w14:paraId="677B6944" w14:textId="3E22E31F" w:rsidR="00F4754B" w:rsidRPr="00500637" w:rsidRDefault="006F588E" w:rsidP="000B66BC">
      <w:pPr>
        <w:pStyle w:val="BodyText1"/>
        <w:spacing w:after="240" w:line="240" w:lineRule="auto"/>
        <w:ind w:left="720" w:hanging="360"/>
        <w:rPr>
          <w:rFonts w:ascii="Times New Roman" w:hAnsi="Times New Roman"/>
          <w:sz w:val="24"/>
          <w:szCs w:val="24"/>
        </w:rPr>
      </w:pPr>
      <w:r w:rsidRPr="00500637">
        <w:rPr>
          <w:rFonts w:ascii="Times New Roman" w:hAnsi="Times New Roman"/>
          <w:sz w:val="24"/>
        </w:rPr>
        <w:t>4.</w:t>
      </w:r>
      <w:r w:rsidRPr="00500637">
        <w:tab/>
      </w:r>
      <w:r w:rsidRPr="00500637">
        <w:rPr>
          <w:rFonts w:ascii="Times New Roman" w:hAnsi="Times New Roman"/>
          <w:sz w:val="24"/>
        </w:rPr>
        <w:t>Um den Meldeaufwand für Institute mit begrenztem Derivate-Engagement zu reduzieren, wird anhand folgender Messgrößen beurteilt, wie hoch die relative Erheblichkeit der Derivate-Risikopositionen im Verhältnis zum Gesamtrisiko der Verschuldungsquote ist. Die Institute berechnen diese Messgrößen wie folgt</w:t>
      </w:r>
      <w:bookmarkStart w:id="45" w:name="_Toc322533853"/>
      <w:bookmarkEnd w:id="44"/>
      <w:r w:rsidRPr="00500637">
        <w:rPr>
          <w:rFonts w:ascii="Times New Roman" w:hAnsi="Times New Roman"/>
          <w:sz w:val="24"/>
        </w:rPr>
        <w:t>:</w:t>
      </w:r>
    </w:p>
    <w:p w14:paraId="1388E099" w14:textId="4D849D8A" w:rsidR="00354188" w:rsidRPr="00500637"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sidRPr="00500637">
        <w:rPr>
          <w:rFonts w:ascii="Times New Roman" w:hAnsi="Times New Roman"/>
          <w:sz w:val="24"/>
        </w:rPr>
        <w:t>5.</w:t>
      </w:r>
      <w:r w:rsidRPr="00500637">
        <w:tab/>
        <w:t>Derivate</w:t>
      </w:r>
      <w:r w:rsidR="002A274B" w:rsidRPr="00500637">
        <w:t>-</w:t>
      </w:r>
      <w:r w:rsidRPr="00500637">
        <w:t>Anteil </w:t>
      </w:r>
      <w:r w:rsidRPr="00500637">
        <w:rPr>
          <w:rFonts w:ascii="Times New Roman" w:hAnsi="Times New Roman"/>
          <w:sz w:val="24"/>
        </w:rPr>
        <w:t xml:space="preserve">= </w:t>
      </w:r>
      <m:oMath>
        <m:f>
          <m:fPr>
            <m:ctrlPr>
              <w:rPr>
                <w:rFonts w:ascii="Cambria Math" w:hAnsi="Times New Roman"/>
                <w:sz w:val="24"/>
                <w:szCs w:val="24"/>
              </w:rPr>
            </m:ctrlPr>
          </m:fPr>
          <m:num>
            <m:r>
              <m:rPr>
                <m:sty m:val="p"/>
              </m:rPr>
              <w:rPr>
                <w:rFonts w:ascii="Cambria Math" w:hAnsi="Times New Roman"/>
                <w:sz w:val="24"/>
                <w:szCs w:val="24"/>
              </w:rPr>
              <m:t>Derivate</m:t>
            </m:r>
            <m:r>
              <m:rPr>
                <m:sty m:val="p"/>
              </m:rPr>
              <w:rPr>
                <w:rFonts w:ascii="Cambria Math" w:hAnsi="Times New Roman"/>
                <w:sz w:val="24"/>
                <w:szCs w:val="24"/>
              </w:rPr>
              <m:t>-</m:t>
            </m:r>
            <m:r>
              <m:rPr>
                <m:sty m:val="p"/>
              </m:rPr>
              <w:rPr>
                <w:rFonts w:ascii="Cambria Math" w:hAnsi="Times New Roman"/>
                <w:sz w:val="24"/>
                <w:szCs w:val="24"/>
              </w:rPr>
              <m:t>Risikopositionsmessgr</m:t>
            </m:r>
            <m:r>
              <m:rPr>
                <m:sty m:val="p"/>
              </m:rPr>
              <w:rPr>
                <w:rFonts w:ascii="Cambria Math" w:hAnsi="Times New Roman"/>
                <w:sz w:val="24"/>
                <w:szCs w:val="24"/>
              </w:rPr>
              <m:t>öß</m:t>
            </m:r>
            <m:r>
              <m:rPr>
                <m:sty m:val="p"/>
              </m:rPr>
              <w:rPr>
                <w:rFonts w:ascii="Cambria Math" w:hAnsi="Times New Roman"/>
                <w:sz w:val="24"/>
                <w:szCs w:val="24"/>
              </w:rPr>
              <m:t>e</m:t>
            </m:r>
          </m:num>
          <m:den>
            <m:r>
              <m:rPr>
                <m:sty m:val="p"/>
              </m:rPr>
              <w:rPr>
                <w:rFonts w:ascii="Cambria Math" w:hAnsi="Times New Roman"/>
                <w:sz w:val="24"/>
                <w:szCs w:val="24"/>
              </w:rPr>
              <m:t>Gesamtrisikopositionsmessgr</m:t>
            </m:r>
            <m:r>
              <m:rPr>
                <m:sty m:val="p"/>
              </m:rPr>
              <w:rPr>
                <w:rFonts w:ascii="Cambria Math" w:hAnsi="Times New Roman"/>
                <w:sz w:val="24"/>
                <w:szCs w:val="24"/>
              </w:rPr>
              <m:t>öß</m:t>
            </m:r>
            <m:r>
              <m:rPr>
                <m:sty m:val="p"/>
              </m:rPr>
              <w:rPr>
                <w:rFonts w:ascii="Cambria Math" w:hAnsi="Times New Roman"/>
                <w:sz w:val="24"/>
                <w:szCs w:val="24"/>
              </w:rPr>
              <m:t>e</m:t>
            </m:r>
          </m:den>
        </m:f>
      </m:oMath>
      <w:r w:rsidRPr="00500637">
        <w:rPr>
          <w:rFonts w:ascii="Times New Roman" w:hAnsi="Times New Roman"/>
          <w:sz w:val="24"/>
        </w:rPr>
        <w:t>.</w:t>
      </w:r>
    </w:p>
    <w:p w14:paraId="59FDE449" w14:textId="7D30F780" w:rsidR="00FC2664" w:rsidRPr="00500637" w:rsidRDefault="006F588E" w:rsidP="000B66BC">
      <w:pPr>
        <w:pStyle w:val="BodyText1"/>
        <w:spacing w:after="240" w:line="240" w:lineRule="auto"/>
        <w:ind w:left="720" w:hanging="360"/>
        <w:rPr>
          <w:rFonts w:ascii="Times New Roman" w:hAnsi="Times New Roman"/>
          <w:sz w:val="24"/>
          <w:szCs w:val="24"/>
        </w:rPr>
      </w:pPr>
      <w:r w:rsidRPr="00500637">
        <w:rPr>
          <w:rFonts w:ascii="Times New Roman" w:hAnsi="Times New Roman"/>
          <w:sz w:val="24"/>
        </w:rPr>
        <w:t>6.</w:t>
      </w:r>
      <w:r w:rsidRPr="00500637">
        <w:tab/>
      </w:r>
      <w:r w:rsidRPr="00500637">
        <w:rPr>
          <w:rFonts w:ascii="Times New Roman" w:hAnsi="Times New Roman"/>
          <w:sz w:val="24"/>
        </w:rPr>
        <w:t>Wobei die Derivate-Risikopositionsmessgröße gleich {LRCalc;0061;0010}+{LRCalc;0065;0010}+{LRCalc;0071;0010}+{LRCalc;0081;0010}+{LRCalc;0091;0010}+{LRCalc;0092;0010}+{LRCalc;0093;0010}+{LRCalc;0101;0010}+{LRCalc;0102;0010}+{LRCalc;0103;0010}+{LRCalc;0104;0010}+{LRCalc;0110;0010}+{LRCalc;0120;0010}+{LRCalc;0130;0010}+{LRCalc;0140;0010} ist.</w:t>
      </w:r>
    </w:p>
    <w:p w14:paraId="7C2BB4E9" w14:textId="1E407FFF" w:rsidR="00EB7F64" w:rsidRPr="00500637" w:rsidRDefault="006F588E" w:rsidP="000B66BC">
      <w:pPr>
        <w:pStyle w:val="BodyText1"/>
        <w:spacing w:after="240" w:line="240" w:lineRule="auto"/>
        <w:ind w:left="720" w:hanging="360"/>
        <w:rPr>
          <w:rFonts w:ascii="Times New Roman" w:hAnsi="Times New Roman"/>
          <w:sz w:val="24"/>
          <w:szCs w:val="24"/>
        </w:rPr>
      </w:pPr>
      <w:r w:rsidRPr="00500637">
        <w:rPr>
          <w:rFonts w:ascii="Times New Roman" w:hAnsi="Times New Roman"/>
          <w:sz w:val="24"/>
        </w:rPr>
        <w:t>7.</w:t>
      </w:r>
      <w:r w:rsidRPr="00500637">
        <w:tab/>
      </w:r>
      <w:r w:rsidRPr="00500637">
        <w:rPr>
          <w:rFonts w:ascii="Times New Roman" w:hAnsi="Times New Roman"/>
          <w:sz w:val="24"/>
        </w:rPr>
        <w:t>Wobei die Gesamtrisikopositionsmessgröße gleich {LRCalc;0290;0010} ist.</w:t>
      </w:r>
    </w:p>
    <w:p w14:paraId="236C5046" w14:textId="3D6A3933" w:rsidR="00F4754B" w:rsidRPr="00500637" w:rsidRDefault="006F588E" w:rsidP="000B66BC">
      <w:pPr>
        <w:pStyle w:val="BodyText1"/>
        <w:spacing w:after="240" w:line="240" w:lineRule="auto"/>
        <w:ind w:left="720" w:hanging="360"/>
        <w:rPr>
          <w:rFonts w:ascii="Times New Roman" w:hAnsi="Times New Roman"/>
          <w:sz w:val="24"/>
          <w:szCs w:val="24"/>
        </w:rPr>
      </w:pPr>
      <w:r w:rsidRPr="00500637">
        <w:rPr>
          <w:rFonts w:ascii="Times New Roman" w:hAnsi="Times New Roman"/>
          <w:sz w:val="24"/>
        </w:rPr>
        <w:t>8.</w:t>
      </w:r>
      <w:r w:rsidRPr="00500637">
        <w:tab/>
      </w:r>
      <w:r w:rsidRPr="00500637">
        <w:rPr>
          <w:rFonts w:ascii="Times New Roman" w:hAnsi="Times New Roman"/>
          <w:sz w:val="24"/>
        </w:rPr>
        <w:t>Durch Derivate referenzierter Gesamtnominalbetrag = {LR1;0010;0070}. In diesem Feld sind von den Instituten stets Angaben zu machen.</w:t>
      </w:r>
    </w:p>
    <w:p w14:paraId="5F8B3FC4" w14:textId="32C9016A" w:rsidR="00F4754B" w:rsidRPr="00500637" w:rsidRDefault="006F588E" w:rsidP="000B66BC">
      <w:pPr>
        <w:pStyle w:val="BodyText1"/>
        <w:spacing w:after="240" w:line="240" w:lineRule="auto"/>
        <w:ind w:left="720" w:hanging="360"/>
        <w:rPr>
          <w:rFonts w:ascii="Times New Roman" w:hAnsi="Times New Roman"/>
          <w:sz w:val="24"/>
          <w:szCs w:val="24"/>
        </w:rPr>
      </w:pPr>
      <w:r w:rsidRPr="00500637">
        <w:rPr>
          <w:rFonts w:ascii="Times New Roman" w:hAnsi="Times New Roman"/>
          <w:sz w:val="24"/>
        </w:rPr>
        <w:t>9.</w:t>
      </w:r>
      <w:r w:rsidRPr="00500637">
        <w:tab/>
      </w:r>
      <w:r w:rsidRPr="00500637">
        <w:rPr>
          <w:rFonts w:ascii="Times New Roman" w:hAnsi="Times New Roman"/>
          <w:sz w:val="24"/>
        </w:rPr>
        <w:t>Kreditderivate-Volumen = {LR1;0020;0070} + {LR1;0050;0070}. In diesen Feldern sind von den Instituten stets Angaben zu machen.</w:t>
      </w:r>
    </w:p>
    <w:p w14:paraId="10930518" w14:textId="07ED25AD" w:rsidR="00F4754B" w:rsidRPr="00500637" w:rsidRDefault="006F588E" w:rsidP="000B66BC">
      <w:pPr>
        <w:pStyle w:val="BodyText1"/>
        <w:spacing w:after="240" w:line="240" w:lineRule="auto"/>
        <w:ind w:left="720" w:hanging="360"/>
        <w:rPr>
          <w:rFonts w:ascii="Times New Roman" w:hAnsi="Times New Roman"/>
          <w:sz w:val="24"/>
          <w:szCs w:val="24"/>
        </w:rPr>
      </w:pPr>
      <w:r w:rsidRPr="00500637">
        <w:rPr>
          <w:rFonts w:ascii="Times New Roman" w:hAnsi="Times New Roman"/>
          <w:sz w:val="24"/>
        </w:rPr>
        <w:t>10.</w:t>
      </w:r>
      <w:r w:rsidRPr="00500637">
        <w:tab/>
      </w:r>
      <w:r w:rsidRPr="00500637">
        <w:rPr>
          <w:rFonts w:ascii="Times New Roman" w:hAnsi="Times New Roman"/>
          <w:sz w:val="24"/>
        </w:rPr>
        <w:t>Die Institute müssen in den unter Nummer 13 genannten Feldern Angaben machen, wenn eine der folgenden Bedingungen erfüllt ist:</w:t>
      </w:r>
    </w:p>
    <w:p w14:paraId="2564CD75" w14:textId="1B9B37E1" w:rsidR="00F4754B" w:rsidRPr="00500637" w:rsidRDefault="007A001B" w:rsidP="00AF4551">
      <w:pPr>
        <w:pStyle w:val="InstructionsText2"/>
        <w:numPr>
          <w:ilvl w:val="0"/>
          <w:numId w:val="27"/>
        </w:numPr>
        <w:rPr>
          <w:rFonts w:eastAsia="Times New Roman"/>
          <w:bCs/>
          <w:sz w:val="24"/>
        </w:rPr>
      </w:pPr>
      <w:r w:rsidRPr="00500637">
        <w:rPr>
          <w:sz w:val="24"/>
        </w:rPr>
        <w:t>der nach der Formel unter Nummer 5 berechnete Derivate-Anteil beträgt mehr als 1,5 %;</w:t>
      </w:r>
    </w:p>
    <w:p w14:paraId="272AC9A9" w14:textId="6954E060" w:rsidR="00675587" w:rsidRPr="00500637" w:rsidRDefault="007A001B" w:rsidP="00AF4551">
      <w:pPr>
        <w:pStyle w:val="InstructionsText2"/>
        <w:numPr>
          <w:ilvl w:val="0"/>
          <w:numId w:val="27"/>
        </w:numPr>
        <w:rPr>
          <w:rFonts w:eastAsia="Times New Roman"/>
          <w:bCs/>
          <w:sz w:val="24"/>
        </w:rPr>
      </w:pPr>
      <w:r w:rsidRPr="00500637">
        <w:rPr>
          <w:sz w:val="24"/>
        </w:rPr>
        <w:t>der nach der Formel unter Nummer 5 berechnete Derivate-Anteil übersteigt 2,0 %.</w:t>
      </w:r>
    </w:p>
    <w:p w14:paraId="2F872F2A" w14:textId="7830BBF5" w:rsidR="00242493" w:rsidRPr="00500637" w:rsidRDefault="00242493" w:rsidP="009339D1">
      <w:pPr>
        <w:pStyle w:val="InstructionsText2"/>
        <w:numPr>
          <w:ilvl w:val="0"/>
          <w:numId w:val="0"/>
        </w:numPr>
        <w:ind w:left="709" w:firstLine="11"/>
        <w:rPr>
          <w:rFonts w:eastAsia="Times New Roman"/>
          <w:bCs/>
          <w:sz w:val="24"/>
        </w:rPr>
      </w:pPr>
      <w:r w:rsidRPr="00500637">
        <w:rPr>
          <w:sz w:val="24"/>
        </w:rPr>
        <w:t>Es gelten die Ein- und Austrittskriterien des Artikels 4 dieser Verordnung, mit Ausnahme des in Buchstabe b genannten Falles, in dem die Institute Angaben ab dem nächsten Meldestichtag übermitteln, wenn sie die Schwelle an einem Meldestichtag überschritten haben.</w:t>
      </w:r>
    </w:p>
    <w:p w14:paraId="70291EC5" w14:textId="77777777" w:rsidR="00F4754B" w:rsidRPr="00500637" w:rsidRDefault="00F4754B" w:rsidP="000B66BC">
      <w:pPr>
        <w:pStyle w:val="BodyText1"/>
        <w:spacing w:after="240" w:line="240" w:lineRule="auto"/>
        <w:rPr>
          <w:rFonts w:ascii="Times New Roman" w:hAnsi="Times New Roman"/>
          <w:sz w:val="24"/>
          <w:szCs w:val="24"/>
        </w:rPr>
      </w:pPr>
    </w:p>
    <w:p w14:paraId="748E5477" w14:textId="35CC7961" w:rsidR="00F4754B" w:rsidRPr="00500637" w:rsidRDefault="00500508" w:rsidP="000B66BC">
      <w:pPr>
        <w:pStyle w:val="BodyText1"/>
        <w:spacing w:after="240" w:line="240" w:lineRule="auto"/>
        <w:ind w:left="720" w:hanging="360"/>
        <w:rPr>
          <w:rFonts w:ascii="Times New Roman" w:hAnsi="Times New Roman"/>
          <w:sz w:val="24"/>
          <w:szCs w:val="24"/>
        </w:rPr>
      </w:pPr>
      <w:r w:rsidRPr="00500637">
        <w:rPr>
          <w:rFonts w:ascii="Times New Roman" w:hAnsi="Times New Roman"/>
          <w:sz w:val="24"/>
        </w:rPr>
        <w:t>11.</w:t>
      </w:r>
      <w:r w:rsidRPr="00500637">
        <w:tab/>
      </w:r>
      <w:r w:rsidRPr="00500637">
        <w:rPr>
          <w:rFonts w:ascii="Times New Roman" w:hAnsi="Times New Roman"/>
          <w:sz w:val="24"/>
        </w:rPr>
        <w:t>Institute, bei denen der durch Derivate referenzierte Gesamtnominalbetrag (nach der Definition unter Nummer 8) 10 Mrd. EUR übersteigt, machen in den unter Nummer 13 genannten Feldern auch dann Angaben, wenn ihr Derivate-Anteil die unter Nummer 10 beschriebenen Bedingungen nicht erfüllt.</w:t>
      </w:r>
    </w:p>
    <w:p w14:paraId="48A7F7A1" w14:textId="709E0327" w:rsidR="00242493" w:rsidRPr="00500637" w:rsidRDefault="00242493" w:rsidP="000B66BC">
      <w:pPr>
        <w:pStyle w:val="BodyText1"/>
        <w:spacing w:after="240" w:line="240" w:lineRule="auto"/>
        <w:ind w:left="720" w:hanging="360"/>
        <w:rPr>
          <w:rFonts w:ascii="Times New Roman" w:hAnsi="Times New Roman"/>
          <w:sz w:val="24"/>
          <w:szCs w:val="24"/>
        </w:rPr>
      </w:pPr>
      <w:r w:rsidRPr="00500637">
        <w:tab/>
      </w:r>
      <w:r w:rsidRPr="00500637">
        <w:rPr>
          <w:rFonts w:ascii="Times New Roman" w:hAnsi="Times New Roman"/>
          <w:sz w:val="24"/>
        </w:rPr>
        <w:t>Die Eintrittskriterien nach Artikel 4 dieser Verordnung sind nicht anwendbar. Die Institute melden Angaben ab dem nächsten Meldestichtag, wenn sie die Schwelle an einem Meldestichtag überschritten haben.</w:t>
      </w:r>
    </w:p>
    <w:p w14:paraId="49F753AA" w14:textId="0D7F1C4D" w:rsidR="00F4754B" w:rsidRPr="00500637" w:rsidRDefault="00500508" w:rsidP="000B66BC">
      <w:pPr>
        <w:pStyle w:val="BodyText1"/>
        <w:spacing w:after="240" w:line="240" w:lineRule="auto"/>
        <w:ind w:left="720" w:hanging="360"/>
        <w:rPr>
          <w:rFonts w:ascii="Times New Roman" w:hAnsi="Times New Roman"/>
          <w:sz w:val="24"/>
          <w:szCs w:val="24"/>
        </w:rPr>
      </w:pPr>
      <w:r w:rsidRPr="00500637">
        <w:rPr>
          <w:rFonts w:ascii="Times New Roman" w:hAnsi="Times New Roman"/>
          <w:sz w:val="24"/>
        </w:rPr>
        <w:t>12.</w:t>
      </w:r>
      <w:r w:rsidRPr="00500637">
        <w:tab/>
      </w:r>
      <w:r w:rsidRPr="00500637">
        <w:rPr>
          <w:rFonts w:ascii="Times New Roman" w:hAnsi="Times New Roman"/>
          <w:sz w:val="24"/>
        </w:rPr>
        <w:t>Die Institute müssen in den unter Nummer 14 genannten Feldern Angaben machen, wenn eine der folgenden Bedingungen erfüllt ist:</w:t>
      </w:r>
    </w:p>
    <w:p w14:paraId="3F12E5B0" w14:textId="61844629" w:rsidR="00F4754B" w:rsidRPr="00500637" w:rsidRDefault="007A001B" w:rsidP="00AF4551">
      <w:pPr>
        <w:pStyle w:val="InstructionsText2"/>
        <w:numPr>
          <w:ilvl w:val="0"/>
          <w:numId w:val="28"/>
        </w:numPr>
        <w:rPr>
          <w:rFonts w:eastAsia="Times New Roman"/>
          <w:bCs/>
          <w:sz w:val="24"/>
        </w:rPr>
      </w:pPr>
      <w:r w:rsidRPr="00500637">
        <w:rPr>
          <w:sz w:val="24"/>
        </w:rPr>
        <w:t>das nach Nummer 9 berechnete Kreditderivate-Volumen beträgt mehr als 300 Mio. EUR;</w:t>
      </w:r>
    </w:p>
    <w:p w14:paraId="53026947" w14:textId="5B38C368" w:rsidR="00675587" w:rsidRPr="00500637" w:rsidRDefault="007A001B" w:rsidP="00AF4551">
      <w:pPr>
        <w:pStyle w:val="InstructionsText2"/>
        <w:numPr>
          <w:ilvl w:val="0"/>
          <w:numId w:val="28"/>
        </w:numPr>
        <w:rPr>
          <w:rFonts w:eastAsia="Times New Roman"/>
          <w:bCs/>
          <w:sz w:val="24"/>
        </w:rPr>
      </w:pPr>
      <w:r w:rsidRPr="00500637">
        <w:rPr>
          <w:sz w:val="24"/>
        </w:rPr>
        <w:t>das nach Nummer 9 berechnete Kreditderivate-Volumen übersteigt 500 Mio. EUR.</w:t>
      </w:r>
    </w:p>
    <w:p w14:paraId="3B88084F" w14:textId="34241752" w:rsidR="00F4754B" w:rsidRPr="00500637" w:rsidRDefault="00242493" w:rsidP="000B66BC">
      <w:pPr>
        <w:pStyle w:val="InstructionsText2"/>
        <w:numPr>
          <w:ilvl w:val="0"/>
          <w:numId w:val="0"/>
        </w:numPr>
        <w:ind w:left="709" w:firstLine="11"/>
        <w:rPr>
          <w:sz w:val="24"/>
        </w:rPr>
      </w:pPr>
      <w:r w:rsidRPr="00500637">
        <w:rPr>
          <w:sz w:val="24"/>
        </w:rPr>
        <w:t>Es gelten die Ein- und Austrittskriterien des Artikels 4 dieser Verordnung, mit Ausnahme des in Buchstabe b genannten Falles, in dem die Institute ab dem nächsten Meldestichtag Bericht erstatten, wenn sie die Schwelle an einem Meldestichtag überschritten haben.</w:t>
      </w:r>
    </w:p>
    <w:p w14:paraId="6CB3856E" w14:textId="36C7913E" w:rsidR="00F4754B" w:rsidRPr="00500637" w:rsidRDefault="00500508" w:rsidP="000B66BC">
      <w:pPr>
        <w:pStyle w:val="BodyText1"/>
        <w:spacing w:after="240" w:line="240" w:lineRule="auto"/>
        <w:ind w:left="720" w:hanging="360"/>
        <w:rPr>
          <w:rFonts w:ascii="Times New Roman" w:hAnsi="Times New Roman"/>
          <w:sz w:val="24"/>
          <w:szCs w:val="24"/>
        </w:rPr>
      </w:pPr>
      <w:r w:rsidRPr="00500637">
        <w:rPr>
          <w:rFonts w:ascii="Times New Roman" w:hAnsi="Times New Roman"/>
          <w:sz w:val="24"/>
        </w:rPr>
        <w:t>13.</w:t>
      </w:r>
      <w:r w:rsidRPr="00500637">
        <w:tab/>
      </w:r>
      <w:r w:rsidRPr="00500637">
        <w:rPr>
          <w:rFonts w:ascii="Times New Roman" w:hAnsi="Times New Roman"/>
          <w:sz w:val="24"/>
        </w:rPr>
        <w:t>In folgenden Feldern müssen die Institute gemäß Nummer 10 und 11 Angaben machen: {LR1;0010;0010}, {LR1;0010;0020}, {LR1;0020;0010}, {LR1;0020;0020}, {LR1;0030;0070}, {LR1;0040;0070}, {LR1;0050;0010}, {LR1;0050;0020}, {LR1;0060;0010}, {LR1;0060;0020}, und {LR1;0060;0070}.</w:t>
      </w:r>
    </w:p>
    <w:p w14:paraId="6F47B92E" w14:textId="36B5B5EF" w:rsidR="00F4754B" w:rsidRPr="00500637" w:rsidRDefault="00500508" w:rsidP="000B66BC">
      <w:pPr>
        <w:pStyle w:val="BodyText1"/>
        <w:spacing w:after="240" w:line="240" w:lineRule="auto"/>
        <w:ind w:left="720" w:hanging="360"/>
        <w:rPr>
          <w:rFonts w:ascii="Times New Roman" w:hAnsi="Times New Roman"/>
          <w:sz w:val="24"/>
          <w:szCs w:val="24"/>
        </w:rPr>
      </w:pPr>
      <w:r w:rsidRPr="00500637">
        <w:rPr>
          <w:rFonts w:ascii="Times New Roman" w:hAnsi="Times New Roman"/>
          <w:sz w:val="24"/>
        </w:rPr>
        <w:t>14.</w:t>
      </w:r>
      <w:r w:rsidRPr="00500637">
        <w:tab/>
      </w:r>
      <w:r w:rsidRPr="00500637">
        <w:rPr>
          <w:rFonts w:ascii="Times New Roman" w:hAnsi="Times New Roman"/>
          <w:sz w:val="24"/>
        </w:rPr>
        <w:t>In folgenden Feldern müssen die Institute gemäß Nummer 12 Angaben machen: {LR1;0020;0075}, {LR1;0050;0075} und {LR1;0050;0085}.</w:t>
      </w:r>
    </w:p>
    <w:p w14:paraId="00E6EF91" w14:textId="4226172D" w:rsidR="00217D1F" w:rsidRPr="00500637" w:rsidRDefault="005F4574" w:rsidP="000B66BC">
      <w:pPr>
        <w:pStyle w:val="BodyText1"/>
        <w:spacing w:after="240"/>
        <w:ind w:left="357" w:hanging="357"/>
        <w:outlineLvl w:val="1"/>
        <w:rPr>
          <w:rFonts w:ascii="Times New Roman" w:hAnsi="Times New Roman"/>
          <w:b/>
          <w:sz w:val="24"/>
          <w:szCs w:val="24"/>
        </w:rPr>
      </w:pPr>
      <w:bookmarkStart w:id="47" w:name="_Toc351048506"/>
      <w:bookmarkStart w:id="48" w:name="_Toc359414285"/>
      <w:bookmarkStart w:id="49" w:name="_Toc423089070"/>
      <w:bookmarkStart w:id="50" w:name="_Toc188886281"/>
      <w:bookmarkStart w:id="51" w:name="_Toc322687879"/>
      <w:bookmarkStart w:id="52" w:name="_Toc315961853"/>
      <w:bookmarkEnd w:id="46"/>
      <w:r w:rsidRPr="00500637">
        <w:rPr>
          <w:rFonts w:ascii="Times New Roman" w:hAnsi="Times New Roman"/>
          <w:b/>
          <w:sz w:val="24"/>
        </w:rPr>
        <w:t>3.</w:t>
      </w:r>
      <w:r w:rsidRPr="00500637">
        <w:tab/>
      </w:r>
      <w:r w:rsidRPr="00500637">
        <w:rPr>
          <w:rFonts w:ascii="Times New Roman" w:hAnsi="Times New Roman"/>
          <w:b/>
          <w:sz w:val="24"/>
        </w:rPr>
        <w:t>C 47.00 – Berechnung der Verschuldungsquote</w:t>
      </w:r>
      <w:bookmarkEnd w:id="47"/>
      <w:bookmarkEnd w:id="48"/>
      <w:r w:rsidRPr="00500637">
        <w:rPr>
          <w:rFonts w:ascii="Times New Roman" w:hAnsi="Times New Roman"/>
          <w:b/>
          <w:sz w:val="24"/>
        </w:rPr>
        <w:t xml:space="preserve"> (LRCalc)</w:t>
      </w:r>
      <w:bookmarkEnd w:id="49"/>
      <w:bookmarkEnd w:id="50"/>
    </w:p>
    <w:p w14:paraId="5579B71F" w14:textId="78EBED7E" w:rsidR="00AE2798" w:rsidRPr="00500637" w:rsidRDefault="00500508" w:rsidP="000B66BC">
      <w:pPr>
        <w:pStyle w:val="BodyText1"/>
        <w:spacing w:after="240" w:line="240" w:lineRule="auto"/>
        <w:ind w:left="720" w:hanging="360"/>
        <w:rPr>
          <w:rFonts w:ascii="Times New Roman" w:hAnsi="Times New Roman"/>
          <w:sz w:val="24"/>
          <w:szCs w:val="24"/>
        </w:rPr>
      </w:pPr>
      <w:r w:rsidRPr="00500637">
        <w:rPr>
          <w:rFonts w:ascii="Times New Roman" w:hAnsi="Times New Roman"/>
          <w:sz w:val="24"/>
        </w:rPr>
        <w:t>15.</w:t>
      </w:r>
      <w:r w:rsidRPr="00500637">
        <w:tab/>
      </w:r>
      <w:r w:rsidRPr="00500637">
        <w:rPr>
          <w:rFonts w:ascii="Times New Roman" w:hAnsi="Times New Roman"/>
          <w:sz w:val="24"/>
        </w:rPr>
        <w:t xml:space="preserve">In diesem Meldebogen werden die Daten erhoben, die zur Berechnung der Verschuldungsquote nach der Definition in Teil 7 der Verordnung (EU) Nr. 575/2013 benötigt werden. </w:t>
      </w:r>
    </w:p>
    <w:p w14:paraId="0E7DE041" w14:textId="23463C95" w:rsidR="00AE2798" w:rsidRPr="00500637" w:rsidRDefault="00500508" w:rsidP="000B66BC">
      <w:pPr>
        <w:pStyle w:val="BodyText1"/>
        <w:spacing w:after="240" w:line="240" w:lineRule="auto"/>
        <w:ind w:left="720" w:hanging="360"/>
        <w:rPr>
          <w:rFonts w:ascii="Times New Roman" w:hAnsi="Times New Roman"/>
          <w:sz w:val="24"/>
          <w:szCs w:val="24"/>
        </w:rPr>
      </w:pPr>
      <w:r w:rsidRPr="00500637">
        <w:rPr>
          <w:rFonts w:ascii="Times New Roman" w:hAnsi="Times New Roman"/>
          <w:sz w:val="24"/>
        </w:rPr>
        <w:t>16.</w:t>
      </w:r>
      <w:r w:rsidRPr="00500637">
        <w:tab/>
      </w:r>
      <w:r w:rsidRPr="00500637">
        <w:rPr>
          <w:rFonts w:ascii="Times New Roman" w:hAnsi="Times New Roman"/>
          <w:sz w:val="24"/>
        </w:rPr>
        <w:t>Die Institute müssen die Verschuldungsquote vierteljährlich melden. In jedem Quartal entspricht der Wert „am Meldestichtag“ dem Wert zum letzten Kalendertag des dritten Monats des jeweiligen Quartals.</w:t>
      </w:r>
    </w:p>
    <w:p w14:paraId="36716E2F" w14:textId="501E6CBB" w:rsidR="00941862" w:rsidRPr="00500637" w:rsidRDefault="008B4710" w:rsidP="000B66BC">
      <w:pPr>
        <w:pStyle w:val="BodyText1"/>
        <w:spacing w:after="240" w:line="240" w:lineRule="auto"/>
        <w:ind w:left="720" w:hanging="360"/>
        <w:rPr>
          <w:rFonts w:ascii="Times New Roman" w:hAnsi="Times New Roman"/>
          <w:sz w:val="24"/>
          <w:szCs w:val="24"/>
        </w:rPr>
      </w:pPr>
      <w:r w:rsidRPr="00500637">
        <w:rPr>
          <w:rFonts w:ascii="Times New Roman" w:hAnsi="Times New Roman"/>
          <w:sz w:val="24"/>
        </w:rPr>
        <w:t>17.</w:t>
      </w:r>
      <w:r w:rsidRPr="00500637">
        <w:tab/>
      </w:r>
      <w:r w:rsidRPr="00500637">
        <w:rPr>
          <w:rFonts w:ascii="Times New Roman" w:hAnsi="Times New Roman"/>
          <w:sz w:val="24"/>
        </w:rPr>
        <w:t>Die Institute melden die Positionen im Abschnitt zu Risikopositionswerten mit positivem Vorzeichen im Einklang mit der Vorzeichenkonvention nach Teil I Nummer 9 des vorliegenden Anhangs (ausgenommen {LRCalc;0270;0010} und {LRCalc;0280;0010}), so als wären die Positionen mit negativem Vorzeichen (z. B. Ausnahmen/Abzüge) im Einklang mit der Vorzeichenkonvention nach Teil I Nummer 9 des vorliegenden Anhangs nicht anwendbar.</w:t>
      </w:r>
    </w:p>
    <w:p w14:paraId="725F2D82" w14:textId="2BEB62D8" w:rsidR="00720503" w:rsidRPr="00500637" w:rsidRDefault="006F588E" w:rsidP="009339D1">
      <w:pPr>
        <w:pStyle w:val="InstructionsText2"/>
        <w:numPr>
          <w:ilvl w:val="0"/>
          <w:numId w:val="0"/>
        </w:numPr>
        <w:ind w:left="720" w:hanging="360"/>
        <w:rPr>
          <w:sz w:val="24"/>
        </w:rPr>
      </w:pPr>
      <w:r w:rsidRPr="00500637">
        <w:rPr>
          <w:sz w:val="24"/>
        </w:rPr>
        <w:lastRenderedPageBreak/>
        <w:t>18.</w:t>
      </w:r>
      <w:r w:rsidRPr="00500637">
        <w:tab/>
      </w:r>
      <w:r w:rsidRPr="00500637">
        <w:rPr>
          <w:sz w:val="24"/>
        </w:rPr>
        <w:t>Jeder Betrag, um den die Eigenmittel oder die Risikoposition für die Verschuldungsquote erhöht wird, ist als Positivwert anzugeben. Beträge dagegen, um die die Eigenmittel insgesamt oder die Risikoposition für die Verschuldungsquote vermindert werden, sind als Negativwert auszuweisen. Steht vor der Bezeichnung einer Position ein negatives Vorzeichen (-), wird davon ausgegangen, dass für die betreffende Position kein positiver Wert ausgewiesen wird.</w:t>
      </w:r>
    </w:p>
    <w:p w14:paraId="69E62B50" w14:textId="0E030492" w:rsidR="00EC3422" w:rsidRPr="00500637" w:rsidRDefault="006A4991" w:rsidP="009339D1">
      <w:pPr>
        <w:pStyle w:val="InstructionsText2"/>
        <w:numPr>
          <w:ilvl w:val="0"/>
          <w:numId w:val="0"/>
        </w:numPr>
        <w:ind w:left="720" w:hanging="360"/>
        <w:rPr>
          <w:sz w:val="24"/>
        </w:rPr>
      </w:pPr>
      <w:r w:rsidRPr="00500637">
        <w:rPr>
          <w:sz w:val="24"/>
        </w:rPr>
        <w:t>19. Kann ein Betrag aus mehreren Gründen in Abzug gebracht werden, wird der Betrag lediglich von der Risikoposition in einer der Zeilen des Meldebogens C47.00. abgezogen.</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7566"/>
      </w:tblGrid>
      <w:tr w:rsidR="00AE2798" w:rsidRPr="00500637" w14:paraId="5579CB50" w14:textId="77777777" w:rsidTr="008979D2">
        <w:trPr>
          <w:trHeight w:val="304"/>
        </w:trPr>
        <w:tc>
          <w:tcPr>
            <w:tcW w:w="1555" w:type="dxa"/>
            <w:shd w:val="clear" w:color="auto" w:fill="D9D9D9"/>
          </w:tcPr>
          <w:p w14:paraId="0C50BBA6" w14:textId="77777777" w:rsidR="00AE2798" w:rsidRPr="00500637" w:rsidRDefault="00AE2798" w:rsidP="000B66BC">
            <w:pPr>
              <w:pStyle w:val="BodyText1"/>
              <w:spacing w:after="240"/>
              <w:rPr>
                <w:rFonts w:ascii="Times New Roman" w:hAnsi="Times New Roman"/>
                <w:sz w:val="24"/>
                <w:szCs w:val="24"/>
              </w:rPr>
            </w:pPr>
          </w:p>
        </w:tc>
        <w:tc>
          <w:tcPr>
            <w:tcW w:w="7566" w:type="dxa"/>
            <w:shd w:val="clear" w:color="auto" w:fill="D9D9D9"/>
          </w:tcPr>
          <w:p w14:paraId="103B7EBD" w14:textId="77777777" w:rsidR="00AE2798" w:rsidRPr="00500637" w:rsidRDefault="00AE2798" w:rsidP="000B66BC">
            <w:pPr>
              <w:pStyle w:val="BodyText1"/>
              <w:spacing w:after="240"/>
              <w:rPr>
                <w:rFonts w:ascii="Times New Roman" w:hAnsi="Times New Roman"/>
                <w:bCs/>
                <w:sz w:val="24"/>
                <w:szCs w:val="24"/>
                <w:u w:val="single"/>
              </w:rPr>
            </w:pPr>
            <w:r w:rsidRPr="00500637">
              <w:rPr>
                <w:rFonts w:ascii="Times New Roman" w:hAnsi="Times New Roman"/>
                <w:sz w:val="24"/>
              </w:rPr>
              <w:t>Rechtsgrundlagen und Erläuterungen</w:t>
            </w:r>
          </w:p>
        </w:tc>
      </w:tr>
      <w:tr w:rsidR="00AE2798" w:rsidRPr="00500637" w14:paraId="699B1E0D" w14:textId="77777777" w:rsidTr="008979D2">
        <w:trPr>
          <w:trHeight w:val="304"/>
        </w:trPr>
        <w:tc>
          <w:tcPr>
            <w:tcW w:w="1555" w:type="dxa"/>
            <w:shd w:val="clear" w:color="auto" w:fill="D9D9D9" w:themeFill="background1" w:themeFillShade="D9"/>
          </w:tcPr>
          <w:p w14:paraId="3C798DCF" w14:textId="77777777" w:rsidR="00AE2798" w:rsidRPr="00500637" w:rsidRDefault="00AE2798" w:rsidP="000B66BC">
            <w:pPr>
              <w:pStyle w:val="BodyText1"/>
              <w:spacing w:after="240"/>
              <w:rPr>
                <w:rFonts w:ascii="Times New Roman" w:hAnsi="Times New Roman"/>
                <w:b/>
                <w:sz w:val="24"/>
                <w:szCs w:val="24"/>
              </w:rPr>
            </w:pPr>
            <w:r w:rsidRPr="00500637">
              <w:rPr>
                <w:rFonts w:ascii="Times New Roman" w:hAnsi="Times New Roman"/>
                <w:b/>
                <w:sz w:val="24"/>
              </w:rPr>
              <w:t>Zeile und Spalte</w:t>
            </w:r>
          </w:p>
        </w:tc>
        <w:tc>
          <w:tcPr>
            <w:tcW w:w="7566" w:type="dxa"/>
            <w:shd w:val="clear" w:color="auto" w:fill="D9D9D9" w:themeFill="background1" w:themeFillShade="D9"/>
          </w:tcPr>
          <w:p w14:paraId="1E421E8F" w14:textId="77777777" w:rsidR="00AE2798" w:rsidRPr="00500637" w:rsidRDefault="00AE2798" w:rsidP="000B66BC">
            <w:pPr>
              <w:pStyle w:val="BodyText1"/>
              <w:spacing w:after="240"/>
              <w:rPr>
                <w:rFonts w:ascii="Times New Roman" w:hAnsi="Times New Roman"/>
                <w:b/>
                <w:bCs/>
                <w:sz w:val="24"/>
                <w:szCs w:val="24"/>
              </w:rPr>
            </w:pPr>
            <w:r w:rsidRPr="00500637">
              <w:rPr>
                <w:rFonts w:ascii="Times New Roman" w:hAnsi="Times New Roman"/>
                <w:b/>
                <w:sz w:val="24"/>
              </w:rPr>
              <w:t>Risikopositionswerte</w:t>
            </w:r>
          </w:p>
        </w:tc>
      </w:tr>
      <w:tr w:rsidR="00AE2798" w:rsidRPr="00500637" w14:paraId="2DE0B580" w14:textId="77777777" w:rsidTr="008979D2">
        <w:trPr>
          <w:trHeight w:val="304"/>
        </w:trPr>
        <w:tc>
          <w:tcPr>
            <w:tcW w:w="1555" w:type="dxa"/>
            <w:shd w:val="clear" w:color="auto" w:fill="auto"/>
          </w:tcPr>
          <w:p w14:paraId="7EDCCB36" w14:textId="20E5281F" w:rsidR="00AE2798" w:rsidRPr="00500637" w:rsidRDefault="00AE2798" w:rsidP="000B66BC">
            <w:pPr>
              <w:pStyle w:val="BodyText1"/>
              <w:spacing w:after="240"/>
              <w:rPr>
                <w:rFonts w:ascii="Times New Roman" w:hAnsi="Times New Roman"/>
                <w:bCs/>
                <w:sz w:val="24"/>
                <w:szCs w:val="24"/>
              </w:rPr>
            </w:pPr>
            <w:r w:rsidRPr="00500637">
              <w:rPr>
                <w:rFonts w:ascii="Times New Roman" w:hAnsi="Times New Roman"/>
                <w:sz w:val="24"/>
              </w:rPr>
              <w:t>{0010;0010}</w:t>
            </w:r>
          </w:p>
        </w:tc>
        <w:tc>
          <w:tcPr>
            <w:tcW w:w="7566" w:type="dxa"/>
            <w:shd w:val="clear" w:color="auto" w:fill="auto"/>
          </w:tcPr>
          <w:p w14:paraId="776CC56F" w14:textId="3D6EA3A4" w:rsidR="00AE2798" w:rsidRPr="00500637" w:rsidRDefault="00AE2798" w:rsidP="000B66BC">
            <w:pPr>
              <w:pStyle w:val="BodyText1"/>
              <w:spacing w:after="240" w:line="240" w:lineRule="auto"/>
              <w:rPr>
                <w:rFonts w:ascii="Times New Roman" w:hAnsi="Times New Roman"/>
                <w:b/>
                <w:bCs/>
                <w:sz w:val="24"/>
                <w:szCs w:val="24"/>
                <w:u w:val="single"/>
              </w:rPr>
            </w:pPr>
            <w:r w:rsidRPr="00500637">
              <w:rPr>
                <w:rFonts w:ascii="Times New Roman" w:hAnsi="Times New Roman"/>
                <w:b/>
                <w:sz w:val="24"/>
              </w:rPr>
              <w:t xml:space="preserve">SFTs: Risikopositionswert </w:t>
            </w:r>
          </w:p>
          <w:p w14:paraId="24BF7807" w14:textId="24D30A04" w:rsidR="00962812" w:rsidRPr="00500637" w:rsidRDefault="00962812" w:rsidP="000B66BC">
            <w:pPr>
              <w:pStyle w:val="BodyText1"/>
              <w:spacing w:after="240" w:line="240" w:lineRule="auto"/>
              <w:rPr>
                <w:rFonts w:ascii="Times New Roman" w:hAnsi="Times New Roman"/>
                <w:sz w:val="24"/>
                <w:szCs w:val="24"/>
              </w:rPr>
            </w:pPr>
            <w:r w:rsidRPr="00500637">
              <w:rPr>
                <w:rFonts w:ascii="Times New Roman" w:hAnsi="Times New Roman"/>
                <w:sz w:val="24"/>
              </w:rPr>
              <w:t>Artikel 429b Absatz 1 Buchstabe b und Absätze 4 und 5 der Verordnung (EU) Nr. 575/2013</w:t>
            </w:r>
          </w:p>
          <w:p w14:paraId="4DADBAA1" w14:textId="4F33FF0A" w:rsidR="00AE2798" w:rsidRPr="00500637" w:rsidRDefault="00AE2798"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gemäß Artikel 429b Absatz 1 Buchstabe b und Absätze 4 und 5 der Verordnung (EU) Nr. 575/2013 berechnete Risikopositionswert für SFTs.</w:t>
            </w:r>
          </w:p>
          <w:p w14:paraId="7B519931" w14:textId="18CBF655" w:rsidR="00AE2798" w:rsidRPr="00500637" w:rsidRDefault="00AE2798" w:rsidP="000B66BC">
            <w:pPr>
              <w:pStyle w:val="BodyText1"/>
              <w:spacing w:after="240" w:line="240" w:lineRule="auto"/>
              <w:rPr>
                <w:rFonts w:ascii="Times New Roman" w:hAnsi="Times New Roman"/>
                <w:bCs/>
                <w:sz w:val="24"/>
                <w:szCs w:val="24"/>
              </w:rPr>
            </w:pPr>
            <w:r w:rsidRPr="00500637">
              <w:rPr>
                <w:rFonts w:ascii="Times New Roman" w:hAnsi="Times New Roman"/>
                <w:sz w:val="24"/>
              </w:rPr>
              <w:t>In diesem Feld weisen die Institute Geschäfte nach Artikel 429e Absatz 7 Buchstabe c der Verordnung (EU) Nr. 575/2013 aus.</w:t>
            </w:r>
          </w:p>
          <w:p w14:paraId="2DB53AA1" w14:textId="46DA276A" w:rsidR="00AE2798" w:rsidRPr="00500637" w:rsidRDefault="00AE2798" w:rsidP="000B66BC">
            <w:pPr>
              <w:pStyle w:val="BodyText1"/>
              <w:spacing w:after="240" w:line="240" w:lineRule="auto"/>
              <w:rPr>
                <w:rFonts w:ascii="Times New Roman" w:hAnsi="Times New Roman"/>
                <w:bCs/>
                <w:sz w:val="24"/>
                <w:szCs w:val="24"/>
              </w:rPr>
            </w:pPr>
            <w:r w:rsidRPr="00500637">
              <w:rPr>
                <w:rFonts w:ascii="Times New Roman" w:hAnsi="Times New Roman"/>
                <w:sz w:val="24"/>
              </w:rPr>
              <w:t>In diesem Feld weisen die Institute keine entgegengenommenen Barmittel oder Sicherheiten aus, die einer Gegenpartei über die vorgenannten Geschäfte zur Verfügung gestellt werden und die weiter in der Bilanz geführt werden (d. h. bei denen die nach dem geltenden Rechnungslegungsrahmen anwendbaren Ausbuchungskriterien nicht erfüllt sind). Diese Positionen werden stattdessen in {0190;0010} ausgewiesen.</w:t>
            </w:r>
          </w:p>
          <w:p w14:paraId="3B9A69FC" w14:textId="63B5CA3B" w:rsidR="00AE2798" w:rsidRPr="00500637" w:rsidRDefault="00AE2798" w:rsidP="000B66BC">
            <w:pPr>
              <w:pStyle w:val="BodyText1"/>
              <w:spacing w:after="240" w:line="240" w:lineRule="auto"/>
              <w:rPr>
                <w:rFonts w:ascii="Times New Roman" w:hAnsi="Times New Roman"/>
                <w:bCs/>
                <w:sz w:val="24"/>
                <w:szCs w:val="24"/>
                <w:u w:val="single"/>
              </w:rPr>
            </w:pPr>
            <w:r w:rsidRPr="00500637">
              <w:rPr>
                <w:rFonts w:ascii="Times New Roman" w:hAnsi="Times New Roman"/>
                <w:sz w:val="24"/>
              </w:rPr>
              <w:t>In diesem Feld weisen die Institute keine als Beauftragter getätigten SFTs aus, bei denen sie einem Kunden oder einer Gegenpartei für eine etwaige Differenz zwischen dem Wert der Sicherheit oder der Barmittel, die der Kunde verliehen, und dem Wert der Sicherheiten, die der Schuldner gemäß Artikel 429e Absatz 7 Buchstabe a der Verordnung (EU) Nr. 575/2013 gestellt hat, eine Gewährleistung oder Garantie gegeben haben.</w:t>
            </w:r>
          </w:p>
        </w:tc>
      </w:tr>
      <w:tr w:rsidR="00AE2798" w:rsidRPr="00500637" w14:paraId="76B5A234" w14:textId="77777777" w:rsidTr="008979D2">
        <w:trPr>
          <w:trHeight w:val="304"/>
        </w:trPr>
        <w:tc>
          <w:tcPr>
            <w:tcW w:w="1555" w:type="dxa"/>
          </w:tcPr>
          <w:p w14:paraId="209FB7E2" w14:textId="457D2517" w:rsidR="00AE2798" w:rsidRPr="00500637" w:rsidRDefault="00AE2798" w:rsidP="000B66BC">
            <w:pPr>
              <w:pStyle w:val="BodyText1"/>
              <w:spacing w:after="240"/>
              <w:rPr>
                <w:rFonts w:ascii="Times New Roman" w:hAnsi="Times New Roman"/>
                <w:bCs/>
                <w:sz w:val="24"/>
                <w:szCs w:val="24"/>
              </w:rPr>
            </w:pPr>
            <w:r w:rsidRPr="00500637">
              <w:rPr>
                <w:rFonts w:ascii="Times New Roman" w:hAnsi="Times New Roman"/>
                <w:sz w:val="24"/>
              </w:rPr>
              <w:t>{0020;0010}</w:t>
            </w:r>
          </w:p>
        </w:tc>
        <w:tc>
          <w:tcPr>
            <w:tcW w:w="7566" w:type="dxa"/>
          </w:tcPr>
          <w:p w14:paraId="2A5E1E69" w14:textId="77777777" w:rsidR="00AE2798" w:rsidRPr="00500637" w:rsidRDefault="00AE2798"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SFTs: Aufschlag für das Gegenparteiausfallrisiko</w:t>
            </w:r>
          </w:p>
          <w:p w14:paraId="54D8230E" w14:textId="501C31D8" w:rsidR="00AE2798" w:rsidRPr="00500637" w:rsidRDefault="00AE2798"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429e Absatz 1 der Verordnung (EU) Nr. 575/2013</w:t>
            </w:r>
          </w:p>
          <w:p w14:paraId="74373937" w14:textId="64B10156" w:rsidR="00AE2798" w:rsidRPr="00500637" w:rsidRDefault="00AE2798"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gemäß Artikel 429e Absatz 2 oder gegebenenfalls Absatz 3 und Artikel 429e Absatz 4 der Verordnung (EU) Nr. 575/2013 ermittelte Aufschlag für das Gegenparteiausfallrisiko von SFTs, einschließlich der außerbilanziellen.</w:t>
            </w:r>
          </w:p>
          <w:p w14:paraId="22B58EAB" w14:textId="758D2039" w:rsidR="00AE2798" w:rsidRPr="00500637" w:rsidRDefault="00AE2798" w:rsidP="000B66BC">
            <w:pPr>
              <w:pStyle w:val="BodyText1"/>
              <w:spacing w:after="240" w:line="240" w:lineRule="auto"/>
              <w:rPr>
                <w:rFonts w:ascii="Times New Roman" w:hAnsi="Times New Roman"/>
                <w:bCs/>
                <w:sz w:val="24"/>
                <w:szCs w:val="24"/>
              </w:rPr>
            </w:pPr>
            <w:r w:rsidRPr="00500637">
              <w:rPr>
                <w:rFonts w:ascii="Times New Roman" w:hAnsi="Times New Roman"/>
                <w:sz w:val="24"/>
              </w:rPr>
              <w:lastRenderedPageBreak/>
              <w:t>In diesem Feld weisen die Institute Geschäfte nach Artikel 429e Absatz 7 Buchstabe c der Verordnung (EU) Nr. 575/2013 aus.</w:t>
            </w:r>
          </w:p>
          <w:p w14:paraId="68CF607E" w14:textId="421A1EB2" w:rsidR="00AE2798" w:rsidRPr="00500637" w:rsidRDefault="00AE2798" w:rsidP="000B66BC">
            <w:pPr>
              <w:pStyle w:val="BodyText1"/>
              <w:spacing w:after="240" w:line="240" w:lineRule="auto"/>
              <w:rPr>
                <w:rFonts w:ascii="Times New Roman" w:hAnsi="Times New Roman"/>
                <w:bCs/>
                <w:sz w:val="24"/>
                <w:szCs w:val="24"/>
              </w:rPr>
            </w:pPr>
            <w:r w:rsidRPr="00500637">
              <w:rPr>
                <w:rFonts w:ascii="Times New Roman" w:hAnsi="Times New Roman"/>
                <w:sz w:val="24"/>
              </w:rPr>
              <w:t>In diesem Feld weisen die Institute keine als Beauftragter getätigten SFTs aus, bei denen sie einem Kunden oder einer Gegenpartei für eine etwaige Differenz zwischen dem Wert der Sicherheit oder der Barmittel, die der Kunde verliehen, und dem Wert der Sicherheiten, die der Schuldner gemäß Artikel 429e Absatz 7 Buchstabe a der Verordnung (EU) Nr. 575/2013 gestellt hat, eine Gewährleistung oder Garantie gegeben haben. Diese Positionen werden stattdessen in {0040;0010} ausgewiesen.</w:t>
            </w:r>
          </w:p>
        </w:tc>
      </w:tr>
      <w:tr w:rsidR="00AE2798" w:rsidRPr="00500637" w14:paraId="0276DE00" w14:textId="77777777" w:rsidTr="008979D2">
        <w:trPr>
          <w:trHeight w:val="304"/>
        </w:trPr>
        <w:tc>
          <w:tcPr>
            <w:tcW w:w="1555" w:type="dxa"/>
          </w:tcPr>
          <w:p w14:paraId="311C9C54" w14:textId="6BFA55DF" w:rsidR="00AE2798" w:rsidRPr="00500637" w:rsidRDefault="00AE2798" w:rsidP="000B66BC">
            <w:pPr>
              <w:pStyle w:val="BodyText1"/>
              <w:spacing w:after="240"/>
              <w:rPr>
                <w:rFonts w:ascii="Times New Roman" w:hAnsi="Times New Roman"/>
                <w:bCs/>
                <w:sz w:val="24"/>
                <w:szCs w:val="24"/>
              </w:rPr>
            </w:pPr>
            <w:r w:rsidRPr="00500637">
              <w:rPr>
                <w:rFonts w:ascii="Times New Roman" w:hAnsi="Times New Roman"/>
                <w:sz w:val="24"/>
              </w:rPr>
              <w:lastRenderedPageBreak/>
              <w:t>{0030;0010}</w:t>
            </w:r>
          </w:p>
          <w:p w14:paraId="31A60AAC" w14:textId="77777777" w:rsidR="00AE2798" w:rsidRPr="00500637" w:rsidRDefault="00AE2798" w:rsidP="000B66BC">
            <w:pPr>
              <w:pStyle w:val="BodyText1"/>
              <w:spacing w:after="240"/>
              <w:rPr>
                <w:rFonts w:ascii="Times New Roman" w:hAnsi="Times New Roman"/>
                <w:bCs/>
                <w:sz w:val="24"/>
                <w:szCs w:val="24"/>
              </w:rPr>
            </w:pPr>
          </w:p>
        </w:tc>
        <w:tc>
          <w:tcPr>
            <w:tcW w:w="7566" w:type="dxa"/>
          </w:tcPr>
          <w:p w14:paraId="49F43F40" w14:textId="6B3311A4" w:rsidR="00AE2798" w:rsidRPr="00500637" w:rsidRDefault="00AE2798"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Ausnahme für SFTs: Aufschlag gemäß Artikel 429e Absatz 5 und Artikel 222 CRR</w:t>
            </w:r>
          </w:p>
          <w:p w14:paraId="2D39F187" w14:textId="7F187365" w:rsidR="00AE2798" w:rsidRPr="00500637" w:rsidRDefault="00AE2798"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429e Absatz 5 und Artikel 222 der Verordnung (EU) Nr. 575/2013</w:t>
            </w:r>
          </w:p>
          <w:p w14:paraId="738B5B54" w14:textId="680FD6A3" w:rsidR="00AE2798" w:rsidRPr="00500637" w:rsidRDefault="00AE2798" w:rsidP="000B66BC">
            <w:pPr>
              <w:pStyle w:val="BodyText1"/>
              <w:spacing w:after="240" w:line="240" w:lineRule="auto"/>
              <w:rPr>
                <w:rFonts w:ascii="Times New Roman" w:hAnsi="Times New Roman"/>
                <w:bCs/>
                <w:sz w:val="24"/>
                <w:szCs w:val="24"/>
              </w:rPr>
            </w:pPr>
            <w:r w:rsidRPr="00500637">
              <w:rPr>
                <w:rFonts w:ascii="Times New Roman" w:hAnsi="Times New Roman"/>
                <w:sz w:val="24"/>
              </w:rPr>
              <w:t xml:space="preserve">Der gemäß Artikel 222 der Verordnung (EU) Nr. 575/2013 berechnete Risikopositionswert für SFTs, einschließlich der außerbilanziellen, vorbehaltlich einer Untergrenze von 20 % für das anwendbare Risikogewicht. </w:t>
            </w:r>
          </w:p>
          <w:p w14:paraId="3D5D2C18" w14:textId="42AA0940" w:rsidR="00AE2798" w:rsidRPr="00500637" w:rsidRDefault="00AE2798" w:rsidP="000B66BC">
            <w:pPr>
              <w:pStyle w:val="BodyText1"/>
              <w:spacing w:after="240" w:line="240" w:lineRule="auto"/>
              <w:rPr>
                <w:rFonts w:ascii="Times New Roman" w:hAnsi="Times New Roman"/>
                <w:bCs/>
                <w:sz w:val="24"/>
                <w:szCs w:val="24"/>
              </w:rPr>
            </w:pPr>
            <w:r w:rsidRPr="00500637">
              <w:rPr>
                <w:rFonts w:ascii="Times New Roman" w:hAnsi="Times New Roman"/>
                <w:sz w:val="24"/>
              </w:rPr>
              <w:t>In diesem Feld weisen die Institute Geschäfte nach Artikel 429e Absatz 7 Buchstabe c der Verordnung (EU) Nr. 575/2013 aus.</w:t>
            </w:r>
          </w:p>
          <w:p w14:paraId="29AD8FEA" w14:textId="1031B485" w:rsidR="00AE2798" w:rsidRPr="00500637" w:rsidRDefault="00AE2798" w:rsidP="000B66BC">
            <w:pPr>
              <w:pStyle w:val="BodyText1"/>
              <w:spacing w:after="240" w:line="240" w:lineRule="auto"/>
              <w:rPr>
                <w:rFonts w:ascii="Times New Roman" w:hAnsi="Times New Roman"/>
                <w:bCs/>
                <w:sz w:val="24"/>
                <w:szCs w:val="24"/>
              </w:rPr>
            </w:pPr>
            <w:r w:rsidRPr="00500637">
              <w:rPr>
                <w:rFonts w:ascii="Times New Roman" w:hAnsi="Times New Roman"/>
                <w:sz w:val="24"/>
              </w:rPr>
              <w:t>In diesem Feld weisen die Institute keine Geschäfte aus, bei denen der Aufschlag-Anteil des Risikopositionswerts für die Verschuldungsquote nach der in Artikel 429e Absatz 1 der Verordnung (EU) Nr. 575/2013 definierten Methode ermittelt wird.</w:t>
            </w:r>
          </w:p>
        </w:tc>
      </w:tr>
      <w:tr w:rsidR="00AE2798" w:rsidRPr="00500637" w14:paraId="5E04553E" w14:textId="77777777" w:rsidTr="008979D2">
        <w:trPr>
          <w:trHeight w:val="304"/>
        </w:trPr>
        <w:tc>
          <w:tcPr>
            <w:tcW w:w="1555" w:type="dxa"/>
          </w:tcPr>
          <w:p w14:paraId="252F5F3F" w14:textId="40B73EF4" w:rsidR="00AE2798" w:rsidRPr="00500637" w:rsidRDefault="00AE2798" w:rsidP="000B66BC">
            <w:pPr>
              <w:pStyle w:val="BodyText1"/>
              <w:spacing w:after="240"/>
              <w:rPr>
                <w:rFonts w:ascii="Times New Roman" w:hAnsi="Times New Roman"/>
                <w:bCs/>
                <w:sz w:val="24"/>
                <w:szCs w:val="24"/>
              </w:rPr>
            </w:pPr>
            <w:r w:rsidRPr="00500637">
              <w:rPr>
                <w:rFonts w:ascii="Times New Roman" w:hAnsi="Times New Roman"/>
                <w:sz w:val="24"/>
              </w:rPr>
              <w:t>{0040;0010}</w:t>
            </w:r>
          </w:p>
        </w:tc>
        <w:tc>
          <w:tcPr>
            <w:tcW w:w="7566" w:type="dxa"/>
          </w:tcPr>
          <w:p w14:paraId="2565C50A" w14:textId="2E53ED69" w:rsidR="00AE2798" w:rsidRPr="00500637" w:rsidRDefault="00AE2798" w:rsidP="000B66BC">
            <w:pPr>
              <w:pStyle w:val="BodyText1"/>
              <w:spacing w:after="240" w:line="240" w:lineRule="auto"/>
              <w:rPr>
                <w:rFonts w:ascii="Times New Roman" w:hAnsi="Times New Roman"/>
                <w:bCs/>
                <w:sz w:val="24"/>
                <w:szCs w:val="24"/>
              </w:rPr>
            </w:pPr>
            <w:r w:rsidRPr="00500637">
              <w:rPr>
                <w:rFonts w:ascii="Times New Roman" w:hAnsi="Times New Roman"/>
                <w:b/>
                <w:sz w:val="24"/>
              </w:rPr>
              <w:t xml:space="preserve">Gegenparteiausfallrisiko von als Beauftragter getätigten SFT-Geschäften </w:t>
            </w:r>
          </w:p>
          <w:p w14:paraId="475F166E" w14:textId="5DE704BE" w:rsidR="00E1045E" w:rsidRPr="00500637" w:rsidRDefault="00E1045E"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429e Absatz 7 Buchstabe a und Absätze 2 und 3 der Verordnung (EU) Nr. 575/2013</w:t>
            </w:r>
          </w:p>
          <w:p w14:paraId="1619B100" w14:textId="611A2DCA" w:rsidR="00AE2798" w:rsidRPr="00500637" w:rsidRDefault="00AE2798"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als Beauftragter getätigte SFTs, bei denen das Institut einem Kunden oder einer Gegenpartei für eine etwaige Differenz zwischen dem Wert der Sicherheit oder der Barmittel, die der Kunde verliehen, und dem Wert der Sicherheiten, die der Schuldner gemäß Artikel 429e Absatz 7 Buchstabe a der Verordnung (EU) Nr. 575/2013 gestellt hat, eine Gewährleistung oder Garantie gegeben hat, besteht nur aus dem gemäß Artikel 429e Absatz 2 oder gegebenenfalls 3 der Verordnung (EU) Nr. 575/2013 ermittelten Aufschlag.</w:t>
            </w:r>
          </w:p>
          <w:p w14:paraId="138E8801" w14:textId="61A2D011" w:rsidR="00AE2798" w:rsidRPr="00500637" w:rsidRDefault="00AE2798" w:rsidP="000B66BC">
            <w:pPr>
              <w:pStyle w:val="BodyText1"/>
              <w:spacing w:after="240" w:line="240" w:lineRule="auto"/>
              <w:rPr>
                <w:rFonts w:ascii="Times New Roman" w:hAnsi="Times New Roman"/>
                <w:bCs/>
                <w:sz w:val="24"/>
                <w:szCs w:val="24"/>
              </w:rPr>
            </w:pPr>
            <w:r w:rsidRPr="00500637">
              <w:rPr>
                <w:rFonts w:ascii="Times New Roman" w:hAnsi="Times New Roman"/>
                <w:sz w:val="24"/>
              </w:rPr>
              <w:t>In diesem Feld weisen die Institute keine Geschäfte nach Artikel 429e Absatz 7 Buchstabe c aus. Diese Positionen werden stattdessen je nach Anwendbarkeit in {0010;0010} und {0020;0010} oder {0010;0010} und {0030;0010} ausgewiesen.</w:t>
            </w:r>
          </w:p>
        </w:tc>
      </w:tr>
      <w:tr w:rsidR="00AE2798" w:rsidRPr="00500637" w14:paraId="730C9B47" w14:textId="77777777" w:rsidTr="008979D2">
        <w:trPr>
          <w:trHeight w:val="304"/>
        </w:trPr>
        <w:tc>
          <w:tcPr>
            <w:tcW w:w="1555" w:type="dxa"/>
          </w:tcPr>
          <w:p w14:paraId="67472548" w14:textId="3E8951DA" w:rsidR="00AE2798" w:rsidRPr="00500637" w:rsidRDefault="00AE2798" w:rsidP="000B66BC">
            <w:pPr>
              <w:pStyle w:val="BodyText1"/>
              <w:spacing w:after="240"/>
              <w:rPr>
                <w:rFonts w:ascii="Times New Roman" w:hAnsi="Times New Roman"/>
                <w:bCs/>
                <w:sz w:val="24"/>
                <w:szCs w:val="24"/>
              </w:rPr>
            </w:pPr>
            <w:r w:rsidRPr="00500637">
              <w:rPr>
                <w:rFonts w:ascii="Times New Roman" w:hAnsi="Times New Roman"/>
                <w:sz w:val="24"/>
              </w:rPr>
              <w:lastRenderedPageBreak/>
              <w:t>{0050;0010}</w:t>
            </w:r>
          </w:p>
        </w:tc>
        <w:tc>
          <w:tcPr>
            <w:tcW w:w="7566" w:type="dxa"/>
          </w:tcPr>
          <w:p w14:paraId="2F6E1B5E" w14:textId="77777777" w:rsidR="00AE2798" w:rsidRPr="00500637" w:rsidRDefault="005556DC" w:rsidP="000B66BC">
            <w:pPr>
              <w:pStyle w:val="BodyText1"/>
              <w:spacing w:after="240" w:line="240" w:lineRule="auto"/>
              <w:rPr>
                <w:rFonts w:ascii="Times New Roman" w:hAnsi="Times New Roman"/>
                <w:bCs/>
                <w:sz w:val="24"/>
                <w:szCs w:val="24"/>
              </w:rPr>
            </w:pPr>
            <w:r w:rsidRPr="00500637">
              <w:rPr>
                <w:rFonts w:ascii="Times New Roman" w:hAnsi="Times New Roman"/>
                <w:b/>
                <w:sz w:val="24"/>
              </w:rPr>
              <w:t>(-) Ausgeschlossener ZGP-Teil kundengeclearter SFT-Risikopositionen</w:t>
            </w:r>
          </w:p>
          <w:p w14:paraId="1B6574CC" w14:textId="445B8DBB" w:rsidR="00AE2798" w:rsidRPr="00500637" w:rsidRDefault="00E1045E"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429a Absatz 1 Buchstabe g und Artikel 306 Absatz 1 Buchstabe c der Verordnung (EU) Nr. 575/2013</w:t>
            </w:r>
          </w:p>
          <w:p w14:paraId="5E6D8E3F" w14:textId="07590645" w:rsidR="00AE2798" w:rsidRPr="00500637" w:rsidRDefault="00AE2798"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aus kundengeclearten Handelsrisikopositionen im Zusammenhang mit SFTs ausgeschlossene ZGP-Teil, sofern diese Positionen die in Artikel 306 Absatz 1 Buchstabe c der Verordnung (EU) Nr. 575/2013 genannten Bedingungen erfüllen.</w:t>
            </w:r>
          </w:p>
          <w:p w14:paraId="39011247" w14:textId="7D52358B" w:rsidR="004052F0" w:rsidRPr="00500637" w:rsidRDefault="004052F0" w:rsidP="000B66BC">
            <w:pPr>
              <w:pStyle w:val="BodyText1"/>
              <w:spacing w:after="240" w:line="240" w:lineRule="auto"/>
              <w:rPr>
                <w:rFonts w:ascii="Times New Roman" w:hAnsi="Times New Roman"/>
                <w:bCs/>
                <w:sz w:val="24"/>
                <w:szCs w:val="24"/>
              </w:rPr>
            </w:pPr>
            <w:r w:rsidRPr="00500637">
              <w:rPr>
                <w:rFonts w:ascii="Times New Roman" w:hAnsi="Times New Roman"/>
                <w:sz w:val="24"/>
              </w:rPr>
              <w:t>Ist der gegenüber der ZGP ausgenommene Teil eine Sicherheit, wird dieser nicht in diesem Feld ausgewiesen, es sei denn, es handelt sich um eine weiterverpfändete Sicherheit, die nach dem geltenden Rechnungslegungsrahmen (d. h. gemäß Artikel 111 Absatz 1 Satz 1 der Verordnung (EU) Nr. 575/2013) mit ihrem vollen Wert angesetzt wird.</w:t>
            </w:r>
          </w:p>
          <w:p w14:paraId="0885E19A" w14:textId="55DD0357" w:rsidR="00AF6C6D" w:rsidRPr="00500637" w:rsidRDefault="005A1D6D"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weisen den in diesem Feld angegebenen Betrag auch in {0010;0010}, {0020;0010} und {0030;0010} aus, so als gälte keine Ausnahme, und, sofern es sich um eine weiterverpfändete Sicherheit handelt, die nach dem geltenden Rechnungslegungsrahmen mit ihrem vollen Wert angesetzt wird, in {0190;0010}.</w:t>
            </w:r>
          </w:p>
          <w:p w14:paraId="2D82192D" w14:textId="03F34C36" w:rsidR="00AE2798" w:rsidRPr="00500637" w:rsidRDefault="00AF6C6D" w:rsidP="000B66BC">
            <w:pPr>
              <w:pStyle w:val="BodyText1"/>
              <w:spacing w:after="240" w:line="240" w:lineRule="auto"/>
              <w:rPr>
                <w:rFonts w:ascii="Times New Roman" w:hAnsi="Times New Roman"/>
                <w:bCs/>
                <w:sz w:val="24"/>
                <w:szCs w:val="24"/>
              </w:rPr>
            </w:pPr>
            <w:r w:rsidRPr="00500637">
              <w:rPr>
                <w:rFonts w:ascii="Times New Roman" w:hAnsi="Times New Roman"/>
                <w:sz w:val="24"/>
              </w:rPr>
              <w:t>Gibt das Institut für einen ausgeschlossenen Teil eines SFT, der in {0190;0010} und nicht in {0020;0010} oder {0030;0010} ausgewiesen wird, Einschüsse an, so kann es den Betrag in diesem Feld ausweisen.</w:t>
            </w:r>
          </w:p>
        </w:tc>
      </w:tr>
      <w:tr w:rsidR="00AA0445" w:rsidRPr="00500637" w14:paraId="22358CE2" w14:textId="77777777" w:rsidTr="008979D2">
        <w:trPr>
          <w:trHeight w:val="304"/>
        </w:trPr>
        <w:tc>
          <w:tcPr>
            <w:tcW w:w="1555" w:type="dxa"/>
            <w:tcBorders>
              <w:bottom w:val="single" w:sz="4" w:space="0" w:color="auto"/>
            </w:tcBorders>
          </w:tcPr>
          <w:p w14:paraId="45ADDB05" w14:textId="0401F47D" w:rsidR="00AE3377" w:rsidRPr="00500637" w:rsidRDefault="00AE3377" w:rsidP="000B66BC">
            <w:pPr>
              <w:pStyle w:val="BodyText1"/>
              <w:spacing w:after="240"/>
              <w:rPr>
                <w:rFonts w:ascii="Times New Roman" w:hAnsi="Times New Roman"/>
                <w:bCs/>
                <w:sz w:val="24"/>
                <w:szCs w:val="24"/>
              </w:rPr>
            </w:pPr>
            <w:r w:rsidRPr="00500637">
              <w:rPr>
                <w:rFonts w:ascii="Times New Roman" w:hAnsi="Times New Roman"/>
                <w:sz w:val="24"/>
              </w:rPr>
              <w:t>{0061;0010}</w:t>
            </w:r>
          </w:p>
          <w:p w14:paraId="39B81BC5" w14:textId="77777777" w:rsidR="00AE3377" w:rsidRPr="00500637" w:rsidRDefault="00AE3377" w:rsidP="000B66BC">
            <w:pPr>
              <w:pStyle w:val="BodyText1"/>
              <w:spacing w:after="240"/>
              <w:rPr>
                <w:rFonts w:ascii="Times New Roman" w:hAnsi="Times New Roman"/>
                <w:bCs/>
                <w:sz w:val="24"/>
                <w:szCs w:val="24"/>
              </w:rPr>
            </w:pPr>
          </w:p>
          <w:p w14:paraId="670E1CF2" w14:textId="77777777" w:rsidR="00AA0445" w:rsidRPr="00500637"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23795B97" w14:textId="5A0D0C24" w:rsidR="00AE3377" w:rsidRPr="00500637" w:rsidRDefault="00AE3377" w:rsidP="000B66BC">
            <w:pPr>
              <w:pStyle w:val="BodyText1"/>
              <w:spacing w:after="240" w:line="240" w:lineRule="auto"/>
              <w:rPr>
                <w:rFonts w:ascii="Times New Roman" w:hAnsi="Times New Roman"/>
                <w:bCs/>
                <w:sz w:val="24"/>
                <w:szCs w:val="24"/>
              </w:rPr>
            </w:pPr>
            <w:r w:rsidRPr="00500637">
              <w:rPr>
                <w:rFonts w:ascii="Times New Roman" w:hAnsi="Times New Roman"/>
                <w:b/>
                <w:sz w:val="24"/>
              </w:rPr>
              <w:t xml:space="preserve">Derivate: Beitrag zu Wiederbeschaffungskosten nach dem SA-CCR (ohne Auswirkung von Sicherheiten auf den NICA) </w:t>
            </w:r>
          </w:p>
          <w:p w14:paraId="303004A2" w14:textId="377F9233" w:rsidR="00AA0445" w:rsidRPr="00500637" w:rsidRDefault="00AA0445"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429c Absatz 1 der Verordnung (EU) Nr. 575/2013</w:t>
            </w:r>
          </w:p>
          <w:p w14:paraId="3B8148BD" w14:textId="4F445033" w:rsidR="000864F6" w:rsidRPr="00500637" w:rsidRDefault="004E204E"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Wiederbeschaffungskosten nach Artikel 275 der Verordnung (EU) Nr. 575/2013 ohne Auswirkung von Sicherheiten auf den NICA und ohne Auswirkung von Nachschüssen. Für die Zwecke dieses Felds wenden die Institute nicht die in Artikel 429c Absätze 3 und 4 und Artikel 429a Absatz 1 Buchstabe g der Verordnung (EU) Nr. 575/2013 vorgesehenen Ausnahmen an. Der Betrag ist unter Anwendung des in Artikel 274 Absatz 2 der Verordnung (EU) Nr. 575/2013 spezifizierten Alpha-Faktors von 1,4 auszuweisen.</w:t>
            </w:r>
          </w:p>
          <w:p w14:paraId="69D03BFF" w14:textId="7C94597B" w:rsidR="000864F6" w:rsidRPr="00500637" w:rsidRDefault="000864F6" w:rsidP="000B66BC">
            <w:pPr>
              <w:pStyle w:val="BodyText1"/>
              <w:spacing w:after="240" w:line="240" w:lineRule="auto"/>
              <w:rPr>
                <w:rFonts w:ascii="Times New Roman" w:hAnsi="Times New Roman"/>
                <w:bCs/>
                <w:sz w:val="24"/>
                <w:szCs w:val="24"/>
              </w:rPr>
            </w:pPr>
            <w:r w:rsidRPr="00500637">
              <w:rPr>
                <w:rFonts w:ascii="Times New Roman" w:hAnsi="Times New Roman"/>
                <w:sz w:val="24"/>
              </w:rPr>
              <w:t>Wie in Artikel 429c Absatz 1 der Verordnung (EU) Nr. 575/2013 bestimmt, dürfen die Institute die Auswirkungen von Schuldumwandlungsverträgen und sonstigen Nettingvereinbarungen gemäß Artikel 295 der Verordnung (EU) Nr. 575/2013 berücksichtigen. Dies gilt nicht für produktübergreifendes Netting. Die Institute dürfen jedoch innerhalb der in Artikel 272 Nummer 25 Buchstabe c der Verordnung (EU) Nr. 575/2013 genannten Produktkategorie sowie Kreditderivate aufrechnen, wenn diese einer der in Artikel 295 Buchstabe c der Verordnung (EU) Nr. 575/2013 genannten produktübergreifenden vertraglichen Nettingvereinbarungen unterliegen.</w:t>
            </w:r>
          </w:p>
          <w:p w14:paraId="68582320" w14:textId="76F97D55" w:rsidR="00AA0445" w:rsidRPr="00500637" w:rsidRDefault="000864F6" w:rsidP="000B66BC">
            <w:pPr>
              <w:pStyle w:val="BodyText1"/>
              <w:spacing w:after="240" w:line="240" w:lineRule="auto"/>
              <w:rPr>
                <w:rFonts w:ascii="Times New Roman" w:hAnsi="Times New Roman"/>
                <w:bCs/>
                <w:sz w:val="24"/>
                <w:szCs w:val="24"/>
              </w:rPr>
            </w:pPr>
            <w:r w:rsidRPr="00500637">
              <w:rPr>
                <w:rFonts w:ascii="Times New Roman" w:hAnsi="Times New Roman"/>
                <w:sz w:val="24"/>
              </w:rPr>
              <w:lastRenderedPageBreak/>
              <w:t>Die Institute berücksichtigen alle Kreditderivate, nicht nur die des Handelsbuchs.</w:t>
            </w:r>
          </w:p>
          <w:p w14:paraId="2DFB7147" w14:textId="5C4A2661" w:rsidR="00AA0445" w:rsidRPr="00500637" w:rsidRDefault="008C451E" w:rsidP="000B66BC">
            <w:pPr>
              <w:pStyle w:val="BodyText1"/>
              <w:spacing w:after="240" w:line="240" w:lineRule="auto"/>
              <w:rPr>
                <w:rFonts w:ascii="Times New Roman" w:hAnsi="Times New Roman"/>
                <w:b/>
                <w:sz w:val="24"/>
                <w:szCs w:val="24"/>
              </w:rPr>
            </w:pPr>
            <w:r w:rsidRPr="00500637">
              <w:rPr>
                <w:rFonts w:ascii="Times New Roman" w:hAnsi="Times New Roman"/>
                <w:sz w:val="24"/>
              </w:rPr>
              <w:t>Die Institute weisen in diesem Feld keine Geschäfte aus, die nach dem vereinfachten Standardansatz oder der Ursprungsrisikomethode bewertet werden.</w:t>
            </w:r>
          </w:p>
        </w:tc>
      </w:tr>
      <w:tr w:rsidR="00AA0445" w:rsidRPr="00500637" w14:paraId="6839640F" w14:textId="77777777" w:rsidTr="008979D2">
        <w:trPr>
          <w:trHeight w:val="304"/>
        </w:trPr>
        <w:tc>
          <w:tcPr>
            <w:tcW w:w="1555" w:type="dxa"/>
            <w:tcBorders>
              <w:bottom w:val="single" w:sz="4" w:space="0" w:color="auto"/>
            </w:tcBorders>
          </w:tcPr>
          <w:p w14:paraId="7B6A76A4" w14:textId="48C3F797" w:rsidR="00AE3377" w:rsidRPr="00500637" w:rsidRDefault="00AE3377" w:rsidP="000B66BC">
            <w:pPr>
              <w:pStyle w:val="BodyText1"/>
              <w:spacing w:after="240"/>
              <w:rPr>
                <w:rFonts w:ascii="Times New Roman" w:hAnsi="Times New Roman"/>
                <w:bCs/>
                <w:sz w:val="24"/>
                <w:szCs w:val="24"/>
              </w:rPr>
            </w:pPr>
            <w:r w:rsidRPr="00500637">
              <w:rPr>
                <w:rFonts w:ascii="Times New Roman" w:hAnsi="Times New Roman"/>
                <w:sz w:val="24"/>
              </w:rPr>
              <w:lastRenderedPageBreak/>
              <w:t>{0065;0010}</w:t>
            </w:r>
          </w:p>
          <w:p w14:paraId="3E5668CA" w14:textId="77777777" w:rsidR="00AE3377" w:rsidRPr="00500637" w:rsidRDefault="00AE3377" w:rsidP="000B66BC">
            <w:pPr>
              <w:pStyle w:val="BodyText1"/>
              <w:spacing w:after="240"/>
              <w:rPr>
                <w:rFonts w:ascii="Times New Roman" w:hAnsi="Times New Roman"/>
                <w:bCs/>
                <w:sz w:val="24"/>
                <w:szCs w:val="24"/>
              </w:rPr>
            </w:pPr>
          </w:p>
          <w:p w14:paraId="13FEE6ED" w14:textId="77777777" w:rsidR="00AA0445" w:rsidRPr="00500637"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4EDC7E6" w14:textId="3E0D75A1" w:rsidR="00AE3377" w:rsidRPr="00500637" w:rsidRDefault="00AE3377"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 NICA-Auswirkung der Anerkennung von Sicherheiten für kundengeclearte Geschäfte mit qualifizierten ZGP (SA-CCR – Wiederbeschaffungskosten)</w:t>
            </w:r>
          </w:p>
          <w:p w14:paraId="4393A5C2" w14:textId="59905614" w:rsidR="00AA0445" w:rsidRPr="00500637" w:rsidRDefault="00AA0445"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429c Absätze 4 und 4a der Verordnung (EU) Nr. 575/2013</w:t>
            </w:r>
          </w:p>
          <w:p w14:paraId="5BDFEC31" w14:textId="28614318" w:rsidR="00AA0445" w:rsidRPr="00500637" w:rsidRDefault="00143A3F" w:rsidP="000B66BC">
            <w:pPr>
              <w:pStyle w:val="BodyText1"/>
              <w:spacing w:after="240" w:line="240" w:lineRule="auto"/>
              <w:rPr>
                <w:rFonts w:ascii="Times New Roman" w:hAnsi="Times New Roman"/>
                <w:bCs/>
                <w:sz w:val="24"/>
                <w:szCs w:val="24"/>
              </w:rPr>
            </w:pPr>
            <w:r w:rsidRPr="00500637">
              <w:rPr>
                <w:rFonts w:ascii="Times New Roman" w:hAnsi="Times New Roman"/>
                <w:sz w:val="24"/>
              </w:rPr>
              <w:t>Anwendung der Ausnahme nach Artikel 429c Absatz 4 der Verordnung (EU) Nr. 575/2013 in Verbindung mit Artikel 429c Absatz 4a auf die Berechnung der Wiederbeschaffungskosten für Derivatkontrakte mit Kunden, sofern diese Kontrakte über eine QZGP abgerechnet werden. Der Betrag ist unter Anwendung des in Artikel 274 Absatz 2 der Verordnung (EU) Nr. 575/2013 spezifizierten Alpha-Faktors von 1,4 auszuweisen.</w:t>
            </w:r>
          </w:p>
          <w:p w14:paraId="71B5D857" w14:textId="15F17BCC" w:rsidR="00860608" w:rsidRPr="00500637" w:rsidRDefault="00C622B3"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weisen den in diesem Feld gemeldeten Betrag auch in {0061;0010} aus, so als gälte keine Ausnahme.</w:t>
            </w:r>
          </w:p>
        </w:tc>
      </w:tr>
      <w:tr w:rsidR="00B451A5" w:rsidRPr="00500637" w14:paraId="708471F4" w14:textId="77777777" w:rsidTr="008979D2">
        <w:trPr>
          <w:trHeight w:val="304"/>
        </w:trPr>
        <w:tc>
          <w:tcPr>
            <w:tcW w:w="1555" w:type="dxa"/>
            <w:tcBorders>
              <w:top w:val="single" w:sz="4" w:space="0" w:color="auto"/>
              <w:left w:val="single" w:sz="4" w:space="0" w:color="auto"/>
              <w:bottom w:val="single" w:sz="4" w:space="0" w:color="auto"/>
              <w:right w:val="single" w:sz="4" w:space="0" w:color="auto"/>
            </w:tcBorders>
          </w:tcPr>
          <w:p w14:paraId="4BC05902" w14:textId="77777777" w:rsidR="00B451A5" w:rsidRPr="00500637" w:rsidRDefault="00B451A5" w:rsidP="000B66BC">
            <w:pPr>
              <w:pStyle w:val="BodyText1"/>
              <w:spacing w:after="240"/>
              <w:rPr>
                <w:rFonts w:ascii="Times New Roman" w:hAnsi="Times New Roman"/>
                <w:bCs/>
                <w:sz w:val="24"/>
                <w:szCs w:val="24"/>
              </w:rPr>
            </w:pPr>
            <w:r w:rsidRPr="00500637">
              <w:rPr>
                <w:rFonts w:ascii="Times New Roman" w:hAnsi="Times New Roman"/>
                <w:sz w:val="24"/>
              </w:rPr>
              <w:t>{0071;0010}</w:t>
            </w:r>
          </w:p>
        </w:tc>
        <w:tc>
          <w:tcPr>
            <w:tcW w:w="7566" w:type="dxa"/>
            <w:tcBorders>
              <w:top w:val="single" w:sz="4" w:space="0" w:color="auto"/>
              <w:left w:val="single" w:sz="4" w:space="0" w:color="auto"/>
              <w:bottom w:val="single" w:sz="4" w:space="0" w:color="auto"/>
              <w:right w:val="single" w:sz="4" w:space="0" w:color="auto"/>
            </w:tcBorders>
          </w:tcPr>
          <w:p w14:paraId="2D238DD9" w14:textId="77777777" w:rsidR="00B451A5" w:rsidRPr="00500637" w:rsidRDefault="00B451A5"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 Auswirkung anrechenbarer erhaltener Barnachschüsse, aufgerechnet mit Derivate-Marktwert (SA-CCR – Wiederbeschaffungskosten)</w:t>
            </w:r>
          </w:p>
          <w:p w14:paraId="1A368C0C" w14:textId="3657AB83" w:rsidR="00B451A5" w:rsidRPr="00500637" w:rsidRDefault="00B451A5"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429c Absatz 3 der Verordnung (EU) Nr. 575/2013</w:t>
            </w:r>
          </w:p>
          <w:p w14:paraId="04F99B6B" w14:textId="4F870A7A" w:rsidR="00B451A5" w:rsidRPr="00500637" w:rsidRDefault="00B451A5" w:rsidP="000B66BC">
            <w:pPr>
              <w:pStyle w:val="BodyText1"/>
              <w:spacing w:after="240" w:line="240" w:lineRule="auto"/>
              <w:rPr>
                <w:rFonts w:ascii="Times New Roman" w:hAnsi="Times New Roman"/>
                <w:bCs/>
                <w:sz w:val="24"/>
                <w:szCs w:val="24"/>
              </w:rPr>
            </w:pPr>
            <w:r w:rsidRPr="00500637">
              <w:rPr>
                <w:rFonts w:ascii="Times New Roman" w:hAnsi="Times New Roman"/>
                <w:sz w:val="24"/>
              </w:rPr>
              <w:t>Von der Gegenpartei in bar erhaltene Nachschüsse, die gemäß Artikel 429c Absatz 3 der Verordnung (EU) Nr. 575/2013 mit dem dem Wiederbeschaffungswert entsprechenden Anteil der Derivate-Risikoposition aufgerechnet werden dürfen. Der Betrag ist unter Anwendung des in Artikel 274 Absatz 2 der Verordnung (EU) Nr. 575/2013 spezifizierten Alpha-Faktors von 1,4 auszuweisen.</w:t>
            </w:r>
          </w:p>
          <w:p w14:paraId="0D6BE08A" w14:textId="0AA9C4EA" w:rsidR="00B451A5" w:rsidRPr="00500637" w:rsidRDefault="00B451A5" w:rsidP="000B66BC">
            <w:pPr>
              <w:pStyle w:val="BodyText1"/>
              <w:spacing w:after="240" w:line="240" w:lineRule="auto"/>
              <w:rPr>
                <w:rFonts w:ascii="Times New Roman" w:hAnsi="Times New Roman"/>
                <w:bCs/>
                <w:sz w:val="24"/>
                <w:szCs w:val="24"/>
              </w:rPr>
            </w:pPr>
            <w:r w:rsidRPr="00500637">
              <w:rPr>
                <w:rFonts w:ascii="Times New Roman" w:hAnsi="Times New Roman"/>
                <w:sz w:val="24"/>
              </w:rPr>
              <w:t>Im Rahmen eines ausgeschlossenen ZGP-Teils erhaltene Barnachschüsse gemäß Artikel 429a Absatz 1 Buchstabe g der Verordnung (EU) Nr. 575/2013 werden nicht ausgewiesen.</w:t>
            </w:r>
          </w:p>
          <w:p w14:paraId="3C49A67A" w14:textId="21788571" w:rsidR="00B451A5" w:rsidRPr="00500637" w:rsidRDefault="00B451A5" w:rsidP="000B66BC">
            <w:pPr>
              <w:pStyle w:val="BodyText1"/>
              <w:spacing w:after="240" w:line="240" w:lineRule="auto"/>
              <w:rPr>
                <w:rFonts w:ascii="Times New Roman" w:hAnsi="Times New Roman"/>
                <w:b/>
                <w:bCs/>
                <w:sz w:val="24"/>
                <w:szCs w:val="24"/>
              </w:rPr>
            </w:pPr>
            <w:r w:rsidRPr="00500637">
              <w:rPr>
                <w:rFonts w:ascii="Times New Roman" w:hAnsi="Times New Roman"/>
                <w:sz w:val="24"/>
              </w:rPr>
              <w:t>Die Institute weisen den in diesem Feld gemeldeten Betrag auch in {0061;0010} aus, so als gälte kein Abzug von Barnachschüssen.</w:t>
            </w:r>
          </w:p>
        </w:tc>
      </w:tr>
      <w:tr w:rsidR="00B451A5" w:rsidRPr="00500637" w14:paraId="2A6BC469" w14:textId="77777777" w:rsidTr="008979D2">
        <w:trPr>
          <w:trHeight w:val="304"/>
        </w:trPr>
        <w:tc>
          <w:tcPr>
            <w:tcW w:w="1555" w:type="dxa"/>
            <w:tcBorders>
              <w:top w:val="single" w:sz="4" w:space="0" w:color="auto"/>
              <w:left w:val="single" w:sz="4" w:space="0" w:color="auto"/>
              <w:bottom w:val="single" w:sz="4" w:space="0" w:color="auto"/>
              <w:right w:val="single" w:sz="4" w:space="0" w:color="auto"/>
            </w:tcBorders>
          </w:tcPr>
          <w:p w14:paraId="30AAB0D5" w14:textId="77777777" w:rsidR="00B451A5" w:rsidRPr="00500637" w:rsidDel="002D1CE8" w:rsidRDefault="00B451A5" w:rsidP="000B66BC">
            <w:pPr>
              <w:pStyle w:val="BodyText1"/>
              <w:spacing w:after="240"/>
              <w:rPr>
                <w:rFonts w:ascii="Times New Roman" w:hAnsi="Times New Roman"/>
                <w:bCs/>
                <w:sz w:val="24"/>
                <w:szCs w:val="24"/>
              </w:rPr>
            </w:pPr>
            <w:r w:rsidRPr="00500637">
              <w:rPr>
                <w:rFonts w:ascii="Times New Roman" w:hAnsi="Times New Roman"/>
                <w:sz w:val="24"/>
              </w:rPr>
              <w:t>{0081;0010}</w:t>
            </w:r>
          </w:p>
        </w:tc>
        <w:tc>
          <w:tcPr>
            <w:tcW w:w="7566" w:type="dxa"/>
            <w:tcBorders>
              <w:top w:val="single" w:sz="4" w:space="0" w:color="auto"/>
              <w:left w:val="single" w:sz="4" w:space="0" w:color="auto"/>
              <w:bottom w:val="single" w:sz="4" w:space="0" w:color="auto"/>
              <w:right w:val="single" w:sz="4" w:space="0" w:color="auto"/>
            </w:tcBorders>
          </w:tcPr>
          <w:p w14:paraId="1F4EB90B" w14:textId="77777777" w:rsidR="00B451A5" w:rsidRPr="00500637" w:rsidRDefault="00B451A5"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 Auswirkung des aus kundengeclearten Handelsrisikopositionen ausgeschlossenen ZGP-Teils (SA-CCR – Wiederbeschaffungskosten)</w:t>
            </w:r>
          </w:p>
          <w:p w14:paraId="4B3A4644" w14:textId="2DF3E946" w:rsidR="00B451A5" w:rsidRPr="00500637" w:rsidRDefault="00B451A5"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429a Absatz 1 Buchstabe g der Verordnung (EU) Nr. 575/2013</w:t>
            </w:r>
          </w:p>
          <w:p w14:paraId="2F8AB13D" w14:textId="7971537D" w:rsidR="00B451A5" w:rsidRPr="00500637" w:rsidRDefault="00B451A5" w:rsidP="000B66BC">
            <w:pPr>
              <w:pStyle w:val="BodyText1"/>
              <w:spacing w:after="240" w:line="240" w:lineRule="auto"/>
              <w:rPr>
                <w:rFonts w:ascii="Times New Roman" w:hAnsi="Times New Roman"/>
                <w:bCs/>
                <w:sz w:val="24"/>
                <w:szCs w:val="24"/>
              </w:rPr>
            </w:pPr>
            <w:r w:rsidRPr="00500637">
              <w:rPr>
                <w:rFonts w:ascii="Times New Roman" w:hAnsi="Times New Roman"/>
                <w:sz w:val="24"/>
              </w:rPr>
              <w:t xml:space="preserve">Der dem Wiederbeschaffungswert entsprechende Anteil der aus kundengeclearten Derivatgeschäften ausgeschlossenen Handelsrisikopositionen gegenüber einer qualifizierten ZGP, sofern diese </w:t>
            </w:r>
            <w:r w:rsidRPr="00500637">
              <w:rPr>
                <w:rFonts w:ascii="Times New Roman" w:hAnsi="Times New Roman"/>
                <w:sz w:val="24"/>
              </w:rPr>
              <w:lastRenderedPageBreak/>
              <w:t>Positionen die in Artikel 306 Absatz 1 Buchstabe c der Verordnung (EU) Nr. 575/2013 festgelegten Bedingungen erfüllen. Dieser Betrag ist einschließlich der im Rahmen dieses ausgeschlossenen Teils erhaltenen Barnachschüsse auszuweisen. Der Betrag ist unter Anwendung des in Artikel 274 Absatz 2 der Verordnung (EU) Nr. 575/2013 spezifizierten Alpha-Faktors von 1,4 auszuweisen.</w:t>
            </w:r>
          </w:p>
          <w:p w14:paraId="3D70C614" w14:textId="27A413D3" w:rsidR="00B451A5" w:rsidRPr="00500637" w:rsidDel="002D1CE8" w:rsidRDefault="00B451A5" w:rsidP="000B66BC">
            <w:pPr>
              <w:pStyle w:val="BodyText1"/>
              <w:spacing w:after="240" w:line="240" w:lineRule="auto"/>
              <w:rPr>
                <w:rFonts w:ascii="Times New Roman" w:hAnsi="Times New Roman"/>
                <w:b/>
                <w:bCs/>
                <w:sz w:val="24"/>
                <w:szCs w:val="24"/>
              </w:rPr>
            </w:pPr>
            <w:r w:rsidRPr="00500637">
              <w:rPr>
                <w:rFonts w:ascii="Times New Roman" w:hAnsi="Times New Roman"/>
                <w:sz w:val="24"/>
              </w:rPr>
              <w:t>Die Institute weisen den in diesem Feld gemeldeten Betrag auch in {0061;0010} aus, so als gälte keine Ausnahme.</w:t>
            </w:r>
          </w:p>
        </w:tc>
      </w:tr>
      <w:tr w:rsidR="00BE4B9E" w:rsidRPr="00500637" w14:paraId="21C5C5EE" w14:textId="77777777" w:rsidTr="008979D2">
        <w:trPr>
          <w:trHeight w:val="304"/>
        </w:trPr>
        <w:tc>
          <w:tcPr>
            <w:tcW w:w="1555" w:type="dxa"/>
          </w:tcPr>
          <w:p w14:paraId="12F2B1DD" w14:textId="54C860E8" w:rsidR="00BE4B9E" w:rsidRPr="00500637" w:rsidRDefault="00BE4B9E" w:rsidP="000B66BC">
            <w:pPr>
              <w:pStyle w:val="BodyText1"/>
              <w:spacing w:after="240"/>
              <w:rPr>
                <w:rFonts w:ascii="Times New Roman" w:hAnsi="Times New Roman"/>
                <w:bCs/>
                <w:sz w:val="24"/>
                <w:szCs w:val="24"/>
              </w:rPr>
            </w:pPr>
            <w:r w:rsidRPr="00500637">
              <w:rPr>
                <w:rFonts w:ascii="Times New Roman" w:hAnsi="Times New Roman"/>
                <w:sz w:val="24"/>
              </w:rPr>
              <w:lastRenderedPageBreak/>
              <w:t>{0091;0010}</w:t>
            </w:r>
          </w:p>
        </w:tc>
        <w:tc>
          <w:tcPr>
            <w:tcW w:w="7566" w:type="dxa"/>
          </w:tcPr>
          <w:p w14:paraId="039E3624" w14:textId="77777777" w:rsidR="00BE4B9E" w:rsidRPr="00500637" w:rsidRDefault="00BE4B9E"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 xml:space="preserve">Derivate: Beitrag zum potenziellen künftigen Risikopositionswert nach SA-CCR (Multiplikator von 1) </w:t>
            </w:r>
          </w:p>
          <w:p w14:paraId="11FEB8DF" w14:textId="0B9CCE03" w:rsidR="00BE4B9E" w:rsidRPr="00500637" w:rsidRDefault="00BE4B9E"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429c Absatz 5 der Verordnung (EU) Nr. 575/2013</w:t>
            </w:r>
          </w:p>
          <w:p w14:paraId="77480A73" w14:textId="71E40CF3" w:rsidR="00BE4B9E" w:rsidRPr="00500637" w:rsidRDefault="00BE4B9E" w:rsidP="000B66BC">
            <w:pPr>
              <w:pStyle w:val="BodyText1"/>
              <w:spacing w:after="240" w:line="240" w:lineRule="auto"/>
              <w:rPr>
                <w:rFonts w:ascii="Times New Roman" w:hAnsi="Times New Roman"/>
                <w:b/>
                <w:bCs/>
                <w:sz w:val="24"/>
                <w:szCs w:val="24"/>
              </w:rPr>
            </w:pPr>
            <w:r w:rsidRPr="00500637">
              <w:rPr>
                <w:rFonts w:ascii="Times New Roman" w:hAnsi="Times New Roman"/>
                <w:sz w:val="24"/>
              </w:rPr>
              <w:t>Potenzieller künftiger Risikopositionswert nach Artikel 278 der Verordnung (EU) Nr. 575/2013 unter Annahme eines Multiplikators gleich 1, d. h. ohne Anwendung der Ausnahme nach Artikel 429c Absatz 5 der Verordnung (EU) Nr. 575/2013 in Bezug auf Kontrakte mit Kunden, die von einer QZGP abgerechnet werden. Der Betrag ist unter Anwendung des in Artikel 274 Absatz 2 der Verordnung (EU) Nr. 575/2013 spezifizierten Alpha-Faktors von 1,4 auszuweisen.</w:t>
            </w:r>
          </w:p>
        </w:tc>
      </w:tr>
      <w:tr w:rsidR="00BE4B9E" w:rsidRPr="00500637" w14:paraId="1F0CF2B9" w14:textId="77777777" w:rsidTr="008979D2">
        <w:trPr>
          <w:trHeight w:val="304"/>
        </w:trPr>
        <w:tc>
          <w:tcPr>
            <w:tcW w:w="1555" w:type="dxa"/>
          </w:tcPr>
          <w:p w14:paraId="3B470185" w14:textId="419934C4" w:rsidR="00BE4B9E" w:rsidRPr="00500637" w:rsidRDefault="00BE4B9E" w:rsidP="000B66BC">
            <w:pPr>
              <w:pStyle w:val="BodyText1"/>
              <w:spacing w:after="240"/>
              <w:rPr>
                <w:rFonts w:ascii="Times New Roman" w:hAnsi="Times New Roman"/>
                <w:bCs/>
                <w:sz w:val="24"/>
                <w:szCs w:val="24"/>
              </w:rPr>
            </w:pPr>
            <w:r w:rsidRPr="00500637">
              <w:rPr>
                <w:rFonts w:ascii="Times New Roman" w:hAnsi="Times New Roman"/>
                <w:sz w:val="24"/>
              </w:rPr>
              <w:t>{0092;0010}</w:t>
            </w:r>
          </w:p>
        </w:tc>
        <w:tc>
          <w:tcPr>
            <w:tcW w:w="7566" w:type="dxa"/>
          </w:tcPr>
          <w:p w14:paraId="2E121ECA" w14:textId="77777777" w:rsidR="00BE4B9E" w:rsidRPr="00500637" w:rsidRDefault="00BE4B9E"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 Auswirkung eines niedrigeren Multiplikators auf kundengeclearte Geschäfte mit qualifizierten ZGP über PFE-Beitrag (SA-CCR – potenzielle künftige Risikoposition)</w:t>
            </w:r>
          </w:p>
          <w:p w14:paraId="51309425" w14:textId="54D1B8FE" w:rsidR="00BE4B9E" w:rsidRPr="00500637" w:rsidRDefault="00BE4B9E"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429c Absatz 5 der Verordnung (EU) Nr. 575/2013</w:t>
            </w:r>
          </w:p>
          <w:p w14:paraId="36AD83FD" w14:textId="2FF4947E" w:rsidR="00BE4B9E" w:rsidRPr="00500637" w:rsidRDefault="00334535" w:rsidP="000B66BC">
            <w:pPr>
              <w:pStyle w:val="BodyText1"/>
              <w:spacing w:after="240" w:line="240" w:lineRule="auto"/>
              <w:rPr>
                <w:rFonts w:ascii="Times New Roman" w:hAnsi="Times New Roman"/>
                <w:bCs/>
                <w:sz w:val="24"/>
                <w:szCs w:val="24"/>
              </w:rPr>
            </w:pPr>
            <w:r w:rsidRPr="00500637">
              <w:rPr>
                <w:rFonts w:ascii="Times New Roman" w:hAnsi="Times New Roman"/>
                <w:sz w:val="24"/>
              </w:rPr>
              <w:t>Anwendung der Ausnahme nach Artikel 429c Absatz 5 der Verordnung (EU) Nr. 575/2013 auf die Berechnung des PFE für Derivatkontrakte mit Kunden, sofern diese Kontrakte über eine QZGP abgerechnet werden. Der Betrag ist unter Anwendung des in Artikel 274 Absatz 2 der Verordnung (EU) Nr. 575/2013 spezifizierten Alpha-Faktors von 1,4 auszuweisen.</w:t>
            </w:r>
          </w:p>
          <w:p w14:paraId="69C754CC" w14:textId="4C627CA1" w:rsidR="00334535" w:rsidRPr="00500637" w:rsidRDefault="00C622B3" w:rsidP="000B66BC">
            <w:pPr>
              <w:pStyle w:val="BodyText1"/>
              <w:spacing w:after="240" w:line="240" w:lineRule="auto"/>
              <w:rPr>
                <w:rFonts w:ascii="Times New Roman" w:hAnsi="Times New Roman"/>
                <w:b/>
                <w:bCs/>
                <w:sz w:val="24"/>
                <w:szCs w:val="24"/>
              </w:rPr>
            </w:pPr>
            <w:r w:rsidRPr="00500637">
              <w:rPr>
                <w:rFonts w:ascii="Times New Roman" w:hAnsi="Times New Roman"/>
                <w:sz w:val="24"/>
              </w:rPr>
              <w:t>Die Institute weisen den in diesem Feld gemeldeten Betrag auch in {0091;0010} aus, so als gälte keine Ausnahme.</w:t>
            </w:r>
          </w:p>
        </w:tc>
      </w:tr>
      <w:tr w:rsidR="00721D6C" w:rsidRPr="00500637" w14:paraId="337DFBE3" w14:textId="77777777" w:rsidTr="008979D2">
        <w:trPr>
          <w:trHeight w:val="304"/>
        </w:trPr>
        <w:tc>
          <w:tcPr>
            <w:tcW w:w="1555" w:type="dxa"/>
          </w:tcPr>
          <w:p w14:paraId="4EC86A2A" w14:textId="23F426EB" w:rsidR="00721D6C" w:rsidRPr="00500637" w:rsidRDefault="00721D6C" w:rsidP="000B66BC">
            <w:pPr>
              <w:pStyle w:val="BodyText1"/>
              <w:spacing w:after="240"/>
              <w:rPr>
                <w:rFonts w:ascii="Times New Roman" w:hAnsi="Times New Roman"/>
                <w:bCs/>
                <w:sz w:val="24"/>
                <w:szCs w:val="24"/>
              </w:rPr>
            </w:pPr>
            <w:r w:rsidRPr="00500637">
              <w:rPr>
                <w:rFonts w:ascii="Times New Roman" w:hAnsi="Times New Roman"/>
                <w:sz w:val="24"/>
              </w:rPr>
              <w:t>{0093;0010}</w:t>
            </w:r>
          </w:p>
        </w:tc>
        <w:tc>
          <w:tcPr>
            <w:tcW w:w="7566" w:type="dxa"/>
          </w:tcPr>
          <w:p w14:paraId="799DA79E" w14:textId="77777777" w:rsidR="00721D6C" w:rsidRPr="00500637" w:rsidRDefault="00721D6C" w:rsidP="000B66BC">
            <w:pPr>
              <w:pStyle w:val="BodyText1"/>
              <w:spacing w:after="240" w:line="240" w:lineRule="auto"/>
              <w:rPr>
                <w:rFonts w:ascii="Times New Roman" w:hAnsi="Times New Roman"/>
                <w:bCs/>
                <w:sz w:val="24"/>
                <w:szCs w:val="24"/>
              </w:rPr>
            </w:pPr>
            <w:r w:rsidRPr="00500637">
              <w:rPr>
                <w:rFonts w:ascii="Times New Roman" w:hAnsi="Times New Roman"/>
                <w:b/>
                <w:sz w:val="24"/>
              </w:rPr>
              <w:t>(-) Auswirkung des aus kundengeclearten Handelsrisikopositionen ausgeschlossenen ZGP-Teils (SA-CCR – potenzielle künftige Risikoposition)</w:t>
            </w:r>
          </w:p>
          <w:p w14:paraId="638E19CF" w14:textId="54F17918" w:rsidR="00721D6C" w:rsidRPr="00500637" w:rsidRDefault="002F3BA4"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429a Absatz 1 Buchstabe g der Verordnung (EU) Nr. 575/2013</w:t>
            </w:r>
          </w:p>
          <w:p w14:paraId="3C911695" w14:textId="5D4C77C5" w:rsidR="00721D6C" w:rsidRPr="00500637" w:rsidRDefault="00721D6C" w:rsidP="000B66BC">
            <w:pPr>
              <w:pStyle w:val="BodyText1"/>
              <w:spacing w:after="240" w:line="240" w:lineRule="auto"/>
              <w:rPr>
                <w:rFonts w:ascii="Times New Roman" w:hAnsi="Times New Roman"/>
                <w:bCs/>
                <w:sz w:val="24"/>
                <w:szCs w:val="24"/>
              </w:rPr>
            </w:pPr>
            <w:r w:rsidRPr="00500637">
              <w:rPr>
                <w:rFonts w:ascii="Times New Roman" w:hAnsi="Times New Roman"/>
                <w:sz w:val="24"/>
              </w:rPr>
              <w:t xml:space="preserve">Der potenzielle künftige Wiederbeschaffungswert der aus den kundengeclearten Derivatgeschäften ausgeschlossenen Handelsrisikopositionen gegenüber einer qualifizierten ZGP, sofern diese Positionen die in Artikel 306 Absatz 1 Buchstabe c der Verordnung (EU) Nr. 575/2013 festgelegten Bedingungen erfüllen. Der Betrag ist unter </w:t>
            </w:r>
            <w:r w:rsidRPr="00500637">
              <w:rPr>
                <w:rFonts w:ascii="Times New Roman" w:hAnsi="Times New Roman"/>
                <w:sz w:val="24"/>
              </w:rPr>
              <w:lastRenderedPageBreak/>
              <w:t>Anwendung des in Artikel 274 Absatz 2 der Verordnung (EU) Nr. 575/2013 spezifizierten Alpha-Faktors von 1,4 auszuweisen.</w:t>
            </w:r>
          </w:p>
          <w:p w14:paraId="5DC396D3" w14:textId="79540906" w:rsidR="00721D6C" w:rsidRPr="00500637" w:rsidRDefault="00721D6C" w:rsidP="000B66BC">
            <w:pPr>
              <w:pStyle w:val="BodyText1"/>
              <w:spacing w:after="240" w:line="240" w:lineRule="auto"/>
              <w:rPr>
                <w:rFonts w:ascii="Times New Roman" w:hAnsi="Times New Roman"/>
                <w:b/>
                <w:bCs/>
                <w:sz w:val="24"/>
                <w:szCs w:val="24"/>
              </w:rPr>
            </w:pPr>
            <w:r w:rsidRPr="00500637">
              <w:rPr>
                <w:rFonts w:ascii="Times New Roman" w:hAnsi="Times New Roman"/>
                <w:sz w:val="24"/>
              </w:rPr>
              <w:t>Die Institute weisen den in diesem Feld gemeldeten Betrag auch in {0091;0010} aus, so als gälte keine Ausnahme.</w:t>
            </w:r>
          </w:p>
        </w:tc>
      </w:tr>
      <w:tr w:rsidR="001D7778" w:rsidRPr="00500637" w14:paraId="7D779BBC" w14:textId="77777777" w:rsidTr="008979D2">
        <w:trPr>
          <w:trHeight w:val="304"/>
        </w:trPr>
        <w:tc>
          <w:tcPr>
            <w:tcW w:w="1555" w:type="dxa"/>
            <w:tcBorders>
              <w:top w:val="single" w:sz="4" w:space="0" w:color="auto"/>
              <w:left w:val="single" w:sz="4" w:space="0" w:color="auto"/>
              <w:bottom w:val="single" w:sz="4" w:space="0" w:color="auto"/>
              <w:right w:val="single" w:sz="4" w:space="0" w:color="auto"/>
            </w:tcBorders>
          </w:tcPr>
          <w:p w14:paraId="70492254" w14:textId="77777777" w:rsidR="001D7778" w:rsidRPr="00500637" w:rsidRDefault="001D7778" w:rsidP="000B66BC">
            <w:pPr>
              <w:pStyle w:val="BodyText1"/>
              <w:spacing w:after="240"/>
              <w:rPr>
                <w:rFonts w:ascii="Times New Roman" w:hAnsi="Times New Roman"/>
                <w:bCs/>
                <w:sz w:val="24"/>
                <w:szCs w:val="24"/>
              </w:rPr>
            </w:pPr>
            <w:r w:rsidRPr="00500637">
              <w:rPr>
                <w:rFonts w:ascii="Times New Roman" w:hAnsi="Times New Roman"/>
                <w:sz w:val="24"/>
              </w:rPr>
              <w:lastRenderedPageBreak/>
              <w:t>{0101;0010}</w:t>
            </w:r>
          </w:p>
        </w:tc>
        <w:tc>
          <w:tcPr>
            <w:tcW w:w="7566" w:type="dxa"/>
            <w:tcBorders>
              <w:top w:val="single" w:sz="4" w:space="0" w:color="auto"/>
              <w:left w:val="single" w:sz="4" w:space="0" w:color="auto"/>
              <w:bottom w:val="single" w:sz="4" w:space="0" w:color="auto"/>
              <w:right w:val="single" w:sz="4" w:space="0" w:color="auto"/>
            </w:tcBorders>
          </w:tcPr>
          <w:p w14:paraId="40B6E3AE" w14:textId="77777777" w:rsidR="001D7778" w:rsidRPr="00500637" w:rsidRDefault="001D7778"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 xml:space="preserve">Ausnahme für Derivate: Beitrag der Wiederbeschaffungskosten nach dem vereinfachtem Standardansatz </w:t>
            </w:r>
          </w:p>
          <w:p w14:paraId="729E4C3C" w14:textId="599BA87E" w:rsidR="001D7778" w:rsidRPr="00500637" w:rsidRDefault="001D7778"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429c Absatz 6 und Artikel 281 der Verordnung (EU) Nr. 575/2013</w:t>
            </w:r>
          </w:p>
          <w:p w14:paraId="4582CAFD" w14:textId="1D9769B3" w:rsidR="001D7778" w:rsidRPr="00500637" w:rsidRDefault="001D7778" w:rsidP="000B66BC">
            <w:pPr>
              <w:pStyle w:val="BodyText1"/>
              <w:spacing w:after="240" w:line="240" w:lineRule="auto"/>
              <w:rPr>
                <w:rFonts w:ascii="Times New Roman" w:hAnsi="Times New Roman"/>
                <w:bCs/>
                <w:sz w:val="24"/>
                <w:szCs w:val="24"/>
              </w:rPr>
            </w:pPr>
            <w:r w:rsidRPr="00500637">
              <w:rPr>
                <w:rFonts w:ascii="Times New Roman" w:hAnsi="Times New Roman"/>
                <w:sz w:val="24"/>
              </w:rPr>
              <w:t>In diesem Feld wird die nach dem vereinfachten Standardansatz in Artikel 281 der Verordnung (EU) Nr. 575/2013 berechnete Risikopositionsmessgröße der in Anhang II Nummern 1 und 2 der Verordnung (EU) Nr. 575/2013 genannten Geschäfte angegeben. Der Betrag ist unter Anwendung des in Artikel 274 Absatz 2 der Verordnung (EU) Nr. 575/2013 spezifizierten Alpha-Faktors von 1,4 auszuweisen.</w:t>
            </w:r>
          </w:p>
          <w:p w14:paraId="6AF43C3C" w14:textId="33DD047C" w:rsidR="001D7778" w:rsidRPr="00500637" w:rsidRDefault="001D7778" w:rsidP="000B66BC">
            <w:pPr>
              <w:pStyle w:val="BodyText1"/>
              <w:spacing w:after="240" w:line="240" w:lineRule="auto"/>
              <w:rPr>
                <w:rFonts w:ascii="Times New Roman" w:hAnsi="Times New Roman"/>
                <w:bCs/>
                <w:sz w:val="24"/>
                <w:szCs w:val="24"/>
              </w:rPr>
            </w:pPr>
            <w:r w:rsidRPr="00500637">
              <w:rPr>
                <w:rFonts w:ascii="Times New Roman" w:hAnsi="Times New Roman"/>
                <w:sz w:val="24"/>
              </w:rPr>
              <w:t>Gemäß Artikel 429c Absatz 6 der Verordnung (EU) Nr. 575/2013 mindern die Institute, die den vereinfachten Standardansatz anwenden, die Gesamtrisikopositionsmessgröße nicht um den Betrag des erhaltenen Nachschusses. Die in Artikel 429c Absatz 4 der Verordnung (EU) Nr. 575/2013 vorgesehene Ausnahme für Derivatkontrakte mit Kunden, die über eine QZGP abgerechnet werden, findet daher keine Anwendung.</w:t>
            </w:r>
          </w:p>
          <w:p w14:paraId="41A54C94" w14:textId="000C6D0B" w:rsidR="001D7778" w:rsidRPr="00500637" w:rsidRDefault="001D7778" w:rsidP="000B66BC">
            <w:pPr>
              <w:pStyle w:val="BodyText1"/>
              <w:spacing w:after="240" w:line="240" w:lineRule="auto"/>
              <w:rPr>
                <w:rFonts w:ascii="Times New Roman" w:hAnsi="Times New Roman"/>
                <w:b/>
                <w:bCs/>
                <w:sz w:val="24"/>
                <w:szCs w:val="24"/>
              </w:rPr>
            </w:pPr>
            <w:r w:rsidRPr="00500637">
              <w:rPr>
                <w:rFonts w:ascii="Times New Roman" w:hAnsi="Times New Roman"/>
                <w:sz w:val="24"/>
              </w:rPr>
              <w:t>Die Institute weisen in diesem Feld keine Geschäfte aus, die nach dem SA-CCR oder der Ursprungsrisikomethode bewertet werden.</w:t>
            </w:r>
          </w:p>
        </w:tc>
      </w:tr>
      <w:tr w:rsidR="00CB48CC" w:rsidRPr="00500637" w14:paraId="177E0E57" w14:textId="77777777" w:rsidTr="008979D2">
        <w:trPr>
          <w:trHeight w:val="304"/>
        </w:trPr>
        <w:tc>
          <w:tcPr>
            <w:tcW w:w="1555" w:type="dxa"/>
          </w:tcPr>
          <w:p w14:paraId="1A21B8B9" w14:textId="3A3A59D4" w:rsidR="00CB48CC" w:rsidRPr="00500637" w:rsidRDefault="001F3E84" w:rsidP="000B66BC">
            <w:pPr>
              <w:pStyle w:val="BodyText1"/>
              <w:spacing w:after="240"/>
              <w:rPr>
                <w:rFonts w:ascii="Times New Roman" w:hAnsi="Times New Roman"/>
                <w:bCs/>
                <w:sz w:val="24"/>
                <w:szCs w:val="24"/>
              </w:rPr>
            </w:pPr>
            <w:r w:rsidRPr="00500637">
              <w:rPr>
                <w:rFonts w:ascii="Times New Roman" w:hAnsi="Times New Roman"/>
                <w:sz w:val="24"/>
              </w:rPr>
              <w:t>{0102;0010}</w:t>
            </w:r>
          </w:p>
        </w:tc>
        <w:tc>
          <w:tcPr>
            <w:tcW w:w="7566" w:type="dxa"/>
          </w:tcPr>
          <w:p w14:paraId="1AB84BA7" w14:textId="77777777" w:rsidR="00CB48CC" w:rsidRPr="00500637" w:rsidRDefault="00CB48CC"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 Auswirkung des aus kundengeclearten Handelsrisikopositionen ausgeschlossenen ZGP-Teils (vereinfachter Standardansatz – Wiederbeschaffungskosten)</w:t>
            </w:r>
          </w:p>
          <w:p w14:paraId="145D251C" w14:textId="4101DA1F" w:rsidR="00CB48CC" w:rsidRPr="00500637" w:rsidRDefault="00803EDD"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429a Absatz 1 Buchstabe g der Verordnung (EU) Nr. 575/2013</w:t>
            </w:r>
          </w:p>
          <w:p w14:paraId="577C5D50" w14:textId="038570DB"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dem Wiederbeschaffungswert entsprechende Anteil der aus kundengeclearten Derivatgeschäften ausgeschlossenen Handelsrisikopositionen gegenüber einer qualifizierten ZGP, sofern diese Positionen die in Artikel 306 Absatz 1 Buchstabe c der Verordnung (EU) Nr. 575/2013 festgelegten Bedingungen erfüllen. Dieser Betrag ist einschließlich der im Rahmen dieses ausgeschlossenen Teils erhaltenen Barnachschüsse auszuweisen. Der Betrag ist unter Anwendung des in Artikel 274 Absatz 2 der Verordnung (EU) Nr. 575/2013 spezifizierten Alpha-Faktors von 1,4 auszuweisen.</w:t>
            </w:r>
          </w:p>
          <w:p w14:paraId="217819AF" w14:textId="1C246258" w:rsidR="00CB48CC" w:rsidRPr="00500637" w:rsidRDefault="00CB48CC" w:rsidP="000B66BC">
            <w:pPr>
              <w:pStyle w:val="BodyText1"/>
              <w:spacing w:after="240" w:line="240" w:lineRule="auto"/>
              <w:rPr>
                <w:rFonts w:ascii="Times New Roman" w:hAnsi="Times New Roman"/>
                <w:b/>
                <w:bCs/>
                <w:sz w:val="24"/>
                <w:szCs w:val="24"/>
              </w:rPr>
            </w:pPr>
            <w:r w:rsidRPr="00500637">
              <w:rPr>
                <w:rFonts w:ascii="Times New Roman" w:hAnsi="Times New Roman"/>
                <w:sz w:val="24"/>
              </w:rPr>
              <w:t>Die Institute weisen den in diesem Feld gemeldeten Betrag auch in {0101;0010} aus, so als gälte keine Ausnahme.</w:t>
            </w:r>
          </w:p>
        </w:tc>
      </w:tr>
      <w:tr w:rsidR="00CB48CC" w:rsidRPr="00500637" w14:paraId="77B81E13" w14:textId="77777777" w:rsidTr="008979D2">
        <w:trPr>
          <w:trHeight w:val="304"/>
        </w:trPr>
        <w:tc>
          <w:tcPr>
            <w:tcW w:w="1555" w:type="dxa"/>
          </w:tcPr>
          <w:p w14:paraId="59F8E92F" w14:textId="10EA4427"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lastRenderedPageBreak/>
              <w:t>{0103;0010}</w:t>
            </w:r>
          </w:p>
        </w:tc>
        <w:tc>
          <w:tcPr>
            <w:tcW w:w="7566" w:type="dxa"/>
          </w:tcPr>
          <w:p w14:paraId="3D169826" w14:textId="77777777" w:rsidR="00CB48CC" w:rsidRPr="00500637" w:rsidRDefault="00CB48CC"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 xml:space="preserve">Ausnahme für Derivate: Beitrag zum potenziellen künftigen Risikopositionswert nach dem vereinfachten Standardansatz (Multiplikator von 1) </w:t>
            </w:r>
          </w:p>
          <w:p w14:paraId="5B7322DC" w14:textId="231FF6D8" w:rsidR="00201339" w:rsidRPr="00500637" w:rsidRDefault="00803EDD" w:rsidP="000B66BC">
            <w:pPr>
              <w:pStyle w:val="BodyText1"/>
              <w:spacing w:after="240"/>
              <w:rPr>
                <w:rFonts w:ascii="Times New Roman" w:hAnsi="Times New Roman"/>
                <w:bCs/>
                <w:sz w:val="24"/>
                <w:szCs w:val="24"/>
              </w:rPr>
            </w:pPr>
            <w:r w:rsidRPr="00500637">
              <w:rPr>
                <w:rFonts w:ascii="Times New Roman" w:hAnsi="Times New Roman"/>
                <w:sz w:val="24"/>
              </w:rPr>
              <w:t>Artikel 281 Absatz 2 Buchstabe f und Artikel 429c Absatz 6 der Verordnung (EU) Nr. 575/2013 Der potenzielle künftige Risikopositionswert in Einklang mit dem vereinfachten Standardansatz nach Artikel 281 der Verordnung (EU) Nr. 575/2013 unter Annahme eines Multiplikators von 1. Der Betrag ist unter Anwendung des in Artikel 274 Absatz 2 der Verordnung (EU) Nr. 575/2013 spezifizierten Alpha-Faktors von 1,4 auszuweisen.</w:t>
            </w:r>
          </w:p>
          <w:p w14:paraId="3AE17E54" w14:textId="1C4D71E5" w:rsidR="00CB48CC" w:rsidRPr="00500637" w:rsidRDefault="00201339" w:rsidP="000B66BC">
            <w:pPr>
              <w:pStyle w:val="BodyText1"/>
              <w:spacing w:after="240"/>
              <w:rPr>
                <w:rFonts w:ascii="Times New Roman" w:hAnsi="Times New Roman"/>
                <w:b/>
                <w:bCs/>
                <w:sz w:val="24"/>
                <w:szCs w:val="24"/>
              </w:rPr>
            </w:pPr>
            <w:r w:rsidRPr="00500637">
              <w:rPr>
                <w:rFonts w:ascii="Times New Roman" w:hAnsi="Times New Roman"/>
                <w:sz w:val="24"/>
              </w:rPr>
              <w:t>Gemäß Artikel 429c Absatz 6 der Verordnung (EU) Nr. 575/2013 mindern die Institute, die den vereinfachten Standardansatz anwenden, die Gesamtrisikopositionsmessgröße nicht um den Betrag des erhaltenen Nachschusses.</w:t>
            </w:r>
            <w:r w:rsidRPr="00500637">
              <w:rPr>
                <w:sz w:val="24"/>
              </w:rPr>
              <w:t xml:space="preserve"> </w:t>
            </w:r>
          </w:p>
        </w:tc>
      </w:tr>
      <w:tr w:rsidR="00E1595A" w:rsidRPr="00500637" w14:paraId="65B70708" w14:textId="77777777" w:rsidTr="008979D2">
        <w:trPr>
          <w:trHeight w:val="304"/>
        </w:trPr>
        <w:tc>
          <w:tcPr>
            <w:tcW w:w="1555" w:type="dxa"/>
            <w:tcBorders>
              <w:top w:val="single" w:sz="4" w:space="0" w:color="auto"/>
              <w:left w:val="single" w:sz="4" w:space="0" w:color="auto"/>
              <w:bottom w:val="single" w:sz="4" w:space="0" w:color="auto"/>
              <w:right w:val="single" w:sz="4" w:space="0" w:color="auto"/>
            </w:tcBorders>
          </w:tcPr>
          <w:p w14:paraId="2B7E5996" w14:textId="77777777" w:rsidR="00E1595A" w:rsidRPr="00500637" w:rsidRDefault="00E1595A" w:rsidP="000B66BC">
            <w:pPr>
              <w:pStyle w:val="BodyText1"/>
              <w:spacing w:after="240"/>
              <w:rPr>
                <w:rFonts w:ascii="Times New Roman" w:hAnsi="Times New Roman"/>
                <w:bCs/>
                <w:sz w:val="24"/>
                <w:szCs w:val="24"/>
              </w:rPr>
            </w:pPr>
            <w:r w:rsidRPr="00500637">
              <w:rPr>
                <w:rFonts w:ascii="Times New Roman" w:hAnsi="Times New Roman"/>
                <w:sz w:val="24"/>
              </w:rPr>
              <w:t>{0104;0010}</w:t>
            </w:r>
          </w:p>
        </w:tc>
        <w:tc>
          <w:tcPr>
            <w:tcW w:w="7566" w:type="dxa"/>
            <w:tcBorders>
              <w:top w:val="single" w:sz="4" w:space="0" w:color="auto"/>
              <w:left w:val="single" w:sz="4" w:space="0" w:color="auto"/>
              <w:bottom w:val="single" w:sz="4" w:space="0" w:color="auto"/>
              <w:right w:val="single" w:sz="4" w:space="0" w:color="auto"/>
            </w:tcBorders>
          </w:tcPr>
          <w:p w14:paraId="293F8B96" w14:textId="77777777" w:rsidR="00E1595A" w:rsidRPr="00500637" w:rsidRDefault="00E1595A"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 Auswirkung des aus kundengeclearten Handelsrisikopositionen ausgeschlossenen ZGP-Teils (vereinfachter Standardansatz – potenzielle künftige Risikoposition)</w:t>
            </w:r>
          </w:p>
          <w:p w14:paraId="350D0B05" w14:textId="62172539" w:rsidR="00E1595A" w:rsidRPr="00500637" w:rsidRDefault="00E1595A"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429a Absatz 1 Buchstabe g der Verordnung (EU) Nr. 575/2013</w:t>
            </w:r>
          </w:p>
          <w:p w14:paraId="7020C299" w14:textId="52211B9C" w:rsidR="00E1595A" w:rsidRPr="00500637" w:rsidRDefault="00E1595A"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potenzielle künftige Wiederbeschaffungswert der aus den kundengeclearten Derivatgeschäften ausgeschlossenen Handelsrisikopositionen gegenüber einer qualifizierten ZGP, sofern diese Positionen die in Artikel 306 Absatz 1 Buchstabe c der Verordnung (EU) Nr. 575/2013 festgelegten Bedingungen erfüllen. Der Betrag ist unter Anwendung des in Artikel 274 Absatz 2 der Verordnung (EU) Nr. 575/2013 spezifizierten Alpha-Faktors von 1,4 auszuweisen.</w:t>
            </w:r>
          </w:p>
          <w:p w14:paraId="419E01C7" w14:textId="70A232D0" w:rsidR="00E1595A" w:rsidRPr="00500637" w:rsidRDefault="00E1595A" w:rsidP="000B66BC">
            <w:pPr>
              <w:pStyle w:val="BodyText1"/>
              <w:spacing w:after="240" w:line="240" w:lineRule="auto"/>
              <w:rPr>
                <w:rFonts w:ascii="Times New Roman" w:hAnsi="Times New Roman"/>
                <w:b/>
                <w:bCs/>
                <w:sz w:val="24"/>
                <w:szCs w:val="24"/>
              </w:rPr>
            </w:pPr>
            <w:r w:rsidRPr="00500637">
              <w:rPr>
                <w:rFonts w:ascii="Times New Roman" w:hAnsi="Times New Roman"/>
                <w:sz w:val="24"/>
              </w:rPr>
              <w:t>Die Institute weisen den in diesem Feld gemeldeten Betrag auch in {0103;0010} aus, so als gälte keine Ausnahme.</w:t>
            </w:r>
          </w:p>
        </w:tc>
      </w:tr>
      <w:tr w:rsidR="00CB48CC" w:rsidRPr="00500637" w14:paraId="28BF0347" w14:textId="77777777" w:rsidTr="008979D2">
        <w:trPr>
          <w:trHeight w:val="304"/>
        </w:trPr>
        <w:tc>
          <w:tcPr>
            <w:tcW w:w="1555" w:type="dxa"/>
          </w:tcPr>
          <w:p w14:paraId="313EA046" w14:textId="430415F9"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t>{0110;0010}</w:t>
            </w:r>
          </w:p>
          <w:p w14:paraId="4A976476" w14:textId="77777777" w:rsidR="00CB48CC" w:rsidRPr="00500637" w:rsidRDefault="00CB48CC" w:rsidP="000B66BC">
            <w:pPr>
              <w:pStyle w:val="BodyText1"/>
              <w:spacing w:after="240"/>
              <w:rPr>
                <w:rFonts w:ascii="Times New Roman" w:hAnsi="Times New Roman"/>
                <w:bCs/>
                <w:sz w:val="24"/>
                <w:szCs w:val="24"/>
              </w:rPr>
            </w:pPr>
          </w:p>
        </w:tc>
        <w:tc>
          <w:tcPr>
            <w:tcW w:w="7566" w:type="dxa"/>
          </w:tcPr>
          <w:p w14:paraId="2CF5E433" w14:textId="00E40A8B"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b/>
                <w:sz w:val="24"/>
              </w:rPr>
              <w:t>Ausnahme für Derivate: Ursprungsrisikomethode</w:t>
            </w:r>
          </w:p>
          <w:p w14:paraId="6E5CD50D" w14:textId="5B2D1AE5"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429c Absatz 6 und Artikel 282 der Verordnung (EU) Nr. 575/2013</w:t>
            </w:r>
          </w:p>
          <w:p w14:paraId="394FA10D" w14:textId="43C3B25D"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In diesem Feld wird die nach der Ursprungsrisikomethode in Artikel 282 der Verordnung (EU) Nr. 575/2013 berechnete Risikopositionsmessgröße der in Anhang II Nummern 1 und 2 der Verordnung (EU) Nr. 575/2013 genannten Geschäfte angegeben.</w:t>
            </w:r>
          </w:p>
          <w:p w14:paraId="0B0A4108" w14:textId="459E7247"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Gemäß Artikel 429c Absatz 6 der Verordnung (EU) Nr. 575/2013 mindern die Institute, die die Ursprungsrisikomethode anwenden, die Gesamtrisikopositionsmessgröße nicht um den Betrag des erhaltenen Nachschusses.</w:t>
            </w:r>
          </w:p>
          <w:p w14:paraId="39B54B07" w14:textId="5E193AC3"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Institute, die die Ursprungsrisikomethode nicht anwenden, füllen dieses Feld nicht aus.</w:t>
            </w:r>
          </w:p>
          <w:p w14:paraId="1981EF1E" w14:textId="08F03AC9" w:rsidR="00CB48CC" w:rsidRPr="00500637" w:rsidRDefault="00CB48CC" w:rsidP="000B66BC">
            <w:pPr>
              <w:pStyle w:val="BodyText1"/>
              <w:spacing w:after="240" w:line="240" w:lineRule="auto"/>
              <w:rPr>
                <w:rFonts w:ascii="Times New Roman" w:hAnsi="Times New Roman"/>
                <w:bCs/>
                <w:sz w:val="24"/>
                <w:szCs w:val="24"/>
                <w:u w:val="single"/>
              </w:rPr>
            </w:pPr>
            <w:r w:rsidRPr="00500637">
              <w:rPr>
                <w:rFonts w:ascii="Times New Roman" w:hAnsi="Times New Roman"/>
                <w:sz w:val="24"/>
              </w:rPr>
              <w:lastRenderedPageBreak/>
              <w:t>Die Institute weisen in diesem Feld keine Geschäfte aus, die nach dem SA-CCR oder dem vereinfachten Standardansatz bewertet werden.</w:t>
            </w:r>
          </w:p>
        </w:tc>
      </w:tr>
      <w:tr w:rsidR="00CB48CC" w:rsidRPr="00500637" w14:paraId="3B7D8618" w14:textId="77777777" w:rsidTr="008979D2">
        <w:trPr>
          <w:trHeight w:val="304"/>
        </w:trPr>
        <w:tc>
          <w:tcPr>
            <w:tcW w:w="1555" w:type="dxa"/>
          </w:tcPr>
          <w:p w14:paraId="42ED892B" w14:textId="40D19137"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lastRenderedPageBreak/>
              <w:t>{0120;0010}</w:t>
            </w:r>
          </w:p>
        </w:tc>
        <w:tc>
          <w:tcPr>
            <w:tcW w:w="7566" w:type="dxa"/>
          </w:tcPr>
          <w:p w14:paraId="6FE290CC" w14:textId="030BF2BC"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b/>
                <w:sz w:val="24"/>
              </w:rPr>
              <w:t>(-) Aus kundengeclearten Handelsrisikopositionen ausgeschlossener ZGP-Teil (Ursprungsrisikomethode)</w:t>
            </w:r>
          </w:p>
          <w:p w14:paraId="7A371D92" w14:textId="6A92D51F" w:rsidR="00CB48CC" w:rsidRPr="00500637" w:rsidRDefault="00803EDD"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429a Absatz 1 Buchstabe g der Verordnung (EU) Nr. 575/2013</w:t>
            </w:r>
          </w:p>
          <w:p w14:paraId="6CD3BE79" w14:textId="0E1CDA14"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aus den kundengeclearten Handelsrisikopositionen ausgeschlossene ZGP-Teil bei Anwendung der Ursprungsrisikomethode nach Artikel 282 der Verordnung (EU) Nr. 575/2013, sofern diese Positionen die in Artikel 306 Absatz 1 Buchstabe c der Verordnung (EU) Nr. 575/2013 festgelegten Bedingungen erfüllen.</w:t>
            </w:r>
          </w:p>
          <w:p w14:paraId="18D8428B" w14:textId="6B3C879B"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weisen den in diesem Feld gemeldeten Betrag auch in {0110;0010} aus, so als gälte keine Ausnahme.</w:t>
            </w:r>
          </w:p>
        </w:tc>
      </w:tr>
      <w:tr w:rsidR="00CB48CC" w:rsidRPr="00500637" w14:paraId="5029F8E7" w14:textId="77777777" w:rsidTr="008979D2">
        <w:trPr>
          <w:trHeight w:val="304"/>
        </w:trPr>
        <w:tc>
          <w:tcPr>
            <w:tcW w:w="1555" w:type="dxa"/>
          </w:tcPr>
          <w:p w14:paraId="598E1804" w14:textId="33506324"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t>{0130;0010}</w:t>
            </w:r>
          </w:p>
        </w:tc>
        <w:tc>
          <w:tcPr>
            <w:tcW w:w="7566" w:type="dxa"/>
          </w:tcPr>
          <w:p w14:paraId="0ECB889E" w14:textId="0C2B43CB"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b/>
                <w:sz w:val="24"/>
              </w:rPr>
              <w:t>Gedeckelter Nominalbetrag geschriebener Kreditderivate</w:t>
            </w:r>
          </w:p>
          <w:p w14:paraId="3144DF47" w14:textId="03E6EFAF"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429d der Verordnung (EU) Nr. 575/2013</w:t>
            </w:r>
          </w:p>
          <w:p w14:paraId="7435D499" w14:textId="4D85CBD0" w:rsidR="00CB48CC" w:rsidRPr="00500637" w:rsidRDefault="00E75BB8"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bestimmen den gedeckelten Nominalbetrag geschriebener Kreditderivate nach Artikel 429d Absatz 1 im Einklang mit Artikel 429d der Verordnung (EU) Nr. 575/2013.</w:t>
            </w:r>
          </w:p>
        </w:tc>
      </w:tr>
      <w:tr w:rsidR="00CB48CC" w:rsidRPr="00500637" w14:paraId="5DA0B9DC" w14:textId="77777777" w:rsidTr="008979D2">
        <w:trPr>
          <w:trHeight w:val="304"/>
        </w:trPr>
        <w:tc>
          <w:tcPr>
            <w:tcW w:w="1555" w:type="dxa"/>
          </w:tcPr>
          <w:p w14:paraId="753E918D" w14:textId="3CA2220D"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t>{0140;0010}</w:t>
            </w:r>
          </w:p>
        </w:tc>
        <w:tc>
          <w:tcPr>
            <w:tcW w:w="7566" w:type="dxa"/>
          </w:tcPr>
          <w:p w14:paraId="7C62D40B" w14:textId="77777777"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b/>
                <w:sz w:val="24"/>
              </w:rPr>
              <w:t>(-) Anrechenbare erworbene Kreditderivate, aufgerechnet mit geschriebenen Kreditderivaten</w:t>
            </w:r>
          </w:p>
          <w:p w14:paraId="64C8DF12" w14:textId="20E8D018"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429d der Verordnung (EU) Nr. 575/2013</w:t>
            </w:r>
          </w:p>
          <w:p w14:paraId="444D1EBB" w14:textId="45DE5437"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Gedeckelter Nominalbetrag erworbener Kreditderivate (bei denen das Institut von einer Gegenpartei eine Kreditbesicherung erwirbt) auf derselben Referenzadresse wie die geschriebenen Kreditderivate des Instituts, sofern die Restlaufzeit der erworbenen Besicherung der Restlaufzeit der veräußerten Besicherung entspricht oder diese überschreitet. Folglich darf der Wert für jede Referenzadresse nicht größer sein als der in {0130;0010} ausgewiesene Wert.</w:t>
            </w:r>
          </w:p>
        </w:tc>
      </w:tr>
      <w:tr w:rsidR="00CB48CC" w:rsidRPr="00500637" w14:paraId="31F41404" w14:textId="77777777" w:rsidTr="008979D2">
        <w:trPr>
          <w:trHeight w:val="983"/>
        </w:trPr>
        <w:tc>
          <w:tcPr>
            <w:tcW w:w="1555" w:type="dxa"/>
          </w:tcPr>
          <w:p w14:paraId="7A070329" w14:textId="158316A9"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t>{0150;0010}</w:t>
            </w:r>
          </w:p>
          <w:p w14:paraId="7A113EB7" w14:textId="77777777" w:rsidR="00CB48CC" w:rsidRPr="00500637" w:rsidRDefault="00CB48CC" w:rsidP="000B66BC">
            <w:pPr>
              <w:pStyle w:val="BodyText1"/>
              <w:spacing w:after="240"/>
              <w:rPr>
                <w:rFonts w:ascii="Times New Roman" w:hAnsi="Times New Roman"/>
                <w:bCs/>
                <w:sz w:val="24"/>
                <w:szCs w:val="24"/>
              </w:rPr>
            </w:pPr>
          </w:p>
        </w:tc>
        <w:tc>
          <w:tcPr>
            <w:tcW w:w="7566" w:type="dxa"/>
          </w:tcPr>
          <w:p w14:paraId="4E086B7E" w14:textId="00B684E8"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b/>
                <w:sz w:val="24"/>
              </w:rPr>
              <w:t>Außerbilanzielle Geschäfte mit einem Kreditumrechnungsfaktor (CCF) von 10 % gemäß Artikel 429f CRR</w:t>
            </w:r>
          </w:p>
          <w:p w14:paraId="7C110152" w14:textId="2049FE67" w:rsidR="00CB48CC" w:rsidRPr="00500637" w:rsidRDefault="00867B43"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gemäß Artikel 429f, Artikel 111 Absatz 2 Buchstabe e und Artikel 111 Absatz 3 der Verordnung (EU) Nr. 575/2013</w:t>
            </w:r>
          </w:p>
          <w:p w14:paraId="6707D5C8" w14:textId="795C2D7D" w:rsidR="00494A67" w:rsidRPr="00500637" w:rsidRDefault="00406DB7" w:rsidP="000B66BC">
            <w:pPr>
              <w:pStyle w:val="BodyText1"/>
              <w:spacing w:after="240" w:line="240" w:lineRule="auto"/>
              <w:rPr>
                <w:rFonts w:ascii="Times New Roman" w:hAnsi="Times New Roman"/>
                <w:bCs/>
                <w:sz w:val="24"/>
                <w:szCs w:val="24"/>
              </w:rPr>
            </w:pPr>
            <w:r w:rsidRPr="00500637">
              <w:rPr>
                <w:rFonts w:ascii="Times New Roman" w:hAnsi="Times New Roman"/>
                <w:sz w:val="24"/>
              </w:rPr>
              <w:t xml:space="preserve"> Verordnung (EU) Nr. 575/2013 </w:t>
            </w:r>
          </w:p>
          <w:p w14:paraId="7057DD3E" w14:textId="18CCDCA2"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Zur Erinnerung: Der Nominalwert darf vor Anwendung des CCF nicht durch spezifische Kreditrisikoanpassungen herabgesetzt werden.</w:t>
            </w:r>
            <w:r w:rsidRPr="00500637">
              <w:rPr>
                <w:sz w:val="24"/>
              </w:rPr>
              <w:t xml:space="preserve"> </w:t>
            </w:r>
            <w:r w:rsidRPr="00500637">
              <w:rPr>
                <w:rFonts w:ascii="Times New Roman" w:hAnsi="Times New Roman"/>
                <w:sz w:val="24"/>
              </w:rPr>
              <w:t xml:space="preserve">Gemäß Artikel 429f Absatz 2 dürfen die Institute den kreditrisikoäquivalenten Betrag eines außerbilanziellen Postens um den entsprechenden Betrag </w:t>
            </w:r>
            <w:r w:rsidRPr="00500637">
              <w:rPr>
                <w:rFonts w:ascii="Times New Roman" w:hAnsi="Times New Roman"/>
                <w:sz w:val="24"/>
              </w:rPr>
              <w:lastRenderedPageBreak/>
              <w:t>spezifischer Kreditrisikoanpassungen vermindern. Für die Berechnung gilt eine Untergrenze von null.</w:t>
            </w:r>
          </w:p>
          <w:p w14:paraId="34359CD8" w14:textId="4FC2CED3"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Hat eine Zusage die Verlängerung eines anderen außerbilanziellen Postens zum Gegenstand, so wird gemäß Artikel 111 Absatz 3 der Verordnung (EU) Nr. 575/2013 der niedrigere der beiden Umrechnungsfaktoren verwendet (anwendbar auf den Posten, über den die Zusage erteilt wird, oder die Art der eingegangenen Zusage).</w:t>
            </w:r>
          </w:p>
          <w:p w14:paraId="39DFADB3" w14:textId="3712D59A" w:rsidR="00CB48CC" w:rsidRPr="00500637" w:rsidRDefault="00CB48CC" w:rsidP="0061658B">
            <w:pPr>
              <w:pStyle w:val="BodyText1"/>
              <w:spacing w:after="240"/>
              <w:rPr>
                <w:rFonts w:ascii="Times New Roman" w:hAnsi="Times New Roman"/>
                <w:bCs/>
                <w:sz w:val="24"/>
                <w:szCs w:val="24"/>
              </w:rPr>
            </w:pPr>
            <w:r w:rsidRPr="00500637">
              <w:rPr>
                <w:rFonts w:ascii="Times New Roman" w:hAnsi="Times New Roman"/>
                <w:sz w:val="24"/>
              </w:rPr>
              <w:t>Gemäß Artikel 429f der Verordnung (EU) Nr. 575/2013 weisen die Institute in diesem Feld weder die in Anhang II der Verordnung (EU) Nr. 575/2013 genannten Geschäfte, noch Kreditderivate, SFTs und Positionen nach Artikel 429d aus.</w:t>
            </w:r>
          </w:p>
          <w:p w14:paraId="2398A4B9" w14:textId="5CEEC100" w:rsidR="004B1D31" w:rsidRPr="00500637" w:rsidRDefault="004B1D31" w:rsidP="0061658B">
            <w:pPr>
              <w:pStyle w:val="BodyText1"/>
              <w:spacing w:after="240"/>
              <w:rPr>
                <w:rFonts w:ascii="Times New Roman" w:hAnsi="Times New Roman"/>
                <w:sz w:val="24"/>
                <w:szCs w:val="24"/>
              </w:rPr>
            </w:pPr>
            <w:r w:rsidRPr="00500637">
              <w:rPr>
                <w:rFonts w:ascii="Times New Roman" w:hAnsi="Times New Roman"/>
                <w:sz w:val="24"/>
              </w:rPr>
              <w:t xml:space="preserve">Die Institute wenden </w:t>
            </w:r>
            <w:r w:rsidRPr="00500637">
              <w:rPr>
                <w:rFonts w:ascii="Times New Roman" w:hAnsi="Times New Roman"/>
                <w:color w:val="auto"/>
                <w:sz w:val="24"/>
              </w:rPr>
              <w:t>gemäß Artikel 429f Absatz 3</w:t>
            </w:r>
            <w:r w:rsidRPr="00500637">
              <w:rPr>
                <w:rFonts w:ascii="Times New Roman" w:hAnsi="Times New Roman"/>
                <w:sz w:val="24"/>
              </w:rPr>
              <w:t xml:space="preserve"> für bedingungslos kündbare Zusagen (UCC) einen CCF von 10 % an.</w:t>
            </w:r>
            <w:r w:rsidRPr="00500637">
              <w:rPr>
                <w:rFonts w:ascii="Times New Roman" w:hAnsi="Times New Roman"/>
                <w:color w:val="auto"/>
                <w:sz w:val="24"/>
              </w:rPr>
              <w:t xml:space="preserve"> </w:t>
            </w:r>
          </w:p>
        </w:tc>
      </w:tr>
      <w:tr w:rsidR="00CB48CC" w:rsidRPr="00500637" w14:paraId="736A5471" w14:textId="77777777" w:rsidTr="008979D2">
        <w:trPr>
          <w:trHeight w:val="712"/>
        </w:trPr>
        <w:tc>
          <w:tcPr>
            <w:tcW w:w="1555" w:type="dxa"/>
          </w:tcPr>
          <w:p w14:paraId="7BB0A9E0" w14:textId="321744DC"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lastRenderedPageBreak/>
              <w:t>{0160;0010}</w:t>
            </w:r>
          </w:p>
        </w:tc>
        <w:tc>
          <w:tcPr>
            <w:tcW w:w="7566" w:type="dxa"/>
          </w:tcPr>
          <w:p w14:paraId="079FCB69" w14:textId="5B79425E" w:rsidR="00CB48CC" w:rsidRPr="00500637" w:rsidRDefault="00CB48CC"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Außerbilanzielle Geschäfte mit einem Kreditumrechnungsfaktor (CCF) von 20 % gemäß Artikel 429f CRR</w:t>
            </w:r>
          </w:p>
          <w:p w14:paraId="1808F2C6" w14:textId="505700F8" w:rsidR="00CB48CC" w:rsidRPr="00500637" w:rsidRDefault="004127BF"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gemäß Artikel 429f, Artikel 111 Absatz 2 Buchstabe d und Artikel 111 Absatz 3 der Verordnung (EU) Nr. 575/2013</w:t>
            </w:r>
          </w:p>
          <w:p w14:paraId="130864F0" w14:textId="06C16CD6" w:rsidR="00CB48CC" w:rsidRPr="00500637" w:rsidRDefault="00406DB7" w:rsidP="000B66BC">
            <w:pPr>
              <w:pStyle w:val="BodyText1"/>
              <w:spacing w:after="240" w:line="240" w:lineRule="auto"/>
              <w:rPr>
                <w:rFonts w:ascii="Times New Roman" w:hAnsi="Times New Roman"/>
                <w:bCs/>
                <w:sz w:val="24"/>
                <w:szCs w:val="24"/>
              </w:rPr>
            </w:pPr>
            <w:r w:rsidRPr="00500637">
              <w:rPr>
                <w:rFonts w:ascii="Times New Roman" w:hAnsi="Times New Roman"/>
                <w:sz w:val="24"/>
              </w:rPr>
              <w:t xml:space="preserve"> Verordnung (EU) Nr. 575/2013 Zur Erinnerung: Der Nominalwert darf vor Anwendung des CCF nicht durch spezifische Kreditrisikoanpassungen herabgesetzt werden. Gemäß Artikel 429f Absatz 2 dürfen die Institute den kreditrisikoäquivalenten Betrag eines außerbilanziellen Postens um den entsprechenden Betrag spezifischer Kreditrisikoanpassungen vermindern. Für die Berechnung gilt eine Untergrenze von null.</w:t>
            </w:r>
          </w:p>
          <w:p w14:paraId="771B332A" w14:textId="4AB3716F"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Hat eine Zusage die Verlängerung eines anderen außerbilanziellen Postens zum Gegenstand, so wird gemäß Artikel 111 Absatz 3 der Verordnung (EU) Nr. 575/2013 der niedrigere der beiden Umrechnungsfaktoren verwendet (anwendbar auf den Posten, über den die Zusage erteilt wird, oder die Art der eingegangenen Zusage).</w:t>
            </w:r>
          </w:p>
          <w:p w14:paraId="6986CCC3" w14:textId="4845021E" w:rsidR="003A5EB5" w:rsidRPr="00500637" w:rsidRDefault="00CB48CC" w:rsidP="000B66BC">
            <w:pPr>
              <w:pStyle w:val="BodyText1"/>
              <w:spacing w:after="240" w:line="240" w:lineRule="auto"/>
              <w:rPr>
                <w:rFonts w:ascii="Times New Roman" w:hAnsi="Times New Roman"/>
                <w:b/>
                <w:bCs/>
                <w:sz w:val="24"/>
                <w:szCs w:val="24"/>
              </w:rPr>
            </w:pPr>
            <w:r w:rsidRPr="00500637">
              <w:rPr>
                <w:rFonts w:ascii="Times New Roman" w:hAnsi="Times New Roman"/>
                <w:sz w:val="24"/>
              </w:rPr>
              <w:t>Gemäß Artikel 429f der Verordnung (EU) Nr. 575/2013 weisen die Institute in diesem Feld weder die in Anhang II der Verordnung (EU) Nr. 575/2013 genannten Geschäfte, noch Kreditderivate, SFTs und Positionen nach Artikel 429d aus.</w:t>
            </w:r>
          </w:p>
        </w:tc>
      </w:tr>
      <w:tr w:rsidR="00B64E88" w:rsidRPr="00500637" w14:paraId="5D75FFBF" w14:textId="77777777" w:rsidTr="008979D2">
        <w:trPr>
          <w:trHeight w:val="304"/>
        </w:trPr>
        <w:tc>
          <w:tcPr>
            <w:tcW w:w="1555" w:type="dxa"/>
          </w:tcPr>
          <w:p w14:paraId="0E3E0D10" w14:textId="6E0627B6" w:rsidR="00B64E88" w:rsidRPr="00500637" w:rsidRDefault="00B64E88" w:rsidP="000B66BC">
            <w:pPr>
              <w:pStyle w:val="BodyText1"/>
              <w:spacing w:after="240"/>
              <w:rPr>
                <w:rFonts w:ascii="Times New Roman" w:hAnsi="Times New Roman"/>
                <w:bCs/>
                <w:sz w:val="24"/>
                <w:szCs w:val="24"/>
              </w:rPr>
            </w:pPr>
            <w:r w:rsidRPr="00500637">
              <w:rPr>
                <w:rFonts w:ascii="Times New Roman" w:hAnsi="Times New Roman"/>
                <w:sz w:val="24"/>
              </w:rPr>
              <w:t>{0165;0010}</w:t>
            </w:r>
          </w:p>
        </w:tc>
        <w:tc>
          <w:tcPr>
            <w:tcW w:w="7566" w:type="dxa"/>
          </w:tcPr>
          <w:p w14:paraId="2CE0BE47" w14:textId="1A6F01F5" w:rsidR="00B64E88" w:rsidRPr="00500637" w:rsidRDefault="00412D6E"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Außerbilanzielle Geschäfte mit einem Kreditumrechnungsfaktor (CCF) von 40 % gemäß Artikel 429f CRR</w:t>
            </w:r>
          </w:p>
          <w:p w14:paraId="733C45E6" w14:textId="419DBB23" w:rsidR="00DF7B01" w:rsidRPr="00500637" w:rsidRDefault="004127BF" w:rsidP="005A5E25">
            <w:pPr>
              <w:pStyle w:val="BodyText1"/>
              <w:spacing w:before="240" w:line="276" w:lineRule="auto"/>
              <w:rPr>
                <w:rFonts w:ascii="Times New Roman" w:hAnsi="Times New Roman"/>
                <w:bCs/>
                <w:sz w:val="24"/>
                <w:szCs w:val="24"/>
              </w:rPr>
            </w:pPr>
            <w:r w:rsidRPr="00500637">
              <w:rPr>
                <w:rFonts w:ascii="Times New Roman" w:hAnsi="Times New Roman"/>
                <w:sz w:val="24"/>
              </w:rPr>
              <w:t>Der Risikopositionswert gemäß Artikel 429f, Artikel 111 Absatz 2 Buchstabe c und Artikel 111 Absatz 3 der Verordnung (EU) Nr. 575/2013</w:t>
            </w:r>
          </w:p>
          <w:p w14:paraId="0E51A0A8" w14:textId="11457FFC" w:rsidR="000D5576" w:rsidRPr="00500637" w:rsidRDefault="000D5576" w:rsidP="005A5E25">
            <w:pPr>
              <w:pStyle w:val="BodyText1"/>
              <w:spacing w:before="240" w:after="240" w:line="276" w:lineRule="auto"/>
              <w:rPr>
                <w:rFonts w:ascii="Times New Roman" w:hAnsi="Times New Roman"/>
                <w:bCs/>
                <w:sz w:val="24"/>
                <w:szCs w:val="24"/>
              </w:rPr>
            </w:pPr>
            <w:r w:rsidRPr="00500637">
              <w:rPr>
                <w:rFonts w:ascii="Times New Roman" w:hAnsi="Times New Roman"/>
                <w:sz w:val="24"/>
              </w:rPr>
              <w:t xml:space="preserve">Zur Erinnerung: Der Nominalwert darf vor Anwendung des CCF nicht durch spezifische Kreditrisikoanpassungen herabgesetzt werden. Gemäß </w:t>
            </w:r>
            <w:r w:rsidRPr="00500637">
              <w:rPr>
                <w:rFonts w:ascii="Times New Roman" w:hAnsi="Times New Roman"/>
                <w:sz w:val="24"/>
              </w:rPr>
              <w:lastRenderedPageBreak/>
              <w:t>Artikel 429f Absatz 2 dürfen die Institute den kreditrisikoäquivalenten Betrag eines außerbilanziellen Postens um den entsprechenden Betrag spezifischer Kreditrisikoanpassungen vermindern. Für die Berechnung gilt eine Untergrenze von null.</w:t>
            </w:r>
          </w:p>
          <w:p w14:paraId="76BB5F85" w14:textId="192A0C50" w:rsidR="000D5576" w:rsidRPr="00500637" w:rsidRDefault="000D5576" w:rsidP="000D5576">
            <w:pPr>
              <w:pStyle w:val="BodyText1"/>
              <w:spacing w:after="240" w:line="240" w:lineRule="auto"/>
              <w:rPr>
                <w:rFonts w:ascii="Times New Roman" w:hAnsi="Times New Roman"/>
                <w:bCs/>
                <w:sz w:val="24"/>
                <w:szCs w:val="24"/>
              </w:rPr>
            </w:pPr>
            <w:r w:rsidRPr="00500637">
              <w:rPr>
                <w:rFonts w:ascii="Times New Roman" w:hAnsi="Times New Roman"/>
                <w:sz w:val="24"/>
              </w:rPr>
              <w:t>Hat eine Zusage die Verlängerung eines anderen außerbilanziellen Postens zum Gegenstand, so wird gemäß Artikel 111 Absatz 3 der Verordnung (EU) Nr. 575/2013 der niedrigere der beiden Umrechnungsfaktoren verwendet (anwendbar auf den Posten, über den die Zusage erteilt wird, oder die Art der eingegangenen Zusage).</w:t>
            </w:r>
          </w:p>
          <w:p w14:paraId="7D87CAA4" w14:textId="5E43F9DD" w:rsidR="000D5576" w:rsidRPr="00500637" w:rsidRDefault="000D5576" w:rsidP="000D5576">
            <w:pPr>
              <w:pStyle w:val="BodyText1"/>
              <w:spacing w:after="240" w:line="240" w:lineRule="auto"/>
              <w:rPr>
                <w:rFonts w:ascii="Times New Roman" w:hAnsi="Times New Roman"/>
                <w:b/>
                <w:bCs/>
                <w:sz w:val="24"/>
                <w:szCs w:val="24"/>
              </w:rPr>
            </w:pPr>
            <w:r w:rsidRPr="00500637">
              <w:rPr>
                <w:rFonts w:ascii="Times New Roman" w:hAnsi="Times New Roman"/>
                <w:sz w:val="24"/>
              </w:rPr>
              <w:t>Gemäß Artikel 429f der Verordnung (EU) Nr. 575/2013 weisen die Institute in diesem Feld weder die in Anhang II der Verordnung (EU) Nr. 575/2013 genannten Geschäfte, noch Kreditderivate, SFTs und Positionen nach Artikel 429d aus.</w:t>
            </w:r>
          </w:p>
        </w:tc>
      </w:tr>
      <w:tr w:rsidR="00CB48CC" w:rsidRPr="00500637" w14:paraId="3354B9C5" w14:textId="77777777" w:rsidTr="008979D2">
        <w:trPr>
          <w:trHeight w:val="304"/>
        </w:trPr>
        <w:tc>
          <w:tcPr>
            <w:tcW w:w="1555" w:type="dxa"/>
          </w:tcPr>
          <w:p w14:paraId="513659B4" w14:textId="6E2AF11C"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lastRenderedPageBreak/>
              <w:t>{0170;0010}</w:t>
            </w:r>
          </w:p>
          <w:p w14:paraId="2D1C2289" w14:textId="77777777" w:rsidR="00CB48CC" w:rsidRPr="00500637" w:rsidRDefault="00CB48CC" w:rsidP="000B66BC">
            <w:pPr>
              <w:pStyle w:val="BodyText1"/>
              <w:spacing w:after="240"/>
              <w:rPr>
                <w:rFonts w:ascii="Times New Roman" w:hAnsi="Times New Roman"/>
                <w:bCs/>
                <w:sz w:val="24"/>
                <w:szCs w:val="24"/>
              </w:rPr>
            </w:pPr>
          </w:p>
        </w:tc>
        <w:tc>
          <w:tcPr>
            <w:tcW w:w="7566" w:type="dxa"/>
          </w:tcPr>
          <w:p w14:paraId="2B65BAF0" w14:textId="70D57BA8" w:rsidR="00CB48CC" w:rsidRPr="00500637" w:rsidRDefault="00CB48CC"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Außerbilanzielle Geschäfte mit einem Kreditumrechnungsfaktor (CCF) von 50 % gemäß Artikel 429f CRR</w:t>
            </w:r>
          </w:p>
          <w:p w14:paraId="7DA0F3D2" w14:textId="575D7B68" w:rsidR="00CB48CC" w:rsidRPr="00500637" w:rsidRDefault="004127BF"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gemäß Artikel 429f, Artikel 111 Absatz 2 Buchstabe b und Artikel 111 Absatz 3 der Verordnung (EU) Nr. 575/2013</w:t>
            </w:r>
          </w:p>
          <w:p w14:paraId="512D74AD" w14:textId="498DFCB8" w:rsidR="00CB48CC" w:rsidRPr="00500637" w:rsidRDefault="00406DB7" w:rsidP="000B66BC">
            <w:pPr>
              <w:pStyle w:val="BodyText1"/>
              <w:spacing w:after="240" w:line="240" w:lineRule="auto"/>
              <w:rPr>
                <w:rFonts w:ascii="Times New Roman" w:hAnsi="Times New Roman"/>
                <w:bCs/>
                <w:sz w:val="24"/>
                <w:szCs w:val="24"/>
              </w:rPr>
            </w:pPr>
            <w:r w:rsidRPr="00500637">
              <w:rPr>
                <w:rFonts w:ascii="Times New Roman" w:hAnsi="Times New Roman"/>
                <w:sz w:val="24"/>
              </w:rPr>
              <w:t xml:space="preserve"> Verordnung (EU) Nr. 575/2013 Zur Erinnerung: Der Nominalwert darf vor Anwendung des CCF nicht durch spezifische Kreditrisikoanpassungen herabgesetzt werden.</w:t>
            </w:r>
            <w:r w:rsidR="00210EF4" w:rsidRPr="00500637">
              <w:rPr>
                <w:rFonts w:ascii="Times New Roman" w:hAnsi="Times New Roman"/>
                <w:sz w:val="24"/>
              </w:rPr>
              <w:t xml:space="preserve"> </w:t>
            </w:r>
            <w:r w:rsidRPr="00500637">
              <w:rPr>
                <w:rFonts w:ascii="Times New Roman" w:hAnsi="Times New Roman"/>
                <w:sz w:val="24"/>
              </w:rPr>
              <w:t>Gemäß Artikel 429f Absatz 2 dürfen die Institute den kreditrisikoäquivalenten Betrag eines außerbilanziellen Postens um den entsprechenden Betrag spezifischer Kreditrisikoanpassungen vermindern. Für die Berechnung gilt eine Untergrenze von null.</w:t>
            </w:r>
          </w:p>
          <w:p w14:paraId="116B0E4F" w14:textId="1B31E164"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In diesem Feld werden Liquiditätsfazilitäten und andere Zusagen für Verbriefungen ausgewiesen. Der CCF für alle Liquiditätsfazilitäten gemäß Artikel 255 der Verordnung (EU) Nr. 575/2013 beträgt unabhängig von der Laufzeit 50 %.</w:t>
            </w:r>
          </w:p>
          <w:p w14:paraId="4339295A" w14:textId="1AC63CC8"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Hat eine Zusage die Verlängerung eines anderen außerbilanziellen Postens zum Gegenstand, so wird gemäß Artikel 111 Absatz 3 der Verordnung (EU) Nr. 575/2013 der niedrigere der beiden Umrechnungsfaktoren verwendet (anwendbar auf den Posten, über den die Zusage erteilt wird, oder die Art der eingegangenen Zusage).</w:t>
            </w:r>
          </w:p>
          <w:p w14:paraId="6DDC311B" w14:textId="77CB6B51" w:rsidR="00CB48CC" w:rsidRPr="00500637" w:rsidRDefault="00CB48CC" w:rsidP="000B66BC">
            <w:pPr>
              <w:pStyle w:val="BodyText1"/>
              <w:spacing w:after="240" w:line="240" w:lineRule="auto"/>
              <w:rPr>
                <w:rFonts w:ascii="Times New Roman" w:hAnsi="Times New Roman"/>
                <w:b/>
                <w:bCs/>
                <w:sz w:val="24"/>
                <w:szCs w:val="24"/>
              </w:rPr>
            </w:pPr>
            <w:r w:rsidRPr="00500637">
              <w:rPr>
                <w:rFonts w:ascii="Times New Roman" w:hAnsi="Times New Roman"/>
                <w:sz w:val="24"/>
              </w:rPr>
              <w:t>Gemäß Artikel 429f der Verordnung (EU) Nr. 575/2013 weisen die Institute in diesem Feld weder die in Anhang II der Verordnung (EU) Nr. 575/2013 genannten Geschäfte, noch Kreditderivate, SFTs und Positionen nach Artikel 429d aus.</w:t>
            </w:r>
          </w:p>
        </w:tc>
      </w:tr>
    </w:tbl>
    <w:p w14:paraId="154DF170" w14:textId="77777777" w:rsidR="00500637" w:rsidRDefault="00500637">
      <w:r>
        <w:br w:type="page"/>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7566"/>
      </w:tblGrid>
      <w:tr w:rsidR="00CB48CC" w:rsidRPr="00500637" w14:paraId="0A0BB45E" w14:textId="77777777" w:rsidTr="008979D2">
        <w:trPr>
          <w:trHeight w:val="304"/>
        </w:trPr>
        <w:tc>
          <w:tcPr>
            <w:tcW w:w="1555" w:type="dxa"/>
            <w:tcBorders>
              <w:bottom w:val="single" w:sz="4" w:space="0" w:color="auto"/>
            </w:tcBorders>
          </w:tcPr>
          <w:p w14:paraId="546786C4" w14:textId="7DAA9CCA"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lastRenderedPageBreak/>
              <w:t>{0180;0010}</w:t>
            </w:r>
          </w:p>
          <w:p w14:paraId="22AA02FE" w14:textId="77777777" w:rsidR="00CB48CC" w:rsidRPr="00500637"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F41926D" w14:textId="591860B3"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b/>
                <w:sz w:val="24"/>
              </w:rPr>
              <w:t xml:space="preserve">Außerbilanzielle Geschäfte mit einem Kreditumrechnungsfaktor (CCF) von 100 % gemäß Artikel 429f CRR </w:t>
            </w:r>
          </w:p>
          <w:p w14:paraId="603EE80E" w14:textId="5805ED8A" w:rsidR="00CB48CC" w:rsidRPr="00500637" w:rsidRDefault="00D3062A"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gemäß Artikel 429f, Artikel 111 Absatz 2 Buchstabe a und Artikel 111 Absatz 3 der Verordnung (EU) Nr. 575/2013</w:t>
            </w:r>
          </w:p>
          <w:p w14:paraId="02A01DC2" w14:textId="1E1A0970" w:rsidR="00CB48CC" w:rsidRPr="00500637" w:rsidRDefault="00406DB7" w:rsidP="000B66BC">
            <w:pPr>
              <w:pStyle w:val="BodyText1"/>
              <w:spacing w:after="240" w:line="240" w:lineRule="auto"/>
              <w:rPr>
                <w:rFonts w:ascii="Times New Roman" w:hAnsi="Times New Roman"/>
                <w:bCs/>
                <w:sz w:val="24"/>
                <w:szCs w:val="24"/>
              </w:rPr>
            </w:pPr>
            <w:r w:rsidRPr="00500637">
              <w:rPr>
                <w:rFonts w:ascii="Times New Roman" w:hAnsi="Times New Roman"/>
                <w:sz w:val="24"/>
              </w:rPr>
              <w:t xml:space="preserve"> Verordnung (EU) Nr. 575/2013 Zur Erinnerung: Der Nominalwert darf vor Anwendung des CCF nicht durch spezifische Kreditrisikoanpassungen herabgesetzt werden. Gemäß Artikel 429f Absatz 2 dürfen die Institute den kreditrisikoäquivalenten Betrag eines außerbilanziellen Postens um den entsprechenden Betrag spezifischer Kreditrisikoanpassungen vermindern. Für die Berechnung gilt eine Untergrenze von null.</w:t>
            </w:r>
          </w:p>
          <w:p w14:paraId="12BC0F57" w14:textId="6A8A33B4"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In diesem Feld werden Liquiditätsfazilitäten und andere Zusagen für Verbriefungen ausgewiesen.</w:t>
            </w:r>
          </w:p>
          <w:p w14:paraId="01861A93" w14:textId="1AF15CC7"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Hat eine Zusage die Verlängerung eines anderen außerbilanziellen Postens zum Gegenstand, so wird gemäß Artikel 111 Absatz 3 der Verordnung (EU) Nr. 575/2013 der niedrigere der beiden Umrechnungsfaktoren verwendet (anwendbar auf den Posten, über den die Zusage erteilt wird, oder die Art der eingegangenen Zusage).</w:t>
            </w:r>
          </w:p>
          <w:p w14:paraId="37DBE5CD" w14:textId="2DDC0E00" w:rsidR="00CB48CC" w:rsidRPr="00500637" w:rsidRDefault="00CB48CC" w:rsidP="000B66BC">
            <w:pPr>
              <w:pStyle w:val="BodyText1"/>
              <w:spacing w:after="240" w:line="240" w:lineRule="auto"/>
              <w:rPr>
                <w:rFonts w:ascii="Times New Roman" w:hAnsi="Times New Roman"/>
                <w:bCs/>
                <w:sz w:val="24"/>
                <w:szCs w:val="24"/>
                <w:u w:val="single"/>
              </w:rPr>
            </w:pPr>
            <w:r w:rsidRPr="00500637">
              <w:rPr>
                <w:rFonts w:ascii="Times New Roman" w:hAnsi="Times New Roman"/>
                <w:sz w:val="24"/>
              </w:rPr>
              <w:t>Gemäß Artikel 429f der Verordnung (EU) Nr. 575/2013 weisen die Institute in diesem Feld weder die in Anhang II der Verordnung (EU) Nr. 575/2013 genannten Geschäfte, noch Kreditderivate, SFTs und Positionen nach Artikel 429d aus.</w:t>
            </w:r>
          </w:p>
        </w:tc>
      </w:tr>
      <w:tr w:rsidR="00CB48CC" w:rsidRPr="00500637" w14:paraId="36A7A2BB" w14:textId="77777777" w:rsidTr="008979D2">
        <w:trPr>
          <w:trHeight w:val="304"/>
        </w:trPr>
        <w:tc>
          <w:tcPr>
            <w:tcW w:w="1555" w:type="dxa"/>
            <w:tcBorders>
              <w:bottom w:val="single" w:sz="4" w:space="0" w:color="auto"/>
            </w:tcBorders>
            <w:vAlign w:val="center"/>
          </w:tcPr>
          <w:p w14:paraId="7E132F7E" w14:textId="5BAF48E5"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t>{0181;0010}</w:t>
            </w:r>
          </w:p>
          <w:p w14:paraId="41120190" w14:textId="77777777" w:rsidR="00CB48CC" w:rsidRPr="00500637"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vAlign w:val="center"/>
          </w:tcPr>
          <w:p w14:paraId="6AD2D6D7" w14:textId="77777777" w:rsidR="00CB48CC" w:rsidRPr="00500637" w:rsidRDefault="00CB48CC"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 xml:space="preserve">(-) Allgemeine Kreditrisikoanpassungen an außerbilanzielle Posten </w:t>
            </w:r>
          </w:p>
          <w:p w14:paraId="62AD4ABC" w14:textId="6E11CF8B" w:rsidR="00CB48CC" w:rsidRPr="00500637" w:rsidRDefault="00CB48CC" w:rsidP="000B66BC">
            <w:pPr>
              <w:pStyle w:val="BodyText1"/>
              <w:spacing w:after="240" w:line="240" w:lineRule="auto"/>
              <w:rPr>
                <w:rFonts w:ascii="Times New Roman" w:hAnsi="Times New Roman"/>
                <w:color w:val="auto"/>
                <w:sz w:val="24"/>
                <w:szCs w:val="24"/>
              </w:rPr>
            </w:pPr>
            <w:r w:rsidRPr="00500637">
              <w:rPr>
                <w:rFonts w:ascii="Times New Roman" w:hAnsi="Times New Roman"/>
                <w:sz w:val="24"/>
              </w:rPr>
              <w:t>Artikel 429 Absatz 4 der Verordnung (EU) Nr. 575/2013</w:t>
            </w:r>
          </w:p>
          <w:p w14:paraId="301E11EC" w14:textId="7BD850E1" w:rsidR="00CB48CC" w:rsidRPr="00500637" w:rsidRDefault="00CB48CC" w:rsidP="000B66BC">
            <w:pPr>
              <w:pStyle w:val="BodyText1"/>
              <w:spacing w:after="240" w:line="240" w:lineRule="auto"/>
              <w:rPr>
                <w:rFonts w:ascii="Times New Roman" w:hAnsi="Times New Roman"/>
                <w:color w:val="auto"/>
                <w:sz w:val="24"/>
                <w:szCs w:val="24"/>
                <w:highlight w:val="cyan"/>
              </w:rPr>
            </w:pPr>
            <w:r w:rsidRPr="00500637">
              <w:rPr>
                <w:rFonts w:ascii="Times New Roman" w:hAnsi="Times New Roman"/>
                <w:sz w:val="24"/>
              </w:rPr>
              <w:t>Der Betrag der allgemeinen Kreditrisikoanpassungen, die außerbilanzielle Posten nach Artikel 429 Absatz 4 Buchstabe d betreffen, den die Institute im Einklang mit dem letzten Absatz von Artikel 429 Absatz 4 der Verordnung (EU) Nr. 575/2013 in Abzug bringen.</w:t>
            </w:r>
          </w:p>
          <w:p w14:paraId="2059F8B9" w14:textId="5CF2B1A7" w:rsidR="00CB48CC" w:rsidRPr="00500637" w:rsidRDefault="00CB48CC" w:rsidP="0061658B">
            <w:pPr>
              <w:pStyle w:val="BodyText1"/>
              <w:spacing w:after="240"/>
              <w:rPr>
                <w:rFonts w:ascii="Times New Roman" w:hAnsi="Times New Roman"/>
                <w:color w:val="auto"/>
                <w:sz w:val="24"/>
                <w:szCs w:val="24"/>
              </w:rPr>
            </w:pPr>
            <w:r w:rsidRPr="00500637">
              <w:rPr>
                <w:rFonts w:ascii="Times New Roman" w:hAnsi="Times New Roman"/>
                <w:sz w:val="24"/>
              </w:rPr>
              <w:t>Bei der Berechnung der in den Zeilen {0150;0010} bis {0180;0010} ausgewiesenen außerbilanziellen Posten wird der ausgewiesene Betrag nicht als Verringerung berücksichtigt.</w:t>
            </w:r>
          </w:p>
        </w:tc>
      </w:tr>
      <w:tr w:rsidR="00CB48CC" w:rsidRPr="00500637" w14:paraId="1DF5F072" w14:textId="77777777" w:rsidTr="008979D2">
        <w:trPr>
          <w:trHeight w:val="304"/>
        </w:trPr>
        <w:tc>
          <w:tcPr>
            <w:tcW w:w="1555" w:type="dxa"/>
            <w:tcBorders>
              <w:bottom w:val="single" w:sz="4" w:space="0" w:color="auto"/>
            </w:tcBorders>
          </w:tcPr>
          <w:p w14:paraId="581AAB63" w14:textId="5DF88AB5"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t>{0185;0010}</w:t>
            </w:r>
          </w:p>
          <w:p w14:paraId="122DCB6F" w14:textId="77777777" w:rsidR="00CB48CC" w:rsidRPr="00500637"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01E22C55" w14:textId="6F2775AA" w:rsidR="00CB48CC" w:rsidRPr="00500637" w:rsidRDefault="00CB48CC" w:rsidP="000B66BC">
            <w:pPr>
              <w:pStyle w:val="BodyText1"/>
              <w:spacing w:after="240" w:line="240" w:lineRule="auto"/>
              <w:rPr>
                <w:rFonts w:ascii="Times New Roman" w:hAnsi="Times New Roman"/>
                <w:b/>
                <w:bCs/>
                <w:color w:val="auto"/>
                <w:sz w:val="24"/>
                <w:szCs w:val="24"/>
              </w:rPr>
            </w:pPr>
            <w:r w:rsidRPr="00500637">
              <w:rPr>
                <w:rFonts w:ascii="Times New Roman" w:hAnsi="Times New Roman"/>
                <w:b/>
                <w:color w:val="auto"/>
                <w:sz w:val="24"/>
              </w:rPr>
              <w:t xml:space="preserve">Marktübliche Käufe und zur Abrechnung anstehende Verkäufe: Zum Handelstag angesetzter Buchwert </w:t>
            </w:r>
          </w:p>
          <w:p w14:paraId="4C694246" w14:textId="0854703B" w:rsidR="00CB48CC" w:rsidRPr="00500637" w:rsidRDefault="00995F8D" w:rsidP="000B66BC">
            <w:pPr>
              <w:pStyle w:val="BodyText1"/>
              <w:spacing w:after="240" w:line="240" w:lineRule="auto"/>
              <w:rPr>
                <w:rFonts w:ascii="Times New Roman" w:hAnsi="Times New Roman"/>
                <w:b/>
                <w:bCs/>
                <w:color w:val="auto"/>
                <w:sz w:val="24"/>
                <w:szCs w:val="24"/>
              </w:rPr>
            </w:pPr>
            <w:r w:rsidRPr="00500637">
              <w:rPr>
                <w:rFonts w:ascii="Times New Roman" w:hAnsi="Times New Roman"/>
                <w:sz w:val="24"/>
              </w:rPr>
              <w:t>Artikel 429g Absatz 1 der Verordnung (EU) Nr. 575/2013</w:t>
            </w:r>
          </w:p>
          <w:p w14:paraId="7D206739" w14:textId="0B1BCEAC" w:rsidR="00272017" w:rsidRPr="00500637" w:rsidRDefault="00272017" w:rsidP="000B66BC">
            <w:pPr>
              <w:pStyle w:val="BodyText1"/>
              <w:spacing w:after="240" w:line="240" w:lineRule="auto"/>
              <w:rPr>
                <w:rFonts w:ascii="Times New Roman" w:hAnsi="Times New Roman"/>
                <w:bCs/>
                <w:color w:val="auto"/>
                <w:sz w:val="24"/>
                <w:szCs w:val="24"/>
              </w:rPr>
            </w:pPr>
            <w:r w:rsidRPr="00500637">
              <w:rPr>
                <w:rFonts w:ascii="Times New Roman" w:hAnsi="Times New Roman"/>
                <w:color w:val="auto"/>
                <w:sz w:val="24"/>
              </w:rPr>
              <w:t>Die Summe aus:</w:t>
            </w:r>
          </w:p>
          <w:p w14:paraId="5F24E6D9" w14:textId="18634CD3" w:rsidR="00995F8D" w:rsidRPr="00500637" w:rsidRDefault="00995F8D" w:rsidP="00AF4551">
            <w:pPr>
              <w:pStyle w:val="BodyText1"/>
              <w:numPr>
                <w:ilvl w:val="0"/>
                <w:numId w:val="30"/>
              </w:numPr>
              <w:spacing w:after="240"/>
              <w:rPr>
                <w:rFonts w:ascii="Times New Roman" w:hAnsi="Times New Roman"/>
                <w:bCs/>
                <w:color w:val="auto"/>
                <w:sz w:val="24"/>
                <w:szCs w:val="24"/>
              </w:rPr>
            </w:pPr>
            <w:r w:rsidRPr="00500637">
              <w:rPr>
                <w:rFonts w:ascii="Times New Roman" w:hAnsi="Times New Roman"/>
                <w:color w:val="auto"/>
                <w:sz w:val="24"/>
              </w:rPr>
              <w:t xml:space="preserve">dem Betrag der Barmittel im Zusammenhang mit marktüblichen Käufen, die bis zum Erfüllungstag als Vermögenswerte in der Bilanz </w:t>
            </w:r>
            <w:r w:rsidRPr="00500637">
              <w:rPr>
                <w:rFonts w:ascii="Times New Roman" w:hAnsi="Times New Roman"/>
                <w:color w:val="auto"/>
                <w:sz w:val="24"/>
              </w:rPr>
              <w:lastRenderedPageBreak/>
              <w:t>verbleiben, gemäß Artikel 429 Absatz 4 Buchstabe a der Verordnung (EU) Nr. 575/2013;</w:t>
            </w:r>
          </w:p>
          <w:p w14:paraId="72B0EC2C" w14:textId="3486F47F" w:rsidR="00995F8D" w:rsidRPr="00500637" w:rsidRDefault="00272017" w:rsidP="00AF4551">
            <w:pPr>
              <w:pStyle w:val="BodyText1"/>
              <w:numPr>
                <w:ilvl w:val="0"/>
                <w:numId w:val="30"/>
              </w:numPr>
              <w:spacing w:after="240"/>
              <w:rPr>
                <w:rFonts w:ascii="Times New Roman" w:hAnsi="Times New Roman"/>
                <w:bCs/>
                <w:color w:val="auto"/>
                <w:sz w:val="24"/>
                <w:szCs w:val="24"/>
              </w:rPr>
            </w:pPr>
            <w:r w:rsidRPr="00500637">
              <w:rPr>
                <w:rFonts w:ascii="Times New Roman" w:hAnsi="Times New Roman"/>
                <w:color w:val="auto"/>
                <w:sz w:val="24"/>
              </w:rPr>
              <w:t>den Barforderungen im Zusammenhang mit marktüblichen Verkäufen, die bis zum Erfüllungstag als Vermögenswerte in der Bilanz verbleiben, gemäß Artikel 429 Absatz 4 Buchstabe a der Verordnung (EU) Nr. 575/2013. Es handelt sich um den Betrag nach dem Effekt der Aufrechnung zwischen Barforderungen für zur Abrechnung anstehende marktübliche Verkäufe und Barverbindlichkeiten für zur Abrechnung anstehende marktübliche Käufe, nach Maßgabe des geltenden Rechnungslegungsrahmens.</w:t>
            </w:r>
          </w:p>
          <w:p w14:paraId="5C35FB48" w14:textId="21B2EF08" w:rsidR="00CB48CC" w:rsidRPr="00500637" w:rsidRDefault="00272017" w:rsidP="000B66BC">
            <w:pPr>
              <w:pStyle w:val="BodyText1"/>
              <w:spacing w:after="240" w:line="240" w:lineRule="auto"/>
              <w:rPr>
                <w:rFonts w:ascii="Times New Roman" w:hAnsi="Times New Roman"/>
                <w:b/>
                <w:bCs/>
                <w:color w:val="auto"/>
                <w:sz w:val="24"/>
                <w:szCs w:val="24"/>
              </w:rPr>
            </w:pPr>
            <w:r w:rsidRPr="00500637">
              <w:rPr>
                <w:rFonts w:ascii="Times New Roman" w:hAnsi="Times New Roman"/>
                <w:color w:val="auto"/>
                <w:sz w:val="24"/>
              </w:rPr>
              <w:t>Institute, die zum Handelstag bilanzieren, melden die vorstehende Summe in diesem Feld und nicht in Zeile 0190 „Sonstige Aktiva“, wenngleich sie die Wertpapiere im Zusammenhang mit marktüblichen Käufen in Zeile 0190 melden.</w:t>
            </w:r>
          </w:p>
        </w:tc>
      </w:tr>
      <w:tr w:rsidR="00CB48CC" w:rsidRPr="00500637" w14:paraId="5102550B" w14:textId="77777777" w:rsidTr="008979D2">
        <w:trPr>
          <w:trHeight w:val="304"/>
        </w:trPr>
        <w:tc>
          <w:tcPr>
            <w:tcW w:w="1555" w:type="dxa"/>
            <w:tcBorders>
              <w:bottom w:val="single" w:sz="4" w:space="0" w:color="auto"/>
            </w:tcBorders>
          </w:tcPr>
          <w:p w14:paraId="7F15FF7B" w14:textId="4280A8CB"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lastRenderedPageBreak/>
              <w:t>{0186;0010}</w:t>
            </w:r>
          </w:p>
          <w:p w14:paraId="09F7091F" w14:textId="77777777" w:rsidR="00CB48CC" w:rsidRPr="00500637"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25B26A" w14:textId="37531743" w:rsidR="00CB48CC" w:rsidRPr="00500637" w:rsidRDefault="00CB48CC" w:rsidP="000B66BC">
            <w:pPr>
              <w:pStyle w:val="BodyText1"/>
              <w:spacing w:after="240" w:line="240" w:lineRule="auto"/>
              <w:rPr>
                <w:rFonts w:ascii="Times New Roman" w:hAnsi="Times New Roman"/>
                <w:b/>
                <w:bCs/>
                <w:color w:val="auto"/>
                <w:sz w:val="24"/>
                <w:szCs w:val="24"/>
              </w:rPr>
            </w:pPr>
            <w:r w:rsidRPr="00500637">
              <w:rPr>
                <w:rFonts w:ascii="Times New Roman" w:hAnsi="Times New Roman"/>
                <w:b/>
                <w:color w:val="auto"/>
                <w:sz w:val="24"/>
              </w:rPr>
              <w:t>Marktübliche zur Abrechnung anstehende Verkäufe: Die Aufrechnung der Rechnungslegung bei Bilanzierung zum Handelstag rückgängig machen</w:t>
            </w:r>
          </w:p>
          <w:p w14:paraId="20327055" w14:textId="385E8EAB" w:rsidR="00CB48CC" w:rsidRPr="00500637" w:rsidRDefault="00995F8D" w:rsidP="000B66BC">
            <w:pPr>
              <w:pStyle w:val="BodyText1"/>
              <w:spacing w:after="240" w:line="240" w:lineRule="auto"/>
              <w:rPr>
                <w:rFonts w:ascii="Times New Roman" w:hAnsi="Times New Roman"/>
                <w:b/>
                <w:bCs/>
                <w:color w:val="auto"/>
                <w:sz w:val="24"/>
                <w:szCs w:val="24"/>
              </w:rPr>
            </w:pPr>
            <w:r w:rsidRPr="00500637">
              <w:rPr>
                <w:rFonts w:ascii="Times New Roman" w:hAnsi="Times New Roman"/>
                <w:sz w:val="24"/>
              </w:rPr>
              <w:t>Artikel 429g Absatz 2 der Verordnung (EU) Nr. 575/2013</w:t>
            </w:r>
          </w:p>
          <w:p w14:paraId="4A0C32B6" w14:textId="15F13BC7" w:rsidR="002B0AAC" w:rsidRPr="00500637" w:rsidRDefault="00995F8D" w:rsidP="000B66BC">
            <w:pPr>
              <w:pStyle w:val="BodyText1"/>
              <w:spacing w:after="240" w:line="240" w:lineRule="auto"/>
              <w:rPr>
                <w:rFonts w:ascii="Times New Roman" w:hAnsi="Times New Roman"/>
                <w:b/>
                <w:bCs/>
                <w:color w:val="auto"/>
                <w:sz w:val="24"/>
                <w:szCs w:val="24"/>
              </w:rPr>
            </w:pPr>
            <w:r w:rsidRPr="00500637">
              <w:rPr>
                <w:rFonts w:ascii="Times New Roman" w:hAnsi="Times New Roman"/>
                <w:color w:val="auto"/>
                <w:sz w:val="24"/>
              </w:rPr>
              <w:t>Zwischen Barforderungen für zur Abrechnung anstehende marktübliche Verkäufe und Barverbindlichkeiten für zur Abrechnung anstehende marktübliche Käufe aufgerechneter Betrag nach Maßgabe des Rechnungslegungsrahmens.</w:t>
            </w:r>
          </w:p>
        </w:tc>
      </w:tr>
      <w:tr w:rsidR="00195426" w:rsidRPr="00500637" w14:paraId="78EEA43B" w14:textId="77777777" w:rsidTr="008979D2">
        <w:trPr>
          <w:trHeight w:val="304"/>
        </w:trPr>
        <w:tc>
          <w:tcPr>
            <w:tcW w:w="1555" w:type="dxa"/>
            <w:tcBorders>
              <w:bottom w:val="single" w:sz="4" w:space="0" w:color="auto"/>
            </w:tcBorders>
          </w:tcPr>
          <w:p w14:paraId="61857A89" w14:textId="623EBF8F" w:rsidR="00195426" w:rsidRPr="00500637" w:rsidRDefault="00195426" w:rsidP="000B66BC">
            <w:pPr>
              <w:pStyle w:val="BodyText1"/>
              <w:spacing w:after="240"/>
              <w:rPr>
                <w:rFonts w:ascii="Times New Roman" w:hAnsi="Times New Roman"/>
                <w:bCs/>
                <w:sz w:val="24"/>
                <w:szCs w:val="24"/>
              </w:rPr>
            </w:pPr>
            <w:r w:rsidRPr="00500637">
              <w:rPr>
                <w:rFonts w:ascii="Times New Roman" w:hAnsi="Times New Roman"/>
                <w:sz w:val="24"/>
              </w:rPr>
              <w:t>{0187;0010}</w:t>
            </w:r>
          </w:p>
          <w:p w14:paraId="58BAB70E" w14:textId="77777777" w:rsidR="00195426" w:rsidRPr="00500637" w:rsidRDefault="00195426"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510C554" w14:textId="68E20342" w:rsidR="00195426" w:rsidRPr="00500637" w:rsidRDefault="00195426" w:rsidP="000B66BC">
            <w:pPr>
              <w:pStyle w:val="BodyText1"/>
              <w:spacing w:after="240" w:line="240" w:lineRule="auto"/>
              <w:rPr>
                <w:rFonts w:ascii="Times New Roman" w:hAnsi="Times New Roman"/>
                <w:bCs/>
                <w:sz w:val="24"/>
                <w:szCs w:val="24"/>
              </w:rPr>
            </w:pPr>
            <w:r w:rsidRPr="00500637">
              <w:rPr>
                <w:rFonts w:ascii="Times New Roman" w:hAnsi="Times New Roman"/>
                <w:b/>
                <w:color w:val="auto"/>
                <w:sz w:val="24"/>
              </w:rPr>
              <w:t>(-) Marktübliche zur Abrechnung anstehende Verkäufe: Aufrechnung nach Artikel 429g Absatz 2 CRR</w:t>
            </w:r>
          </w:p>
          <w:p w14:paraId="416B6808" w14:textId="30634B7B" w:rsidR="00195426" w:rsidRPr="00500637" w:rsidRDefault="00195426" w:rsidP="000B66BC">
            <w:pPr>
              <w:pStyle w:val="BodyText1"/>
              <w:spacing w:after="240" w:line="240" w:lineRule="auto"/>
              <w:rPr>
                <w:rFonts w:ascii="Times New Roman" w:hAnsi="Times New Roman"/>
                <w:color w:val="auto"/>
                <w:sz w:val="24"/>
                <w:szCs w:val="24"/>
              </w:rPr>
            </w:pPr>
            <w:r w:rsidRPr="00500637">
              <w:rPr>
                <w:rFonts w:ascii="Times New Roman" w:hAnsi="Times New Roman"/>
                <w:sz w:val="24"/>
              </w:rPr>
              <w:t>Artikel 429g Absatz 2 der Verordnung (EU) Nr. 575/2013</w:t>
            </w:r>
          </w:p>
          <w:p w14:paraId="057F1FAB" w14:textId="6C538100" w:rsidR="00195426" w:rsidRPr="00500637" w:rsidRDefault="00195426" w:rsidP="000B66BC">
            <w:pPr>
              <w:pStyle w:val="BodyText1"/>
              <w:spacing w:after="240"/>
              <w:rPr>
                <w:rFonts w:ascii="Times New Roman" w:hAnsi="Times New Roman"/>
                <w:b/>
                <w:bCs/>
                <w:color w:val="auto"/>
                <w:sz w:val="24"/>
                <w:szCs w:val="24"/>
              </w:rPr>
            </w:pPr>
            <w:r w:rsidRPr="00500637">
              <w:rPr>
                <w:rFonts w:ascii="Times New Roman" w:hAnsi="Times New Roman"/>
                <w:color w:val="auto"/>
                <w:sz w:val="24"/>
              </w:rPr>
              <w:t>Der Betrag, der sich aus der Aufrechnung zwischen jenen Barforderungen und Barverbindlichkeiten ergibt, bei denen sowohl die zugehörigen marktüblichen Verkäufe als auch Käufe nach Artikel 429g Absatz 2 der Verordnung (EU) Nr. 575/2013 nach dem Grundsatz „Lieferung gegen Zahlung“ abgewickelt werden.</w:t>
            </w:r>
          </w:p>
        </w:tc>
      </w:tr>
      <w:tr w:rsidR="00CB48CC" w:rsidRPr="00500637" w14:paraId="664DB6ED" w14:textId="77777777" w:rsidTr="008979D2">
        <w:trPr>
          <w:trHeight w:val="304"/>
        </w:trPr>
        <w:tc>
          <w:tcPr>
            <w:tcW w:w="1555" w:type="dxa"/>
            <w:tcBorders>
              <w:bottom w:val="single" w:sz="4" w:space="0" w:color="auto"/>
            </w:tcBorders>
          </w:tcPr>
          <w:p w14:paraId="761F65B7" w14:textId="0803C63C"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t>{0188;0010}</w:t>
            </w:r>
          </w:p>
          <w:p w14:paraId="2D8E081B" w14:textId="77777777" w:rsidR="00CB48CC" w:rsidRPr="00500637"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CD9B991" w14:textId="1F5C665A" w:rsidR="00CB48CC" w:rsidRPr="00500637" w:rsidRDefault="00CB48CC" w:rsidP="000B66BC">
            <w:pPr>
              <w:pStyle w:val="BodyText1"/>
              <w:spacing w:after="240" w:line="240" w:lineRule="auto"/>
              <w:rPr>
                <w:rFonts w:ascii="Times New Roman" w:hAnsi="Times New Roman"/>
                <w:b/>
                <w:bCs/>
                <w:color w:val="auto"/>
                <w:sz w:val="24"/>
                <w:szCs w:val="24"/>
              </w:rPr>
            </w:pPr>
            <w:r w:rsidRPr="00500637">
              <w:rPr>
                <w:rFonts w:ascii="Times New Roman" w:hAnsi="Times New Roman"/>
                <w:b/>
                <w:color w:val="auto"/>
                <w:sz w:val="24"/>
              </w:rPr>
              <w:t xml:space="preserve">Marktübliche zur Abrechnung anstehende Käufe: Vollständige Berücksichtigung der Zahlungszusagen bei Bilanzierung zum Erfüllungstag </w:t>
            </w:r>
          </w:p>
          <w:p w14:paraId="0305F981" w14:textId="4F83E6AC" w:rsidR="00CB48CC" w:rsidRPr="00500637" w:rsidRDefault="00195426" w:rsidP="000B66BC">
            <w:pPr>
              <w:pStyle w:val="BodyText1"/>
              <w:spacing w:after="240" w:line="240" w:lineRule="auto"/>
              <w:rPr>
                <w:rFonts w:ascii="Times New Roman" w:hAnsi="Times New Roman"/>
                <w:b/>
                <w:bCs/>
                <w:color w:val="auto"/>
                <w:sz w:val="24"/>
                <w:szCs w:val="24"/>
              </w:rPr>
            </w:pPr>
            <w:r w:rsidRPr="00500637">
              <w:rPr>
                <w:rFonts w:ascii="Times New Roman" w:hAnsi="Times New Roman"/>
                <w:sz w:val="24"/>
              </w:rPr>
              <w:t>Artikel 429g Absatz 3 der Verordnung (EU) Nr. 575/2013</w:t>
            </w:r>
          </w:p>
          <w:p w14:paraId="17418655" w14:textId="77777777" w:rsidR="00CB48CC" w:rsidRPr="00500637" w:rsidRDefault="00CB48CC" w:rsidP="000B66BC">
            <w:pPr>
              <w:pStyle w:val="BodyText1"/>
              <w:spacing w:after="240"/>
              <w:rPr>
                <w:rFonts w:ascii="Times New Roman" w:hAnsi="Times New Roman"/>
                <w:bCs/>
                <w:color w:val="auto"/>
                <w:sz w:val="24"/>
                <w:szCs w:val="24"/>
              </w:rPr>
            </w:pPr>
            <w:r w:rsidRPr="00500637">
              <w:rPr>
                <w:rFonts w:ascii="Times New Roman" w:hAnsi="Times New Roman"/>
                <w:color w:val="auto"/>
                <w:sz w:val="24"/>
              </w:rPr>
              <w:t xml:space="preserve">Der volle Nennwert der mit den marktüblichen Käufen verbundenen Zahlungszusagen, für Institute, die im Einklang mit dem geltenden </w:t>
            </w:r>
            <w:r w:rsidRPr="00500637">
              <w:rPr>
                <w:rFonts w:ascii="Times New Roman" w:hAnsi="Times New Roman"/>
                <w:color w:val="auto"/>
                <w:sz w:val="24"/>
              </w:rPr>
              <w:lastRenderedPageBreak/>
              <w:t>Rechnungslegungsrahmen marktübliche Käufe und Verkäufe zum Erfüllungstag ansetzen.</w:t>
            </w:r>
          </w:p>
          <w:p w14:paraId="59B3EB10" w14:textId="3BF06932" w:rsidR="00CB48CC" w:rsidRPr="00500637" w:rsidRDefault="003718C7" w:rsidP="000B66BC">
            <w:pPr>
              <w:pStyle w:val="BodyText1"/>
              <w:spacing w:after="240"/>
              <w:rPr>
                <w:rFonts w:ascii="Times New Roman" w:hAnsi="Times New Roman"/>
                <w:b/>
                <w:bCs/>
                <w:color w:val="auto"/>
                <w:sz w:val="24"/>
                <w:szCs w:val="24"/>
              </w:rPr>
            </w:pPr>
            <w:r w:rsidRPr="00500637">
              <w:rPr>
                <w:rFonts w:ascii="Times New Roman" w:hAnsi="Times New Roman"/>
                <w:color w:val="auto"/>
                <w:sz w:val="24"/>
              </w:rPr>
              <w:t>Wertpapiere im Zusammenhang mit marktüblichen Verkäufen werden in Zeile 0190 „Sonstige Aktiva“ ausgewiesen.</w:t>
            </w:r>
          </w:p>
        </w:tc>
      </w:tr>
      <w:tr w:rsidR="00CB48CC" w:rsidRPr="00500637" w14:paraId="061A339C" w14:textId="77777777" w:rsidTr="008979D2">
        <w:trPr>
          <w:trHeight w:val="304"/>
        </w:trPr>
        <w:tc>
          <w:tcPr>
            <w:tcW w:w="1555" w:type="dxa"/>
            <w:tcBorders>
              <w:bottom w:val="single" w:sz="4" w:space="0" w:color="auto"/>
            </w:tcBorders>
          </w:tcPr>
          <w:p w14:paraId="4E6F9470" w14:textId="411DE5F9" w:rsidR="00974BCC" w:rsidRPr="00500637" w:rsidRDefault="00974BCC" w:rsidP="000B66BC">
            <w:pPr>
              <w:pStyle w:val="BodyText1"/>
              <w:spacing w:after="240"/>
              <w:rPr>
                <w:rFonts w:ascii="Times New Roman" w:hAnsi="Times New Roman"/>
                <w:bCs/>
                <w:sz w:val="24"/>
                <w:szCs w:val="24"/>
              </w:rPr>
            </w:pPr>
            <w:r w:rsidRPr="00500637">
              <w:rPr>
                <w:rFonts w:ascii="Times New Roman" w:hAnsi="Times New Roman"/>
                <w:sz w:val="24"/>
              </w:rPr>
              <w:lastRenderedPageBreak/>
              <w:t>{0189;0010}</w:t>
            </w:r>
          </w:p>
          <w:p w14:paraId="299E6D92" w14:textId="77777777" w:rsidR="00CB48CC" w:rsidRPr="00500637"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DDE4E8F" w14:textId="1D6A15E3" w:rsidR="00974BCC" w:rsidRPr="00500637" w:rsidRDefault="00974BCC"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 Marktübliche zur Abrechnung anstehende Käufe: Aufrechnung mit Zahlungszusagen bei Bilanzierung zum Erfüllungstag nach Artikel 429g Absatz 3 CRR</w:t>
            </w:r>
          </w:p>
          <w:p w14:paraId="0155689A" w14:textId="09D66768" w:rsidR="0049459B" w:rsidRPr="00500637" w:rsidRDefault="0049459B" w:rsidP="000B66BC">
            <w:pPr>
              <w:pStyle w:val="BodyText1"/>
              <w:spacing w:after="240" w:line="240" w:lineRule="auto"/>
              <w:rPr>
                <w:rFonts w:ascii="Times New Roman" w:hAnsi="Times New Roman"/>
                <w:b/>
                <w:bCs/>
                <w:sz w:val="24"/>
                <w:szCs w:val="24"/>
              </w:rPr>
            </w:pPr>
            <w:r w:rsidRPr="00500637">
              <w:rPr>
                <w:rFonts w:ascii="Times New Roman" w:hAnsi="Times New Roman"/>
                <w:sz w:val="24"/>
              </w:rPr>
              <w:t>Artikel 429g Absatz 3 der Verordnung (EU) Nr. 575/2013</w:t>
            </w:r>
          </w:p>
          <w:p w14:paraId="795D29D1" w14:textId="0149AE44" w:rsidR="0049459B" w:rsidRPr="00500637" w:rsidRDefault="00DC3476" w:rsidP="000B66BC">
            <w:pPr>
              <w:pStyle w:val="BodyText1"/>
              <w:spacing w:after="240"/>
              <w:rPr>
                <w:rFonts w:ascii="Times New Roman" w:hAnsi="Times New Roman"/>
                <w:bCs/>
                <w:sz w:val="24"/>
                <w:szCs w:val="24"/>
              </w:rPr>
            </w:pPr>
            <w:r w:rsidRPr="00500637">
              <w:rPr>
                <w:rFonts w:ascii="Times New Roman" w:hAnsi="Times New Roman"/>
                <w:sz w:val="24"/>
              </w:rPr>
              <w:t>Der Teil des in Zeile 0188 ausgewiesenen Betrags, aufgerechnet mit dem vollen Nennwert der mit den zur Abrechnung anstehenden marktüblichen Verkäufen verbundenen Barforderungen nach Artikel 429g Absatz 3 der Verordnung (EU) Nr. 575/2013.</w:t>
            </w:r>
          </w:p>
        </w:tc>
      </w:tr>
      <w:tr w:rsidR="00CB48CC" w:rsidRPr="00500637" w14:paraId="7F056AC7" w14:textId="77777777" w:rsidTr="008979D2">
        <w:trPr>
          <w:trHeight w:val="304"/>
        </w:trPr>
        <w:tc>
          <w:tcPr>
            <w:tcW w:w="1555" w:type="dxa"/>
            <w:tcBorders>
              <w:bottom w:val="single" w:sz="4" w:space="0" w:color="auto"/>
            </w:tcBorders>
          </w:tcPr>
          <w:p w14:paraId="363AA4BD" w14:textId="49D24DA5"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t>{0190;0010}</w:t>
            </w:r>
          </w:p>
          <w:p w14:paraId="02CEC1ED" w14:textId="77777777" w:rsidR="00CB48CC" w:rsidRPr="00500637"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0F25DB7" w14:textId="77777777"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b/>
                <w:sz w:val="24"/>
              </w:rPr>
              <w:t xml:space="preserve">Sonstige Vermögenswerte </w:t>
            </w:r>
          </w:p>
          <w:p w14:paraId="6BF56BA7" w14:textId="02AF2400" w:rsidR="00CB48CC" w:rsidRPr="00500637" w:rsidRDefault="0097168A"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 Absatz 4 Buchstabe a der Verordnung (EU) Nr. 575/2013</w:t>
            </w:r>
          </w:p>
          <w:p w14:paraId="412FDEE7" w14:textId="71A56B82"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Alle Aktiva, ausgenommen der in Anhang II der Verordnung (EU) Nr. 575/2013 genannten Derivatkontrakte, Kreditderivate, SFTs (zu den in diesen Feldern zu meldenden sonstigen Aktiva zählen Forderungen für in bar geleistete Nachschüsse, wenn sie im geltenden Rechnungslegungsrahmen erfasst werden, liquide Aktiva im Sinne der Mindestliquiditätsquote (Liquidity Coverage Ratio) sowie fehlgeschlagene und noch nicht abgewickelte Geschäfte). Die Institute haben die Bewertung nach den in Artikel 429b Absatz 1 und Artikel 429 Absatz 7 der Verordnung (EU) Nr. 575/2013 dargestellten Grundsätzen vorzunehmen.</w:t>
            </w:r>
          </w:p>
          <w:p w14:paraId="1C53A1E2" w14:textId="69743091" w:rsidR="00BA46B1"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In diesem Feld weisen die Institute entgegengenommene Barmittel oder Sicherheiten aus, die einer Gegenpartei über SFTs zur Verfügung gestellt werden und die weiter in der Bilanz geführt werden (d. h. bei denen die Ausbuchungskriterien nicht erfüllt sind). Darüber hinaus erfassen die Institute hier vom harten Kernkapital abgezogene Posten sowie Posten des zusätzlichen Kernkapitals (z. B. immaterielle Vermögenswerte, latente Steueransprüche usw.).</w:t>
            </w:r>
          </w:p>
          <w:p w14:paraId="0030E8E6" w14:textId="29782359"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Bei der Berechnung dieser Zeile wird der in Zeile {0191;0010} ausgewiesene Betrag nicht als Verringerung berücksichtigt.</w:t>
            </w:r>
          </w:p>
          <w:p w14:paraId="52C58829" w14:textId="00F0E873" w:rsidR="00CB48CC" w:rsidRPr="00500637" w:rsidRDefault="00CB48CC" w:rsidP="000B66BC">
            <w:pPr>
              <w:pStyle w:val="BodyText1"/>
              <w:spacing w:after="240"/>
              <w:rPr>
                <w:rFonts w:ascii="Times New Roman" w:hAnsi="Times New Roman"/>
                <w:bCs/>
                <w:sz w:val="24"/>
                <w:szCs w:val="24"/>
                <w:u w:val="single"/>
              </w:rPr>
            </w:pPr>
            <w:r w:rsidRPr="00500637">
              <w:rPr>
                <w:rFonts w:ascii="Times New Roman" w:hAnsi="Times New Roman"/>
                <w:sz w:val="24"/>
              </w:rPr>
              <w:t>Liquiditätsbündelungsvereinbarungen werden in den Zeilen {0193;0010}, {0194;0010}, {0195;0010}, {0196;0010}, {0197;0010} und {0198;0010} ausgewiesen, nicht an dieser Stelle.</w:t>
            </w:r>
          </w:p>
        </w:tc>
      </w:tr>
    </w:tbl>
    <w:p w14:paraId="6BC305BC" w14:textId="77777777" w:rsidR="00500637" w:rsidRDefault="00500637">
      <w:r>
        <w:br w:type="page"/>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7566"/>
      </w:tblGrid>
      <w:tr w:rsidR="00CB48CC" w:rsidRPr="00500637" w14:paraId="5EC00608" w14:textId="77777777" w:rsidTr="008979D2">
        <w:trPr>
          <w:trHeight w:val="304"/>
        </w:trPr>
        <w:tc>
          <w:tcPr>
            <w:tcW w:w="1555" w:type="dxa"/>
            <w:tcBorders>
              <w:bottom w:val="single" w:sz="4" w:space="0" w:color="auto"/>
            </w:tcBorders>
          </w:tcPr>
          <w:p w14:paraId="0DDE44FD" w14:textId="6A34197F"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lastRenderedPageBreak/>
              <w:t>{0191;0010}</w:t>
            </w:r>
          </w:p>
          <w:p w14:paraId="23095895" w14:textId="77777777" w:rsidR="00CB48CC" w:rsidRPr="00500637"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8980839" w14:textId="77777777" w:rsidR="00CB48CC" w:rsidRPr="00500637" w:rsidRDefault="00CB48CC"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 xml:space="preserve">(-) Allgemeine Kreditrisikoanpassungen an bilanzielle Posten </w:t>
            </w:r>
          </w:p>
          <w:p w14:paraId="1CDF58F3" w14:textId="721A5106" w:rsidR="00CB48CC" w:rsidRPr="00500637" w:rsidRDefault="00CB48CC" w:rsidP="000B66BC">
            <w:pPr>
              <w:pStyle w:val="BodyText1"/>
              <w:spacing w:after="240" w:line="240" w:lineRule="auto"/>
              <w:rPr>
                <w:rFonts w:ascii="Times New Roman" w:hAnsi="Times New Roman"/>
                <w:color w:val="auto"/>
                <w:sz w:val="24"/>
                <w:szCs w:val="24"/>
              </w:rPr>
            </w:pPr>
            <w:r w:rsidRPr="00500637">
              <w:rPr>
                <w:rFonts w:ascii="Times New Roman" w:hAnsi="Times New Roman"/>
                <w:sz w:val="24"/>
              </w:rPr>
              <w:t>Artikel 429 Absatz 4 der Verordnung (EU) Nr. 575/2013</w:t>
            </w:r>
          </w:p>
          <w:p w14:paraId="7E1379BD" w14:textId="271041A2" w:rsidR="00CB48CC" w:rsidRPr="00500637" w:rsidRDefault="00CB48CC" w:rsidP="000B66BC">
            <w:pPr>
              <w:pStyle w:val="BodyText1"/>
              <w:spacing w:after="240" w:line="240" w:lineRule="auto"/>
              <w:rPr>
                <w:rFonts w:ascii="Times New Roman" w:hAnsi="Times New Roman"/>
                <w:color w:val="auto"/>
                <w:sz w:val="24"/>
                <w:szCs w:val="24"/>
                <w:highlight w:val="cyan"/>
              </w:rPr>
            </w:pPr>
            <w:r w:rsidRPr="00500637">
              <w:rPr>
                <w:rFonts w:ascii="Times New Roman" w:hAnsi="Times New Roman"/>
                <w:sz w:val="24"/>
              </w:rPr>
              <w:t>Der Betrag der allgemeinen Kreditrisikoanpassungen, die bilanzielle Posten nach Artikel 429 Absatz 4 Buchstabe a der Verordnung (EU) Nr. 575/2013 betreffen, den die Institute im Einklang mit dem letzten Absatz von Artikel 429 Absatz 4 der Verordnung (EU) Nr. 575/2013 in Abzug bringen.</w:t>
            </w:r>
          </w:p>
          <w:p w14:paraId="58EB87A7" w14:textId="35B2ADBB" w:rsidR="00CB48CC" w:rsidRPr="00500637" w:rsidRDefault="00CB48CC" w:rsidP="000B66BC">
            <w:pPr>
              <w:pStyle w:val="BodyText1"/>
              <w:spacing w:after="240" w:line="240" w:lineRule="auto"/>
              <w:rPr>
                <w:rFonts w:ascii="Times New Roman" w:hAnsi="Times New Roman"/>
                <w:color w:val="auto"/>
                <w:sz w:val="24"/>
                <w:szCs w:val="24"/>
              </w:rPr>
            </w:pPr>
            <w:r w:rsidRPr="00500637">
              <w:rPr>
                <w:rFonts w:ascii="Times New Roman" w:hAnsi="Times New Roman"/>
                <w:sz w:val="24"/>
              </w:rPr>
              <w:t>Bei der Berechnung der in den Zeilen {0190;0010} ausgewiesenen sonstigen Aktiva wird der ausgewiesene Betrag nicht als Verringerung berücksichtigt.</w:t>
            </w:r>
          </w:p>
        </w:tc>
      </w:tr>
      <w:tr w:rsidR="006E0322" w:rsidRPr="00500637" w14:paraId="2DB04EEA" w14:textId="77777777" w:rsidTr="008979D2">
        <w:trPr>
          <w:trHeight w:val="304"/>
        </w:trPr>
        <w:tc>
          <w:tcPr>
            <w:tcW w:w="1555" w:type="dxa"/>
            <w:tcBorders>
              <w:bottom w:val="single" w:sz="4" w:space="0" w:color="auto"/>
            </w:tcBorders>
          </w:tcPr>
          <w:p w14:paraId="07B43E1F" w14:textId="12AF740D" w:rsidR="006E0322" w:rsidRPr="00500637" w:rsidRDefault="006E0322" w:rsidP="000B66BC">
            <w:pPr>
              <w:pStyle w:val="BodyText1"/>
              <w:spacing w:after="240"/>
              <w:rPr>
                <w:rFonts w:ascii="Times New Roman" w:hAnsi="Times New Roman"/>
                <w:bCs/>
                <w:sz w:val="24"/>
                <w:szCs w:val="24"/>
              </w:rPr>
            </w:pPr>
            <w:r w:rsidRPr="00500637">
              <w:rPr>
                <w:rFonts w:ascii="Times New Roman" w:hAnsi="Times New Roman"/>
                <w:sz w:val="24"/>
              </w:rPr>
              <w:t>{0193;0010}</w:t>
            </w:r>
          </w:p>
          <w:p w14:paraId="28BFDD3E" w14:textId="77777777" w:rsidR="006E0322" w:rsidRPr="00500637" w:rsidRDefault="006E0322"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3974CEB" w14:textId="77777777" w:rsidR="00103B23" w:rsidRPr="00500637" w:rsidRDefault="00103B23"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Liquiditätsbündelungsvereinbarungen, die nicht aufsichtsrechtlich saldiert werden können: Wert im Rechnungslegungsrahmen</w:t>
            </w:r>
          </w:p>
          <w:p w14:paraId="01265E9F" w14:textId="22BFBC85" w:rsidR="00103B23" w:rsidRPr="00500637" w:rsidRDefault="009F6A59" w:rsidP="000B66BC">
            <w:pPr>
              <w:pStyle w:val="BodyText1"/>
              <w:spacing w:after="240" w:line="240" w:lineRule="auto"/>
              <w:rPr>
                <w:rFonts w:ascii="Times New Roman" w:hAnsi="Times New Roman"/>
                <w:color w:val="auto"/>
                <w:sz w:val="24"/>
                <w:szCs w:val="24"/>
              </w:rPr>
            </w:pPr>
            <w:r w:rsidRPr="00500637">
              <w:rPr>
                <w:rFonts w:ascii="Times New Roman" w:hAnsi="Times New Roman"/>
                <w:color w:val="auto"/>
                <w:sz w:val="24"/>
              </w:rPr>
              <w:t>Artikel 429b Absätze 2 und 3 der Verordnung (EU) Nr. 575/2013</w:t>
            </w:r>
          </w:p>
          <w:p w14:paraId="421B559D" w14:textId="30B00F23" w:rsidR="006E0322" w:rsidRPr="00500637" w:rsidRDefault="00103B23" w:rsidP="000B66BC">
            <w:pPr>
              <w:pStyle w:val="BodyText1"/>
              <w:spacing w:after="240" w:line="240" w:lineRule="auto"/>
              <w:rPr>
                <w:rFonts w:ascii="Times New Roman" w:hAnsi="Times New Roman"/>
                <w:b/>
                <w:color w:val="auto"/>
                <w:sz w:val="24"/>
                <w:szCs w:val="24"/>
              </w:rPr>
            </w:pPr>
            <w:r w:rsidRPr="00500637">
              <w:rPr>
                <w:rFonts w:ascii="Times New Roman" w:hAnsi="Times New Roman"/>
                <w:sz w:val="24"/>
              </w:rPr>
              <w:t>Der Buchwert von Liquiditätsbündelungsvereinbarungen, d. h. von Vereinbarungen, durch die die Soll- oder Habensalden verschiedener Einzelkonten für die Zwecke des Bareinlagen- oder Liquiditätsmanagements zusammengefasst werden, die nicht gemäß Artikel 429b Absätze 2 und 3 der Verordnung (EU) Nr. 575/2013 saldiert werden können.</w:t>
            </w:r>
          </w:p>
        </w:tc>
      </w:tr>
      <w:tr w:rsidR="00CB48CC" w:rsidRPr="00500637" w14:paraId="26F15125" w14:textId="77777777" w:rsidTr="008979D2">
        <w:trPr>
          <w:trHeight w:val="304"/>
        </w:trPr>
        <w:tc>
          <w:tcPr>
            <w:tcW w:w="1555" w:type="dxa"/>
            <w:tcBorders>
              <w:bottom w:val="single" w:sz="4" w:space="0" w:color="auto"/>
            </w:tcBorders>
          </w:tcPr>
          <w:p w14:paraId="5FD0298B" w14:textId="2215C91C"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t>{0194;0010}</w:t>
            </w:r>
          </w:p>
          <w:p w14:paraId="4FD69EB9" w14:textId="77777777" w:rsidR="00CB48CC" w:rsidRPr="00500637"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7940841" w14:textId="77777777" w:rsidR="00103B23" w:rsidRPr="00500637" w:rsidRDefault="00CB48CC"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Liquiditätsbündelungsvereinbarungen, die nicht aufsichtsrechtlich saldiert werden können: Effekt der Hinzurechnung der nach dem Rechnungslegungsrahmen angewandten Saldierung</w:t>
            </w:r>
          </w:p>
          <w:p w14:paraId="390CF1DE" w14:textId="6D417CDE" w:rsidR="00CB48CC" w:rsidRPr="00500637" w:rsidRDefault="00CB48CC" w:rsidP="000B66BC">
            <w:pPr>
              <w:pStyle w:val="BodyText1"/>
              <w:spacing w:after="240" w:line="240" w:lineRule="auto"/>
              <w:rPr>
                <w:rFonts w:ascii="Times New Roman" w:hAnsi="Times New Roman"/>
                <w:color w:val="auto"/>
                <w:sz w:val="24"/>
                <w:szCs w:val="24"/>
              </w:rPr>
            </w:pPr>
            <w:r w:rsidRPr="00500637">
              <w:rPr>
                <w:rFonts w:ascii="Times New Roman" w:hAnsi="Times New Roman"/>
                <w:color w:val="auto"/>
                <w:sz w:val="24"/>
              </w:rPr>
              <w:t>Artikel 429 Absatz 7 Buchstabe b und Artikel 429b Absätze 2 und 3 der Verordnung (EU) Nr. 575/2013</w:t>
            </w:r>
          </w:p>
          <w:p w14:paraId="7AC9B352" w14:textId="40BB7FB2" w:rsidR="00CB48CC" w:rsidRPr="00500637" w:rsidRDefault="00103B23" w:rsidP="000B66BC">
            <w:pPr>
              <w:pStyle w:val="BodyText1"/>
              <w:spacing w:after="240" w:line="240" w:lineRule="auto"/>
              <w:rPr>
                <w:rFonts w:ascii="Times New Roman" w:hAnsi="Times New Roman"/>
                <w:b/>
                <w:bCs/>
                <w:color w:val="auto"/>
                <w:sz w:val="24"/>
                <w:szCs w:val="24"/>
              </w:rPr>
            </w:pPr>
            <w:r w:rsidRPr="00500637">
              <w:rPr>
                <w:rFonts w:ascii="Times New Roman" w:hAnsi="Times New Roman"/>
                <w:color w:val="auto"/>
                <w:sz w:val="24"/>
              </w:rPr>
              <w:t>Der nach dem geltenden Rechnungslegungsrahmen saldierte Betrag bezüglich der Liquiditätsbündelungsvereinbarungen, die nicht aufsichtsrechtlich saldiert werden können, ausgewiesen in {0193;0010}.</w:t>
            </w:r>
          </w:p>
        </w:tc>
      </w:tr>
      <w:tr w:rsidR="00CB48CC" w:rsidRPr="00500637" w14:paraId="751549C0" w14:textId="77777777" w:rsidTr="008979D2">
        <w:trPr>
          <w:trHeight w:val="304"/>
        </w:trPr>
        <w:tc>
          <w:tcPr>
            <w:tcW w:w="1555" w:type="dxa"/>
            <w:tcBorders>
              <w:bottom w:val="single" w:sz="4" w:space="0" w:color="auto"/>
            </w:tcBorders>
          </w:tcPr>
          <w:p w14:paraId="12C2B1C4" w14:textId="60D4BAFE" w:rsidR="00974BCC" w:rsidRPr="00500637" w:rsidRDefault="00974BCC" w:rsidP="000B66BC">
            <w:pPr>
              <w:pStyle w:val="BodyText1"/>
              <w:spacing w:after="240"/>
              <w:rPr>
                <w:rFonts w:ascii="Times New Roman" w:hAnsi="Times New Roman"/>
                <w:bCs/>
                <w:sz w:val="24"/>
                <w:szCs w:val="24"/>
              </w:rPr>
            </w:pPr>
            <w:r w:rsidRPr="00500637">
              <w:rPr>
                <w:rFonts w:ascii="Times New Roman" w:hAnsi="Times New Roman"/>
                <w:sz w:val="24"/>
              </w:rPr>
              <w:t>{0195;0010}</w:t>
            </w:r>
          </w:p>
          <w:p w14:paraId="522A5DF4" w14:textId="77777777" w:rsidR="00CB48CC" w:rsidRPr="00500637"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E634ADC" w14:textId="77777777" w:rsidR="00CB48CC" w:rsidRPr="00500637" w:rsidRDefault="00CB48CC"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Liquiditätsbündelungsvereinbarungen, die aufsichtsrechtlich saldiert werden können: Wert im Rechnungslegungsrahmen</w:t>
            </w:r>
          </w:p>
          <w:p w14:paraId="444FD556" w14:textId="0460319C" w:rsidR="00CB48CC" w:rsidRPr="00500637" w:rsidRDefault="0073197F" w:rsidP="000B66BC">
            <w:pPr>
              <w:pStyle w:val="BodyText1"/>
              <w:spacing w:after="240" w:line="240" w:lineRule="auto"/>
              <w:rPr>
                <w:rFonts w:ascii="Times New Roman" w:hAnsi="Times New Roman"/>
                <w:color w:val="auto"/>
                <w:sz w:val="24"/>
                <w:szCs w:val="24"/>
              </w:rPr>
            </w:pPr>
            <w:r w:rsidRPr="00500637">
              <w:rPr>
                <w:rFonts w:ascii="Times New Roman" w:hAnsi="Times New Roman"/>
                <w:color w:val="auto"/>
                <w:sz w:val="24"/>
              </w:rPr>
              <w:t>Artikel 429b Absätze 2 und 3 der Verordnung (EU) Nr. 575/2013</w:t>
            </w:r>
          </w:p>
          <w:p w14:paraId="5FF92BE1" w14:textId="795BE2F1" w:rsidR="00CB48CC" w:rsidRPr="00500637" w:rsidRDefault="00CB48CC" w:rsidP="000B66BC">
            <w:pPr>
              <w:pStyle w:val="BodyText1"/>
              <w:spacing w:after="240" w:line="240" w:lineRule="auto"/>
              <w:rPr>
                <w:rFonts w:ascii="Times New Roman" w:hAnsi="Times New Roman"/>
                <w:b/>
                <w:bCs/>
                <w:color w:val="auto"/>
                <w:sz w:val="24"/>
                <w:szCs w:val="24"/>
              </w:rPr>
            </w:pPr>
            <w:r w:rsidRPr="00500637">
              <w:rPr>
                <w:rFonts w:ascii="Times New Roman" w:hAnsi="Times New Roman"/>
                <w:color w:val="auto"/>
                <w:sz w:val="24"/>
              </w:rPr>
              <w:t>Der Buchwert von Liquiditätsbündelungsvereinbarungen, d. h. von Vereinbarungen, durch die die Soll- oder Habensalden verschiedener Einzelkonten für die Zwecke des Bareinlagen- oder Liquiditätsmanagements zusammengefasst werden, die gemäß Artikel 429b Absätze 2 und 3 der Verordnung (EU) Nr. 575/2013 saldiert werden können.</w:t>
            </w:r>
          </w:p>
        </w:tc>
      </w:tr>
      <w:tr w:rsidR="00CB48CC" w:rsidRPr="00500637" w14:paraId="0FD5A27F" w14:textId="77777777" w:rsidTr="008979D2">
        <w:trPr>
          <w:trHeight w:val="304"/>
        </w:trPr>
        <w:tc>
          <w:tcPr>
            <w:tcW w:w="1555" w:type="dxa"/>
            <w:tcBorders>
              <w:bottom w:val="single" w:sz="4" w:space="0" w:color="auto"/>
            </w:tcBorders>
          </w:tcPr>
          <w:p w14:paraId="4CBB43FC" w14:textId="18B8DCAA"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t>{0196;0010}</w:t>
            </w:r>
          </w:p>
          <w:p w14:paraId="472BF07D" w14:textId="77777777" w:rsidR="00CB48CC" w:rsidRPr="00500637"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BB5D25C" w14:textId="77777777" w:rsidR="00CB48CC" w:rsidRPr="00500637" w:rsidRDefault="00CB48CC"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Liquiditätsbündelungsvereinbarungen, die aufsichtsrechtlich saldiert werden können: Effekt der Hinzurechnung der nach dem Rechnungslegungsrahmen angewandten Saldierung</w:t>
            </w:r>
          </w:p>
          <w:p w14:paraId="770F0F10" w14:textId="551E3D5F" w:rsidR="00CB48CC" w:rsidRPr="00500637" w:rsidRDefault="009F6A59" w:rsidP="000B66BC">
            <w:pPr>
              <w:pStyle w:val="BodyText1"/>
              <w:spacing w:after="240" w:line="240" w:lineRule="auto"/>
              <w:rPr>
                <w:rFonts w:ascii="Times New Roman" w:hAnsi="Times New Roman"/>
                <w:color w:val="auto"/>
                <w:sz w:val="24"/>
                <w:szCs w:val="24"/>
              </w:rPr>
            </w:pPr>
            <w:r w:rsidRPr="00500637">
              <w:rPr>
                <w:rFonts w:ascii="Times New Roman" w:hAnsi="Times New Roman"/>
                <w:color w:val="auto"/>
                <w:sz w:val="24"/>
              </w:rPr>
              <w:t>Artikel 429b Absätze 2 und 3 der Verordnung (EU) Nr. 575/2013</w:t>
            </w:r>
          </w:p>
          <w:p w14:paraId="4F594E25" w14:textId="2FF29B12" w:rsidR="00864866" w:rsidRPr="00500637" w:rsidRDefault="00CB48CC" w:rsidP="000B66BC">
            <w:pPr>
              <w:pStyle w:val="BodyText1"/>
              <w:spacing w:after="240"/>
              <w:rPr>
                <w:rFonts w:ascii="Times New Roman" w:hAnsi="Times New Roman"/>
                <w:color w:val="auto"/>
                <w:sz w:val="24"/>
                <w:szCs w:val="24"/>
              </w:rPr>
            </w:pPr>
            <w:r w:rsidRPr="00500637">
              <w:rPr>
                <w:rFonts w:ascii="Times New Roman" w:hAnsi="Times New Roman"/>
                <w:color w:val="auto"/>
                <w:sz w:val="24"/>
              </w:rPr>
              <w:lastRenderedPageBreak/>
              <w:t>Der nach dem geltenden Rechnungslegungsrahmen saldierte Betrag bezüglich der Liquiditätsbündelungsvereinbarungen, die aufsichtsrechtlich saldiert werden können, ausgewiesen in {0195;0010}.</w:t>
            </w:r>
          </w:p>
          <w:p w14:paraId="14E77DE6" w14:textId="4279D111" w:rsidR="00CB48CC" w:rsidRPr="00500637" w:rsidRDefault="00166A6F" w:rsidP="000B66BC">
            <w:pPr>
              <w:pStyle w:val="BodyText1"/>
              <w:spacing w:after="240"/>
              <w:rPr>
                <w:rFonts w:ascii="Times New Roman" w:hAnsi="Times New Roman"/>
                <w:color w:val="auto"/>
                <w:sz w:val="24"/>
                <w:szCs w:val="24"/>
              </w:rPr>
            </w:pPr>
            <w:r w:rsidRPr="00500637">
              <w:rPr>
                <w:rFonts w:ascii="Times New Roman" w:hAnsi="Times New Roman"/>
                <w:color w:val="auto"/>
                <w:sz w:val="24"/>
              </w:rPr>
              <w:t>Erfüllt das Institut Artikel 429b Absatz 2 Buchstabe b, wird in dieser Zeile nicht die Hinzurechnung auf aufgehobene Bilanzen auf der Grundlage des in Artikel 429b Absatz 2 Buchstabe a dargelegten Verfahrens angewandt.</w:t>
            </w:r>
          </w:p>
        </w:tc>
      </w:tr>
      <w:tr w:rsidR="00CB48CC" w:rsidRPr="00500637" w14:paraId="6C598455" w14:textId="77777777" w:rsidTr="008979D2">
        <w:trPr>
          <w:trHeight w:val="304"/>
        </w:trPr>
        <w:tc>
          <w:tcPr>
            <w:tcW w:w="1555" w:type="dxa"/>
            <w:tcBorders>
              <w:bottom w:val="single" w:sz="4" w:space="0" w:color="auto"/>
            </w:tcBorders>
          </w:tcPr>
          <w:p w14:paraId="11C78F9F" w14:textId="649683AF"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lastRenderedPageBreak/>
              <w:t>{0197;0010}</w:t>
            </w:r>
          </w:p>
          <w:p w14:paraId="2FDD840E" w14:textId="77777777" w:rsidR="00CB48CC" w:rsidRPr="00500637"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01FD6E4" w14:textId="2EE44330" w:rsidR="00CB48CC" w:rsidRPr="00500637" w:rsidRDefault="00CB48CC"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 Liquiditätsbündelungsvereinbarungen, die aufsichtsrechtlich saldiert werden können: Anerkennung von Saldierungen im Einklang mit Artikel 429b Absatz 2 CRR</w:t>
            </w:r>
          </w:p>
          <w:p w14:paraId="52C1DAD6" w14:textId="04254F3D" w:rsidR="00CB48CC" w:rsidRPr="00500637" w:rsidRDefault="00CB48CC" w:rsidP="000B66BC">
            <w:pPr>
              <w:pStyle w:val="BodyText1"/>
              <w:spacing w:after="240" w:line="240" w:lineRule="auto"/>
              <w:rPr>
                <w:rFonts w:ascii="Times New Roman" w:hAnsi="Times New Roman"/>
                <w:b/>
                <w:bCs/>
                <w:color w:val="auto"/>
                <w:sz w:val="24"/>
                <w:szCs w:val="24"/>
              </w:rPr>
            </w:pPr>
            <w:r w:rsidRPr="00500637">
              <w:rPr>
                <w:rFonts w:ascii="Times New Roman" w:hAnsi="Times New Roman"/>
                <w:sz w:val="24"/>
              </w:rPr>
              <w:t>Artikel 429b Absatz 2 der Verordnung (EU) Nr. 575/2013</w:t>
            </w:r>
          </w:p>
          <w:p w14:paraId="6514DC6F" w14:textId="4B1A16D6" w:rsidR="00CB48CC" w:rsidRPr="00500637" w:rsidRDefault="00CB48CC" w:rsidP="000B66BC">
            <w:pPr>
              <w:pStyle w:val="BodyText1"/>
              <w:spacing w:after="240" w:line="240" w:lineRule="auto"/>
              <w:rPr>
                <w:rFonts w:ascii="Times New Roman" w:hAnsi="Times New Roman"/>
                <w:b/>
                <w:bCs/>
                <w:color w:val="auto"/>
                <w:sz w:val="24"/>
                <w:szCs w:val="24"/>
              </w:rPr>
            </w:pPr>
            <w:r w:rsidRPr="00500637">
              <w:rPr>
                <w:rFonts w:ascii="Times New Roman" w:hAnsi="Times New Roman"/>
                <w:color w:val="auto"/>
                <w:sz w:val="24"/>
              </w:rPr>
              <w:t>Der aus der Bruttorisikoposition im Zusammenhang mit Liquiditätsbündelungsvereinbarungen saldierte Betrag (Summe der Zeilen 0195 und 0196) im Einklang mit Artikel 429b Absatz 2.</w:t>
            </w:r>
          </w:p>
        </w:tc>
      </w:tr>
      <w:tr w:rsidR="00CB48CC" w:rsidRPr="00500637" w14:paraId="6681A527" w14:textId="77777777" w:rsidTr="008979D2">
        <w:trPr>
          <w:trHeight w:val="304"/>
        </w:trPr>
        <w:tc>
          <w:tcPr>
            <w:tcW w:w="1555" w:type="dxa"/>
            <w:tcBorders>
              <w:bottom w:val="single" w:sz="4" w:space="0" w:color="auto"/>
            </w:tcBorders>
          </w:tcPr>
          <w:p w14:paraId="4136B44E" w14:textId="263B95A4"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t>{0198;0010}</w:t>
            </w:r>
          </w:p>
          <w:p w14:paraId="6AAFDEE3" w14:textId="77777777" w:rsidR="00CB48CC" w:rsidRPr="00500637"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806A066" w14:textId="6CD24279" w:rsidR="00CB48CC" w:rsidRPr="00500637" w:rsidRDefault="00CB48CC"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 Liquiditätsbündelungsvereinbarungen, die aufsichtsrechtlich saldiert werden können: Anerkennung von Saldierungen gemäß Artikel 429b Absatz 3 CRR</w:t>
            </w:r>
          </w:p>
          <w:p w14:paraId="10AA0B56" w14:textId="265D95F4" w:rsidR="00CB48CC" w:rsidRPr="00500637" w:rsidRDefault="00CB48CC" w:rsidP="000B66BC">
            <w:pPr>
              <w:pStyle w:val="BodyText1"/>
              <w:spacing w:after="240" w:line="240" w:lineRule="auto"/>
              <w:rPr>
                <w:rFonts w:ascii="Times New Roman" w:hAnsi="Times New Roman"/>
                <w:b/>
                <w:bCs/>
                <w:color w:val="auto"/>
                <w:sz w:val="24"/>
                <w:szCs w:val="24"/>
              </w:rPr>
            </w:pPr>
            <w:r w:rsidRPr="00500637">
              <w:rPr>
                <w:rFonts w:ascii="Times New Roman" w:hAnsi="Times New Roman"/>
                <w:sz w:val="24"/>
              </w:rPr>
              <w:t xml:space="preserve">Artikel 429b Absatz 3 der Verordnung (EU) Nr. 575/2013 </w:t>
            </w:r>
            <w:r w:rsidRPr="00500637">
              <w:rPr>
                <w:rFonts w:ascii="Times New Roman" w:hAnsi="Times New Roman"/>
                <w:color w:val="auto"/>
                <w:sz w:val="24"/>
              </w:rPr>
              <w:t>Der aus der Bruttorisikoposition im Zusammenhang mit Liquiditätsbündelungsvereinbarungen saldierte Betrag (Summe der Zeilen 0195 und 0196) im Einklang mit Artikel 429b Absatz 3.</w:t>
            </w:r>
          </w:p>
        </w:tc>
      </w:tr>
      <w:tr w:rsidR="00CB48CC" w:rsidRPr="00500637" w14:paraId="3E08AE39" w14:textId="77777777" w:rsidTr="008979D2">
        <w:trPr>
          <w:trHeight w:val="304"/>
        </w:trPr>
        <w:tc>
          <w:tcPr>
            <w:tcW w:w="1555" w:type="dxa"/>
            <w:tcBorders>
              <w:bottom w:val="single" w:sz="4" w:space="0" w:color="auto"/>
            </w:tcBorders>
          </w:tcPr>
          <w:p w14:paraId="16A9AAE1" w14:textId="7B5874EF"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t>{0200;0010}</w:t>
            </w:r>
          </w:p>
        </w:tc>
        <w:tc>
          <w:tcPr>
            <w:tcW w:w="7566" w:type="dxa"/>
            <w:tcBorders>
              <w:bottom w:val="single" w:sz="4" w:space="0" w:color="auto"/>
            </w:tcBorders>
          </w:tcPr>
          <w:p w14:paraId="060D27D3" w14:textId="77777777"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b/>
                <w:sz w:val="24"/>
              </w:rPr>
              <w:t>Hinzurechnung des Betrags von im Zusammenhang mit Derivaten gestellten Sicherheiten</w:t>
            </w:r>
          </w:p>
          <w:p w14:paraId="2AA08714" w14:textId="6F4E6D5B"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429c Absatz 2 der Verordnung (EU) Nr. 575/2013</w:t>
            </w:r>
          </w:p>
          <w:p w14:paraId="6B6AC708" w14:textId="2EC63359"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Betrag der im Zusammenhang mit Derivaten gestellten Sicherheiten, wenn die Bereitstellung dieser Sicherheiten die Summe der Aktiva im Sinne des geltenden Rechnungslegungsrahmens gemäß Artikel 429c Absatz 2 der Verordnung (EU) Nr. 575/2013 reduziert.</w:t>
            </w:r>
          </w:p>
          <w:p w14:paraId="3815F945" w14:textId="04AC9768"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In diesem Feld berücksichtigen die Institute keine Einschüsse für kundengeclearte Derivatgeschäfte mit einer qualifizierten ZGP (QZGP) oder abzugsfähige Barnachschüsse im Sinne des Artikels 429c Absatz 3 der Verordnung (EU) Nr. 575/2013.</w:t>
            </w:r>
          </w:p>
        </w:tc>
      </w:tr>
      <w:tr w:rsidR="00CB48CC" w:rsidRPr="00500637" w14:paraId="5CAE26AC" w14:textId="77777777" w:rsidTr="008979D2">
        <w:trPr>
          <w:trHeight w:val="304"/>
        </w:trPr>
        <w:tc>
          <w:tcPr>
            <w:tcW w:w="1555" w:type="dxa"/>
            <w:tcBorders>
              <w:bottom w:val="single" w:sz="4" w:space="0" w:color="auto"/>
            </w:tcBorders>
          </w:tcPr>
          <w:p w14:paraId="6E109898" w14:textId="552996B4"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t>{0210;0010}</w:t>
            </w:r>
          </w:p>
        </w:tc>
        <w:tc>
          <w:tcPr>
            <w:tcW w:w="7566" w:type="dxa"/>
            <w:tcBorders>
              <w:bottom w:val="single" w:sz="4" w:space="0" w:color="auto"/>
            </w:tcBorders>
          </w:tcPr>
          <w:p w14:paraId="0DBB01E6" w14:textId="77777777"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b/>
                <w:sz w:val="24"/>
              </w:rPr>
              <w:t>(-) Forderungen für in bar geleistete Nachschüsse bei Derivatgeschäften</w:t>
            </w:r>
          </w:p>
          <w:p w14:paraId="353AEF67" w14:textId="6C391B7D" w:rsidR="00CB48CC" w:rsidRPr="00500637" w:rsidRDefault="001475A2"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429c Absatz 3 Buchstabe c der Verordnung (EU) Nr. 575/2013</w:t>
            </w:r>
          </w:p>
          <w:p w14:paraId="43A45BE7" w14:textId="65E078C7"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 xml:space="preserve">Die Forderungen für in bar an die Gegenpartei von Derivatgeschäften geleistete Nachschüsse, wenn das Institut nach dem geltenden Rechnungslegungsrahmen zur Erfassung dieser Forderungen als Aktiva </w:t>
            </w:r>
            <w:r w:rsidRPr="00500637">
              <w:rPr>
                <w:rFonts w:ascii="Times New Roman" w:hAnsi="Times New Roman"/>
                <w:sz w:val="24"/>
              </w:rPr>
              <w:lastRenderedPageBreak/>
              <w:t>verpflichtet ist, sofern die in Artikel 429c Absatz 3 Buchstaben a bis e der Verordnung (EU) Nr. 575/2013 genannten Bedingungen erfüllt sind.</w:t>
            </w:r>
          </w:p>
          <w:p w14:paraId="5E1EBFBA" w14:textId="5DE4D171"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gemeldete Betrag wird auch in den in {0190;0010} erfassten sonstigen Aktiva ausgewiesen.</w:t>
            </w:r>
          </w:p>
        </w:tc>
      </w:tr>
      <w:tr w:rsidR="00CB48CC" w:rsidRPr="00500637" w14:paraId="7004E9E4" w14:textId="77777777" w:rsidTr="008979D2">
        <w:trPr>
          <w:trHeight w:val="304"/>
        </w:trPr>
        <w:tc>
          <w:tcPr>
            <w:tcW w:w="1555" w:type="dxa"/>
            <w:tcBorders>
              <w:bottom w:val="single" w:sz="4" w:space="0" w:color="auto"/>
            </w:tcBorders>
          </w:tcPr>
          <w:p w14:paraId="200E881A" w14:textId="0436C5A2"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lastRenderedPageBreak/>
              <w:t>{0220;0010}</w:t>
            </w:r>
          </w:p>
        </w:tc>
        <w:tc>
          <w:tcPr>
            <w:tcW w:w="7566" w:type="dxa"/>
            <w:tcBorders>
              <w:bottom w:val="single" w:sz="4" w:space="0" w:color="auto"/>
            </w:tcBorders>
          </w:tcPr>
          <w:p w14:paraId="68880B55" w14:textId="77777777"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b/>
                <w:sz w:val="24"/>
              </w:rPr>
              <w:t>(-) Aus kundengeclearten Handelsrisikopositionen ausgeschlossener ZGP-Teil (Einschüsse)</w:t>
            </w:r>
          </w:p>
          <w:p w14:paraId="3E812C65" w14:textId="6F86598F" w:rsidR="00CB48CC" w:rsidRPr="00500637" w:rsidRDefault="001475A2"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429a Absatz 1 Buchstabe g der Verordnung (EU) Nr. 575/2013</w:t>
            </w:r>
          </w:p>
          <w:p w14:paraId="5FE3535A" w14:textId="1026B90A"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den (erfassten) Einschüssen entsprechende Anteil der aus kundengeclearten Derivatgeschäften ausgeschlossenen Handelsrisikopositionen gegenüber einer qualifizierten ZGP, sofern diese Positionen die in Artikel 306 Absatz 1 Buchstabe c der Verordnung (EU) Nr. 575/2013 festgelegten Bedingungen erfüllen.</w:t>
            </w:r>
          </w:p>
          <w:p w14:paraId="6C360905" w14:textId="21F19BED"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gemeldete Betrag wird auch in den in {0190;0010} erfassten sonstigen Aktiva ausgewiesen.</w:t>
            </w:r>
          </w:p>
        </w:tc>
      </w:tr>
      <w:tr w:rsidR="00CB48CC" w:rsidRPr="00500637" w14:paraId="49F39ED5" w14:textId="77777777" w:rsidTr="008979D2">
        <w:trPr>
          <w:trHeight w:val="304"/>
        </w:trPr>
        <w:tc>
          <w:tcPr>
            <w:tcW w:w="1555" w:type="dxa"/>
            <w:tcBorders>
              <w:bottom w:val="single" w:sz="4" w:space="0" w:color="auto"/>
            </w:tcBorders>
          </w:tcPr>
          <w:p w14:paraId="078DD162" w14:textId="26EF1E5A"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t>{0230;0010}</w:t>
            </w:r>
          </w:p>
        </w:tc>
        <w:tc>
          <w:tcPr>
            <w:tcW w:w="7566" w:type="dxa"/>
            <w:tcBorders>
              <w:bottom w:val="single" w:sz="4" w:space="0" w:color="auto"/>
            </w:tcBorders>
          </w:tcPr>
          <w:p w14:paraId="66A65253" w14:textId="77777777"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b/>
                <w:sz w:val="24"/>
              </w:rPr>
              <w:t>Bereinigung um als Verkauf von SFTs verbuchte Geschäfte</w:t>
            </w:r>
          </w:p>
          <w:p w14:paraId="46B4994C" w14:textId="3895724D"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429e Absatz 6 der Verordnung (EU) Nr. 575/2013</w:t>
            </w:r>
          </w:p>
          <w:p w14:paraId="05B69EB8" w14:textId="4CF799C1"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Wert der bei einem Pensionsgeschäft verliehenen Wertpapiere, die aufgrund eines als Verkauf verbuchten Geschäfts nach dem geltenden Rechnungslegungsrahmen ausgebucht wurden.</w:t>
            </w:r>
          </w:p>
        </w:tc>
      </w:tr>
      <w:tr w:rsidR="00CB48CC" w:rsidRPr="00500637" w14:paraId="5CBC395D" w14:textId="77777777" w:rsidTr="008979D2">
        <w:trPr>
          <w:trHeight w:val="304"/>
        </w:trPr>
        <w:tc>
          <w:tcPr>
            <w:tcW w:w="1555" w:type="dxa"/>
            <w:tcBorders>
              <w:bottom w:val="single" w:sz="4" w:space="0" w:color="auto"/>
            </w:tcBorders>
          </w:tcPr>
          <w:p w14:paraId="22212EBE" w14:textId="01A07AD0"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t>{0235;0010}</w:t>
            </w:r>
          </w:p>
        </w:tc>
        <w:tc>
          <w:tcPr>
            <w:tcW w:w="7566" w:type="dxa"/>
            <w:tcBorders>
              <w:bottom w:val="single" w:sz="4" w:space="0" w:color="auto"/>
            </w:tcBorders>
          </w:tcPr>
          <w:p w14:paraId="6E0AEEEF" w14:textId="77777777" w:rsidR="00CB48CC" w:rsidRPr="00500637" w:rsidRDefault="00CB48CC"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 xml:space="preserve">(-) Herabsetzung des Risikopositionswerts von Vorfinanzierungs- oder Zwischenkrediten </w:t>
            </w:r>
          </w:p>
          <w:p w14:paraId="44C18D39" w14:textId="584EBA41" w:rsidR="00131C70" w:rsidRPr="00500637" w:rsidRDefault="00131C70"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 Absatz 8 der Verordnung (EU) Nr. 575/2013</w:t>
            </w:r>
          </w:p>
          <w:p w14:paraId="211507FA" w14:textId="5F4C37FD" w:rsidR="00131C70" w:rsidRPr="00500637" w:rsidRDefault="00131C70" w:rsidP="000B66BC">
            <w:pPr>
              <w:pStyle w:val="BodyText1"/>
              <w:spacing w:after="240"/>
              <w:rPr>
                <w:rFonts w:ascii="Times New Roman" w:hAnsi="Times New Roman"/>
                <w:bCs/>
                <w:sz w:val="24"/>
                <w:szCs w:val="24"/>
              </w:rPr>
            </w:pPr>
            <w:r w:rsidRPr="00500637">
              <w:rPr>
                <w:rFonts w:ascii="Times New Roman" w:hAnsi="Times New Roman"/>
                <w:sz w:val="24"/>
              </w:rPr>
              <w:t>Der gemäß Artikel 429 Absatz 8 der Verordnung (EU) Nr. 575/2013 vom Risikopositionswert eines Vorfinanzierungskredits oder eines Zwischenkredits in Abzug zu bringende Betrag.</w:t>
            </w:r>
          </w:p>
          <w:p w14:paraId="28E46325" w14:textId="539EE861" w:rsidR="00131C70" w:rsidRPr="00500637" w:rsidRDefault="002662F0" w:rsidP="000B66BC">
            <w:pPr>
              <w:pStyle w:val="BodyText1"/>
              <w:spacing w:after="240" w:line="240" w:lineRule="auto"/>
              <w:rPr>
                <w:rFonts w:ascii="Times New Roman" w:hAnsi="Times New Roman"/>
                <w:b/>
                <w:bCs/>
                <w:sz w:val="24"/>
                <w:szCs w:val="24"/>
              </w:rPr>
            </w:pPr>
            <w:r w:rsidRPr="00500637">
              <w:rPr>
                <w:rFonts w:ascii="Times New Roman" w:hAnsi="Times New Roman"/>
                <w:sz w:val="24"/>
              </w:rPr>
              <w:t>Der gemeldete Betrag wird auch in den in {0190;0010} erfassten sonstigen Aktiva ausgewiesen.</w:t>
            </w:r>
          </w:p>
        </w:tc>
      </w:tr>
      <w:tr w:rsidR="00CB48CC" w:rsidRPr="00500637" w14:paraId="18C57782" w14:textId="77777777" w:rsidTr="008979D2">
        <w:trPr>
          <w:trHeight w:val="304"/>
        </w:trPr>
        <w:tc>
          <w:tcPr>
            <w:tcW w:w="1555" w:type="dxa"/>
            <w:tcBorders>
              <w:bottom w:val="single" w:sz="4" w:space="0" w:color="auto"/>
            </w:tcBorders>
          </w:tcPr>
          <w:p w14:paraId="3BF18418" w14:textId="18069978"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t>{0240;0010}</w:t>
            </w:r>
          </w:p>
        </w:tc>
        <w:tc>
          <w:tcPr>
            <w:tcW w:w="7566" w:type="dxa"/>
            <w:tcBorders>
              <w:bottom w:val="single" w:sz="4" w:space="0" w:color="auto"/>
            </w:tcBorders>
          </w:tcPr>
          <w:p w14:paraId="3B65685B" w14:textId="77777777"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b/>
                <w:sz w:val="24"/>
              </w:rPr>
              <w:t>(-) Treuhandvermögen</w:t>
            </w:r>
          </w:p>
          <w:p w14:paraId="7B749386" w14:textId="0A0CBFBA" w:rsidR="00CB48CC" w:rsidRPr="00500637" w:rsidRDefault="00520E26"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429a Absatz 1 Buchstabe i der Verordnung (EU) Nr. 575/2013</w:t>
            </w:r>
          </w:p>
          <w:p w14:paraId="0AD4C34E" w14:textId="2623FBBE"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t xml:space="preserve">Der Wert des Treuhandvermögens, das nach nationalen allgemein anerkannten Rechnungslegungsgrundsätzen in der Bilanz des Instituts erfasst wird, die Ausbuchungskriterien des IFRS 9 und, sofern anwendbar, die Entkonsolidierungskriterien des IFRS 10 nach Maßgabe von Artikel 429a Absatz 1 Buchstabe i der Verordnung (EU) Nr. 575/2013 erfüllt, in der Annahme, dass es keine Bilanzierungs-Netting- oder anderen CRM-Effekte </w:t>
            </w:r>
            <w:r w:rsidRPr="00500637">
              <w:rPr>
                <w:rFonts w:ascii="Times New Roman" w:hAnsi="Times New Roman"/>
                <w:sz w:val="24"/>
              </w:rPr>
              <w:lastRenderedPageBreak/>
              <w:t>gibt (d. h. die Bilanzierungs-Netting- oder CRM-Effekte in Bezug auf den Bilanzwert werden zurückgenommen).</w:t>
            </w:r>
          </w:p>
          <w:p w14:paraId="3BDFEE4B" w14:textId="1245B02D"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gemeldete Betrag wird auch in den in {0190;0010} erfassten sonstigen Aktiva ausgewiesen.</w:t>
            </w:r>
          </w:p>
        </w:tc>
      </w:tr>
      <w:tr w:rsidR="00CB48CC" w:rsidRPr="00500637" w14:paraId="6FE4C909" w14:textId="77777777" w:rsidTr="008979D2">
        <w:trPr>
          <w:trHeight w:val="304"/>
        </w:trPr>
        <w:tc>
          <w:tcPr>
            <w:tcW w:w="1555" w:type="dxa"/>
            <w:tcBorders>
              <w:bottom w:val="single" w:sz="4" w:space="0" w:color="auto"/>
            </w:tcBorders>
          </w:tcPr>
          <w:p w14:paraId="6A867BE8" w14:textId="56A136F0"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lastRenderedPageBreak/>
              <w:t>{0250;0010}</w:t>
            </w:r>
          </w:p>
        </w:tc>
        <w:tc>
          <w:tcPr>
            <w:tcW w:w="7566" w:type="dxa"/>
            <w:tcBorders>
              <w:bottom w:val="single" w:sz="4" w:space="0" w:color="auto"/>
            </w:tcBorders>
          </w:tcPr>
          <w:p w14:paraId="444C70A3" w14:textId="69402B4C"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b/>
                <w:sz w:val="24"/>
              </w:rPr>
              <w:t>(-) Gruppeninterne Risikopositionen, die gemäß Artikel 429a Absatz 1 Buchstabe c CRR ausgeschlossen werden können (Einzelbasis)</w:t>
            </w:r>
          </w:p>
          <w:p w14:paraId="1E2E0D64" w14:textId="4D7D7234" w:rsidR="00CB48CC" w:rsidRPr="00500637" w:rsidRDefault="00010563"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429a Absatz 1 Buchstabe c und Artikel 113 Absatz 6 der Verordnung (EU) Nr. 575/2013</w:t>
            </w:r>
          </w:p>
          <w:p w14:paraId="76D582E8" w14:textId="03A63940"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Risikopositionen, die auf der anwendbaren Konsolidierungsebene nicht konsolidiert wurden und bei denen nach Artikel 113 Absatz 6 der Verordnung (EU) Nr. 575/2013 verfahren werden kann, sofern alle in Artikel 113 Absatz 6 Buchstaben a bis e der Verordnung (EU) Nr. 575/2013 genannten Bedingungen erfüllt sind und die zuständigen Behörden eine entsprechende Erlaubnis erteilt haben.</w:t>
            </w:r>
          </w:p>
          <w:p w14:paraId="01853F94" w14:textId="16846725"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gemeldete Betrag ist auch in den vorangehenden anwendbaren Feldern auszuweisen, so als gälte keine Ausnahme.</w:t>
            </w:r>
          </w:p>
        </w:tc>
      </w:tr>
      <w:tr w:rsidR="00CB48CC" w:rsidRPr="00500637" w14:paraId="38D7A9B9" w14:textId="77777777" w:rsidTr="008979D2">
        <w:trPr>
          <w:trHeight w:val="304"/>
        </w:trPr>
        <w:tc>
          <w:tcPr>
            <w:tcW w:w="1555" w:type="dxa"/>
            <w:tcBorders>
              <w:bottom w:val="single" w:sz="4" w:space="0" w:color="auto"/>
            </w:tcBorders>
          </w:tcPr>
          <w:p w14:paraId="370147EC" w14:textId="12EDC221"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t>{0251;0010}</w:t>
            </w:r>
          </w:p>
        </w:tc>
        <w:tc>
          <w:tcPr>
            <w:tcW w:w="7566" w:type="dxa"/>
            <w:tcBorders>
              <w:bottom w:val="single" w:sz="4" w:space="0" w:color="auto"/>
            </w:tcBorders>
          </w:tcPr>
          <w:p w14:paraId="4730EC18" w14:textId="4AA5BCE0" w:rsidR="00CB48CC" w:rsidRPr="00500637" w:rsidRDefault="00CB48CC" w:rsidP="000B66BC">
            <w:pPr>
              <w:spacing w:after="240"/>
              <w:jc w:val="both"/>
              <w:rPr>
                <w:rFonts w:ascii="Times New Roman" w:hAnsi="Times New Roman"/>
                <w:b/>
                <w:color w:val="auto"/>
                <w:sz w:val="24"/>
                <w:szCs w:val="24"/>
              </w:rPr>
            </w:pPr>
            <w:r w:rsidRPr="00500637">
              <w:rPr>
                <w:rFonts w:ascii="Times New Roman" w:hAnsi="Times New Roman"/>
                <w:b/>
                <w:color w:val="auto"/>
                <w:sz w:val="24"/>
              </w:rPr>
              <w:t xml:space="preserve">(-) Risikopositionen in einem institutsbezogenen Sicherungssystem, die gemäß Artikel 429a Absatz 1 Buchstabe c CRR ausgeschlossen werden können </w:t>
            </w:r>
          </w:p>
          <w:p w14:paraId="7A5F0217" w14:textId="1AEEF28A" w:rsidR="00CB48CC" w:rsidRPr="00500637" w:rsidRDefault="009433A7"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429a Absatz 1 Buchstabe c und Artikel 113 Absatz 7 der Verordnung (EU) Nr. 575/2013</w:t>
            </w:r>
          </w:p>
          <w:p w14:paraId="16C42B04" w14:textId="0BA4DB29"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Risikopositionen, bei denen nach Artikel 113 Absatz 7 der Verordnung (EU) Nr. 575/2013 verfahren werden kann, sofern alle in Artikel 113 Absatz 7 Buchstaben a bis i der Verordnung (EU) Nr. 575/2013 genannten Bedingungen erfüllt sind und die zuständigen Behörden eine entsprechende Erlaubnis erteilt haben.</w:t>
            </w:r>
          </w:p>
          <w:p w14:paraId="3349FF66" w14:textId="7075C424" w:rsidR="00CB48CC" w:rsidRPr="00500637" w:rsidRDefault="00CB48CC" w:rsidP="000B66BC">
            <w:pPr>
              <w:pStyle w:val="BodyText1"/>
              <w:spacing w:after="240" w:line="240" w:lineRule="auto"/>
              <w:rPr>
                <w:rFonts w:ascii="Times New Roman" w:hAnsi="Times New Roman"/>
                <w:b/>
                <w:bCs/>
                <w:sz w:val="24"/>
                <w:szCs w:val="24"/>
              </w:rPr>
            </w:pPr>
            <w:r w:rsidRPr="00500637">
              <w:rPr>
                <w:rFonts w:ascii="Times New Roman" w:hAnsi="Times New Roman"/>
                <w:sz w:val="24"/>
              </w:rPr>
              <w:t>Der gemeldete Betrag ist auch in den vorangehenden anwendbaren Feldern auszuweisen, so als gälte keine Ausnahme.</w:t>
            </w:r>
          </w:p>
        </w:tc>
      </w:tr>
      <w:tr w:rsidR="003D12C1" w:rsidRPr="00500637" w14:paraId="74420A08" w14:textId="77777777" w:rsidTr="008979D2">
        <w:trPr>
          <w:trHeight w:val="304"/>
        </w:trPr>
        <w:tc>
          <w:tcPr>
            <w:tcW w:w="1555" w:type="dxa"/>
            <w:tcBorders>
              <w:bottom w:val="single" w:sz="4" w:space="0" w:color="auto"/>
            </w:tcBorders>
          </w:tcPr>
          <w:p w14:paraId="24AEF8FA" w14:textId="4344C276" w:rsidR="003D12C1" w:rsidRPr="00500637" w:rsidRDefault="003D12C1" w:rsidP="000B66BC">
            <w:pPr>
              <w:pStyle w:val="BodyText1"/>
              <w:spacing w:after="240"/>
              <w:rPr>
                <w:rFonts w:ascii="Times New Roman" w:hAnsi="Times New Roman"/>
                <w:bCs/>
                <w:sz w:val="24"/>
                <w:szCs w:val="24"/>
              </w:rPr>
            </w:pPr>
            <w:r w:rsidRPr="00500637">
              <w:rPr>
                <w:rFonts w:ascii="Times New Roman" w:hAnsi="Times New Roman"/>
                <w:sz w:val="24"/>
              </w:rPr>
              <w:t>{0900;0010}</w:t>
            </w:r>
          </w:p>
        </w:tc>
        <w:tc>
          <w:tcPr>
            <w:tcW w:w="7566" w:type="dxa"/>
            <w:tcBorders>
              <w:bottom w:val="single" w:sz="4" w:space="0" w:color="auto"/>
            </w:tcBorders>
          </w:tcPr>
          <w:p w14:paraId="0F7B2C03" w14:textId="4E78668C" w:rsidR="003D12C1" w:rsidRPr="00500637" w:rsidRDefault="0093277B" w:rsidP="000B66BC">
            <w:pPr>
              <w:spacing w:after="240"/>
              <w:jc w:val="both"/>
              <w:rPr>
                <w:rFonts w:ascii="Times New Roman" w:hAnsi="Times New Roman"/>
                <w:b/>
                <w:color w:val="auto"/>
                <w:sz w:val="24"/>
                <w:szCs w:val="24"/>
              </w:rPr>
            </w:pPr>
            <w:r w:rsidRPr="00500637">
              <w:rPr>
                <w:rFonts w:ascii="Times New Roman" w:hAnsi="Times New Roman"/>
                <w:b/>
                <w:color w:val="auto"/>
                <w:sz w:val="24"/>
              </w:rPr>
              <w:t>(-) Risikopositionen in einem institutsbezogenen Sicherungssystem, die gemäß Artikel 429a Absatz 1 Buchstabe ca der Verordnung (EU) Nr. 575/2013 ausgeschlossen werden können</w:t>
            </w:r>
          </w:p>
          <w:p w14:paraId="6CE8CCB5" w14:textId="724F065F" w:rsidR="00D31203" w:rsidRPr="00500637" w:rsidRDefault="0093277B" w:rsidP="00D31203">
            <w:pPr>
              <w:pStyle w:val="BodyText1"/>
              <w:spacing w:after="240" w:line="240" w:lineRule="auto"/>
              <w:rPr>
                <w:rFonts w:ascii="Times New Roman" w:hAnsi="Times New Roman"/>
                <w:bCs/>
                <w:sz w:val="24"/>
                <w:szCs w:val="24"/>
              </w:rPr>
            </w:pPr>
            <w:r w:rsidRPr="00500637">
              <w:rPr>
                <w:rFonts w:ascii="Times New Roman" w:hAnsi="Times New Roman"/>
                <w:sz w:val="24"/>
              </w:rPr>
              <w:t xml:space="preserve">Artikel 429a Absatz 1 Buchstabe ca, Artikel 113 Absatz 7 und Artikel 114 der Verordnung (EU) Nr. 575/2013Risikopositionen, bei denen nach Artikel 113 Absatz 7 und Artikel 114 der Verordnung (EU) Nr. 575/2013 verfahren werden kann, sofern alle in Artikel 429a Absatz 1 der Verordnung (EU) Nr. 575/2013 genannten Bedingungen erfüllt sind. </w:t>
            </w:r>
          </w:p>
          <w:p w14:paraId="679257E0" w14:textId="1D0F3ECC" w:rsidR="0093277B" w:rsidRPr="00500637" w:rsidRDefault="00B96F9D" w:rsidP="00D31203">
            <w:pPr>
              <w:pStyle w:val="BodyText1"/>
              <w:spacing w:after="240" w:line="240" w:lineRule="auto"/>
            </w:pPr>
            <w:r w:rsidRPr="00500637">
              <w:rPr>
                <w:rFonts w:ascii="Times New Roman" w:hAnsi="Times New Roman"/>
                <w:sz w:val="24"/>
              </w:rPr>
              <w:lastRenderedPageBreak/>
              <w:t>Der gemeldete Betrag ist auch in den vorangehenden anwendbaren Feldern auszuweisen, so als gälte keine Ausnahme.</w:t>
            </w:r>
          </w:p>
        </w:tc>
      </w:tr>
      <w:tr w:rsidR="00EC6F1E" w:rsidRPr="00500637" w14:paraId="1D8BFA67" w14:textId="77777777" w:rsidTr="008979D2">
        <w:trPr>
          <w:trHeight w:val="304"/>
        </w:trPr>
        <w:tc>
          <w:tcPr>
            <w:tcW w:w="1555" w:type="dxa"/>
            <w:tcBorders>
              <w:bottom w:val="single" w:sz="4" w:space="0" w:color="auto"/>
            </w:tcBorders>
            <w:vAlign w:val="center"/>
          </w:tcPr>
          <w:p w14:paraId="4496E47D" w14:textId="20CF4394" w:rsidR="00EC6F1E" w:rsidRPr="00500637" w:rsidRDefault="00EC6F1E" w:rsidP="000B66BC">
            <w:pPr>
              <w:pStyle w:val="BodyText1"/>
              <w:spacing w:after="240"/>
              <w:rPr>
                <w:rFonts w:ascii="Times New Roman" w:hAnsi="Times New Roman"/>
                <w:bCs/>
                <w:sz w:val="24"/>
                <w:szCs w:val="24"/>
                <w:highlight w:val="yellow"/>
              </w:rPr>
            </w:pPr>
            <w:r w:rsidRPr="00500637">
              <w:rPr>
                <w:rFonts w:ascii="Times New Roman" w:hAnsi="Times New Roman"/>
                <w:sz w:val="24"/>
              </w:rPr>
              <w:lastRenderedPageBreak/>
              <w:t>{0252;0010}</w:t>
            </w:r>
          </w:p>
        </w:tc>
        <w:tc>
          <w:tcPr>
            <w:tcW w:w="7566" w:type="dxa"/>
            <w:tcBorders>
              <w:bottom w:val="single" w:sz="4" w:space="0" w:color="auto"/>
            </w:tcBorders>
            <w:vAlign w:val="center"/>
          </w:tcPr>
          <w:p w14:paraId="6BC877C8" w14:textId="77777777" w:rsidR="00EC6F1E" w:rsidRPr="00500637" w:rsidRDefault="00EC6F1E"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 xml:space="preserve">(-) Ausgeschlossene garantierte Teile von Risikopositionen aus Exportkrediten </w:t>
            </w:r>
          </w:p>
          <w:p w14:paraId="43FFAEEA" w14:textId="5CB46AF0" w:rsidR="00EC6F1E" w:rsidRPr="00500637" w:rsidRDefault="00A42B1A"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429a Absatz 1 Buchstabe f der Verordnung (EU) Nr. 575/2013</w:t>
            </w:r>
          </w:p>
          <w:p w14:paraId="0F2E3189" w14:textId="10775FEB" w:rsidR="00EC6F1E" w:rsidRPr="00500637" w:rsidRDefault="00EC6F1E" w:rsidP="000B66BC">
            <w:pPr>
              <w:pStyle w:val="BodyText1"/>
              <w:spacing w:after="240" w:line="240" w:lineRule="auto"/>
              <w:rPr>
                <w:rFonts w:ascii="Times New Roman" w:hAnsi="Times New Roman"/>
                <w:color w:val="auto"/>
                <w:sz w:val="24"/>
                <w:szCs w:val="24"/>
              </w:rPr>
            </w:pPr>
            <w:r w:rsidRPr="00500637">
              <w:rPr>
                <w:rFonts w:ascii="Times New Roman" w:hAnsi="Times New Roman"/>
                <w:color w:val="auto"/>
                <w:sz w:val="24"/>
              </w:rPr>
              <w:t>Die garantierten Teile von Risikopositionen aus Exportkrediten, die ausgeschlossen werden können, wenn die Bedingungen des Artikels 429a Absatz 1 Buchstabe f der Verordnung (EU) Nr. 575/2013 erfüllt sind.</w:t>
            </w:r>
          </w:p>
          <w:p w14:paraId="4BBC9AD0" w14:textId="70F280C7" w:rsidR="00EC6F1E" w:rsidRPr="00500637" w:rsidRDefault="00EC6F1E" w:rsidP="000B66BC">
            <w:pPr>
              <w:pStyle w:val="BodyText1"/>
              <w:spacing w:after="240" w:line="240" w:lineRule="auto"/>
              <w:rPr>
                <w:rFonts w:ascii="Times New Roman" w:hAnsi="Times New Roman"/>
                <w:b/>
                <w:bCs/>
                <w:color w:val="auto"/>
                <w:sz w:val="24"/>
                <w:szCs w:val="24"/>
              </w:rPr>
            </w:pPr>
            <w:r w:rsidRPr="00500637">
              <w:rPr>
                <w:rFonts w:ascii="Times New Roman" w:hAnsi="Times New Roman"/>
                <w:sz w:val="24"/>
              </w:rPr>
              <w:t>Der gemeldete Betrag ist auch in den vorangehenden anwendbaren Feldern auszuweisen, so als gälte keine Ausnahme.</w:t>
            </w:r>
          </w:p>
        </w:tc>
      </w:tr>
      <w:tr w:rsidR="00EC6F1E" w:rsidRPr="00500637" w14:paraId="7AD87F00" w14:textId="77777777" w:rsidTr="008979D2">
        <w:trPr>
          <w:trHeight w:val="304"/>
        </w:trPr>
        <w:tc>
          <w:tcPr>
            <w:tcW w:w="1555" w:type="dxa"/>
            <w:tcBorders>
              <w:bottom w:val="single" w:sz="4" w:space="0" w:color="auto"/>
            </w:tcBorders>
            <w:vAlign w:val="center"/>
          </w:tcPr>
          <w:p w14:paraId="1E11F6EB" w14:textId="77777777" w:rsidR="00EC6F1E" w:rsidRPr="00500637" w:rsidRDefault="00EC6F1E" w:rsidP="000B66BC">
            <w:pPr>
              <w:pStyle w:val="BodyText1"/>
              <w:spacing w:after="240"/>
              <w:rPr>
                <w:rFonts w:ascii="Times New Roman" w:hAnsi="Times New Roman"/>
                <w:bCs/>
                <w:sz w:val="24"/>
                <w:szCs w:val="24"/>
              </w:rPr>
            </w:pPr>
          </w:p>
          <w:p w14:paraId="323A635F" w14:textId="34C01BC7" w:rsidR="00EC6F1E" w:rsidRPr="00500637" w:rsidRDefault="00EC6F1E" w:rsidP="000B66BC">
            <w:pPr>
              <w:pStyle w:val="BodyText1"/>
              <w:spacing w:after="240"/>
              <w:rPr>
                <w:rFonts w:ascii="Times New Roman" w:hAnsi="Times New Roman"/>
                <w:bCs/>
                <w:sz w:val="24"/>
                <w:szCs w:val="24"/>
                <w:highlight w:val="yellow"/>
              </w:rPr>
            </w:pPr>
            <w:r w:rsidRPr="00500637">
              <w:rPr>
                <w:rFonts w:ascii="Times New Roman" w:hAnsi="Times New Roman"/>
                <w:sz w:val="24"/>
              </w:rPr>
              <w:t>{0253;0010}</w:t>
            </w:r>
          </w:p>
        </w:tc>
        <w:tc>
          <w:tcPr>
            <w:tcW w:w="7566" w:type="dxa"/>
            <w:tcBorders>
              <w:bottom w:val="single" w:sz="4" w:space="0" w:color="auto"/>
            </w:tcBorders>
            <w:vAlign w:val="center"/>
          </w:tcPr>
          <w:p w14:paraId="050310BA" w14:textId="77777777" w:rsidR="00EC6F1E" w:rsidRPr="00500637" w:rsidRDefault="00EC6F1E"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 Ausgeschlossene bei Triparty Agents hinterlegte überschüssige Sicherheiten</w:t>
            </w:r>
          </w:p>
          <w:p w14:paraId="209C179F" w14:textId="4EA76EF8" w:rsidR="00EC6F1E" w:rsidRPr="00500637" w:rsidRDefault="00A42B1A"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429a Absatz 1 Buchstabe k der Verordnung (EU) Nr. 575/2013</w:t>
            </w:r>
          </w:p>
          <w:p w14:paraId="64B746C7" w14:textId="3E23835E" w:rsidR="00EC6F1E" w:rsidRPr="00500637" w:rsidRDefault="00EC6F1E"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nicht verliehenen, bei Triparty Agents hinterlegten überschüssigen Sicherheiten, die gemäß Artikel 429a Absatz 1 Buchstabe k ausgeschlossen werden können.</w:t>
            </w:r>
          </w:p>
          <w:p w14:paraId="7D107153" w14:textId="22433B1F" w:rsidR="00EC6F1E" w:rsidRPr="00500637" w:rsidRDefault="00EC6F1E" w:rsidP="000B66BC">
            <w:pPr>
              <w:pStyle w:val="BodyText1"/>
              <w:spacing w:after="240" w:line="240" w:lineRule="auto"/>
              <w:rPr>
                <w:rFonts w:ascii="Times New Roman" w:hAnsi="Times New Roman"/>
                <w:b/>
                <w:bCs/>
                <w:color w:val="auto"/>
                <w:sz w:val="24"/>
                <w:szCs w:val="24"/>
              </w:rPr>
            </w:pPr>
            <w:r w:rsidRPr="00500637">
              <w:rPr>
                <w:rFonts w:ascii="Times New Roman" w:hAnsi="Times New Roman"/>
                <w:sz w:val="24"/>
              </w:rPr>
              <w:t>Der gemeldete Betrag ist auch in den vorangehenden anwendbaren Feldern auszuweisen, so als gälte keine Ausnahme.</w:t>
            </w:r>
          </w:p>
        </w:tc>
      </w:tr>
      <w:tr w:rsidR="00EC6F1E" w:rsidRPr="00500637" w14:paraId="54166E91" w14:textId="77777777" w:rsidTr="008979D2">
        <w:trPr>
          <w:trHeight w:val="304"/>
        </w:trPr>
        <w:tc>
          <w:tcPr>
            <w:tcW w:w="1555" w:type="dxa"/>
            <w:tcBorders>
              <w:bottom w:val="single" w:sz="4" w:space="0" w:color="auto"/>
            </w:tcBorders>
            <w:vAlign w:val="center"/>
          </w:tcPr>
          <w:p w14:paraId="5E8D1AF5" w14:textId="6DF49680" w:rsidR="00EC6F1E" w:rsidRPr="00500637" w:rsidRDefault="00EC6F1E" w:rsidP="000B66BC">
            <w:pPr>
              <w:pStyle w:val="BodyText1"/>
              <w:spacing w:after="240"/>
              <w:rPr>
                <w:rFonts w:ascii="Times New Roman" w:hAnsi="Times New Roman"/>
                <w:bCs/>
                <w:sz w:val="24"/>
                <w:szCs w:val="24"/>
              </w:rPr>
            </w:pPr>
            <w:r w:rsidRPr="00500637">
              <w:rPr>
                <w:rFonts w:ascii="Times New Roman" w:hAnsi="Times New Roman"/>
                <w:sz w:val="24"/>
              </w:rPr>
              <w:t>{0254;0010}</w:t>
            </w:r>
          </w:p>
        </w:tc>
        <w:tc>
          <w:tcPr>
            <w:tcW w:w="7566" w:type="dxa"/>
            <w:tcBorders>
              <w:bottom w:val="single" w:sz="4" w:space="0" w:color="auto"/>
            </w:tcBorders>
            <w:vAlign w:val="center"/>
          </w:tcPr>
          <w:p w14:paraId="665021DC" w14:textId="77777777" w:rsidR="00EC6F1E" w:rsidRPr="00500637" w:rsidRDefault="00EC6F1E"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 xml:space="preserve">(-) Ausgeschlossene verbriefte Risikopositionen, die die Übertragung eines signifikanten Risikos darstellen </w:t>
            </w:r>
          </w:p>
          <w:p w14:paraId="69C77F33" w14:textId="08590D91" w:rsidR="00EC6F1E" w:rsidRPr="00500637" w:rsidRDefault="00A42B1A"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429a Absatz 1 Buchstabe m der Verordnung (EU) Nr. 575/2013</w:t>
            </w:r>
          </w:p>
          <w:p w14:paraId="17E7D3CF" w14:textId="77777777" w:rsidR="00EC6F1E" w:rsidRPr="00500637" w:rsidRDefault="00EC6F1E"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verbrieften Risikopositionen aus traditionellen Verbriefungen, die die in Artikel 244 Absatz 2 festgelegten Bedingungen für die Übertragung eines signifikanten Risikos erfüllen.</w:t>
            </w:r>
          </w:p>
          <w:p w14:paraId="56BAB74A" w14:textId="083FCC3D" w:rsidR="00EC6F1E" w:rsidRPr="00500637" w:rsidRDefault="00EC6F1E" w:rsidP="000B66BC">
            <w:pPr>
              <w:pStyle w:val="BodyText1"/>
              <w:spacing w:after="240" w:line="240" w:lineRule="auto"/>
              <w:rPr>
                <w:rFonts w:ascii="Times New Roman" w:hAnsi="Times New Roman"/>
                <w:b/>
                <w:bCs/>
                <w:color w:val="auto"/>
                <w:sz w:val="24"/>
                <w:szCs w:val="24"/>
              </w:rPr>
            </w:pPr>
            <w:r w:rsidRPr="00500637">
              <w:rPr>
                <w:rFonts w:ascii="Times New Roman" w:hAnsi="Times New Roman"/>
                <w:sz w:val="24"/>
              </w:rPr>
              <w:t>Der gemeldete Betrag ist auch in den vorangehenden anwendbaren Feldern auszuweisen, so als gälte keine Ausnahme.</w:t>
            </w:r>
          </w:p>
        </w:tc>
      </w:tr>
      <w:tr w:rsidR="00EC6F1E" w:rsidRPr="00500637" w14:paraId="7069054A" w14:textId="77777777" w:rsidTr="008979D2">
        <w:trPr>
          <w:trHeight w:val="304"/>
        </w:trPr>
        <w:tc>
          <w:tcPr>
            <w:tcW w:w="1555" w:type="dxa"/>
            <w:tcBorders>
              <w:bottom w:val="single" w:sz="4" w:space="0" w:color="auto"/>
            </w:tcBorders>
            <w:vAlign w:val="center"/>
          </w:tcPr>
          <w:p w14:paraId="7B9CA4F6" w14:textId="3C428DC7" w:rsidR="00EC6F1E" w:rsidRPr="00500637" w:rsidRDefault="00EC6F1E" w:rsidP="000B66BC">
            <w:pPr>
              <w:pStyle w:val="BodyText1"/>
              <w:spacing w:after="240"/>
              <w:rPr>
                <w:rFonts w:ascii="Times New Roman" w:hAnsi="Times New Roman"/>
                <w:bCs/>
                <w:sz w:val="24"/>
                <w:szCs w:val="24"/>
              </w:rPr>
            </w:pPr>
            <w:r w:rsidRPr="00500637">
              <w:rPr>
                <w:rFonts w:ascii="Times New Roman" w:hAnsi="Times New Roman"/>
                <w:sz w:val="24"/>
              </w:rPr>
              <w:t>{0255;0010}</w:t>
            </w:r>
          </w:p>
        </w:tc>
        <w:tc>
          <w:tcPr>
            <w:tcW w:w="7566" w:type="dxa"/>
            <w:tcBorders>
              <w:bottom w:val="single" w:sz="4" w:space="0" w:color="auto"/>
            </w:tcBorders>
            <w:vAlign w:val="center"/>
          </w:tcPr>
          <w:p w14:paraId="43716DF9" w14:textId="5295AF58" w:rsidR="00EC6F1E" w:rsidRPr="00500637" w:rsidRDefault="00EC6F1E" w:rsidP="000B66BC">
            <w:pPr>
              <w:pStyle w:val="BodyText1"/>
              <w:spacing w:after="240" w:line="240" w:lineRule="auto"/>
              <w:rPr>
                <w:rFonts w:ascii="Times New Roman" w:hAnsi="Times New Roman"/>
                <w:color w:val="auto"/>
                <w:sz w:val="24"/>
                <w:szCs w:val="24"/>
              </w:rPr>
            </w:pPr>
            <w:r w:rsidRPr="00500637">
              <w:rPr>
                <w:rFonts w:ascii="Times New Roman" w:hAnsi="Times New Roman"/>
                <w:b/>
                <w:color w:val="auto"/>
                <w:sz w:val="24"/>
              </w:rPr>
              <w:t>(-) Risikopositionen gegenüber der Zentralbank, die gemäß Artikel 429a Absatz 1 Buchstabe n CRR ausgeschlossen werden können</w:t>
            </w:r>
          </w:p>
          <w:p w14:paraId="737C879F" w14:textId="5B6A359D" w:rsidR="00EC6F1E" w:rsidRPr="00500637" w:rsidRDefault="00DE2482"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429a Absatz 1 Buchstabe n der Verordnung (EU) Nr. 575/2013</w:t>
            </w:r>
          </w:p>
          <w:p w14:paraId="300950AF" w14:textId="128AE793" w:rsidR="00EC6F1E" w:rsidRPr="00500637" w:rsidRDefault="00EC6F1E" w:rsidP="000B66BC">
            <w:pPr>
              <w:pStyle w:val="BodyText1"/>
              <w:spacing w:after="240" w:line="240" w:lineRule="auto"/>
              <w:rPr>
                <w:rFonts w:ascii="Times New Roman" w:hAnsi="Times New Roman"/>
                <w:b/>
                <w:bCs/>
                <w:color w:val="auto"/>
                <w:sz w:val="24"/>
                <w:szCs w:val="24"/>
              </w:rPr>
            </w:pPr>
            <w:r w:rsidRPr="00500637">
              <w:rPr>
                <w:rFonts w:ascii="Times New Roman" w:hAnsi="Times New Roman"/>
                <w:sz w:val="24"/>
              </w:rPr>
              <w:t>Der gemeldete Betrag ist auch in den vorangehenden anwendbaren Feldern auszuweisen, so als gälte keine Ausnahme.</w:t>
            </w:r>
          </w:p>
        </w:tc>
      </w:tr>
    </w:tbl>
    <w:p w14:paraId="64F485B2" w14:textId="77777777" w:rsidR="00500637" w:rsidRDefault="00500637">
      <w:r>
        <w:br w:type="page"/>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7566"/>
      </w:tblGrid>
      <w:tr w:rsidR="00EC6F1E" w:rsidRPr="00500637" w14:paraId="54E04016" w14:textId="77777777" w:rsidTr="008979D2">
        <w:trPr>
          <w:trHeight w:val="304"/>
        </w:trPr>
        <w:tc>
          <w:tcPr>
            <w:tcW w:w="1555" w:type="dxa"/>
            <w:tcBorders>
              <w:bottom w:val="single" w:sz="4" w:space="0" w:color="auto"/>
            </w:tcBorders>
            <w:vAlign w:val="center"/>
          </w:tcPr>
          <w:p w14:paraId="07FCDF2C" w14:textId="33BFED04" w:rsidR="00EC6F1E" w:rsidRPr="00500637" w:rsidRDefault="00EC6F1E" w:rsidP="000B66BC">
            <w:pPr>
              <w:pStyle w:val="BodyText1"/>
              <w:spacing w:after="240"/>
              <w:rPr>
                <w:rFonts w:ascii="Times New Roman" w:hAnsi="Times New Roman"/>
                <w:bCs/>
                <w:sz w:val="24"/>
                <w:szCs w:val="24"/>
              </w:rPr>
            </w:pPr>
            <w:r w:rsidRPr="00500637">
              <w:rPr>
                <w:rFonts w:ascii="Times New Roman" w:hAnsi="Times New Roman"/>
                <w:sz w:val="24"/>
              </w:rPr>
              <w:lastRenderedPageBreak/>
              <w:t>{0256;0010}</w:t>
            </w:r>
          </w:p>
        </w:tc>
        <w:tc>
          <w:tcPr>
            <w:tcW w:w="7566" w:type="dxa"/>
            <w:tcBorders>
              <w:bottom w:val="single" w:sz="4" w:space="0" w:color="auto"/>
            </w:tcBorders>
            <w:vAlign w:val="center"/>
          </w:tcPr>
          <w:p w14:paraId="0B0A550F" w14:textId="14979BE2" w:rsidR="00EC6F1E" w:rsidRPr="00500637" w:rsidRDefault="00EC6F1E" w:rsidP="000B66BC">
            <w:pPr>
              <w:pStyle w:val="BodyText1"/>
              <w:spacing w:after="240" w:line="240" w:lineRule="auto"/>
              <w:rPr>
                <w:rFonts w:ascii="Times New Roman" w:hAnsi="Times New Roman"/>
                <w:b/>
                <w:color w:val="auto"/>
                <w:sz w:val="24"/>
                <w:szCs w:val="24"/>
              </w:rPr>
            </w:pPr>
            <w:r w:rsidRPr="00500637">
              <w:rPr>
                <w:rFonts w:ascii="Times New Roman" w:hAnsi="Times New Roman"/>
                <w:b/>
                <w:bCs/>
                <w:sz w:val="24"/>
              </w:rPr>
              <w:t xml:space="preserve">(-) Ausgeschlossene bankartige Nebendienstleistungen von CSD/Instituten gemäß Artikel 429a Absatz 1 Buchstabe o der </w:t>
            </w:r>
            <w:r w:rsidRPr="00500637">
              <w:rPr>
                <w:rFonts w:ascii="Times New Roman" w:hAnsi="Times New Roman"/>
                <w:b/>
                <w:bCs/>
                <w:color w:val="auto"/>
                <w:sz w:val="24"/>
              </w:rPr>
              <w:t>Verordnung (EU) Nr. 575/2013</w:t>
            </w:r>
          </w:p>
          <w:p w14:paraId="5D17ABE6" w14:textId="1743EA65" w:rsidR="00EC6F1E" w:rsidRPr="00500637" w:rsidRDefault="00F82681"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429a Absatz 1 Buchstabe o der Verordnung (EU) Nr. 575/2013</w:t>
            </w:r>
          </w:p>
          <w:p w14:paraId="2A59DF82" w14:textId="75E2BAB5" w:rsidR="00EC6F1E" w:rsidRPr="00500637" w:rsidRDefault="00EC6F1E" w:rsidP="000B66BC">
            <w:pPr>
              <w:pStyle w:val="BodyText1"/>
              <w:spacing w:after="240" w:line="240" w:lineRule="auto"/>
              <w:rPr>
                <w:rFonts w:ascii="Times New Roman" w:hAnsi="Times New Roman"/>
                <w:b/>
                <w:bCs/>
                <w:color w:val="auto"/>
                <w:sz w:val="24"/>
                <w:szCs w:val="24"/>
              </w:rPr>
            </w:pPr>
            <w:r w:rsidRPr="00500637">
              <w:rPr>
                <w:rFonts w:ascii="Times New Roman" w:hAnsi="Times New Roman"/>
                <w:sz w:val="24"/>
              </w:rPr>
              <w:t>Der gemeldete Betrag ist auch in den vorangehenden anwendbaren Feldern auszuweisen, so als gälte keine Ausnahme.</w:t>
            </w:r>
          </w:p>
        </w:tc>
      </w:tr>
      <w:tr w:rsidR="00EC6F1E" w:rsidRPr="00500637" w14:paraId="796C7E67" w14:textId="77777777" w:rsidTr="008979D2">
        <w:trPr>
          <w:trHeight w:val="304"/>
        </w:trPr>
        <w:tc>
          <w:tcPr>
            <w:tcW w:w="1555" w:type="dxa"/>
            <w:tcBorders>
              <w:bottom w:val="single" w:sz="4" w:space="0" w:color="auto"/>
            </w:tcBorders>
            <w:vAlign w:val="center"/>
          </w:tcPr>
          <w:p w14:paraId="3A077F3C" w14:textId="5BBF63E4" w:rsidR="00EC6F1E" w:rsidRPr="00500637" w:rsidRDefault="0001312C" w:rsidP="000B66BC">
            <w:pPr>
              <w:pStyle w:val="BodyText1"/>
              <w:spacing w:after="240"/>
              <w:rPr>
                <w:rFonts w:ascii="Times New Roman" w:hAnsi="Times New Roman"/>
                <w:bCs/>
                <w:sz w:val="24"/>
                <w:szCs w:val="24"/>
              </w:rPr>
            </w:pPr>
            <w:r w:rsidRPr="00500637">
              <w:rPr>
                <w:rFonts w:ascii="Times New Roman" w:hAnsi="Times New Roman"/>
                <w:sz w:val="24"/>
              </w:rPr>
              <w:t>{0257;0010}</w:t>
            </w:r>
          </w:p>
        </w:tc>
        <w:tc>
          <w:tcPr>
            <w:tcW w:w="7566" w:type="dxa"/>
            <w:tcBorders>
              <w:bottom w:val="single" w:sz="4" w:space="0" w:color="auto"/>
            </w:tcBorders>
            <w:vAlign w:val="center"/>
          </w:tcPr>
          <w:p w14:paraId="4CA8E235" w14:textId="7031D048" w:rsidR="00EC6F1E" w:rsidRPr="00500637" w:rsidRDefault="00EC6F1E"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 Ausgeschlossene bankartige Nebendienstleistungen benannter Institute gemäß Artikel 429a Absatz 1 Buchstabe p CRR</w:t>
            </w:r>
          </w:p>
          <w:p w14:paraId="290DEB1D" w14:textId="2383EE7F" w:rsidR="00F82681" w:rsidRPr="00500637" w:rsidRDefault="00B329C6" w:rsidP="000B66BC">
            <w:pPr>
              <w:pStyle w:val="BodyText1"/>
              <w:spacing w:after="240" w:line="240" w:lineRule="auto"/>
              <w:rPr>
                <w:rFonts w:ascii="Times New Roman" w:hAnsi="Times New Roman"/>
                <w:color w:val="auto"/>
                <w:sz w:val="24"/>
                <w:szCs w:val="24"/>
              </w:rPr>
            </w:pPr>
            <w:r w:rsidRPr="00500637">
              <w:rPr>
                <w:rFonts w:ascii="Times New Roman" w:hAnsi="Times New Roman"/>
                <w:sz w:val="24"/>
              </w:rPr>
              <w:t>Artikel 429a Absatz 1 Buchstabe p der Verordnung (EU) Nr. 575/2013</w:t>
            </w:r>
          </w:p>
          <w:p w14:paraId="302E407B" w14:textId="2195E524" w:rsidR="00EC6F1E" w:rsidRPr="00500637" w:rsidRDefault="00EC6F1E" w:rsidP="000B66BC">
            <w:pPr>
              <w:pStyle w:val="BodyText1"/>
              <w:spacing w:after="240" w:line="240" w:lineRule="auto"/>
              <w:rPr>
                <w:rFonts w:ascii="Times New Roman" w:hAnsi="Times New Roman"/>
                <w:b/>
                <w:bCs/>
                <w:color w:val="auto"/>
                <w:sz w:val="24"/>
                <w:szCs w:val="24"/>
              </w:rPr>
            </w:pPr>
            <w:r w:rsidRPr="00500637">
              <w:rPr>
                <w:rFonts w:ascii="Times New Roman" w:hAnsi="Times New Roman"/>
                <w:sz w:val="24"/>
              </w:rPr>
              <w:t>Der gemeldete Betrag ist auch in den vorangehenden anwendbaren Feldern auszuweisen, so als gälte keine Ausnahme.</w:t>
            </w:r>
          </w:p>
        </w:tc>
      </w:tr>
      <w:tr w:rsidR="00CB48CC" w:rsidRPr="00500637" w14:paraId="759771C3" w14:textId="77777777" w:rsidTr="008979D2">
        <w:trPr>
          <w:trHeight w:val="304"/>
        </w:trPr>
        <w:tc>
          <w:tcPr>
            <w:tcW w:w="1555" w:type="dxa"/>
            <w:tcBorders>
              <w:bottom w:val="single" w:sz="4" w:space="0" w:color="auto"/>
            </w:tcBorders>
          </w:tcPr>
          <w:p w14:paraId="523A3FCF" w14:textId="6DF532E0"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t>{0260;0010}</w:t>
            </w:r>
          </w:p>
        </w:tc>
        <w:tc>
          <w:tcPr>
            <w:tcW w:w="7566" w:type="dxa"/>
            <w:tcBorders>
              <w:bottom w:val="single" w:sz="4" w:space="0" w:color="auto"/>
            </w:tcBorders>
          </w:tcPr>
          <w:p w14:paraId="1FAED4EC" w14:textId="176154C2"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b/>
                <w:sz w:val="24"/>
              </w:rPr>
              <w:t>(-) Risikopositionen, die gemäß Artikel 429a Absatz 1 Buchstabe j CRR ausgeschlossen werden können</w:t>
            </w:r>
          </w:p>
          <w:p w14:paraId="218BC8E5" w14:textId="0EE868DE" w:rsidR="00CB48CC" w:rsidRPr="00500637" w:rsidRDefault="00B329C6"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429a Absatz 1 Buchstabe j der Verordnung (EU) Nr. 575/2013</w:t>
            </w:r>
          </w:p>
          <w:p w14:paraId="3A1ACCB0" w14:textId="050BCAC5"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Risikopositionen, die gemäß Artikel 429 Absatz 1 Buchstabe j der Verordnung (EU) Nr. 575/2013 ausgeschlossen werden können, sofern die dort genannten Anforderungen erfüllt sind.</w:t>
            </w:r>
          </w:p>
          <w:p w14:paraId="639566D9" w14:textId="70FB6A4B" w:rsidR="00CB48CC" w:rsidRPr="00500637" w:rsidRDefault="00CB48CC" w:rsidP="000B66BC">
            <w:pPr>
              <w:pStyle w:val="BodyText1"/>
              <w:spacing w:after="240" w:line="240" w:lineRule="auto"/>
              <w:rPr>
                <w:rFonts w:ascii="Times New Roman" w:hAnsi="Times New Roman"/>
                <w:b/>
                <w:bCs/>
                <w:sz w:val="24"/>
                <w:szCs w:val="24"/>
              </w:rPr>
            </w:pPr>
            <w:r w:rsidRPr="00500637">
              <w:rPr>
                <w:rFonts w:ascii="Times New Roman" w:hAnsi="Times New Roman"/>
                <w:sz w:val="24"/>
              </w:rPr>
              <w:t>Der gemeldete Betrag ist auch in den vorangehenden anwendbaren Feldern auszuweisen, so als gälte keine Ausnahme.</w:t>
            </w:r>
          </w:p>
        </w:tc>
      </w:tr>
      <w:tr w:rsidR="00CB48CC" w:rsidRPr="00500637" w14:paraId="4D2ECF18" w14:textId="77777777" w:rsidTr="008979D2">
        <w:trPr>
          <w:trHeight w:val="304"/>
        </w:trPr>
        <w:tc>
          <w:tcPr>
            <w:tcW w:w="1555" w:type="dxa"/>
            <w:tcBorders>
              <w:bottom w:val="single" w:sz="4" w:space="0" w:color="auto"/>
            </w:tcBorders>
            <w:vAlign w:val="center"/>
          </w:tcPr>
          <w:p w14:paraId="4DF44B5D" w14:textId="2AAC5E7C" w:rsidR="00CB48CC" w:rsidRPr="00500637" w:rsidRDefault="00946138" w:rsidP="000B66BC">
            <w:pPr>
              <w:pStyle w:val="BodyText1"/>
              <w:spacing w:after="240"/>
              <w:rPr>
                <w:rFonts w:ascii="Times New Roman" w:hAnsi="Times New Roman"/>
                <w:bCs/>
                <w:sz w:val="24"/>
                <w:szCs w:val="24"/>
                <w:highlight w:val="yellow"/>
              </w:rPr>
            </w:pPr>
            <w:r w:rsidRPr="00500637">
              <w:rPr>
                <w:rFonts w:ascii="Times New Roman" w:hAnsi="Times New Roman"/>
                <w:sz w:val="24"/>
              </w:rPr>
              <w:t>{0261;0010}</w:t>
            </w:r>
          </w:p>
        </w:tc>
        <w:tc>
          <w:tcPr>
            <w:tcW w:w="7566" w:type="dxa"/>
            <w:tcBorders>
              <w:bottom w:val="single" w:sz="4" w:space="0" w:color="auto"/>
            </w:tcBorders>
            <w:vAlign w:val="center"/>
          </w:tcPr>
          <w:p w14:paraId="7117C87C" w14:textId="7829B627" w:rsidR="00743C1E" w:rsidRPr="00500637" w:rsidRDefault="009D46F6" w:rsidP="000B66BC">
            <w:pPr>
              <w:pStyle w:val="BodyText1"/>
              <w:spacing w:after="240" w:line="240" w:lineRule="auto"/>
              <w:rPr>
                <w:rFonts w:ascii="Times New Roman" w:hAnsi="Times New Roman"/>
                <w:color w:val="auto"/>
                <w:sz w:val="24"/>
                <w:szCs w:val="24"/>
              </w:rPr>
            </w:pPr>
            <w:r w:rsidRPr="00500637">
              <w:rPr>
                <w:rFonts w:ascii="Times New Roman" w:hAnsi="Times New Roman"/>
                <w:color w:val="auto"/>
                <w:sz w:val="24"/>
              </w:rPr>
              <w:t xml:space="preserve"> </w:t>
            </w:r>
            <w:r w:rsidRPr="00500637">
              <w:rPr>
                <w:rFonts w:ascii="Times New Roman" w:hAnsi="Times New Roman"/>
                <w:b/>
                <w:color w:val="auto"/>
                <w:sz w:val="24"/>
              </w:rPr>
              <w:t>(-) Ausgenommene Risikopositionen öffentlicher Entwicklungsbanken – Investitionen des öffentlichen Sektors</w:t>
            </w:r>
          </w:p>
          <w:p w14:paraId="387343FE" w14:textId="306E8AEF" w:rsidR="00743C1E" w:rsidRPr="00500637" w:rsidRDefault="00993549"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429a Absatz 1 Buchstabe d und Absatz 2 der Verordnung (EU) Nr. 575/2013</w:t>
            </w:r>
          </w:p>
          <w:p w14:paraId="740BFE27" w14:textId="1BD4C27A" w:rsidR="00743C1E" w:rsidRPr="00500637" w:rsidRDefault="00743C1E" w:rsidP="000B66BC">
            <w:pPr>
              <w:pStyle w:val="BodyText1"/>
              <w:spacing w:after="240" w:line="240" w:lineRule="auto"/>
              <w:rPr>
                <w:rFonts w:ascii="Times New Roman" w:hAnsi="Times New Roman"/>
                <w:color w:val="auto"/>
                <w:sz w:val="24"/>
                <w:szCs w:val="24"/>
              </w:rPr>
            </w:pPr>
            <w:r w:rsidRPr="00500637">
              <w:rPr>
                <w:rFonts w:ascii="Times New Roman" w:hAnsi="Times New Roman"/>
                <w:sz w:val="24"/>
              </w:rPr>
              <w:t>Die Risikopositionen aus Aktiva, die Forderungen an Zentralstaaten, regionale oder lokale Gebietskörperschaften oder öffentliche Stellen im Zusammenhang mit öffentlichen Investitionen darstellen, die gemäß Artikel 429a Absatz 1 Buchstabe d der Verordnung (EU) Nr. 575/2013 ausgeschlossen werden können.</w:t>
            </w:r>
          </w:p>
          <w:p w14:paraId="0B2209FE" w14:textId="4A72C105" w:rsidR="000F5958" w:rsidRPr="00500637" w:rsidRDefault="000F5958" w:rsidP="000B66BC">
            <w:pPr>
              <w:pStyle w:val="BodyText1"/>
              <w:spacing w:after="240" w:line="240" w:lineRule="auto"/>
              <w:rPr>
                <w:rFonts w:ascii="Times New Roman" w:hAnsi="Times New Roman"/>
                <w:color w:val="auto"/>
                <w:sz w:val="24"/>
                <w:szCs w:val="24"/>
              </w:rPr>
            </w:pPr>
            <w:r w:rsidRPr="00500637">
              <w:rPr>
                <w:rFonts w:ascii="Times New Roman" w:hAnsi="Times New Roman"/>
                <w:color w:val="auto"/>
                <w:sz w:val="24"/>
              </w:rPr>
              <w:t>Gilt die Forderung auch als Förderdarlehen nach Artikel 429a Absatz 3, wird sie nicht in diesem Feld, sondern gegebenenfalls in den Zeilen 0262-0264 ausgewiesen.</w:t>
            </w:r>
          </w:p>
          <w:p w14:paraId="1F103E32" w14:textId="51AB418A" w:rsidR="00743C1E" w:rsidRPr="00500637" w:rsidRDefault="00743C1E" w:rsidP="000B66BC">
            <w:pPr>
              <w:pStyle w:val="BodyText1"/>
              <w:spacing w:after="240" w:line="240" w:lineRule="auto"/>
              <w:rPr>
                <w:rFonts w:ascii="Times New Roman" w:hAnsi="Times New Roman"/>
                <w:b/>
                <w:bCs/>
                <w:color w:val="auto"/>
                <w:sz w:val="24"/>
                <w:szCs w:val="24"/>
              </w:rPr>
            </w:pPr>
            <w:r w:rsidRPr="00500637">
              <w:rPr>
                <w:rFonts w:ascii="Times New Roman" w:hAnsi="Times New Roman"/>
                <w:sz w:val="24"/>
              </w:rPr>
              <w:t>Der gemeldete Betrag ist auch in den vorangehenden anwendbaren Feldern auszuweisen, so als gälte keine Ausnahme.</w:t>
            </w:r>
          </w:p>
        </w:tc>
      </w:tr>
    </w:tbl>
    <w:p w14:paraId="602AAC61" w14:textId="77777777" w:rsidR="00500637" w:rsidRDefault="00500637">
      <w:r>
        <w:br w:type="page"/>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7566"/>
      </w:tblGrid>
      <w:tr w:rsidR="00CB48CC" w:rsidRPr="00500637" w14:paraId="53C01F29" w14:textId="77777777" w:rsidTr="008979D2">
        <w:trPr>
          <w:trHeight w:val="304"/>
        </w:trPr>
        <w:tc>
          <w:tcPr>
            <w:tcW w:w="1555" w:type="dxa"/>
            <w:tcBorders>
              <w:bottom w:val="single" w:sz="4" w:space="0" w:color="auto"/>
            </w:tcBorders>
            <w:vAlign w:val="center"/>
          </w:tcPr>
          <w:p w14:paraId="17CB97C6" w14:textId="13B9F64D" w:rsidR="00CB48CC" w:rsidRPr="00500637" w:rsidRDefault="00946138" w:rsidP="000B66BC">
            <w:pPr>
              <w:pStyle w:val="BodyText1"/>
              <w:spacing w:after="240"/>
              <w:rPr>
                <w:rFonts w:ascii="Times New Roman" w:hAnsi="Times New Roman"/>
                <w:bCs/>
                <w:sz w:val="24"/>
                <w:szCs w:val="24"/>
                <w:highlight w:val="yellow"/>
              </w:rPr>
            </w:pPr>
            <w:r w:rsidRPr="00500637">
              <w:rPr>
                <w:rFonts w:ascii="Times New Roman" w:hAnsi="Times New Roman"/>
                <w:sz w:val="24"/>
              </w:rPr>
              <w:lastRenderedPageBreak/>
              <w:t>{0262;0010}</w:t>
            </w:r>
          </w:p>
        </w:tc>
        <w:tc>
          <w:tcPr>
            <w:tcW w:w="7566" w:type="dxa"/>
            <w:tcBorders>
              <w:bottom w:val="single" w:sz="4" w:space="0" w:color="auto"/>
            </w:tcBorders>
            <w:vAlign w:val="center"/>
          </w:tcPr>
          <w:p w14:paraId="788A486A" w14:textId="77777777" w:rsidR="00946138" w:rsidRPr="00500637" w:rsidRDefault="00946138"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 Ausgenommene Risikopositionen öffentlicher Entwicklungsbanken – von einer öffentlichen Entwicklungsbank vergebene Förderdarlehen</w:t>
            </w:r>
          </w:p>
          <w:p w14:paraId="30828A29" w14:textId="4C357904" w:rsidR="00743C1E" w:rsidRPr="00500637" w:rsidRDefault="00542529"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429a Absatz 1 Buchstabe d und Absätze 2 und 3 der Verordnung (EU) Nr. 575/2013</w:t>
            </w:r>
          </w:p>
          <w:p w14:paraId="672E00E2" w14:textId="08CD6F59" w:rsidR="00743C1E" w:rsidRPr="00500637" w:rsidRDefault="00743C1E" w:rsidP="000B66BC">
            <w:pPr>
              <w:pStyle w:val="BodyText1"/>
              <w:spacing w:after="240" w:line="240" w:lineRule="auto"/>
              <w:rPr>
                <w:rFonts w:ascii="Times New Roman" w:hAnsi="Times New Roman"/>
                <w:b/>
                <w:bCs/>
                <w:color w:val="auto"/>
                <w:sz w:val="24"/>
                <w:szCs w:val="24"/>
              </w:rPr>
            </w:pPr>
            <w:r w:rsidRPr="00500637">
              <w:rPr>
                <w:rFonts w:ascii="Times New Roman" w:hAnsi="Times New Roman"/>
                <w:sz w:val="24"/>
              </w:rPr>
              <w:t>Die Risikopositionen, die aus von einer öffentlichen Entwicklungsbank gewährten Förderdarlehen, einschließlich der Weitergabe von Förderdarlehen, resultieren, die gemäß Artikel 429a Absatz 1 Buchstabe d der Verordnung (EU) Nr. 575/2013 ausgeschlossen werden können.</w:t>
            </w:r>
            <w:r w:rsidRPr="00500637">
              <w:rPr>
                <w:rFonts w:ascii="Times New Roman" w:hAnsi="Times New Roman"/>
                <w:color w:val="auto"/>
                <w:sz w:val="24"/>
              </w:rPr>
              <w:t xml:space="preserve"> </w:t>
            </w:r>
            <w:r w:rsidRPr="00500637">
              <w:rPr>
                <w:rFonts w:ascii="Times New Roman" w:hAnsi="Times New Roman"/>
                <w:sz w:val="24"/>
              </w:rPr>
              <w:t>Risikopositionen einer Einheit eines Instituts, das von einer zuständigen Behörde nach Artikel 429a Absatz 2 letzter Unterabsatz der Verordnung (EU) Nr. 575/2013 als öffentliche Entwicklungsbank behandelt wird, werden ebenfalls berücksichtigt.</w:t>
            </w:r>
          </w:p>
          <w:p w14:paraId="64C77AD5" w14:textId="227981CE" w:rsidR="00743C1E" w:rsidRPr="00500637" w:rsidRDefault="00743C1E" w:rsidP="000B66BC">
            <w:pPr>
              <w:pStyle w:val="BodyText1"/>
              <w:spacing w:after="240" w:line="240" w:lineRule="auto"/>
              <w:rPr>
                <w:rFonts w:ascii="Times New Roman" w:hAnsi="Times New Roman"/>
                <w:b/>
                <w:bCs/>
                <w:color w:val="auto"/>
                <w:sz w:val="24"/>
                <w:szCs w:val="24"/>
              </w:rPr>
            </w:pPr>
            <w:r w:rsidRPr="00500637">
              <w:rPr>
                <w:rFonts w:ascii="Times New Roman" w:hAnsi="Times New Roman"/>
                <w:sz w:val="24"/>
              </w:rPr>
              <w:t>Der gemeldete Betrag ist auch in den vorangehenden anwendbaren Feldern auszuweisen, so als gälte keine Ausnahme.</w:t>
            </w:r>
          </w:p>
        </w:tc>
      </w:tr>
      <w:tr w:rsidR="00CB48CC" w:rsidRPr="00500637" w14:paraId="00B60DDD" w14:textId="77777777" w:rsidTr="008979D2">
        <w:trPr>
          <w:trHeight w:val="304"/>
        </w:trPr>
        <w:tc>
          <w:tcPr>
            <w:tcW w:w="1555" w:type="dxa"/>
            <w:tcBorders>
              <w:bottom w:val="single" w:sz="4" w:space="0" w:color="auto"/>
            </w:tcBorders>
            <w:vAlign w:val="center"/>
          </w:tcPr>
          <w:p w14:paraId="0C78434F" w14:textId="7703C49F" w:rsidR="00CB48CC" w:rsidRPr="00500637" w:rsidRDefault="00946138" w:rsidP="000B66BC">
            <w:pPr>
              <w:pStyle w:val="BodyText1"/>
              <w:spacing w:after="240"/>
              <w:rPr>
                <w:rFonts w:ascii="Times New Roman" w:hAnsi="Times New Roman"/>
                <w:bCs/>
                <w:sz w:val="24"/>
                <w:szCs w:val="24"/>
                <w:highlight w:val="yellow"/>
              </w:rPr>
            </w:pPr>
            <w:r w:rsidRPr="00500637">
              <w:rPr>
                <w:rFonts w:ascii="Times New Roman" w:hAnsi="Times New Roman"/>
                <w:sz w:val="24"/>
              </w:rPr>
              <w:t>{0263;0010}</w:t>
            </w:r>
          </w:p>
        </w:tc>
        <w:tc>
          <w:tcPr>
            <w:tcW w:w="7566" w:type="dxa"/>
            <w:tcBorders>
              <w:bottom w:val="single" w:sz="4" w:space="0" w:color="auto"/>
            </w:tcBorders>
            <w:vAlign w:val="center"/>
          </w:tcPr>
          <w:p w14:paraId="7CBAF840" w14:textId="77777777" w:rsidR="00946138" w:rsidRPr="00500637" w:rsidRDefault="00946138"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 Ausgenommene Risikopositionen öffentlicher Entwicklungsbanken – Förderdarlehen, die von einer vom Zentralstaat oder von einer regionalen oder lokalen Gebietskörperschaft eines Mitgliedstaats direkt eingerichteten Stelle vergeben werden</w:t>
            </w:r>
          </w:p>
          <w:p w14:paraId="4B17F8AE" w14:textId="36E2BB1D" w:rsidR="009D46F6" w:rsidRPr="00500637" w:rsidRDefault="00C36AC0"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429a Absatz 1 Buchstabe d und Absätze 2 und 3 der Verordnung (EU) Nr. 575/2013</w:t>
            </w:r>
          </w:p>
          <w:p w14:paraId="6FAF30DE" w14:textId="69B451A9" w:rsidR="00E849C2" w:rsidRPr="00500637" w:rsidRDefault="00E849C2" w:rsidP="000B66BC">
            <w:pPr>
              <w:pStyle w:val="BodyText1"/>
              <w:spacing w:after="240" w:line="240" w:lineRule="auto"/>
              <w:rPr>
                <w:rFonts w:ascii="Times New Roman" w:hAnsi="Times New Roman"/>
                <w:color w:val="auto"/>
                <w:sz w:val="24"/>
                <w:szCs w:val="24"/>
              </w:rPr>
            </w:pPr>
            <w:r w:rsidRPr="00500637">
              <w:rPr>
                <w:rFonts w:ascii="Times New Roman" w:hAnsi="Times New Roman"/>
                <w:sz w:val="24"/>
              </w:rPr>
              <w:t>Die Risikopositionen, die aus Förderdarlehen, einschließlich der Weitergabe von Förderdarlehen, resultieren, die von einem Unternehmen, das vom Zentralstaat oder einer regionalen oder lokalen Gebietskörperschaft eines Mitgliedstaats gegründet wurde, direkt gewährt werden und gemäß Artikel 429a Absatz 1 Buchstabe d der Verordnung (EU) Nr. 575/2013 ausgeschlossen werden können. Risikopositionen einer Einheit eines Instituts, das von einer zuständigen Behörde nach Artikel 429a Absatz 2 letzter Unterabsatz der Verordnung (EU) Nr. 575/2013 als öffentliche Entwicklungsbank behandelt wird, werden ebenfalls berücksichtigt.</w:t>
            </w:r>
          </w:p>
          <w:p w14:paraId="5A3364FC" w14:textId="2A7576CE" w:rsidR="00743C1E" w:rsidRPr="00500637" w:rsidRDefault="00743C1E" w:rsidP="000B66BC">
            <w:pPr>
              <w:pStyle w:val="BodyText1"/>
              <w:spacing w:after="240" w:line="240" w:lineRule="auto"/>
              <w:rPr>
                <w:rFonts w:ascii="Times New Roman" w:hAnsi="Times New Roman"/>
                <w:b/>
                <w:bCs/>
                <w:color w:val="auto"/>
                <w:sz w:val="24"/>
                <w:szCs w:val="24"/>
              </w:rPr>
            </w:pPr>
            <w:r w:rsidRPr="00500637">
              <w:rPr>
                <w:rFonts w:ascii="Times New Roman" w:hAnsi="Times New Roman"/>
                <w:sz w:val="24"/>
              </w:rPr>
              <w:t>Der gemeldete Betrag ist auch in den vorangehenden anwendbaren Feldern auszuweisen, so als gälte keine Ausnahme.</w:t>
            </w:r>
          </w:p>
        </w:tc>
      </w:tr>
      <w:tr w:rsidR="00CB48CC" w:rsidRPr="00500637" w14:paraId="24911276" w14:textId="77777777" w:rsidTr="008979D2">
        <w:trPr>
          <w:trHeight w:val="304"/>
        </w:trPr>
        <w:tc>
          <w:tcPr>
            <w:tcW w:w="1555" w:type="dxa"/>
            <w:tcBorders>
              <w:bottom w:val="single" w:sz="4" w:space="0" w:color="auto"/>
            </w:tcBorders>
            <w:vAlign w:val="center"/>
          </w:tcPr>
          <w:p w14:paraId="633E837E" w14:textId="64229AC4" w:rsidR="00CB48CC" w:rsidRPr="00500637" w:rsidRDefault="00946138" w:rsidP="000B66BC">
            <w:pPr>
              <w:pStyle w:val="BodyText1"/>
              <w:spacing w:after="240"/>
              <w:rPr>
                <w:rFonts w:ascii="Times New Roman" w:hAnsi="Times New Roman"/>
                <w:bCs/>
                <w:sz w:val="24"/>
                <w:szCs w:val="24"/>
                <w:highlight w:val="yellow"/>
              </w:rPr>
            </w:pPr>
            <w:r w:rsidRPr="00500637">
              <w:rPr>
                <w:rFonts w:ascii="Times New Roman" w:hAnsi="Times New Roman"/>
                <w:sz w:val="24"/>
              </w:rPr>
              <w:t>{0264;0010}</w:t>
            </w:r>
          </w:p>
        </w:tc>
        <w:tc>
          <w:tcPr>
            <w:tcW w:w="7566" w:type="dxa"/>
            <w:tcBorders>
              <w:bottom w:val="single" w:sz="4" w:space="0" w:color="auto"/>
            </w:tcBorders>
            <w:vAlign w:val="center"/>
          </w:tcPr>
          <w:p w14:paraId="7047590E" w14:textId="77777777" w:rsidR="00946138" w:rsidRPr="00500637" w:rsidRDefault="00946138"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 Ausgenommene Risikopositionen öffentlicher Entwicklungsbanken – Förderdarlehen, die von einer vom Zentralstaat oder von einer regionalen oder lokalen Gebietskörperschaft eines Mitgliedstaats eingerichteten Stelle über ein zwischengeschaltetes Kreditinstitut vergeben werden</w:t>
            </w:r>
          </w:p>
          <w:p w14:paraId="6754B207" w14:textId="33310FD8" w:rsidR="009D46F6" w:rsidRPr="00500637" w:rsidRDefault="00C36AC0"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429a Absatz 1 Buchstabe d und Absätze 2 und 3 der Verordnung (EU) Nr. 575/2013</w:t>
            </w:r>
          </w:p>
          <w:p w14:paraId="77D97E64" w14:textId="0FCAF836" w:rsidR="00E849C2" w:rsidRPr="00500637" w:rsidRDefault="00E849C2" w:rsidP="000B66BC">
            <w:pPr>
              <w:pStyle w:val="BodyText1"/>
              <w:spacing w:after="240" w:line="240" w:lineRule="auto"/>
              <w:rPr>
                <w:rFonts w:ascii="Times New Roman" w:hAnsi="Times New Roman"/>
                <w:color w:val="auto"/>
                <w:sz w:val="24"/>
                <w:szCs w:val="24"/>
              </w:rPr>
            </w:pPr>
            <w:r w:rsidRPr="00500637">
              <w:rPr>
                <w:rFonts w:ascii="Times New Roman" w:hAnsi="Times New Roman"/>
                <w:sz w:val="24"/>
              </w:rPr>
              <w:t xml:space="preserve">Die Risikopositionen, die aus Förderdarlehen, einschließlich der Weitergabe von Förderdarlehen, resultieren, die von einem Unternehmen, das vom </w:t>
            </w:r>
            <w:r w:rsidRPr="00500637">
              <w:rPr>
                <w:rFonts w:ascii="Times New Roman" w:hAnsi="Times New Roman"/>
                <w:sz w:val="24"/>
              </w:rPr>
              <w:lastRenderedPageBreak/>
              <w:t>Zentralstaat oder einer regionalen oder lokalen Gebietskörperschaft eines Mitgliedstaats gegründet wurde, über ein zwischengeschaltetes Kreditinstitut gewährt werden und gemäß Artikel 429a Absatz 1 Buchstabe d der Verordnung (EU) Nr. 575/2013 ausgeschlossen werden können. Risikopositionen einer Einheit eines Instituts, das von einer zuständigen Behörde nach Artikel 429a Absatz 2 letzter Unterabsatz der Verordnung (EU) Nr. 575/2013 als öffentliche Entwicklungsbank behandelt wird, werden ebenfalls berücksichtigt.</w:t>
            </w:r>
          </w:p>
          <w:p w14:paraId="318709D6" w14:textId="775B94CC" w:rsidR="00743C1E" w:rsidRPr="00500637" w:rsidRDefault="00743C1E" w:rsidP="000B66BC">
            <w:pPr>
              <w:pStyle w:val="BodyText1"/>
              <w:spacing w:after="240" w:line="240" w:lineRule="auto"/>
              <w:rPr>
                <w:rFonts w:ascii="Times New Roman" w:hAnsi="Times New Roman"/>
                <w:b/>
                <w:bCs/>
                <w:color w:val="auto"/>
                <w:sz w:val="24"/>
                <w:szCs w:val="24"/>
              </w:rPr>
            </w:pPr>
            <w:r w:rsidRPr="00500637">
              <w:rPr>
                <w:rFonts w:ascii="Times New Roman" w:hAnsi="Times New Roman"/>
                <w:sz w:val="24"/>
              </w:rPr>
              <w:t>Der gemeldete Betrag ist auch in den vorangehenden anwendbaren Feldern auszuweisen, so als gälte keine Ausnahme.</w:t>
            </w:r>
          </w:p>
        </w:tc>
      </w:tr>
      <w:tr w:rsidR="009D26A9" w:rsidRPr="00500637" w14:paraId="6D70027E" w14:textId="77777777" w:rsidTr="008979D2">
        <w:trPr>
          <w:trHeight w:val="304"/>
        </w:trPr>
        <w:tc>
          <w:tcPr>
            <w:tcW w:w="1555" w:type="dxa"/>
            <w:tcBorders>
              <w:bottom w:val="single" w:sz="4" w:space="0" w:color="auto"/>
            </w:tcBorders>
            <w:vAlign w:val="center"/>
          </w:tcPr>
          <w:p w14:paraId="23AB3133" w14:textId="474ED6D5" w:rsidR="009D26A9" w:rsidRPr="00500637" w:rsidRDefault="009D26A9" w:rsidP="000B66BC">
            <w:pPr>
              <w:pStyle w:val="BodyText1"/>
              <w:spacing w:after="240"/>
              <w:rPr>
                <w:rFonts w:ascii="Times New Roman" w:hAnsi="Times New Roman"/>
                <w:bCs/>
                <w:sz w:val="24"/>
                <w:szCs w:val="24"/>
              </w:rPr>
            </w:pPr>
            <w:r w:rsidRPr="00500637">
              <w:rPr>
                <w:rFonts w:ascii="Times New Roman" w:hAnsi="Times New Roman"/>
                <w:sz w:val="24"/>
              </w:rPr>
              <w:lastRenderedPageBreak/>
              <w:t>{0910;0010}</w:t>
            </w:r>
          </w:p>
        </w:tc>
        <w:tc>
          <w:tcPr>
            <w:tcW w:w="7566" w:type="dxa"/>
            <w:tcBorders>
              <w:bottom w:val="single" w:sz="4" w:space="0" w:color="auto"/>
            </w:tcBorders>
            <w:vAlign w:val="center"/>
          </w:tcPr>
          <w:p w14:paraId="18FEA65B" w14:textId="77777777" w:rsidR="009D26A9" w:rsidRPr="00500637" w:rsidRDefault="009D26A9"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 Ausgeschlossene Risikopositionen gegenüber Anteilseignern gemäß Artikel 429a Absatz 1 Buchstabe da</w:t>
            </w:r>
          </w:p>
          <w:p w14:paraId="55A02ADA" w14:textId="3694931B" w:rsidR="009D26A9" w:rsidRPr="00500637" w:rsidRDefault="009D26A9"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429a Absatz 1 Buchstabe da der Verordnung (EU) Nr. 575/2013</w:t>
            </w:r>
          </w:p>
          <w:p w14:paraId="0CBC407D" w14:textId="26679CAA" w:rsidR="00F62C28" w:rsidRPr="00500637" w:rsidRDefault="001E5373" w:rsidP="000B66BC">
            <w:pPr>
              <w:pStyle w:val="BodyText1"/>
              <w:spacing w:after="240" w:line="240" w:lineRule="auto"/>
              <w:rPr>
                <w:rFonts w:ascii="Times New Roman" w:hAnsi="Times New Roman"/>
                <w:bCs/>
                <w:sz w:val="24"/>
                <w:szCs w:val="24"/>
              </w:rPr>
            </w:pPr>
            <w:r w:rsidRPr="00500637">
              <w:rPr>
                <w:rFonts w:ascii="Times New Roman" w:hAnsi="Times New Roman"/>
                <w:sz w:val="24"/>
              </w:rPr>
              <w:t xml:space="preserve">Risikopositionen des Instituts gegenüber Anteilseignern, die Kreditinstitute sind, sofern sie besichert und alle unter Buchstabe da genannten Bedingungen erfüllt sind. </w:t>
            </w:r>
          </w:p>
          <w:p w14:paraId="798B3B54" w14:textId="3FA80E52" w:rsidR="00280AF8" w:rsidRPr="00500637" w:rsidRDefault="00280AF8" w:rsidP="000B66BC">
            <w:pPr>
              <w:pStyle w:val="BodyText1"/>
              <w:spacing w:after="240" w:line="240" w:lineRule="auto"/>
              <w:rPr>
                <w:rFonts w:ascii="Times New Roman" w:hAnsi="Times New Roman"/>
                <w:b/>
                <w:color w:val="auto"/>
                <w:sz w:val="24"/>
                <w:szCs w:val="24"/>
              </w:rPr>
            </w:pPr>
            <w:r w:rsidRPr="00500637">
              <w:rPr>
                <w:rFonts w:ascii="Times New Roman" w:hAnsi="Times New Roman"/>
                <w:sz w:val="24"/>
              </w:rPr>
              <w:t>Der gemeldete Betrag ist auch in den vorangehenden anwendbaren Feldern auszuweisen, so als gälte keine Ausnahme.</w:t>
            </w:r>
          </w:p>
        </w:tc>
      </w:tr>
      <w:tr w:rsidR="00CB48CC" w:rsidRPr="00500637" w14:paraId="337CD92B" w14:textId="77777777" w:rsidTr="008979D2">
        <w:trPr>
          <w:trHeight w:val="304"/>
        </w:trPr>
        <w:tc>
          <w:tcPr>
            <w:tcW w:w="1555" w:type="dxa"/>
            <w:tcBorders>
              <w:bottom w:val="single" w:sz="4" w:space="0" w:color="auto"/>
            </w:tcBorders>
            <w:vAlign w:val="center"/>
          </w:tcPr>
          <w:p w14:paraId="6C7E09CA" w14:textId="166BCBE4" w:rsidR="00CB48CC" w:rsidRPr="00500637" w:rsidRDefault="00946138" w:rsidP="000B66BC">
            <w:pPr>
              <w:pStyle w:val="BodyText1"/>
              <w:spacing w:after="240"/>
              <w:rPr>
                <w:rFonts w:ascii="Times New Roman" w:hAnsi="Times New Roman"/>
                <w:bCs/>
                <w:sz w:val="24"/>
                <w:szCs w:val="24"/>
                <w:highlight w:val="yellow"/>
              </w:rPr>
            </w:pPr>
            <w:r w:rsidRPr="00500637">
              <w:rPr>
                <w:rFonts w:ascii="Times New Roman" w:hAnsi="Times New Roman"/>
                <w:sz w:val="24"/>
              </w:rPr>
              <w:t>{0265;0010}</w:t>
            </w:r>
          </w:p>
        </w:tc>
        <w:tc>
          <w:tcPr>
            <w:tcW w:w="7566" w:type="dxa"/>
            <w:tcBorders>
              <w:bottom w:val="single" w:sz="4" w:space="0" w:color="auto"/>
            </w:tcBorders>
            <w:vAlign w:val="center"/>
          </w:tcPr>
          <w:p w14:paraId="3A4A6AD1" w14:textId="77777777" w:rsidR="00946138" w:rsidRPr="00500637" w:rsidRDefault="00946138"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 Ausgenommene Risikopositionen in Durchlauf-Förderdarlehen nicht-öffentlicher Entwicklungsbanken (oder Einheiten) – von einer öffentlichen Entwicklungsbank vergebene Förderdarlehen</w:t>
            </w:r>
          </w:p>
          <w:p w14:paraId="51F998E0" w14:textId="6FF1F6C1" w:rsidR="009D46F6" w:rsidRPr="00500637" w:rsidRDefault="0079137A"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429a Absatz 1 Buchstabe e und Absätze 2 und 3 der Verordnung (EU) Nr. 575/2013</w:t>
            </w:r>
          </w:p>
          <w:p w14:paraId="6B9968E8" w14:textId="7DFDBBBB" w:rsidR="00743C1E" w:rsidRPr="00500637" w:rsidRDefault="00E849C2" w:rsidP="000B66BC">
            <w:pPr>
              <w:pStyle w:val="BodyText1"/>
              <w:spacing w:after="240" w:line="240" w:lineRule="auto"/>
              <w:rPr>
                <w:rFonts w:ascii="Times New Roman" w:hAnsi="Times New Roman"/>
                <w:color w:val="auto"/>
                <w:sz w:val="24"/>
                <w:szCs w:val="24"/>
              </w:rPr>
            </w:pPr>
            <w:r w:rsidRPr="00500637">
              <w:rPr>
                <w:rFonts w:ascii="Times New Roman" w:hAnsi="Times New Roman"/>
                <w:color w:val="auto"/>
                <w:sz w:val="24"/>
              </w:rPr>
              <w:t xml:space="preserve">Die Teile der Risikopositionen, die aus der Weitergabe von Förderdarlehen an andere Kreditinstitute resultieren, wenn die Förderdarlehen von einer öffentlichen Entwicklungsbank gewährt wurden. </w:t>
            </w:r>
            <w:r w:rsidRPr="00500637">
              <w:rPr>
                <w:rFonts w:ascii="Times New Roman" w:hAnsi="Times New Roman"/>
                <w:sz w:val="24"/>
              </w:rPr>
              <w:t>Die Teile der Risikopositionen der Einheiten eines Instituts, die von einer zuständigen Behörde nicht nach Artikel 429a Absatz 2 letzter Unterabsatz der Verordnung (EU) Nr. 575/2013 als öffentliche Entwicklungsbank behandelt werden, werden ebenfalls berücksichtigt.</w:t>
            </w:r>
          </w:p>
          <w:p w14:paraId="1CF30E6B" w14:textId="322E3C84" w:rsidR="00743C1E" w:rsidRPr="00500637" w:rsidRDefault="00743C1E" w:rsidP="000B66BC">
            <w:pPr>
              <w:pStyle w:val="BodyText1"/>
              <w:spacing w:after="240" w:line="240" w:lineRule="auto"/>
              <w:rPr>
                <w:rFonts w:ascii="Times New Roman" w:hAnsi="Times New Roman"/>
                <w:b/>
                <w:bCs/>
                <w:color w:val="auto"/>
                <w:sz w:val="24"/>
                <w:szCs w:val="24"/>
              </w:rPr>
            </w:pPr>
            <w:r w:rsidRPr="00500637">
              <w:rPr>
                <w:rFonts w:ascii="Times New Roman" w:hAnsi="Times New Roman"/>
                <w:sz w:val="24"/>
              </w:rPr>
              <w:t>Der gemeldete Betrag ist auch in den vorangehenden anwendbaren Feldern auszuweisen, so als gälte keine Ausnahme.</w:t>
            </w:r>
          </w:p>
        </w:tc>
      </w:tr>
    </w:tbl>
    <w:p w14:paraId="6002FC74" w14:textId="77777777" w:rsidR="00500637" w:rsidRDefault="00500637">
      <w:r>
        <w:br w:type="page"/>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7566"/>
      </w:tblGrid>
      <w:tr w:rsidR="00CB48CC" w:rsidRPr="00500637" w14:paraId="02D73868" w14:textId="77777777" w:rsidTr="008979D2">
        <w:trPr>
          <w:trHeight w:val="304"/>
        </w:trPr>
        <w:tc>
          <w:tcPr>
            <w:tcW w:w="1555" w:type="dxa"/>
            <w:tcBorders>
              <w:bottom w:val="single" w:sz="4" w:space="0" w:color="auto"/>
            </w:tcBorders>
            <w:vAlign w:val="center"/>
          </w:tcPr>
          <w:p w14:paraId="57A4063C" w14:textId="6023FF38" w:rsidR="00CB48CC" w:rsidRPr="00500637" w:rsidRDefault="00946138" w:rsidP="000B66BC">
            <w:pPr>
              <w:pStyle w:val="BodyText1"/>
              <w:spacing w:after="240"/>
              <w:rPr>
                <w:rFonts w:ascii="Times New Roman" w:hAnsi="Times New Roman"/>
                <w:bCs/>
                <w:sz w:val="24"/>
                <w:szCs w:val="24"/>
                <w:highlight w:val="yellow"/>
              </w:rPr>
            </w:pPr>
            <w:r w:rsidRPr="00500637">
              <w:rPr>
                <w:rFonts w:ascii="Times New Roman" w:hAnsi="Times New Roman"/>
                <w:sz w:val="24"/>
              </w:rPr>
              <w:lastRenderedPageBreak/>
              <w:t>{0266;0010}</w:t>
            </w:r>
          </w:p>
        </w:tc>
        <w:tc>
          <w:tcPr>
            <w:tcW w:w="7566" w:type="dxa"/>
            <w:tcBorders>
              <w:bottom w:val="single" w:sz="4" w:space="0" w:color="auto"/>
            </w:tcBorders>
            <w:vAlign w:val="center"/>
          </w:tcPr>
          <w:p w14:paraId="4A900DCE" w14:textId="77777777" w:rsidR="00946138" w:rsidRPr="00500637" w:rsidRDefault="00946138"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 Ausgenommene Risikopositionen nicht-öffentlicher Entwicklungsbanken (oder Einheiten) – Förderdarlehen, die von einer vom Zentralstaat oder von einer regionalen oder lokalen Gebietskörperschaft eines Mitgliedstaats direkt eingerichteten Stelle vergeben werden</w:t>
            </w:r>
          </w:p>
          <w:p w14:paraId="003BD5E4" w14:textId="30943184" w:rsidR="00743C1E" w:rsidRPr="00500637" w:rsidRDefault="00D03534"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429a Absatz 1 Buchstabe e und Absätze 2 und 3 der Verordnung (EU) Nr. 575/2013</w:t>
            </w:r>
          </w:p>
          <w:p w14:paraId="128930FF" w14:textId="4A97FBF9" w:rsidR="00415D69" w:rsidRPr="00500637" w:rsidRDefault="00415D69" w:rsidP="000B66BC">
            <w:pPr>
              <w:pStyle w:val="BodyText1"/>
              <w:spacing w:after="240" w:line="240" w:lineRule="auto"/>
              <w:rPr>
                <w:rFonts w:ascii="Times New Roman" w:hAnsi="Times New Roman"/>
                <w:color w:val="auto"/>
                <w:sz w:val="24"/>
                <w:szCs w:val="24"/>
              </w:rPr>
            </w:pPr>
            <w:r w:rsidRPr="00500637">
              <w:rPr>
                <w:rFonts w:ascii="Times New Roman" w:hAnsi="Times New Roman"/>
                <w:color w:val="auto"/>
                <w:sz w:val="24"/>
              </w:rPr>
              <w:t xml:space="preserve">Die Teile der Risikopositionen, die aus der Weitergabe von Förderdarlehen an andere Kreditinstitute resultieren, wenn die Förderdarlehen von einem Unternehmen, das vom Zentralstaat oder einer regionalen oder lokalen Gebietskörperschaft eines Mitgliedstaats gegründet wurde, direkt gewährt werden. </w:t>
            </w:r>
            <w:r w:rsidRPr="00500637">
              <w:rPr>
                <w:rFonts w:ascii="Times New Roman" w:hAnsi="Times New Roman"/>
                <w:sz w:val="24"/>
              </w:rPr>
              <w:t>Die Teile der Risikopositionen der Einheiten eines Instituts, die von einer zuständigen Behörde nicht nach Artikel 429a Absatz 2 letzter Unterabsatz der Verordnung (EU) Nr. 575/2013 als öffentliche Entwicklungsbank behandelt werden, werden ebenfalls berücksichtigt.</w:t>
            </w:r>
          </w:p>
          <w:p w14:paraId="4DD1C09D" w14:textId="67B346B4" w:rsidR="00743C1E" w:rsidRPr="00500637" w:rsidRDefault="00743C1E" w:rsidP="000B66BC">
            <w:pPr>
              <w:pStyle w:val="BodyText1"/>
              <w:spacing w:after="240" w:line="240" w:lineRule="auto"/>
              <w:rPr>
                <w:rFonts w:ascii="Times New Roman" w:hAnsi="Times New Roman"/>
                <w:b/>
                <w:bCs/>
                <w:color w:val="auto"/>
                <w:sz w:val="24"/>
                <w:szCs w:val="24"/>
              </w:rPr>
            </w:pPr>
            <w:r w:rsidRPr="00500637">
              <w:rPr>
                <w:rFonts w:ascii="Times New Roman" w:hAnsi="Times New Roman"/>
                <w:sz w:val="24"/>
              </w:rPr>
              <w:t>Der gemeldete Betrag ist auch in den vorangehenden anwendbaren Feldern auszuweisen, so als gälte keine Ausnahme.</w:t>
            </w:r>
          </w:p>
        </w:tc>
      </w:tr>
      <w:tr w:rsidR="00CB48CC" w:rsidRPr="00500637" w14:paraId="78DBF21B" w14:textId="77777777" w:rsidTr="008979D2">
        <w:trPr>
          <w:trHeight w:val="304"/>
        </w:trPr>
        <w:tc>
          <w:tcPr>
            <w:tcW w:w="1555" w:type="dxa"/>
            <w:tcBorders>
              <w:bottom w:val="single" w:sz="4" w:space="0" w:color="auto"/>
            </w:tcBorders>
            <w:vAlign w:val="center"/>
          </w:tcPr>
          <w:p w14:paraId="159B9A71" w14:textId="29511FD8" w:rsidR="00946138" w:rsidRPr="00500637" w:rsidRDefault="00946138" w:rsidP="000B66BC">
            <w:pPr>
              <w:pStyle w:val="BodyText1"/>
              <w:spacing w:after="240"/>
              <w:rPr>
                <w:rFonts w:ascii="Times New Roman" w:hAnsi="Times New Roman"/>
                <w:bCs/>
                <w:sz w:val="24"/>
                <w:szCs w:val="24"/>
                <w:highlight w:val="yellow"/>
              </w:rPr>
            </w:pPr>
            <w:r w:rsidRPr="00500637">
              <w:rPr>
                <w:rFonts w:ascii="Times New Roman" w:hAnsi="Times New Roman"/>
                <w:sz w:val="24"/>
              </w:rPr>
              <w:t>{0267;0010}</w:t>
            </w:r>
          </w:p>
        </w:tc>
        <w:tc>
          <w:tcPr>
            <w:tcW w:w="7566" w:type="dxa"/>
            <w:tcBorders>
              <w:bottom w:val="single" w:sz="4" w:space="0" w:color="auto"/>
            </w:tcBorders>
            <w:vAlign w:val="center"/>
          </w:tcPr>
          <w:p w14:paraId="0D809E6C" w14:textId="77777777" w:rsidR="00946138" w:rsidRPr="00500637" w:rsidRDefault="00946138"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 Ausgenommene Risikopositionen nicht-öffentlicher Entwicklungsbanken (oder Einheiten) – Förderdarlehen, die von einer vom Zentralstaat oder von einer regionalen oder lokalen Gebietskörperschaft eines Mitgliedstaats eingerichteten Stelle über ein zwischengeschaltetes Kreditinstitut vergeben werden</w:t>
            </w:r>
          </w:p>
          <w:p w14:paraId="30EAE7BC" w14:textId="403C61E8" w:rsidR="009D46F6" w:rsidRPr="00500637" w:rsidRDefault="00D03534"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429a Absatz 1 Buchstabe e und Absätze 2 und 3 der Verordnung (EU) Nr. 575/2013</w:t>
            </w:r>
          </w:p>
          <w:p w14:paraId="3DE31CDF" w14:textId="7B1B92C9" w:rsidR="00743C1E" w:rsidRPr="00500637" w:rsidRDefault="00415D69" w:rsidP="000B66BC">
            <w:pPr>
              <w:pStyle w:val="BodyText1"/>
              <w:spacing w:after="240" w:line="240" w:lineRule="auto"/>
              <w:rPr>
                <w:rFonts w:ascii="Times New Roman" w:hAnsi="Times New Roman"/>
                <w:color w:val="auto"/>
                <w:sz w:val="24"/>
                <w:szCs w:val="24"/>
              </w:rPr>
            </w:pPr>
            <w:r w:rsidRPr="00500637">
              <w:rPr>
                <w:rFonts w:ascii="Times New Roman" w:hAnsi="Times New Roman"/>
                <w:color w:val="auto"/>
                <w:sz w:val="24"/>
              </w:rPr>
              <w:t xml:space="preserve">Die Teile der Risikopositionen, die aus der Weitergabe von Förderdarlehen an andere Kreditinstitute resultieren, wenn die Förderdarlehen von einem Unternehmen, das vom Zentralstaat oder einer regionalen oder lokalen Gebietskörperschaft eines Mitgliedstaats gegründet wurde, über ein zwischengeschaltetes Kreditinstitut gewährt werden. </w:t>
            </w:r>
            <w:r w:rsidRPr="00500637">
              <w:rPr>
                <w:rFonts w:ascii="Times New Roman" w:hAnsi="Times New Roman"/>
                <w:sz w:val="24"/>
              </w:rPr>
              <w:t>Die Teile der Risikopositionen der Einheiten eines Instituts, die von einer zuständigen Behörde nicht nach Artikel 429a Absatz 2 letzter Unterabsatz der Verordnung (EU) Nr. 575/2013 als öffentliche Entwicklungsbank behandelt werden, werden ebenfalls berücksichtigt.</w:t>
            </w:r>
          </w:p>
          <w:p w14:paraId="53C99EBF" w14:textId="67514C6D" w:rsidR="00743C1E" w:rsidRPr="00500637" w:rsidRDefault="00743C1E" w:rsidP="000B66BC">
            <w:pPr>
              <w:pStyle w:val="BodyText1"/>
              <w:spacing w:after="240" w:line="240" w:lineRule="auto"/>
              <w:rPr>
                <w:rFonts w:ascii="Times New Roman" w:hAnsi="Times New Roman"/>
                <w:b/>
                <w:bCs/>
                <w:color w:val="auto"/>
                <w:sz w:val="24"/>
                <w:szCs w:val="24"/>
              </w:rPr>
            </w:pPr>
            <w:r w:rsidRPr="00500637">
              <w:rPr>
                <w:rFonts w:ascii="Times New Roman" w:hAnsi="Times New Roman"/>
                <w:sz w:val="24"/>
              </w:rPr>
              <w:t>Der gemeldete Betrag ist auch in den vorangehenden anwendbaren Feldern auszuweisen, so als gälte keine Ausnahme.</w:t>
            </w:r>
          </w:p>
        </w:tc>
      </w:tr>
    </w:tbl>
    <w:p w14:paraId="11869DFB" w14:textId="77777777" w:rsidR="00500637" w:rsidRDefault="00500637">
      <w:r>
        <w:br w:type="page"/>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4"/>
        <w:gridCol w:w="7566"/>
      </w:tblGrid>
      <w:tr w:rsidR="001F5E87" w:rsidRPr="00500637" w14:paraId="61EC7F94" w14:textId="77777777" w:rsidTr="008979D2">
        <w:trPr>
          <w:trHeight w:val="304"/>
        </w:trPr>
        <w:tc>
          <w:tcPr>
            <w:tcW w:w="1555" w:type="dxa"/>
            <w:gridSpan w:val="2"/>
            <w:tcBorders>
              <w:bottom w:val="single" w:sz="4" w:space="0" w:color="auto"/>
            </w:tcBorders>
          </w:tcPr>
          <w:p w14:paraId="04D68E82" w14:textId="6D9BEAAB" w:rsidR="001F5E87" w:rsidRPr="00500637" w:rsidRDefault="00A81E17" w:rsidP="000B66BC">
            <w:pPr>
              <w:pStyle w:val="BodyText1"/>
              <w:spacing w:after="240"/>
              <w:rPr>
                <w:rFonts w:ascii="Times New Roman" w:hAnsi="Times New Roman"/>
                <w:bCs/>
                <w:sz w:val="24"/>
                <w:szCs w:val="24"/>
              </w:rPr>
            </w:pPr>
            <w:r w:rsidRPr="00500637">
              <w:rPr>
                <w:rFonts w:ascii="Times New Roman" w:hAnsi="Times New Roman"/>
                <w:sz w:val="24"/>
              </w:rPr>
              <w:lastRenderedPageBreak/>
              <w:t>{0268;0010}</w:t>
            </w:r>
          </w:p>
        </w:tc>
        <w:tc>
          <w:tcPr>
            <w:tcW w:w="7566" w:type="dxa"/>
            <w:tcBorders>
              <w:bottom w:val="single" w:sz="4" w:space="0" w:color="auto"/>
            </w:tcBorders>
          </w:tcPr>
          <w:p w14:paraId="41E224EF" w14:textId="297E8B69" w:rsidR="001F5E87" w:rsidRPr="00500637" w:rsidRDefault="00D01FB9"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 Gemäß Artikel 429a Absatz 1 Buchstabe q CRR in Abzug gebrachte Risikopositionen</w:t>
            </w:r>
          </w:p>
          <w:p w14:paraId="435D6AA0" w14:textId="53149545" w:rsidR="00515841" w:rsidRPr="00500637" w:rsidRDefault="00515841" w:rsidP="000B66BC">
            <w:pPr>
              <w:pStyle w:val="BodyText1"/>
              <w:spacing w:after="240" w:line="240" w:lineRule="auto"/>
              <w:rPr>
                <w:rFonts w:ascii="Times New Roman" w:hAnsi="Times New Roman"/>
                <w:sz w:val="24"/>
                <w:szCs w:val="24"/>
              </w:rPr>
            </w:pPr>
            <w:r w:rsidRPr="00500637">
              <w:rPr>
                <w:rFonts w:ascii="Times New Roman" w:hAnsi="Times New Roman"/>
                <w:sz w:val="24"/>
              </w:rPr>
              <w:t xml:space="preserve">Artikel 429a Absatz 1 Buchstabe q </w:t>
            </w:r>
          </w:p>
          <w:p w14:paraId="692A1C06" w14:textId="6C394410" w:rsidR="007264E7" w:rsidRPr="00500637" w:rsidRDefault="00B145BB" w:rsidP="000B66BC">
            <w:pPr>
              <w:pStyle w:val="BodyText1"/>
              <w:spacing w:after="240" w:line="240" w:lineRule="auto"/>
              <w:rPr>
                <w:rFonts w:ascii="Times New Roman" w:hAnsi="Times New Roman"/>
                <w:color w:val="auto"/>
                <w:sz w:val="24"/>
                <w:szCs w:val="24"/>
              </w:rPr>
            </w:pPr>
            <w:r w:rsidRPr="00500637">
              <w:rPr>
                <w:rFonts w:ascii="Times New Roman" w:hAnsi="Times New Roman"/>
                <w:sz w:val="24"/>
              </w:rPr>
              <w:t>Die Risikopositionen, die der in Artikel 72e Absatz 5 Unterabsatz 1 der Verordnung (EU) Nr. 575/2013 festgelegten Behandlung unterliegen.</w:t>
            </w:r>
          </w:p>
          <w:p w14:paraId="3625C467" w14:textId="194C53D5" w:rsidR="00227BD1" w:rsidRPr="00500637" w:rsidRDefault="00227BD1" w:rsidP="000B66BC">
            <w:pPr>
              <w:pStyle w:val="BodyText1"/>
              <w:spacing w:after="240" w:line="240" w:lineRule="auto"/>
              <w:rPr>
                <w:rFonts w:ascii="Times New Roman" w:hAnsi="Times New Roman"/>
                <w:b/>
                <w:bCs/>
                <w:sz w:val="24"/>
                <w:szCs w:val="24"/>
              </w:rPr>
            </w:pPr>
            <w:r w:rsidRPr="00500637">
              <w:rPr>
                <w:rFonts w:ascii="Times New Roman" w:hAnsi="Times New Roman"/>
                <w:sz w:val="24"/>
              </w:rPr>
              <w:t>Der gemeldete Betrag ist auch in den vorangehenden anwendbaren Feldern auszuweisen, so als gälte keine Ausnahme.</w:t>
            </w:r>
          </w:p>
        </w:tc>
      </w:tr>
      <w:tr w:rsidR="008979D2" w:rsidRPr="00500637" w14:paraId="02A38F46" w14:textId="77777777" w:rsidTr="008B2DDF">
        <w:trPr>
          <w:trHeight w:val="304"/>
        </w:trPr>
        <w:tc>
          <w:tcPr>
            <w:tcW w:w="1531" w:type="dxa"/>
            <w:tcBorders>
              <w:top w:val="single" w:sz="4" w:space="0" w:color="auto"/>
              <w:left w:val="single" w:sz="4" w:space="0" w:color="auto"/>
              <w:bottom w:val="single" w:sz="4" w:space="0" w:color="auto"/>
              <w:right w:val="single" w:sz="4" w:space="0" w:color="auto"/>
            </w:tcBorders>
          </w:tcPr>
          <w:p w14:paraId="3A17A7AD" w14:textId="7906D106" w:rsidR="008979D2" w:rsidRPr="00500637" w:rsidRDefault="008979D2" w:rsidP="008B2DDF">
            <w:pPr>
              <w:pStyle w:val="BodyText1"/>
              <w:spacing w:after="240"/>
              <w:rPr>
                <w:rFonts w:ascii="Times New Roman" w:hAnsi="Times New Roman"/>
                <w:bCs/>
                <w:sz w:val="24"/>
                <w:szCs w:val="24"/>
              </w:rPr>
            </w:pPr>
            <w:r w:rsidRPr="00500637">
              <w:rPr>
                <w:rFonts w:ascii="Times New Roman" w:hAnsi="Times New Roman"/>
                <w:sz w:val="24"/>
              </w:rPr>
              <w:t>{0269;0010}</w:t>
            </w:r>
          </w:p>
        </w:tc>
        <w:tc>
          <w:tcPr>
            <w:tcW w:w="7590" w:type="dxa"/>
            <w:gridSpan w:val="2"/>
            <w:tcBorders>
              <w:top w:val="single" w:sz="4" w:space="0" w:color="auto"/>
              <w:left w:val="single" w:sz="4" w:space="0" w:color="auto"/>
              <w:bottom w:val="single" w:sz="4" w:space="0" w:color="auto"/>
              <w:right w:val="single" w:sz="4" w:space="0" w:color="auto"/>
            </w:tcBorders>
            <w:vAlign w:val="center"/>
          </w:tcPr>
          <w:p w14:paraId="38885990" w14:textId="77777777" w:rsidR="008979D2" w:rsidRPr="00500637" w:rsidRDefault="008979D2" w:rsidP="008B2DDF">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Zusätzlicher Risikopositionsbetrag für die Verschuldungsquote gemäß Artikel 3 CRR</w:t>
            </w:r>
          </w:p>
          <w:p w14:paraId="6CB5E131" w14:textId="77777777" w:rsidR="008979D2" w:rsidRPr="00500637" w:rsidRDefault="008979D2" w:rsidP="008B2DDF">
            <w:pPr>
              <w:pStyle w:val="BodyText1"/>
              <w:spacing w:after="240" w:line="240" w:lineRule="auto"/>
              <w:rPr>
                <w:rFonts w:ascii="Times New Roman" w:hAnsi="Times New Roman"/>
                <w:color w:val="auto"/>
                <w:sz w:val="24"/>
                <w:szCs w:val="24"/>
              </w:rPr>
            </w:pPr>
            <w:r w:rsidRPr="00500637">
              <w:rPr>
                <w:rFonts w:ascii="Times New Roman" w:hAnsi="Times New Roman"/>
                <w:color w:val="auto"/>
                <w:sz w:val="24"/>
              </w:rPr>
              <w:t>Artikel 3 der Verordnung (EU) Nr. 575/2013</w:t>
            </w:r>
          </w:p>
          <w:p w14:paraId="61E0A840" w14:textId="4E58CC03" w:rsidR="008979D2" w:rsidRPr="00500637" w:rsidRDefault="008979D2" w:rsidP="008B2DDF">
            <w:pPr>
              <w:pStyle w:val="BodyText1"/>
              <w:spacing w:after="240" w:line="240" w:lineRule="auto"/>
              <w:rPr>
                <w:rFonts w:ascii="Times New Roman" w:hAnsi="Times New Roman"/>
                <w:color w:val="auto"/>
                <w:sz w:val="24"/>
                <w:szCs w:val="24"/>
              </w:rPr>
            </w:pPr>
            <w:r w:rsidRPr="00500637">
              <w:rPr>
                <w:rFonts w:ascii="Times New Roman" w:hAnsi="Times New Roman"/>
                <w:color w:val="auto"/>
                <w:sz w:val="24"/>
              </w:rPr>
              <w:t>Der zusätzliche Risikopositionsbetrag für die Verschuldungsquote ist auszuweisen. Er darf nur die zusätzlichen Beträge enthalten.</w:t>
            </w:r>
          </w:p>
        </w:tc>
      </w:tr>
      <w:tr w:rsidR="00CB48CC" w:rsidRPr="00500637" w14:paraId="39D281E6" w14:textId="77777777" w:rsidTr="008979D2">
        <w:trPr>
          <w:trHeight w:val="304"/>
        </w:trPr>
        <w:tc>
          <w:tcPr>
            <w:tcW w:w="1555" w:type="dxa"/>
            <w:gridSpan w:val="2"/>
            <w:tcBorders>
              <w:bottom w:val="single" w:sz="4" w:space="0" w:color="auto"/>
            </w:tcBorders>
          </w:tcPr>
          <w:p w14:paraId="28E3E527" w14:textId="64B2DB2E"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t>{0270;0010}</w:t>
            </w:r>
          </w:p>
          <w:p w14:paraId="49DAE002" w14:textId="77777777" w:rsidR="00CB48CC" w:rsidRPr="00500637"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CD09A92" w14:textId="77777777" w:rsidR="00CB48CC" w:rsidRPr="00500637" w:rsidRDefault="00CB48CC" w:rsidP="000B66BC">
            <w:pPr>
              <w:pStyle w:val="BodyText1"/>
              <w:spacing w:after="240" w:line="240" w:lineRule="auto"/>
              <w:rPr>
                <w:rFonts w:ascii="Times New Roman" w:hAnsi="Times New Roman"/>
                <w:sz w:val="24"/>
                <w:szCs w:val="24"/>
              </w:rPr>
            </w:pPr>
            <w:r w:rsidRPr="00500637">
              <w:rPr>
                <w:rFonts w:ascii="Times New Roman" w:hAnsi="Times New Roman"/>
                <w:b/>
                <w:sz w:val="24"/>
              </w:rPr>
              <w:t>(-) Von Posten des Kernkapitals abgezogener Aktivbetrag – Definition nach vollständiger Einführung der neuen Bestimmungen</w:t>
            </w:r>
          </w:p>
          <w:p w14:paraId="7786B29A" w14:textId="6BF51AB0" w:rsidR="00CB48CC" w:rsidRPr="00500637" w:rsidRDefault="00542529" w:rsidP="000B66BC">
            <w:pPr>
              <w:pStyle w:val="BodyText1"/>
              <w:spacing w:after="240" w:line="240" w:lineRule="auto"/>
              <w:rPr>
                <w:rFonts w:ascii="Times New Roman" w:hAnsi="Times New Roman"/>
                <w:sz w:val="24"/>
                <w:szCs w:val="24"/>
              </w:rPr>
            </w:pPr>
            <w:r w:rsidRPr="00500637">
              <w:rPr>
                <w:rFonts w:ascii="Times New Roman" w:hAnsi="Times New Roman"/>
                <w:sz w:val="24"/>
              </w:rPr>
              <w:t>Artikel 429a Absatz 1 Buchstabe b und Artikel 499 Absatz 1 Buchstabe a der Verordnung (EU) Nr. 575/2013</w:t>
            </w:r>
          </w:p>
          <w:p w14:paraId="675D8B7D" w14:textId="77777777"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Enthält alle Wertberichtigungen von Aktiva, die durch eine der folgenden Bestimmungen vorgeschrieben sind:</w:t>
            </w:r>
          </w:p>
          <w:p w14:paraId="0ABD1D78" w14:textId="350DBBF6" w:rsidR="00CB48CC" w:rsidRPr="00500637" w:rsidRDefault="00CB48CC" w:rsidP="000B66BC">
            <w:pPr>
              <w:pStyle w:val="BodyText1"/>
              <w:spacing w:after="240" w:line="240" w:lineRule="auto"/>
              <w:ind w:left="720" w:hanging="360"/>
              <w:rPr>
                <w:rFonts w:ascii="Times New Roman" w:hAnsi="Times New Roman"/>
                <w:bCs/>
                <w:sz w:val="24"/>
                <w:szCs w:val="24"/>
              </w:rPr>
            </w:pPr>
            <w:r w:rsidRPr="00500637">
              <w:rPr>
                <w:rFonts w:ascii="Times New Roman" w:hAnsi="Times New Roman"/>
                <w:sz w:val="24"/>
              </w:rPr>
              <w:t>–</w:t>
            </w:r>
            <w:r w:rsidRPr="00500637">
              <w:tab/>
            </w:r>
            <w:r w:rsidRPr="00500637">
              <w:rPr>
                <w:rFonts w:ascii="Times New Roman" w:hAnsi="Times New Roman"/>
                <w:sz w:val="24"/>
              </w:rPr>
              <w:t xml:space="preserve">Artikel 32 bis 35 der Verordnung (EU) Nr. 575/2013 oder </w:t>
            </w:r>
          </w:p>
          <w:p w14:paraId="14203D05" w14:textId="6AF0A71A" w:rsidR="00CB48CC" w:rsidRPr="00500637" w:rsidRDefault="00CB48CC" w:rsidP="000B66BC">
            <w:pPr>
              <w:pStyle w:val="BodyText1"/>
              <w:spacing w:after="240" w:line="240" w:lineRule="auto"/>
              <w:ind w:left="720" w:hanging="360"/>
              <w:rPr>
                <w:rFonts w:ascii="Times New Roman" w:hAnsi="Times New Roman"/>
                <w:bCs/>
                <w:sz w:val="24"/>
                <w:szCs w:val="24"/>
              </w:rPr>
            </w:pPr>
            <w:r w:rsidRPr="00500637">
              <w:rPr>
                <w:rFonts w:ascii="Times New Roman" w:hAnsi="Times New Roman"/>
                <w:sz w:val="24"/>
              </w:rPr>
              <w:t>–</w:t>
            </w:r>
            <w:r w:rsidRPr="00500637">
              <w:tab/>
            </w:r>
            <w:r w:rsidRPr="00500637">
              <w:rPr>
                <w:rFonts w:ascii="Times New Roman" w:hAnsi="Times New Roman"/>
                <w:sz w:val="24"/>
              </w:rPr>
              <w:t>Artikel 36 bis 47 der Verordnung (EU) Nr. 575/2013 oder</w:t>
            </w:r>
          </w:p>
          <w:p w14:paraId="33D193AD" w14:textId="2D478F60" w:rsidR="00CB48CC" w:rsidRPr="00500637" w:rsidRDefault="00CB48CC" w:rsidP="000B66BC">
            <w:pPr>
              <w:pStyle w:val="BodyText1"/>
              <w:spacing w:after="240" w:line="240" w:lineRule="auto"/>
              <w:ind w:left="720" w:hanging="360"/>
              <w:rPr>
                <w:rFonts w:ascii="Times New Roman" w:hAnsi="Times New Roman"/>
                <w:bCs/>
                <w:sz w:val="24"/>
                <w:szCs w:val="24"/>
              </w:rPr>
            </w:pPr>
            <w:r w:rsidRPr="00500637">
              <w:rPr>
                <w:rFonts w:ascii="Times New Roman" w:hAnsi="Times New Roman"/>
                <w:sz w:val="24"/>
              </w:rPr>
              <w:t>–</w:t>
            </w:r>
            <w:r w:rsidRPr="00500637">
              <w:tab/>
            </w:r>
            <w:r w:rsidRPr="00500637">
              <w:rPr>
                <w:rFonts w:ascii="Times New Roman" w:hAnsi="Times New Roman"/>
                <w:sz w:val="24"/>
              </w:rPr>
              <w:t>Artikel 56 bis 60 der Verordnung (EU) Nr. 575/2013,</w:t>
            </w:r>
          </w:p>
          <w:p w14:paraId="0A1B29CB" w14:textId="77777777"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je nachdem, welche Bestimmung anwendbar ist.</w:t>
            </w:r>
          </w:p>
          <w:p w14:paraId="75E8D9BE" w14:textId="0C220404"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berücksichtigen die in den Artikeln 48, 49 und 79 der Verordnung (EU) Nr. 575/2013 vorgesehenen Ausnahmen und Alternativen, nicht aber die in Teil 10 Titel I Kapitel 1, 2 und 4 der Verordnung (EU) Nr. 575/2013 niedergelegten abweichenden Regelungen. Um eine Doppelzählung zu vermeiden, geben die Institute bei der Berechnung der Risikopositionswerte in {0010;0010} bis {0269;0010} weder Anpassungen an, die bereits nach Artikel 111 der Verordnung (EU) Nr. 575/2013 vorgenommen wurden, noch solche, die nicht den Abzug eines bestimmten Aktivpostens zur Folge haben.</w:t>
            </w:r>
          </w:p>
          <w:p w14:paraId="36ECE9CF" w14:textId="32731BE5" w:rsidR="00CB48CC" w:rsidRPr="00500637" w:rsidRDefault="00CB48CC" w:rsidP="000B66BC">
            <w:pPr>
              <w:pStyle w:val="BodyText1"/>
              <w:spacing w:after="240" w:line="240" w:lineRule="auto"/>
              <w:rPr>
                <w:rFonts w:ascii="Times New Roman" w:hAnsi="Times New Roman"/>
                <w:b/>
                <w:bCs/>
                <w:sz w:val="24"/>
                <w:szCs w:val="24"/>
              </w:rPr>
            </w:pPr>
            <w:r w:rsidRPr="00500637">
              <w:rPr>
                <w:rFonts w:ascii="Times New Roman" w:hAnsi="Times New Roman"/>
                <w:sz w:val="24"/>
              </w:rPr>
              <w:t>Da diese Beträge bereits von der Kapitalmessgröße abgezogen sind, verringern sie die Risikoposition für die Verschuldungsquote und werden als negativer Wert gemeldet.</w:t>
            </w:r>
          </w:p>
        </w:tc>
      </w:tr>
      <w:tr w:rsidR="00CB48CC" w:rsidRPr="00500637" w14:paraId="70428859" w14:textId="77777777" w:rsidTr="008979D2">
        <w:trPr>
          <w:trHeight w:val="304"/>
        </w:trPr>
        <w:tc>
          <w:tcPr>
            <w:tcW w:w="1555" w:type="dxa"/>
            <w:gridSpan w:val="2"/>
            <w:tcBorders>
              <w:bottom w:val="single" w:sz="4" w:space="0" w:color="auto"/>
            </w:tcBorders>
          </w:tcPr>
          <w:p w14:paraId="5BCE2B05" w14:textId="02607C2D"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lastRenderedPageBreak/>
              <w:t>{0280;0010}</w:t>
            </w:r>
          </w:p>
          <w:p w14:paraId="0F555030" w14:textId="77777777" w:rsidR="00CB48CC" w:rsidRPr="00500637"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6F1EE18" w14:textId="44020D72" w:rsidR="00CB48CC" w:rsidRPr="00500637" w:rsidRDefault="003164FD" w:rsidP="000B66BC">
            <w:pPr>
              <w:pStyle w:val="BodyText1"/>
              <w:spacing w:after="240" w:line="240" w:lineRule="auto"/>
              <w:rPr>
                <w:rFonts w:ascii="Times New Roman" w:hAnsi="Times New Roman"/>
                <w:bCs/>
                <w:sz w:val="24"/>
                <w:szCs w:val="24"/>
              </w:rPr>
            </w:pPr>
            <w:r w:rsidRPr="00500637">
              <w:rPr>
                <w:rFonts w:ascii="Times New Roman" w:hAnsi="Times New Roman"/>
                <w:b/>
                <w:sz w:val="24"/>
              </w:rPr>
              <w:t>(-) Von Posten des Kernkapitals abgezogener Aktivbetrag – Übergangsdefinition</w:t>
            </w:r>
          </w:p>
          <w:p w14:paraId="552CF68D" w14:textId="77F955BA" w:rsidR="00CB48CC" w:rsidRPr="00500637" w:rsidRDefault="006F5F1F" w:rsidP="000B66BC">
            <w:pPr>
              <w:pStyle w:val="BodyText1"/>
              <w:spacing w:after="240" w:line="240" w:lineRule="auto"/>
              <w:rPr>
                <w:rFonts w:ascii="Times New Roman" w:hAnsi="Times New Roman"/>
                <w:bCs/>
                <w:sz w:val="24"/>
                <w:szCs w:val="24"/>
              </w:rPr>
            </w:pPr>
            <w:r w:rsidRPr="00500637">
              <w:rPr>
                <w:rFonts w:ascii="Times New Roman" w:hAnsi="Times New Roman"/>
                <w:color w:val="auto"/>
                <w:sz w:val="24"/>
              </w:rPr>
              <w:t>Artikel 429a Absatz 1 Buchstabe b und Artikel 499 Absatz 1 Buchstabe a der Verordnung (EU) Nr. 575/2013</w:t>
            </w:r>
          </w:p>
          <w:p w14:paraId="1C7AD929" w14:textId="77777777"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Enthält alle Wertberichtigungen von Aktiva, die durch eine der folgenden Bestimmungen vorgeschrieben sind:</w:t>
            </w:r>
          </w:p>
          <w:p w14:paraId="2FE9C127" w14:textId="335AB7DB" w:rsidR="00CB48CC" w:rsidRPr="00500637" w:rsidRDefault="00CB48CC" w:rsidP="000B66BC">
            <w:pPr>
              <w:pStyle w:val="BodyText1"/>
              <w:spacing w:after="240" w:line="240" w:lineRule="auto"/>
              <w:ind w:left="720" w:hanging="360"/>
              <w:rPr>
                <w:rFonts w:ascii="Times New Roman" w:hAnsi="Times New Roman"/>
                <w:bCs/>
                <w:sz w:val="24"/>
                <w:szCs w:val="24"/>
              </w:rPr>
            </w:pPr>
            <w:r w:rsidRPr="00500637">
              <w:rPr>
                <w:rFonts w:ascii="Times New Roman" w:hAnsi="Times New Roman"/>
                <w:sz w:val="24"/>
              </w:rPr>
              <w:t>–</w:t>
            </w:r>
            <w:r w:rsidRPr="00500637">
              <w:tab/>
            </w:r>
            <w:r w:rsidRPr="00500637">
              <w:rPr>
                <w:rFonts w:ascii="Times New Roman" w:hAnsi="Times New Roman"/>
                <w:sz w:val="24"/>
              </w:rPr>
              <w:t xml:space="preserve">Artikel 32 bis 35 der Verordnung (EU) Nr. 575/2013 oder </w:t>
            </w:r>
          </w:p>
          <w:p w14:paraId="35A3C50B" w14:textId="3A4C2CFE" w:rsidR="00CB48CC" w:rsidRPr="00500637" w:rsidRDefault="00CB48CC" w:rsidP="000B66BC">
            <w:pPr>
              <w:pStyle w:val="BodyText1"/>
              <w:spacing w:after="240" w:line="240" w:lineRule="auto"/>
              <w:ind w:left="720" w:hanging="360"/>
              <w:rPr>
                <w:rFonts w:ascii="Times New Roman" w:hAnsi="Times New Roman"/>
                <w:bCs/>
                <w:sz w:val="24"/>
                <w:szCs w:val="24"/>
              </w:rPr>
            </w:pPr>
            <w:r w:rsidRPr="00500637">
              <w:rPr>
                <w:rFonts w:ascii="Times New Roman" w:hAnsi="Times New Roman"/>
                <w:sz w:val="24"/>
              </w:rPr>
              <w:t>–</w:t>
            </w:r>
            <w:r w:rsidRPr="00500637">
              <w:tab/>
            </w:r>
            <w:r w:rsidRPr="00500637">
              <w:rPr>
                <w:rFonts w:ascii="Times New Roman" w:hAnsi="Times New Roman"/>
                <w:sz w:val="24"/>
              </w:rPr>
              <w:t xml:space="preserve">Artikel 36 bis 47 der Verordnung (EU) Nr. 575/2013 oder </w:t>
            </w:r>
          </w:p>
          <w:p w14:paraId="66CB0299" w14:textId="1766DD59" w:rsidR="00CB48CC" w:rsidRPr="00500637" w:rsidRDefault="00CB48CC" w:rsidP="000B66BC">
            <w:pPr>
              <w:pStyle w:val="BodyText1"/>
              <w:spacing w:after="240" w:line="240" w:lineRule="auto"/>
              <w:ind w:left="720" w:hanging="360"/>
              <w:rPr>
                <w:rFonts w:ascii="Times New Roman" w:hAnsi="Times New Roman"/>
                <w:bCs/>
                <w:sz w:val="24"/>
                <w:szCs w:val="24"/>
              </w:rPr>
            </w:pPr>
            <w:r w:rsidRPr="00500637">
              <w:rPr>
                <w:rFonts w:ascii="Times New Roman" w:hAnsi="Times New Roman"/>
                <w:sz w:val="24"/>
              </w:rPr>
              <w:t>–</w:t>
            </w:r>
            <w:r w:rsidRPr="00500637">
              <w:tab/>
            </w:r>
            <w:r w:rsidRPr="00500637">
              <w:rPr>
                <w:rFonts w:ascii="Times New Roman" w:hAnsi="Times New Roman"/>
                <w:sz w:val="24"/>
              </w:rPr>
              <w:t>Artikel 56 bis 60 der Verordnung (EU) Nr. 575/2013,</w:t>
            </w:r>
          </w:p>
          <w:p w14:paraId="152F8BFD" w14:textId="77777777"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je nachdem, welche Bestimmung anwendbar ist.</w:t>
            </w:r>
          </w:p>
          <w:p w14:paraId="730A3940" w14:textId="24896934" w:rsidR="00D9327B"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berücksichtigen zusätzlich zu den in Teil 10 Titel I Kapitel 1, 2 und 4 der Verordnung (EU) Nr. 575/2013 niedergelegten abweichenden Regelungen die in den Artikeln 48, 49 und 79 der Verordnung (EU) Nr. 575/2013 vorgesehenen Ausnahmen und Alternativen. Um eine Doppelzählung zu vermeiden, geben die Institute bei der Berechnung der Risikopositionswerte in {0010;0010} bis {0269;0010} weder Anpassungen an, die bereits nach Artikel 111 der Verordnung (EU) Nr. 575/2013 vorgenommen wurden, noch solche, die nicht den Abzug eines bestimmten Aktivpostens zur Folge haben.</w:t>
            </w:r>
          </w:p>
          <w:p w14:paraId="33460AF9" w14:textId="77777777"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Da diese Beträge bereits von der Kapitalmessgröße abgezogen sind, verringern sie die Risikoposition für die Verschuldungsquote und werden als negativer Wert gemeldet.</w:t>
            </w:r>
          </w:p>
          <w:p w14:paraId="5A75B235" w14:textId="399DE8C6" w:rsidR="00CB48CC" w:rsidRPr="00500637" w:rsidRDefault="00CB48CC" w:rsidP="000B66BC">
            <w:pPr>
              <w:pStyle w:val="BodyText1"/>
              <w:spacing w:after="240" w:line="240" w:lineRule="auto"/>
              <w:rPr>
                <w:rFonts w:ascii="Times New Roman" w:hAnsi="Times New Roman"/>
                <w:b/>
                <w:bCs/>
                <w:sz w:val="24"/>
                <w:szCs w:val="24"/>
              </w:rPr>
            </w:pPr>
          </w:p>
        </w:tc>
      </w:tr>
      <w:tr w:rsidR="00CB48CC" w:rsidRPr="00500637" w14:paraId="2854FA96" w14:textId="77777777" w:rsidTr="008979D2">
        <w:trPr>
          <w:trHeight w:val="304"/>
        </w:trPr>
        <w:tc>
          <w:tcPr>
            <w:tcW w:w="1555" w:type="dxa"/>
            <w:gridSpan w:val="2"/>
            <w:tcBorders>
              <w:bottom w:val="single" w:sz="4" w:space="0" w:color="auto"/>
            </w:tcBorders>
          </w:tcPr>
          <w:p w14:paraId="4375AA27" w14:textId="5FEC7397"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t>{0290;0010}</w:t>
            </w:r>
          </w:p>
          <w:p w14:paraId="140D82B2" w14:textId="77777777" w:rsidR="00CB48CC" w:rsidRPr="00500637"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5BA90C" w14:textId="6C419506" w:rsidR="00CB48CC" w:rsidRPr="00500637" w:rsidRDefault="00CB48CC"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Gesamtrisikopositionsmessgröße für die Verschuldungsquote – unter Verwendung einer Definition des Kernkapitals nach vollständiger Einführung der neuen Bestimmungen</w:t>
            </w:r>
          </w:p>
          <w:p w14:paraId="18A90C99" w14:textId="79F7D615" w:rsidR="00CB48CC" w:rsidRPr="00500637" w:rsidRDefault="0026270F" w:rsidP="000B66BC">
            <w:pPr>
              <w:pStyle w:val="BodyText1"/>
              <w:spacing w:after="240" w:line="240" w:lineRule="auto"/>
              <w:rPr>
                <w:rFonts w:ascii="Times New Roman" w:hAnsi="Times New Roman"/>
                <w:b/>
                <w:bCs/>
                <w:sz w:val="24"/>
                <w:szCs w:val="24"/>
              </w:rPr>
            </w:pPr>
            <w:r w:rsidRPr="00500637">
              <w:rPr>
                <w:rFonts w:ascii="Times New Roman" w:hAnsi="Times New Roman"/>
                <w:sz w:val="24"/>
              </w:rPr>
              <w:t>Die Institute melden die Summe aller Zeilen von 0010 bis 0269 und Zeile 0270.</w:t>
            </w:r>
          </w:p>
        </w:tc>
      </w:tr>
      <w:tr w:rsidR="00CB48CC" w:rsidRPr="00500637" w14:paraId="16865D6C" w14:textId="77777777" w:rsidTr="008979D2">
        <w:trPr>
          <w:trHeight w:val="304"/>
        </w:trPr>
        <w:tc>
          <w:tcPr>
            <w:tcW w:w="1555" w:type="dxa"/>
            <w:gridSpan w:val="2"/>
            <w:tcBorders>
              <w:bottom w:val="single" w:sz="4" w:space="0" w:color="auto"/>
            </w:tcBorders>
          </w:tcPr>
          <w:p w14:paraId="5F1E1E63" w14:textId="6C4A4D91"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t>{0300;0010}</w:t>
            </w:r>
          </w:p>
          <w:p w14:paraId="2180AA43" w14:textId="77777777" w:rsidR="00CB48CC" w:rsidRPr="00500637"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62C2DC4" w14:textId="132D1D75"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b/>
                <w:sz w:val="24"/>
              </w:rPr>
              <w:t>Gesamtrisikopositionsmessgröße für die Verschuldungsquote – unter Verwendung einer Übergangsdefinition des Kernkapitals</w:t>
            </w:r>
          </w:p>
          <w:p w14:paraId="247E260C" w14:textId="3BD2777D" w:rsidR="00CB48CC" w:rsidRPr="00500637" w:rsidRDefault="00CB48CC" w:rsidP="000B66BC">
            <w:pPr>
              <w:pStyle w:val="BodyText1"/>
              <w:spacing w:after="240" w:line="240" w:lineRule="auto"/>
              <w:rPr>
                <w:rFonts w:ascii="Times New Roman" w:hAnsi="Times New Roman"/>
                <w:b/>
                <w:bCs/>
                <w:sz w:val="24"/>
                <w:szCs w:val="24"/>
              </w:rPr>
            </w:pPr>
            <w:r w:rsidRPr="00500637">
              <w:rPr>
                <w:rFonts w:ascii="Times New Roman" w:hAnsi="Times New Roman"/>
                <w:sz w:val="24"/>
              </w:rPr>
              <w:t xml:space="preserve">Die Institute melden die Summe aller Zeilen von 0010 bis 0269 und Zeile 0280. </w:t>
            </w:r>
          </w:p>
        </w:tc>
      </w:tr>
    </w:tbl>
    <w:p w14:paraId="3D5D2941" w14:textId="77777777" w:rsidR="00500637" w:rsidRDefault="00500637">
      <w:r>
        <w:br w:type="page"/>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7566"/>
      </w:tblGrid>
      <w:tr w:rsidR="00CB48CC" w:rsidRPr="00500637" w14:paraId="25B9F129" w14:textId="77777777" w:rsidTr="008979D2">
        <w:trPr>
          <w:trHeight w:val="304"/>
        </w:trPr>
        <w:tc>
          <w:tcPr>
            <w:tcW w:w="1555" w:type="dxa"/>
            <w:shd w:val="pct25" w:color="auto" w:fill="auto"/>
          </w:tcPr>
          <w:p w14:paraId="069EB129" w14:textId="74676366" w:rsidR="00CB48CC" w:rsidRPr="00500637" w:rsidRDefault="00CB48CC" w:rsidP="000B66BC">
            <w:pPr>
              <w:pStyle w:val="BodyText1"/>
              <w:spacing w:after="240"/>
              <w:rPr>
                <w:rFonts w:ascii="Times New Roman" w:hAnsi="Times New Roman"/>
                <w:b/>
                <w:bCs/>
                <w:sz w:val="24"/>
                <w:szCs w:val="24"/>
              </w:rPr>
            </w:pPr>
            <w:r w:rsidRPr="00500637">
              <w:rPr>
                <w:rFonts w:ascii="Times New Roman" w:hAnsi="Times New Roman"/>
                <w:b/>
                <w:sz w:val="24"/>
              </w:rPr>
              <w:lastRenderedPageBreak/>
              <w:t>Zeile und Spalte</w:t>
            </w:r>
          </w:p>
        </w:tc>
        <w:tc>
          <w:tcPr>
            <w:tcW w:w="7566" w:type="dxa"/>
            <w:shd w:val="pct25" w:color="auto" w:fill="auto"/>
          </w:tcPr>
          <w:p w14:paraId="10FF1AF5" w14:textId="77777777" w:rsidR="00CB48CC" w:rsidRPr="00500637" w:rsidRDefault="00CB48CC"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 xml:space="preserve">Kapital </w:t>
            </w:r>
          </w:p>
        </w:tc>
      </w:tr>
      <w:tr w:rsidR="00CB48CC" w:rsidRPr="00500637" w14:paraId="448FE1D7" w14:textId="77777777" w:rsidTr="008979D2">
        <w:trPr>
          <w:trHeight w:val="304"/>
        </w:trPr>
        <w:tc>
          <w:tcPr>
            <w:tcW w:w="1555" w:type="dxa"/>
          </w:tcPr>
          <w:p w14:paraId="696588A9" w14:textId="3F9C3A82"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t>{0310;0010}</w:t>
            </w:r>
          </w:p>
          <w:p w14:paraId="7738A245" w14:textId="77777777" w:rsidR="00CB48CC" w:rsidRPr="00500637" w:rsidRDefault="00CB48CC" w:rsidP="000B66BC">
            <w:pPr>
              <w:pStyle w:val="BodyText1"/>
              <w:spacing w:after="240"/>
              <w:rPr>
                <w:rFonts w:ascii="Times New Roman" w:hAnsi="Times New Roman"/>
                <w:bCs/>
                <w:sz w:val="24"/>
                <w:szCs w:val="24"/>
              </w:rPr>
            </w:pPr>
          </w:p>
        </w:tc>
        <w:tc>
          <w:tcPr>
            <w:tcW w:w="7566" w:type="dxa"/>
          </w:tcPr>
          <w:p w14:paraId="2F0EFDF6" w14:textId="46AB3F15"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b/>
                <w:sz w:val="24"/>
              </w:rPr>
              <w:t>Kernkapital – Definition nach vollständiger Einführung der neuen Bestimmungen</w:t>
            </w:r>
          </w:p>
          <w:p w14:paraId="6D31890D" w14:textId="143ECED4"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 Absatz 3 Buchstabe a und Artikel 499 Absatz 1 der Verordnung (EU) Nr. 575/2013</w:t>
            </w:r>
          </w:p>
          <w:p w14:paraId="49E3D5DA" w14:textId="0B6B7334"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Höhe des nach Artikel 25 der Verordnung (EU) Nr. 575/2013 berechneten Kernkapitals ohne Berücksichtigung der in Teil 10 Titel I Kapitel 1, 2 und 4 der Verordnung (EU) Nr. 575/2013 festgelegten abweichenden Regelungen.</w:t>
            </w:r>
          </w:p>
        </w:tc>
      </w:tr>
      <w:tr w:rsidR="00CB48CC" w:rsidRPr="00500637" w14:paraId="2B054486" w14:textId="77777777" w:rsidTr="008979D2">
        <w:trPr>
          <w:trHeight w:val="304"/>
        </w:trPr>
        <w:tc>
          <w:tcPr>
            <w:tcW w:w="1555" w:type="dxa"/>
          </w:tcPr>
          <w:p w14:paraId="5ED7C02F" w14:textId="7A8D781A"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t>{0320;0010}</w:t>
            </w:r>
          </w:p>
          <w:p w14:paraId="15F4A511" w14:textId="77777777" w:rsidR="00CB48CC" w:rsidRPr="00500637" w:rsidRDefault="00CB48CC" w:rsidP="000B66BC">
            <w:pPr>
              <w:pStyle w:val="BodyText1"/>
              <w:spacing w:after="240"/>
              <w:rPr>
                <w:rFonts w:ascii="Times New Roman" w:hAnsi="Times New Roman"/>
                <w:bCs/>
                <w:sz w:val="24"/>
                <w:szCs w:val="24"/>
              </w:rPr>
            </w:pPr>
          </w:p>
        </w:tc>
        <w:tc>
          <w:tcPr>
            <w:tcW w:w="7566" w:type="dxa"/>
          </w:tcPr>
          <w:p w14:paraId="656D366B" w14:textId="77777777" w:rsidR="00CB48CC" w:rsidRPr="00500637" w:rsidRDefault="00CB48CC"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Kernkapital – Übergangsdefinition</w:t>
            </w:r>
          </w:p>
          <w:p w14:paraId="5041E493" w14:textId="342F5900"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 Absatz 3 Buchstabe b und Artikel 499 Absatz 1 der Verordnung (EU) Nr. 575/2013</w:t>
            </w:r>
          </w:p>
          <w:p w14:paraId="3270C368" w14:textId="285AC909" w:rsidR="00CB48CC" w:rsidRPr="00500637" w:rsidRDefault="00CB48CC" w:rsidP="00B70EBF">
            <w:pPr>
              <w:pStyle w:val="BodyText1"/>
              <w:spacing w:after="240" w:line="240" w:lineRule="auto"/>
              <w:rPr>
                <w:rFonts w:ascii="Times New Roman" w:hAnsi="Times New Roman"/>
                <w:bCs/>
                <w:sz w:val="24"/>
                <w:szCs w:val="24"/>
              </w:rPr>
            </w:pPr>
            <w:r w:rsidRPr="00500637">
              <w:rPr>
                <w:rFonts w:ascii="Times New Roman" w:hAnsi="Times New Roman"/>
                <w:sz w:val="24"/>
              </w:rPr>
              <w:t>Die Höhe des nach Artikel 25 der Verordnung (EU) Nr. 575/2013 berechneten Kernkapitals nach Berücksichtigung der in Teil 10 Titel I Kapitel 1, 2 und 4 der Verordnung (EU) Nr. 575/2013 festgelegten abweichenden Regelungen.</w:t>
            </w:r>
          </w:p>
        </w:tc>
      </w:tr>
      <w:tr w:rsidR="00CB48CC" w:rsidRPr="00500637" w14:paraId="30D5612D" w14:textId="77777777" w:rsidTr="008979D2">
        <w:trPr>
          <w:trHeight w:val="304"/>
        </w:trPr>
        <w:tc>
          <w:tcPr>
            <w:tcW w:w="1555" w:type="dxa"/>
            <w:shd w:val="clear" w:color="auto" w:fill="D9D9D9" w:themeFill="background1" w:themeFillShade="D9"/>
          </w:tcPr>
          <w:p w14:paraId="3E09CDC7" w14:textId="4222548E" w:rsidR="00CB48CC" w:rsidRPr="00500637" w:rsidRDefault="00CB48CC" w:rsidP="000B66BC">
            <w:pPr>
              <w:pStyle w:val="BodyText1"/>
              <w:spacing w:after="240"/>
              <w:rPr>
                <w:rFonts w:ascii="Times New Roman" w:hAnsi="Times New Roman"/>
                <w:b/>
                <w:bCs/>
                <w:sz w:val="24"/>
                <w:szCs w:val="24"/>
              </w:rPr>
            </w:pPr>
            <w:r w:rsidRPr="00500637">
              <w:rPr>
                <w:rFonts w:ascii="Times New Roman" w:hAnsi="Times New Roman"/>
                <w:b/>
                <w:sz w:val="24"/>
              </w:rPr>
              <w:t>Zeile und Spalte</w:t>
            </w:r>
          </w:p>
        </w:tc>
        <w:tc>
          <w:tcPr>
            <w:tcW w:w="7566" w:type="dxa"/>
            <w:shd w:val="clear" w:color="auto" w:fill="D9D9D9" w:themeFill="background1" w:themeFillShade="D9"/>
          </w:tcPr>
          <w:p w14:paraId="19280F08" w14:textId="77777777" w:rsidR="00CB48CC" w:rsidRPr="00500637" w:rsidRDefault="00CB48CC"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Verschuldungsquote</w:t>
            </w:r>
          </w:p>
        </w:tc>
      </w:tr>
      <w:tr w:rsidR="00CB48CC" w:rsidRPr="00500637" w14:paraId="7E720607" w14:textId="77777777" w:rsidTr="008979D2">
        <w:trPr>
          <w:trHeight w:val="304"/>
        </w:trPr>
        <w:tc>
          <w:tcPr>
            <w:tcW w:w="1555" w:type="dxa"/>
          </w:tcPr>
          <w:p w14:paraId="04FDC8D4" w14:textId="563122E7"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t>{0330;0010}</w:t>
            </w:r>
          </w:p>
        </w:tc>
        <w:tc>
          <w:tcPr>
            <w:tcW w:w="7566" w:type="dxa"/>
          </w:tcPr>
          <w:p w14:paraId="170E1973" w14:textId="77777777" w:rsidR="00CB48CC" w:rsidRPr="00500637" w:rsidRDefault="00CB48CC"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Verschuldungsquote – unter Verwendung einer Definition des Kernkapitals nach vollständiger Einführung der neuen Bestimmungen</w:t>
            </w:r>
          </w:p>
          <w:p w14:paraId="14103416" w14:textId="3DDF1B90"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 Absatz 2 und Artikel 499 Absatz 1 der Verordnung (EU) Nr. 575/2013</w:t>
            </w:r>
          </w:p>
          <w:p w14:paraId="13640073" w14:textId="33312D1E" w:rsidR="00CB48CC" w:rsidRPr="00500637" w:rsidRDefault="00CB48CC" w:rsidP="00B70EBF">
            <w:pPr>
              <w:pStyle w:val="BodyText1"/>
              <w:spacing w:after="240" w:line="240" w:lineRule="auto"/>
              <w:rPr>
                <w:rFonts w:ascii="Times New Roman" w:hAnsi="Times New Roman"/>
                <w:b/>
                <w:bCs/>
                <w:sz w:val="24"/>
                <w:szCs w:val="24"/>
              </w:rPr>
            </w:pPr>
            <w:r w:rsidRPr="00500637">
              <w:rPr>
                <w:rFonts w:ascii="Times New Roman" w:hAnsi="Times New Roman"/>
                <w:sz w:val="24"/>
              </w:rPr>
              <w:t>Die nach Teil II Abschnitt 2 dieses Anhangs berechnete Verschuldungsquote.</w:t>
            </w:r>
          </w:p>
        </w:tc>
      </w:tr>
      <w:tr w:rsidR="00CB48CC" w:rsidRPr="00500637" w14:paraId="58F7E1A1" w14:textId="77777777" w:rsidTr="008979D2">
        <w:trPr>
          <w:trHeight w:val="304"/>
        </w:trPr>
        <w:tc>
          <w:tcPr>
            <w:tcW w:w="1555" w:type="dxa"/>
          </w:tcPr>
          <w:p w14:paraId="775E3AF8" w14:textId="15CC0D81"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t>{0340;0010}</w:t>
            </w:r>
          </w:p>
        </w:tc>
        <w:tc>
          <w:tcPr>
            <w:tcW w:w="7566" w:type="dxa"/>
          </w:tcPr>
          <w:p w14:paraId="750922D1" w14:textId="77777777" w:rsidR="00CB48CC" w:rsidRPr="00500637" w:rsidRDefault="00CB48CC"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Verschuldungsquote – unter Verwendung einer Übergangsdefinition des Kernkapitals</w:t>
            </w:r>
          </w:p>
          <w:p w14:paraId="26098DFB" w14:textId="009CAE85" w:rsidR="00CB48CC" w:rsidRPr="00500637" w:rsidRDefault="00CB48CC"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429 Absatz 2 und Artikel 499 Absatz 1 der Verordnung (EU) Nr. 575/2013</w:t>
            </w:r>
          </w:p>
          <w:p w14:paraId="173B4CA4" w14:textId="15DFD6E5" w:rsidR="000A486B" w:rsidRPr="00500637" w:rsidRDefault="00CB48CC" w:rsidP="00B70EBF">
            <w:pPr>
              <w:pStyle w:val="BodyText1"/>
              <w:spacing w:after="240" w:line="240" w:lineRule="auto"/>
              <w:rPr>
                <w:rFonts w:ascii="Times New Roman" w:hAnsi="Times New Roman"/>
                <w:b/>
                <w:bCs/>
                <w:sz w:val="24"/>
                <w:szCs w:val="24"/>
              </w:rPr>
            </w:pPr>
            <w:r w:rsidRPr="00500637">
              <w:rPr>
                <w:rFonts w:ascii="Times New Roman" w:hAnsi="Times New Roman"/>
                <w:sz w:val="24"/>
              </w:rPr>
              <w:t>Die nach Teil II Abschnitt 3 dieses Anhangs berechnete Verschuldungsquote.</w:t>
            </w:r>
          </w:p>
        </w:tc>
      </w:tr>
      <w:tr w:rsidR="00CB48CC" w:rsidRPr="00500637" w14:paraId="39DF531E" w14:textId="77777777" w:rsidTr="008979D2">
        <w:trPr>
          <w:trHeight w:val="304"/>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b/>
                <w:sz w:val="24"/>
              </w:rPr>
              <w:t>Zeile und Spalte</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500637" w:rsidRDefault="00CB48CC"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Anforderungen: Beträge</w:t>
            </w:r>
          </w:p>
        </w:tc>
      </w:tr>
      <w:tr w:rsidR="00E36E71" w:rsidRPr="00500637" w14:paraId="49D3F110" w14:textId="77777777" w:rsidTr="008979D2">
        <w:trPr>
          <w:trHeight w:val="304"/>
        </w:trPr>
        <w:tc>
          <w:tcPr>
            <w:tcW w:w="1555" w:type="dxa"/>
            <w:tcBorders>
              <w:top w:val="single" w:sz="4" w:space="0" w:color="auto"/>
              <w:left w:val="single" w:sz="4" w:space="0" w:color="auto"/>
              <w:bottom w:val="single" w:sz="4" w:space="0" w:color="auto"/>
              <w:right w:val="single" w:sz="4" w:space="0" w:color="auto"/>
            </w:tcBorders>
          </w:tcPr>
          <w:p w14:paraId="478479BE" w14:textId="15CB4911" w:rsidR="00E36E71" w:rsidRPr="00500637" w:rsidRDefault="00E36E71" w:rsidP="000B66BC">
            <w:pPr>
              <w:pStyle w:val="BodyText1"/>
              <w:spacing w:after="240"/>
              <w:rPr>
                <w:rFonts w:ascii="Times New Roman" w:hAnsi="Times New Roman"/>
                <w:bCs/>
                <w:sz w:val="24"/>
                <w:szCs w:val="24"/>
              </w:rPr>
            </w:pPr>
            <w:r w:rsidRPr="00500637">
              <w:rPr>
                <w:rFonts w:ascii="Times New Roman" w:hAnsi="Times New Roman"/>
                <w:sz w:val="24"/>
              </w:rPr>
              <w:t>{0350;0010}</w:t>
            </w:r>
          </w:p>
        </w:tc>
        <w:tc>
          <w:tcPr>
            <w:tcW w:w="7566" w:type="dxa"/>
            <w:tcBorders>
              <w:top w:val="single" w:sz="4" w:space="0" w:color="auto"/>
              <w:left w:val="single" w:sz="4" w:space="0" w:color="auto"/>
              <w:bottom w:val="single" w:sz="4" w:space="0" w:color="auto"/>
              <w:right w:val="single" w:sz="4" w:space="0" w:color="auto"/>
            </w:tcBorders>
            <w:vAlign w:val="center"/>
          </w:tcPr>
          <w:p w14:paraId="403F51AE" w14:textId="77777777" w:rsidR="00E36E71" w:rsidRPr="00500637" w:rsidRDefault="00E36E71"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Anforderung nach Säule 2 (P2R) zur Abdeckung von Risiken einer übermäßigen Verschuldung</w:t>
            </w:r>
          </w:p>
          <w:p w14:paraId="52420558" w14:textId="1EE5977B" w:rsidR="00E36E71" w:rsidRPr="00500637" w:rsidRDefault="008B096D" w:rsidP="00B70EBF">
            <w:pPr>
              <w:pStyle w:val="BodyText1"/>
              <w:spacing w:after="240" w:line="240" w:lineRule="auto"/>
              <w:rPr>
                <w:rFonts w:ascii="Times New Roman" w:hAnsi="Times New Roman"/>
                <w:b/>
                <w:color w:val="auto"/>
                <w:sz w:val="24"/>
                <w:szCs w:val="24"/>
              </w:rPr>
            </w:pPr>
            <w:r w:rsidRPr="00500637">
              <w:rPr>
                <w:rFonts w:ascii="Times New Roman" w:hAnsi="Times New Roman"/>
                <w:sz w:val="24"/>
              </w:rPr>
              <w:lastRenderedPageBreak/>
              <w:t>Artikel 104 und 104a der Richtlinie 2013/36/EU; zusätzliche Eigenmittelanforderungen, die von der zuständigen Behörde zur Abdeckung der Risiken einer übermäßigen Verschuldung vorgeschrieben sind, gemäß Artikel 104 der Richtlinie 2013/36/EU</w:t>
            </w:r>
          </w:p>
        </w:tc>
      </w:tr>
      <w:tr w:rsidR="00E36E71" w:rsidRPr="00500637" w14:paraId="5E2FEE39" w14:textId="77777777" w:rsidTr="008979D2">
        <w:trPr>
          <w:trHeight w:val="304"/>
        </w:trPr>
        <w:tc>
          <w:tcPr>
            <w:tcW w:w="1555" w:type="dxa"/>
            <w:tcBorders>
              <w:top w:val="single" w:sz="4" w:space="0" w:color="auto"/>
              <w:left w:val="single" w:sz="4" w:space="0" w:color="auto"/>
              <w:bottom w:val="single" w:sz="4" w:space="0" w:color="auto"/>
              <w:right w:val="single" w:sz="4" w:space="0" w:color="auto"/>
            </w:tcBorders>
          </w:tcPr>
          <w:p w14:paraId="62D3C276" w14:textId="64F853EC" w:rsidR="00E36E71" w:rsidRPr="00500637" w:rsidRDefault="00E36E71" w:rsidP="000B66BC">
            <w:pPr>
              <w:pStyle w:val="BodyText1"/>
              <w:spacing w:after="240"/>
              <w:rPr>
                <w:rFonts w:ascii="Times New Roman" w:hAnsi="Times New Roman"/>
                <w:bCs/>
                <w:sz w:val="24"/>
                <w:szCs w:val="24"/>
              </w:rPr>
            </w:pPr>
            <w:r w:rsidRPr="00500637">
              <w:rPr>
                <w:rFonts w:ascii="Times New Roman" w:hAnsi="Times New Roman"/>
                <w:sz w:val="24"/>
              </w:rPr>
              <w:lastRenderedPageBreak/>
              <w:t>{0360;0010}</w:t>
            </w:r>
          </w:p>
        </w:tc>
        <w:tc>
          <w:tcPr>
            <w:tcW w:w="7566" w:type="dxa"/>
            <w:tcBorders>
              <w:top w:val="single" w:sz="4" w:space="0" w:color="auto"/>
              <w:left w:val="single" w:sz="4" w:space="0" w:color="auto"/>
              <w:bottom w:val="single" w:sz="4" w:space="0" w:color="auto"/>
              <w:right w:val="single" w:sz="4" w:space="0" w:color="auto"/>
            </w:tcBorders>
            <w:vAlign w:val="center"/>
          </w:tcPr>
          <w:p w14:paraId="2A6845DE" w14:textId="659EEC38" w:rsidR="00E36E71" w:rsidRPr="00500637" w:rsidRDefault="00E36E71"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davon: in Form von hartem Kernkapital</w:t>
            </w:r>
          </w:p>
          <w:p w14:paraId="118609BA" w14:textId="66E6068C" w:rsidR="008E21B3" w:rsidRPr="00500637" w:rsidRDefault="008E21B3" w:rsidP="00B70EBF">
            <w:pPr>
              <w:pStyle w:val="BodyText1"/>
              <w:spacing w:after="240" w:line="240" w:lineRule="auto"/>
              <w:rPr>
                <w:rFonts w:ascii="Times New Roman" w:hAnsi="Times New Roman"/>
                <w:b/>
                <w:color w:val="auto"/>
                <w:sz w:val="24"/>
                <w:szCs w:val="24"/>
              </w:rPr>
            </w:pPr>
            <w:r w:rsidRPr="00500637">
              <w:rPr>
                <w:rFonts w:ascii="Times New Roman" w:hAnsi="Times New Roman"/>
                <w:color w:val="auto"/>
                <w:sz w:val="24"/>
              </w:rPr>
              <w:t>Der in Zeile 0350 ausgewiesene P2R-Teil, der nach Auflage der zuständigen Behörde in Form von hartem Kernkapital gehalten werden muss.</w:t>
            </w:r>
          </w:p>
        </w:tc>
      </w:tr>
      <w:tr w:rsidR="00E36E71" w:rsidRPr="00500637" w14:paraId="050776BA" w14:textId="77777777" w:rsidTr="008979D2">
        <w:trPr>
          <w:trHeight w:val="304"/>
        </w:trPr>
        <w:tc>
          <w:tcPr>
            <w:tcW w:w="1555" w:type="dxa"/>
            <w:tcBorders>
              <w:top w:val="single" w:sz="4" w:space="0" w:color="auto"/>
              <w:left w:val="single" w:sz="4" w:space="0" w:color="auto"/>
              <w:bottom w:val="single" w:sz="4" w:space="0" w:color="auto"/>
              <w:right w:val="single" w:sz="4" w:space="0" w:color="auto"/>
            </w:tcBorders>
          </w:tcPr>
          <w:p w14:paraId="1C554369" w14:textId="61BE47AC" w:rsidR="00E36E71" w:rsidRPr="00500637" w:rsidRDefault="00E36E71" w:rsidP="000B66BC">
            <w:pPr>
              <w:pStyle w:val="BodyText1"/>
              <w:spacing w:after="240"/>
              <w:rPr>
                <w:rFonts w:ascii="Times New Roman" w:hAnsi="Times New Roman"/>
                <w:bCs/>
                <w:sz w:val="24"/>
                <w:szCs w:val="24"/>
              </w:rPr>
            </w:pPr>
            <w:r w:rsidRPr="00500637">
              <w:rPr>
                <w:rFonts w:ascii="Times New Roman" w:hAnsi="Times New Roman"/>
                <w:sz w:val="24"/>
              </w:rPr>
              <w:t>{0370;0010}</w:t>
            </w:r>
          </w:p>
        </w:tc>
        <w:tc>
          <w:tcPr>
            <w:tcW w:w="7566" w:type="dxa"/>
            <w:tcBorders>
              <w:top w:val="single" w:sz="4" w:space="0" w:color="auto"/>
              <w:left w:val="single" w:sz="4" w:space="0" w:color="auto"/>
              <w:bottom w:val="single" w:sz="4" w:space="0" w:color="auto"/>
              <w:right w:val="single" w:sz="4" w:space="0" w:color="auto"/>
            </w:tcBorders>
            <w:vAlign w:val="center"/>
          </w:tcPr>
          <w:p w14:paraId="60019DE4" w14:textId="4DD14E6A" w:rsidR="008E21B3" w:rsidRPr="00500637" w:rsidRDefault="00E36E71"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Puffer der Verschuldungsquote für G-SRI</w:t>
            </w:r>
          </w:p>
          <w:p w14:paraId="2DF708A7" w14:textId="4743D9F9" w:rsidR="008E21B3" w:rsidRPr="00500637" w:rsidRDefault="008E21B3" w:rsidP="000B66BC">
            <w:pPr>
              <w:pStyle w:val="BodyText1"/>
              <w:spacing w:after="240" w:line="240" w:lineRule="auto"/>
              <w:rPr>
                <w:rFonts w:ascii="Times New Roman" w:hAnsi="Times New Roman"/>
                <w:b/>
                <w:bCs/>
                <w:color w:val="auto"/>
                <w:sz w:val="24"/>
                <w:szCs w:val="24"/>
              </w:rPr>
            </w:pPr>
            <w:r w:rsidRPr="00500637">
              <w:rPr>
                <w:rFonts w:ascii="Times New Roman" w:hAnsi="Times New Roman"/>
                <w:sz w:val="24"/>
              </w:rPr>
              <w:t>Artikel 92 Absatz 1a der Verordnung (EU) Nr. 575/2013</w:t>
            </w:r>
          </w:p>
          <w:p w14:paraId="04DDCD79" w14:textId="110DEF14" w:rsidR="008E21B3" w:rsidRPr="00500637" w:rsidRDefault="00B70EBF" w:rsidP="000B66BC">
            <w:pPr>
              <w:pStyle w:val="BodyText1"/>
              <w:spacing w:after="240"/>
              <w:rPr>
                <w:rFonts w:ascii="Times New Roman" w:hAnsi="Times New Roman"/>
                <w:bCs/>
                <w:color w:val="auto"/>
                <w:sz w:val="24"/>
                <w:szCs w:val="24"/>
              </w:rPr>
            </w:pPr>
            <w:r w:rsidRPr="00500637">
              <w:rPr>
                <w:rFonts w:ascii="Times New Roman" w:hAnsi="Times New Roman"/>
                <w:sz w:val="24"/>
              </w:rPr>
              <w:t>G-SRI melden den Wert des Aufschlags der G-SRI für die nach Artikel 92 Absatz 1a der Verordnung (EU) Nr. 575/2013 bestimmte Verschuldungsquote.</w:t>
            </w:r>
          </w:p>
          <w:p w14:paraId="10B82F9E" w14:textId="5E998451" w:rsidR="00E36E71" w:rsidRPr="00500637" w:rsidRDefault="008E21B3" w:rsidP="000B66BC">
            <w:pPr>
              <w:pStyle w:val="BodyText1"/>
              <w:spacing w:after="240"/>
              <w:rPr>
                <w:rFonts w:ascii="Times New Roman" w:hAnsi="Times New Roman"/>
                <w:b/>
                <w:color w:val="auto"/>
                <w:sz w:val="24"/>
                <w:szCs w:val="24"/>
              </w:rPr>
            </w:pPr>
            <w:r w:rsidRPr="00500637">
              <w:rPr>
                <w:rFonts w:ascii="Times New Roman" w:hAnsi="Times New Roman"/>
                <w:sz w:val="24"/>
              </w:rPr>
              <w:t>G-SRI melden diesen Betrag zum Zeitpunkt der Anwendung des Puffers gemäß der Verordnung (EU) Nr. 575/2013.</w:t>
            </w:r>
          </w:p>
        </w:tc>
      </w:tr>
      <w:tr w:rsidR="00E36E71" w:rsidRPr="00500637" w14:paraId="756B6F5A" w14:textId="77777777" w:rsidTr="008979D2">
        <w:trPr>
          <w:trHeight w:val="304"/>
        </w:trPr>
        <w:tc>
          <w:tcPr>
            <w:tcW w:w="1555" w:type="dxa"/>
            <w:tcBorders>
              <w:top w:val="single" w:sz="4" w:space="0" w:color="auto"/>
              <w:left w:val="single" w:sz="4" w:space="0" w:color="auto"/>
              <w:bottom w:val="single" w:sz="4" w:space="0" w:color="auto"/>
              <w:right w:val="single" w:sz="4" w:space="0" w:color="auto"/>
            </w:tcBorders>
          </w:tcPr>
          <w:p w14:paraId="0A626523" w14:textId="5BD07284" w:rsidR="00E36E71" w:rsidRPr="00500637" w:rsidRDefault="00E36E71" w:rsidP="000B66BC">
            <w:pPr>
              <w:pStyle w:val="BodyText1"/>
              <w:spacing w:after="240"/>
              <w:rPr>
                <w:rFonts w:ascii="Times New Roman" w:hAnsi="Times New Roman"/>
                <w:bCs/>
                <w:sz w:val="24"/>
                <w:szCs w:val="24"/>
              </w:rPr>
            </w:pPr>
            <w:r w:rsidRPr="00500637">
              <w:rPr>
                <w:rFonts w:ascii="Times New Roman" w:hAnsi="Times New Roman"/>
                <w:sz w:val="24"/>
              </w:rPr>
              <w:t>{0380;0010}</w:t>
            </w:r>
          </w:p>
        </w:tc>
        <w:tc>
          <w:tcPr>
            <w:tcW w:w="7566" w:type="dxa"/>
            <w:tcBorders>
              <w:top w:val="single" w:sz="4" w:space="0" w:color="auto"/>
              <w:left w:val="single" w:sz="4" w:space="0" w:color="auto"/>
              <w:bottom w:val="single" w:sz="4" w:space="0" w:color="auto"/>
              <w:right w:val="single" w:sz="4" w:space="0" w:color="auto"/>
            </w:tcBorders>
            <w:vAlign w:val="center"/>
          </w:tcPr>
          <w:p w14:paraId="7BCE9F97" w14:textId="77777777" w:rsidR="00E36E71" w:rsidRPr="00500637" w:rsidRDefault="00E36E71"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Eigenmittelzielkennziffer (P2G) zur Abdeckung von Risiken einer übermäßigen Verschuldung</w:t>
            </w:r>
          </w:p>
          <w:p w14:paraId="0B3B1A45" w14:textId="68F57FF2" w:rsidR="00E36E71" w:rsidRPr="00500637" w:rsidRDefault="008E21B3" w:rsidP="00B70EBF">
            <w:pPr>
              <w:pStyle w:val="BodyText1"/>
              <w:spacing w:after="240" w:line="240" w:lineRule="auto"/>
              <w:rPr>
                <w:rFonts w:ascii="Times New Roman" w:hAnsi="Times New Roman"/>
                <w:b/>
                <w:color w:val="auto"/>
                <w:sz w:val="24"/>
                <w:szCs w:val="24"/>
              </w:rPr>
            </w:pPr>
            <w:r w:rsidRPr="00500637">
              <w:rPr>
                <w:rFonts w:ascii="Times New Roman" w:hAnsi="Times New Roman"/>
                <w:color w:val="auto"/>
                <w:sz w:val="24"/>
              </w:rPr>
              <w:t>Artikel 104b der Richtlinie 2013/36/EU; zusätzliche Eigenmittelanforderungen, die von der zuständigen Behörde zur Abdeckung der Risiken einer übermäßigen Verschuldung mitgeteilt werden, gemäß Artikel 104b der Richtlinie 2013/36/EU</w:t>
            </w:r>
          </w:p>
        </w:tc>
      </w:tr>
      <w:tr w:rsidR="00E36E71" w:rsidRPr="00500637" w14:paraId="5FB7C0D6" w14:textId="77777777" w:rsidTr="008979D2">
        <w:trPr>
          <w:trHeight w:val="304"/>
        </w:trPr>
        <w:tc>
          <w:tcPr>
            <w:tcW w:w="1555" w:type="dxa"/>
            <w:tcBorders>
              <w:top w:val="single" w:sz="4" w:space="0" w:color="auto"/>
              <w:left w:val="single" w:sz="4" w:space="0" w:color="auto"/>
              <w:bottom w:val="single" w:sz="4" w:space="0" w:color="auto"/>
              <w:right w:val="single" w:sz="4" w:space="0" w:color="auto"/>
            </w:tcBorders>
          </w:tcPr>
          <w:p w14:paraId="359BC8EE" w14:textId="66C61468" w:rsidR="00E36E71" w:rsidRPr="00500637" w:rsidRDefault="00E36E71" w:rsidP="000B66BC">
            <w:pPr>
              <w:pStyle w:val="BodyText1"/>
              <w:spacing w:after="240"/>
              <w:rPr>
                <w:rFonts w:ascii="Times New Roman" w:hAnsi="Times New Roman"/>
                <w:bCs/>
                <w:sz w:val="24"/>
                <w:szCs w:val="24"/>
              </w:rPr>
            </w:pPr>
            <w:r w:rsidRPr="00500637">
              <w:rPr>
                <w:rFonts w:ascii="Times New Roman" w:hAnsi="Times New Roman"/>
                <w:sz w:val="24"/>
              </w:rPr>
              <w:t>{0390;0010}</w:t>
            </w:r>
          </w:p>
        </w:tc>
        <w:tc>
          <w:tcPr>
            <w:tcW w:w="7566" w:type="dxa"/>
            <w:tcBorders>
              <w:top w:val="single" w:sz="4" w:space="0" w:color="auto"/>
              <w:left w:val="single" w:sz="4" w:space="0" w:color="auto"/>
              <w:bottom w:val="single" w:sz="4" w:space="0" w:color="auto"/>
              <w:right w:val="single" w:sz="4" w:space="0" w:color="auto"/>
            </w:tcBorders>
            <w:vAlign w:val="center"/>
          </w:tcPr>
          <w:p w14:paraId="34782868" w14:textId="77777777" w:rsidR="00E36E71" w:rsidRPr="00500637" w:rsidRDefault="00E36E71"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davon: in Form von hartem Kernkapital</w:t>
            </w:r>
          </w:p>
          <w:p w14:paraId="3318F690" w14:textId="590855DB" w:rsidR="00E36E71" w:rsidRPr="00500637" w:rsidRDefault="00FB31D6" w:rsidP="00B70EBF">
            <w:pPr>
              <w:pStyle w:val="BodyText1"/>
              <w:spacing w:after="240" w:line="240" w:lineRule="auto"/>
              <w:rPr>
                <w:rFonts w:ascii="Times New Roman" w:hAnsi="Times New Roman"/>
                <w:b/>
                <w:color w:val="auto"/>
                <w:sz w:val="24"/>
                <w:szCs w:val="24"/>
              </w:rPr>
            </w:pPr>
            <w:r w:rsidRPr="00500637">
              <w:rPr>
                <w:rFonts w:ascii="Times New Roman" w:hAnsi="Times New Roman"/>
                <w:color w:val="auto"/>
                <w:sz w:val="24"/>
              </w:rPr>
              <w:t>Der in Zeile 0380 ausgewiesene P2G-Teil, der nach Auflage der zuständigen Behörde in Form von hartem Kernkapital gehalten werden muss.</w:t>
            </w:r>
          </w:p>
        </w:tc>
      </w:tr>
      <w:tr w:rsidR="00E36E71" w:rsidRPr="00500637" w14:paraId="65AB50BB" w14:textId="77777777" w:rsidTr="008979D2">
        <w:trPr>
          <w:trHeight w:val="304"/>
        </w:trPr>
        <w:tc>
          <w:tcPr>
            <w:tcW w:w="1555" w:type="dxa"/>
            <w:tcBorders>
              <w:top w:val="single" w:sz="4" w:space="0" w:color="auto"/>
              <w:left w:val="single" w:sz="4" w:space="0" w:color="auto"/>
              <w:bottom w:val="single" w:sz="4" w:space="0" w:color="auto"/>
              <w:right w:val="single" w:sz="4" w:space="0" w:color="auto"/>
            </w:tcBorders>
          </w:tcPr>
          <w:p w14:paraId="276DB95F" w14:textId="0B1F3FB1" w:rsidR="00E36E71" w:rsidRPr="00500637" w:rsidRDefault="00E36E71" w:rsidP="000B66BC">
            <w:pPr>
              <w:pStyle w:val="BodyText1"/>
              <w:spacing w:after="240"/>
              <w:rPr>
                <w:rFonts w:ascii="Times New Roman" w:hAnsi="Times New Roman"/>
                <w:bCs/>
                <w:sz w:val="24"/>
                <w:szCs w:val="24"/>
              </w:rPr>
            </w:pPr>
            <w:r w:rsidRPr="00500637">
              <w:rPr>
                <w:rFonts w:ascii="Times New Roman" w:hAnsi="Times New Roman"/>
                <w:sz w:val="24"/>
              </w:rPr>
              <w:t>{0400;0010}</w:t>
            </w:r>
          </w:p>
        </w:tc>
        <w:tc>
          <w:tcPr>
            <w:tcW w:w="7566" w:type="dxa"/>
            <w:tcBorders>
              <w:top w:val="single" w:sz="4" w:space="0" w:color="auto"/>
              <w:left w:val="single" w:sz="4" w:space="0" w:color="auto"/>
              <w:bottom w:val="single" w:sz="4" w:space="0" w:color="auto"/>
              <w:right w:val="single" w:sz="4" w:space="0" w:color="auto"/>
            </w:tcBorders>
            <w:vAlign w:val="center"/>
          </w:tcPr>
          <w:p w14:paraId="726461BE" w14:textId="2AF2CC4F" w:rsidR="00FB31D6" w:rsidRPr="00500637" w:rsidRDefault="00E36E71" w:rsidP="000B66BC">
            <w:pPr>
              <w:pStyle w:val="BodyText1"/>
              <w:spacing w:after="240" w:line="240" w:lineRule="auto"/>
              <w:rPr>
                <w:rFonts w:ascii="Times New Roman" w:hAnsi="Times New Roman"/>
                <w:color w:val="auto"/>
                <w:sz w:val="24"/>
                <w:szCs w:val="24"/>
              </w:rPr>
            </w:pPr>
            <w:r w:rsidRPr="00500637">
              <w:rPr>
                <w:rFonts w:ascii="Times New Roman" w:hAnsi="Times New Roman"/>
                <w:b/>
                <w:color w:val="auto"/>
                <w:sz w:val="24"/>
              </w:rPr>
              <w:t>davon: in Form von Kernkapital</w:t>
            </w:r>
          </w:p>
          <w:p w14:paraId="69A1223C" w14:textId="5FB61961" w:rsidR="00E36E71" w:rsidRPr="00500637" w:rsidRDefault="00FB31D6" w:rsidP="00B70EBF">
            <w:pPr>
              <w:pStyle w:val="BodyText1"/>
              <w:spacing w:after="240" w:line="240" w:lineRule="auto"/>
              <w:rPr>
                <w:rFonts w:ascii="Times New Roman" w:hAnsi="Times New Roman"/>
                <w:b/>
                <w:color w:val="auto"/>
                <w:sz w:val="24"/>
                <w:szCs w:val="24"/>
              </w:rPr>
            </w:pPr>
            <w:r w:rsidRPr="00500637">
              <w:rPr>
                <w:rFonts w:ascii="Times New Roman" w:hAnsi="Times New Roman"/>
                <w:color w:val="auto"/>
                <w:sz w:val="24"/>
              </w:rPr>
              <w:t>Der in Zeile 0380 ausgewiesene P2G-Teil, der nach Auflage der zuständigen Behörde in Form von Kernkapital gehalten werden muss.</w:t>
            </w:r>
          </w:p>
        </w:tc>
      </w:tr>
      <w:tr w:rsidR="00E36E71" w:rsidRPr="00500637" w14:paraId="0EAD8BE9" w14:textId="77777777" w:rsidTr="008979D2">
        <w:trPr>
          <w:trHeight w:val="304"/>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500637" w:rsidRDefault="00E36E71" w:rsidP="000B66BC">
            <w:pPr>
              <w:pStyle w:val="BodyText1"/>
              <w:spacing w:after="240"/>
              <w:rPr>
                <w:rFonts w:ascii="Times New Roman" w:hAnsi="Times New Roman"/>
                <w:b/>
                <w:bCs/>
                <w:sz w:val="24"/>
                <w:szCs w:val="24"/>
              </w:rPr>
            </w:pPr>
            <w:r w:rsidRPr="00500637">
              <w:rPr>
                <w:rFonts w:ascii="Times New Roman" w:hAnsi="Times New Roman"/>
                <w:b/>
                <w:sz w:val="24"/>
              </w:rPr>
              <w:t>Zeile und Spalte</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500637" w:rsidRDefault="00E36E71" w:rsidP="000B66BC">
            <w:pPr>
              <w:pStyle w:val="BodyText1"/>
              <w:spacing w:after="240" w:line="240" w:lineRule="auto"/>
              <w:rPr>
                <w:rFonts w:ascii="Times New Roman" w:hAnsi="Times New Roman"/>
                <w:b/>
                <w:color w:val="auto"/>
                <w:sz w:val="24"/>
                <w:szCs w:val="24"/>
              </w:rPr>
            </w:pPr>
            <w:r w:rsidRPr="00500637">
              <w:rPr>
                <w:rFonts w:ascii="Times New Roman" w:hAnsi="Times New Roman"/>
                <w:b/>
                <w:sz w:val="24"/>
              </w:rPr>
              <w:t>Anforderungen: Quoten</w:t>
            </w:r>
          </w:p>
        </w:tc>
      </w:tr>
      <w:tr w:rsidR="00CB48CC" w:rsidRPr="00500637" w14:paraId="297BFBE3" w14:textId="77777777" w:rsidTr="008979D2">
        <w:trPr>
          <w:trHeight w:val="304"/>
        </w:trPr>
        <w:tc>
          <w:tcPr>
            <w:tcW w:w="1555" w:type="dxa"/>
            <w:tcBorders>
              <w:top w:val="single" w:sz="4" w:space="0" w:color="auto"/>
              <w:left w:val="single" w:sz="4" w:space="0" w:color="auto"/>
              <w:bottom w:val="single" w:sz="4" w:space="0" w:color="auto"/>
              <w:right w:val="single" w:sz="4" w:space="0" w:color="auto"/>
            </w:tcBorders>
          </w:tcPr>
          <w:p w14:paraId="32DD133B" w14:textId="17E35BDE" w:rsidR="00CB48CC" w:rsidRPr="00500637" w:rsidRDefault="00CB48CC" w:rsidP="000B66BC">
            <w:pPr>
              <w:pStyle w:val="BodyText1"/>
              <w:spacing w:after="240"/>
              <w:rPr>
                <w:rFonts w:ascii="Times New Roman" w:hAnsi="Times New Roman"/>
                <w:bCs/>
                <w:sz w:val="24"/>
                <w:szCs w:val="24"/>
              </w:rPr>
            </w:pPr>
            <w:r w:rsidRPr="00500637">
              <w:rPr>
                <w:rFonts w:ascii="Times New Roman" w:hAnsi="Times New Roman"/>
                <w:sz w:val="24"/>
              </w:rPr>
              <w:t>{0410;0010}</w:t>
            </w:r>
          </w:p>
        </w:tc>
        <w:tc>
          <w:tcPr>
            <w:tcW w:w="7566" w:type="dxa"/>
            <w:tcBorders>
              <w:top w:val="single" w:sz="4" w:space="0" w:color="auto"/>
              <w:left w:val="single" w:sz="4" w:space="0" w:color="auto"/>
              <w:bottom w:val="single" w:sz="4" w:space="0" w:color="auto"/>
              <w:right w:val="single" w:sz="4" w:space="0" w:color="auto"/>
            </w:tcBorders>
            <w:vAlign w:val="center"/>
          </w:tcPr>
          <w:p w14:paraId="7CC2B3A5" w14:textId="5E37AED7" w:rsidR="00CB48CC" w:rsidRPr="00500637" w:rsidRDefault="00E36E71" w:rsidP="000B66BC">
            <w:pPr>
              <w:pStyle w:val="BodyText1"/>
              <w:spacing w:after="240" w:line="240" w:lineRule="auto"/>
              <w:rPr>
                <w:rFonts w:ascii="Times New Roman" w:hAnsi="Times New Roman"/>
                <w:b/>
                <w:bCs/>
                <w:color w:val="auto"/>
                <w:sz w:val="24"/>
                <w:szCs w:val="24"/>
              </w:rPr>
            </w:pPr>
            <w:r w:rsidRPr="00500637">
              <w:rPr>
                <w:rFonts w:ascii="Times New Roman" w:hAnsi="Times New Roman"/>
                <w:b/>
                <w:color w:val="auto"/>
                <w:sz w:val="24"/>
              </w:rPr>
              <w:t xml:space="preserve">Anforderung an die Verschuldungsquote nach Säule 1 </w:t>
            </w:r>
          </w:p>
          <w:p w14:paraId="75955E40" w14:textId="43A3F922" w:rsidR="00B70EBF" w:rsidRPr="00500637" w:rsidRDefault="006F5F1F" w:rsidP="00B70EBF">
            <w:pPr>
              <w:pStyle w:val="BodyText1"/>
              <w:spacing w:after="240" w:line="240" w:lineRule="auto"/>
              <w:rPr>
                <w:rFonts w:ascii="Times New Roman" w:hAnsi="Times New Roman"/>
                <w:bCs/>
                <w:color w:val="auto"/>
                <w:sz w:val="24"/>
                <w:szCs w:val="24"/>
              </w:rPr>
            </w:pPr>
            <w:r w:rsidRPr="00500637">
              <w:rPr>
                <w:rFonts w:ascii="Times New Roman" w:hAnsi="Times New Roman"/>
                <w:sz w:val="24"/>
              </w:rPr>
              <w:t>Artikel 92 Absatz 1 Buchstabe d, Artikel 429a Absatz 7 und Artikel 429a Absatz 1 Buchstabe n der Verordnung (EU) Nr. 575/2013; die erforderliche Verschuldungsquote zur Abdeckung von Risiken einer übermäßigen Verschuldung gemäß Artikel 92 Absatz 1 Buchstabe d der Verordnung (EU) Nr. 575/2013</w:t>
            </w:r>
          </w:p>
          <w:p w14:paraId="2ACA2F0E" w14:textId="04995476" w:rsidR="00CB48CC" w:rsidRPr="00500637" w:rsidRDefault="00FB31D6" w:rsidP="00B70EBF">
            <w:pPr>
              <w:pStyle w:val="BodyText1"/>
              <w:spacing w:after="240" w:line="240" w:lineRule="auto"/>
              <w:rPr>
                <w:rFonts w:ascii="Times New Roman" w:hAnsi="Times New Roman"/>
                <w:b/>
                <w:bCs/>
                <w:color w:val="auto"/>
                <w:sz w:val="24"/>
                <w:szCs w:val="24"/>
              </w:rPr>
            </w:pPr>
            <w:r w:rsidRPr="00500637">
              <w:rPr>
                <w:rFonts w:ascii="Times New Roman" w:hAnsi="Times New Roman"/>
                <w:sz w:val="24"/>
              </w:rPr>
              <w:lastRenderedPageBreak/>
              <w:t>Institute, die Risikopositionen gegenüber der Zentralbank des Instituts gemäß Artikel 429a Absatz 1 Buchstabe n ausschließen, melden die Anforderung an die angepasste Verschuldungsquote gemäß Artikel 429a Absatz 7 der Verordnung (EU) Nr. 575/2013.</w:t>
            </w:r>
          </w:p>
        </w:tc>
      </w:tr>
      <w:tr w:rsidR="00E36E71" w:rsidRPr="00500637" w14:paraId="18E64DF4" w14:textId="77777777" w:rsidTr="008979D2">
        <w:trPr>
          <w:trHeight w:val="304"/>
        </w:trPr>
        <w:tc>
          <w:tcPr>
            <w:tcW w:w="1555" w:type="dxa"/>
            <w:tcBorders>
              <w:top w:val="single" w:sz="4" w:space="0" w:color="auto"/>
              <w:left w:val="single" w:sz="4" w:space="0" w:color="auto"/>
              <w:bottom w:val="single" w:sz="4" w:space="0" w:color="auto"/>
              <w:right w:val="single" w:sz="4" w:space="0" w:color="auto"/>
            </w:tcBorders>
          </w:tcPr>
          <w:p w14:paraId="147AF81A" w14:textId="0848022F" w:rsidR="00E36E71" w:rsidRPr="00500637" w:rsidRDefault="00E36E71" w:rsidP="000B66BC">
            <w:pPr>
              <w:pStyle w:val="BodyText1"/>
              <w:spacing w:after="240"/>
              <w:rPr>
                <w:rFonts w:ascii="Times New Roman" w:hAnsi="Times New Roman"/>
                <w:bCs/>
                <w:sz w:val="24"/>
                <w:szCs w:val="24"/>
              </w:rPr>
            </w:pPr>
            <w:r w:rsidRPr="00500637">
              <w:rPr>
                <w:rFonts w:ascii="Times New Roman" w:hAnsi="Times New Roman"/>
                <w:sz w:val="24"/>
              </w:rPr>
              <w:lastRenderedPageBreak/>
              <w:t>{0420;0010}</w:t>
            </w:r>
          </w:p>
        </w:tc>
        <w:tc>
          <w:tcPr>
            <w:tcW w:w="7566" w:type="dxa"/>
            <w:tcBorders>
              <w:top w:val="single" w:sz="4" w:space="0" w:color="auto"/>
              <w:left w:val="single" w:sz="4" w:space="0" w:color="auto"/>
              <w:bottom w:val="single" w:sz="4" w:space="0" w:color="auto"/>
              <w:right w:val="single" w:sz="4" w:space="0" w:color="auto"/>
            </w:tcBorders>
            <w:vAlign w:val="center"/>
          </w:tcPr>
          <w:p w14:paraId="4C8CBF9B" w14:textId="77777777" w:rsidR="00E36E71" w:rsidRPr="00500637" w:rsidRDefault="00E36E71"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SREP-Gesamtanforderung an die Verschuldungsquote (TSLRR)</w:t>
            </w:r>
          </w:p>
          <w:p w14:paraId="58E6C4BD" w14:textId="1E3D269F" w:rsidR="00FB31D6" w:rsidRPr="00500637" w:rsidRDefault="00136A9C"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104 und 104a der Richtlinie 2013/36/EU</w:t>
            </w:r>
          </w:p>
          <w:p w14:paraId="010497B2" w14:textId="77777777" w:rsidR="00FB31D6" w:rsidRPr="00500637" w:rsidRDefault="00FB31D6"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Summe aus i) und ii):</w:t>
            </w:r>
          </w:p>
          <w:p w14:paraId="2BCF2D92" w14:textId="4D8870D5" w:rsidR="00FB31D6" w:rsidRPr="00500637" w:rsidRDefault="00FB31D6" w:rsidP="00AF4551">
            <w:pPr>
              <w:pStyle w:val="BodyText1"/>
              <w:numPr>
                <w:ilvl w:val="0"/>
                <w:numId w:val="31"/>
              </w:numPr>
              <w:spacing w:after="240" w:line="240" w:lineRule="auto"/>
              <w:rPr>
                <w:rFonts w:ascii="Times New Roman" w:hAnsi="Times New Roman"/>
                <w:bCs/>
                <w:sz w:val="24"/>
                <w:szCs w:val="24"/>
              </w:rPr>
            </w:pPr>
            <w:r w:rsidRPr="00500637">
              <w:rPr>
                <w:rFonts w:ascii="Times New Roman" w:hAnsi="Times New Roman"/>
                <w:sz w:val="24"/>
              </w:rPr>
              <w:t>die in Zeile 0410 ausgewiesene Anforderung an die Verschuldungsquote nach Säule 1;</w:t>
            </w:r>
          </w:p>
          <w:p w14:paraId="4613F532" w14:textId="311FA7CC" w:rsidR="00FB31D6" w:rsidRPr="00500637" w:rsidRDefault="00FB31D6" w:rsidP="00AF4551">
            <w:pPr>
              <w:pStyle w:val="BodyText1"/>
              <w:numPr>
                <w:ilvl w:val="0"/>
                <w:numId w:val="31"/>
              </w:numPr>
              <w:spacing w:after="240" w:line="240" w:lineRule="auto"/>
              <w:rPr>
                <w:rFonts w:ascii="Times New Roman" w:hAnsi="Times New Roman"/>
                <w:b/>
                <w:color w:val="auto"/>
                <w:sz w:val="24"/>
                <w:szCs w:val="24"/>
              </w:rPr>
            </w:pPr>
            <w:r w:rsidRPr="00500637">
              <w:rPr>
                <w:rFonts w:ascii="Times New Roman" w:hAnsi="Times New Roman"/>
                <w:sz w:val="24"/>
              </w:rPr>
              <w:t>die zusätzliche Eigenmittelquote, die von der zuständigen Behörde vorgeschrieben wird (P2R), um Risiken einer übermäßigen Verschuldung gemäß Artikel 104 der Richtlinie 2013/36/EU abzudecken.</w:t>
            </w:r>
          </w:p>
          <w:p w14:paraId="4F1A1488" w14:textId="77777777" w:rsidR="00B70EBF" w:rsidRPr="00500637" w:rsidRDefault="00780634" w:rsidP="00B70EBF">
            <w:pPr>
              <w:pStyle w:val="BodyText1"/>
              <w:spacing w:after="240" w:line="240" w:lineRule="auto"/>
              <w:rPr>
                <w:rFonts w:ascii="Times New Roman" w:hAnsi="Times New Roman"/>
                <w:color w:val="auto"/>
                <w:sz w:val="24"/>
                <w:szCs w:val="24"/>
              </w:rPr>
            </w:pPr>
            <w:r w:rsidRPr="00500637">
              <w:rPr>
                <w:rFonts w:ascii="Times New Roman" w:hAnsi="Times New Roman"/>
                <w:sz w:val="24"/>
              </w:rPr>
              <w:t>Die Institute berechnen Ziffer ii, indem der Wert in {0350;0010} durch den Wert in {0300;0010} dividiert wird.</w:t>
            </w:r>
            <w:r w:rsidRPr="00500637">
              <w:rPr>
                <w:rFonts w:ascii="Times New Roman" w:hAnsi="Times New Roman"/>
                <w:color w:val="auto"/>
                <w:sz w:val="24"/>
              </w:rPr>
              <w:t xml:space="preserve"> </w:t>
            </w:r>
          </w:p>
          <w:p w14:paraId="128BD13A" w14:textId="3F8F4801" w:rsidR="00FB31D6" w:rsidRPr="00500637" w:rsidRDefault="00B70EBF" w:rsidP="00B70EBF">
            <w:pPr>
              <w:pStyle w:val="BodyText1"/>
              <w:spacing w:after="240" w:line="240" w:lineRule="auto"/>
              <w:rPr>
                <w:rFonts w:ascii="Times New Roman" w:hAnsi="Times New Roman"/>
                <w:b/>
                <w:color w:val="auto"/>
                <w:sz w:val="24"/>
                <w:szCs w:val="24"/>
              </w:rPr>
            </w:pPr>
            <w:r w:rsidRPr="00500637">
              <w:rPr>
                <w:rFonts w:ascii="Times New Roman" w:hAnsi="Times New Roman"/>
                <w:color w:val="auto"/>
                <w:sz w:val="24"/>
              </w:rPr>
              <w:t>Hat die zuständige Behörde keine zusätzlichen Eigenmittelanforderungen mitgeteilt, ist hier nur Ziffer i auszuweisen.</w:t>
            </w:r>
          </w:p>
        </w:tc>
      </w:tr>
      <w:tr w:rsidR="00E36E71" w:rsidRPr="00500637" w14:paraId="0482CAD5" w14:textId="77777777" w:rsidTr="008979D2">
        <w:trPr>
          <w:trHeight w:val="304"/>
        </w:trPr>
        <w:tc>
          <w:tcPr>
            <w:tcW w:w="1555" w:type="dxa"/>
            <w:tcBorders>
              <w:top w:val="single" w:sz="4" w:space="0" w:color="auto"/>
              <w:left w:val="single" w:sz="4" w:space="0" w:color="auto"/>
              <w:bottom w:val="single" w:sz="4" w:space="0" w:color="auto"/>
              <w:right w:val="single" w:sz="4" w:space="0" w:color="auto"/>
            </w:tcBorders>
          </w:tcPr>
          <w:p w14:paraId="56493FBD" w14:textId="065D7838" w:rsidR="00E36E71" w:rsidRPr="00500637" w:rsidRDefault="00E36E71" w:rsidP="000B66BC">
            <w:pPr>
              <w:pStyle w:val="BodyText1"/>
              <w:spacing w:after="240"/>
              <w:rPr>
                <w:rFonts w:ascii="Times New Roman" w:hAnsi="Times New Roman"/>
                <w:bCs/>
                <w:sz w:val="24"/>
                <w:szCs w:val="24"/>
              </w:rPr>
            </w:pPr>
            <w:r w:rsidRPr="00500637">
              <w:rPr>
                <w:rFonts w:ascii="Times New Roman" w:hAnsi="Times New Roman"/>
                <w:sz w:val="24"/>
              </w:rPr>
              <w:t>{0430;0010}</w:t>
            </w:r>
          </w:p>
        </w:tc>
        <w:tc>
          <w:tcPr>
            <w:tcW w:w="7566" w:type="dxa"/>
            <w:tcBorders>
              <w:top w:val="single" w:sz="4" w:space="0" w:color="auto"/>
              <w:left w:val="single" w:sz="4" w:space="0" w:color="auto"/>
              <w:bottom w:val="single" w:sz="4" w:space="0" w:color="auto"/>
              <w:right w:val="single" w:sz="4" w:space="0" w:color="auto"/>
            </w:tcBorders>
            <w:vAlign w:val="center"/>
          </w:tcPr>
          <w:p w14:paraId="531F150B" w14:textId="77777777" w:rsidR="00E36E71" w:rsidRPr="00500637" w:rsidRDefault="001D36C8"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TSLRR: in Form von hartem Kernkapital</w:t>
            </w:r>
          </w:p>
          <w:p w14:paraId="7473B81A" w14:textId="78011C71" w:rsidR="00780634" w:rsidRPr="00500637" w:rsidRDefault="00A0709E" w:rsidP="000B66BC">
            <w:pPr>
              <w:pStyle w:val="BodyText1"/>
              <w:spacing w:after="240" w:line="240" w:lineRule="auto"/>
              <w:rPr>
                <w:rFonts w:ascii="Times New Roman" w:hAnsi="Times New Roman"/>
                <w:color w:val="auto"/>
                <w:sz w:val="24"/>
                <w:szCs w:val="24"/>
              </w:rPr>
            </w:pPr>
            <w:r w:rsidRPr="00500637">
              <w:rPr>
                <w:rFonts w:ascii="Times New Roman" w:hAnsi="Times New Roman"/>
                <w:color w:val="auto"/>
                <w:sz w:val="24"/>
              </w:rPr>
              <w:t>Der in Zeile 0420 Ziffer ii ausgewiesene Teil der zusätzlichen Eigenmittelquote, der nach Auflage der zuständigen Behörde in Form von hartem Kernkapital gehalten werden muss.</w:t>
            </w:r>
          </w:p>
          <w:p w14:paraId="17146566" w14:textId="4E043C22" w:rsidR="00E36E71" w:rsidRPr="00500637" w:rsidRDefault="00780634" w:rsidP="000B66BC">
            <w:pPr>
              <w:pStyle w:val="BodyText1"/>
              <w:spacing w:after="240" w:line="240" w:lineRule="auto"/>
              <w:rPr>
                <w:rFonts w:ascii="Times New Roman" w:hAnsi="Times New Roman"/>
                <w:b/>
                <w:color w:val="auto"/>
                <w:sz w:val="24"/>
                <w:szCs w:val="24"/>
              </w:rPr>
            </w:pPr>
            <w:r w:rsidRPr="00500637">
              <w:rPr>
                <w:rFonts w:ascii="Times New Roman" w:hAnsi="Times New Roman"/>
                <w:sz w:val="24"/>
              </w:rPr>
              <w:t>Die Institute berechnen diesen Wert, indem der Wert in {0360;0010} durch den Wert in {0300;0010} dividiert wird.</w:t>
            </w:r>
          </w:p>
        </w:tc>
      </w:tr>
      <w:tr w:rsidR="00E36E71" w:rsidRPr="00500637" w14:paraId="769316AF" w14:textId="77777777" w:rsidTr="008979D2">
        <w:trPr>
          <w:trHeight w:val="304"/>
        </w:trPr>
        <w:tc>
          <w:tcPr>
            <w:tcW w:w="1555" w:type="dxa"/>
            <w:tcBorders>
              <w:top w:val="single" w:sz="4" w:space="0" w:color="auto"/>
              <w:left w:val="single" w:sz="4" w:space="0" w:color="auto"/>
              <w:bottom w:val="single" w:sz="4" w:space="0" w:color="auto"/>
              <w:right w:val="single" w:sz="4" w:space="0" w:color="auto"/>
            </w:tcBorders>
          </w:tcPr>
          <w:p w14:paraId="01E4C5FF" w14:textId="7241185F" w:rsidR="00E36E71" w:rsidRPr="00500637" w:rsidRDefault="00E36E71" w:rsidP="000B66BC">
            <w:pPr>
              <w:pStyle w:val="BodyText1"/>
              <w:spacing w:after="240"/>
              <w:rPr>
                <w:rFonts w:ascii="Times New Roman" w:hAnsi="Times New Roman"/>
                <w:bCs/>
                <w:sz w:val="24"/>
                <w:szCs w:val="24"/>
              </w:rPr>
            </w:pPr>
            <w:r w:rsidRPr="00500637">
              <w:rPr>
                <w:rFonts w:ascii="Times New Roman" w:hAnsi="Times New Roman"/>
                <w:sz w:val="24"/>
              </w:rPr>
              <w:t>{0440;0010}</w:t>
            </w:r>
          </w:p>
        </w:tc>
        <w:tc>
          <w:tcPr>
            <w:tcW w:w="7566" w:type="dxa"/>
            <w:tcBorders>
              <w:top w:val="single" w:sz="4" w:space="0" w:color="auto"/>
              <w:left w:val="single" w:sz="4" w:space="0" w:color="auto"/>
              <w:bottom w:val="single" w:sz="4" w:space="0" w:color="auto"/>
              <w:right w:val="single" w:sz="4" w:space="0" w:color="auto"/>
            </w:tcBorders>
            <w:vAlign w:val="center"/>
          </w:tcPr>
          <w:p w14:paraId="408C666F" w14:textId="77777777" w:rsidR="00E36E71" w:rsidRPr="00500637" w:rsidRDefault="00E36E71"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Gesamtanforderung an die Verschuldungsquote (OLRR)</w:t>
            </w:r>
          </w:p>
          <w:p w14:paraId="42BE8CD3" w14:textId="0949F4CF" w:rsidR="00136A9C" w:rsidRPr="00500637" w:rsidRDefault="00136A9C"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92 Absatz 1a der Verordnung (EU) Nr. 575/2013</w:t>
            </w:r>
          </w:p>
          <w:p w14:paraId="1BB646F8" w14:textId="77777777" w:rsidR="00136A9C" w:rsidRPr="00500637" w:rsidRDefault="00136A9C" w:rsidP="000B66BC">
            <w:pPr>
              <w:pStyle w:val="BodyText1"/>
              <w:spacing w:after="240"/>
              <w:rPr>
                <w:rFonts w:ascii="Times New Roman" w:hAnsi="Times New Roman"/>
                <w:bCs/>
                <w:color w:val="auto"/>
                <w:sz w:val="24"/>
                <w:szCs w:val="24"/>
              </w:rPr>
            </w:pPr>
            <w:r w:rsidRPr="00500637">
              <w:rPr>
                <w:rFonts w:ascii="Times New Roman" w:hAnsi="Times New Roman"/>
                <w:color w:val="auto"/>
                <w:sz w:val="24"/>
              </w:rPr>
              <w:t>Die Summe aus i) und ii):</w:t>
            </w:r>
          </w:p>
          <w:p w14:paraId="3ACD46ED" w14:textId="4650EB7F" w:rsidR="00136A9C" w:rsidRPr="00500637" w:rsidRDefault="00136A9C" w:rsidP="00AF4551">
            <w:pPr>
              <w:pStyle w:val="BodyText1"/>
              <w:numPr>
                <w:ilvl w:val="0"/>
                <w:numId w:val="32"/>
              </w:numPr>
              <w:spacing w:after="240"/>
              <w:rPr>
                <w:rFonts w:ascii="Times New Roman" w:hAnsi="Times New Roman"/>
                <w:bCs/>
                <w:color w:val="auto"/>
                <w:sz w:val="24"/>
                <w:szCs w:val="24"/>
              </w:rPr>
            </w:pPr>
            <w:r w:rsidRPr="00500637">
              <w:rPr>
                <w:rFonts w:ascii="Times New Roman" w:hAnsi="Times New Roman"/>
                <w:color w:val="auto"/>
                <w:sz w:val="24"/>
              </w:rPr>
              <w:t>in Zeile 0420 ausgewiesene TSLRR;</w:t>
            </w:r>
          </w:p>
          <w:p w14:paraId="7026B9BA" w14:textId="754156AE" w:rsidR="00136A9C" w:rsidRPr="00500637" w:rsidRDefault="00136A9C" w:rsidP="00AF4551">
            <w:pPr>
              <w:pStyle w:val="BodyText1"/>
              <w:numPr>
                <w:ilvl w:val="0"/>
                <w:numId w:val="32"/>
              </w:numPr>
              <w:spacing w:after="240"/>
              <w:rPr>
                <w:rFonts w:ascii="Times New Roman" w:hAnsi="Times New Roman"/>
                <w:bCs/>
                <w:color w:val="auto"/>
                <w:sz w:val="24"/>
                <w:szCs w:val="24"/>
              </w:rPr>
            </w:pPr>
            <w:r w:rsidRPr="00500637">
              <w:rPr>
                <w:rFonts w:ascii="Times New Roman" w:hAnsi="Times New Roman"/>
                <w:sz w:val="24"/>
              </w:rPr>
              <w:t>der Puffer der Verschuldungsquote für G-SRI gemäß Artikel 92 Absatz 1a der Verordnung (EU) Nr. 575/2013, ausgedrückt als Prozentsatz der Gesamtrisikoposition für die Verschuldungsquote.</w:t>
            </w:r>
          </w:p>
          <w:p w14:paraId="2D72E728" w14:textId="77777777" w:rsidR="00B70EBF" w:rsidRPr="00500637" w:rsidRDefault="00B70EBF" w:rsidP="000B66BC">
            <w:pPr>
              <w:pStyle w:val="BodyText1"/>
              <w:spacing w:after="240"/>
              <w:rPr>
                <w:rFonts w:ascii="Times New Roman" w:hAnsi="Times New Roman"/>
                <w:bCs/>
                <w:sz w:val="24"/>
                <w:szCs w:val="24"/>
              </w:rPr>
            </w:pPr>
            <w:r w:rsidRPr="00500637">
              <w:rPr>
                <w:rFonts w:ascii="Times New Roman" w:hAnsi="Times New Roman"/>
                <w:sz w:val="24"/>
              </w:rPr>
              <w:t>Die Institute berechnen Ziffer ii, indem der Wert in {0370;0010} durch den Wert in {0300;0010} dividiert wird.</w:t>
            </w:r>
          </w:p>
          <w:p w14:paraId="341458F5" w14:textId="66A734DD" w:rsidR="00136A9C" w:rsidRPr="00500637" w:rsidRDefault="00136A9C" w:rsidP="000B66BC">
            <w:pPr>
              <w:pStyle w:val="BodyText1"/>
              <w:spacing w:after="240"/>
              <w:rPr>
                <w:rFonts w:ascii="Times New Roman" w:hAnsi="Times New Roman"/>
                <w:bCs/>
                <w:color w:val="auto"/>
                <w:sz w:val="24"/>
                <w:szCs w:val="24"/>
              </w:rPr>
            </w:pPr>
            <w:r w:rsidRPr="00500637">
              <w:rPr>
                <w:rFonts w:ascii="Times New Roman" w:hAnsi="Times New Roman"/>
                <w:color w:val="auto"/>
                <w:sz w:val="24"/>
              </w:rPr>
              <w:lastRenderedPageBreak/>
              <w:t>Ziffer ii ist von G-SRI lediglich ab dem Zeitpunkt der Anwendung des Puffers gemäß der Verordnung (EU) Nr. 575/2013 zu berücksichtigen.</w:t>
            </w:r>
          </w:p>
          <w:p w14:paraId="0AEE6486" w14:textId="71BAF399" w:rsidR="00136A9C" w:rsidRPr="00500637" w:rsidRDefault="00136A9C" w:rsidP="00B70EBF">
            <w:pPr>
              <w:pStyle w:val="BodyText1"/>
              <w:spacing w:after="240" w:line="240" w:lineRule="auto"/>
              <w:rPr>
                <w:rFonts w:ascii="Times New Roman" w:hAnsi="Times New Roman"/>
                <w:b/>
                <w:color w:val="auto"/>
                <w:sz w:val="24"/>
                <w:szCs w:val="24"/>
              </w:rPr>
            </w:pPr>
            <w:r w:rsidRPr="00500637">
              <w:rPr>
                <w:rFonts w:ascii="Times New Roman" w:hAnsi="Times New Roman"/>
                <w:color w:val="auto"/>
                <w:sz w:val="24"/>
              </w:rPr>
              <w:t>Ist kein Aufschlag für G-SRI anwendbar, ist nur Ziffer i auszuweisen.</w:t>
            </w:r>
          </w:p>
        </w:tc>
      </w:tr>
      <w:tr w:rsidR="00E36E71" w:rsidRPr="00500637" w14:paraId="700506B4" w14:textId="77777777" w:rsidTr="008979D2">
        <w:trPr>
          <w:trHeight w:val="304"/>
        </w:trPr>
        <w:tc>
          <w:tcPr>
            <w:tcW w:w="1555" w:type="dxa"/>
            <w:tcBorders>
              <w:top w:val="single" w:sz="4" w:space="0" w:color="auto"/>
              <w:left w:val="single" w:sz="4" w:space="0" w:color="auto"/>
              <w:bottom w:val="single" w:sz="4" w:space="0" w:color="auto"/>
              <w:right w:val="single" w:sz="4" w:space="0" w:color="auto"/>
            </w:tcBorders>
          </w:tcPr>
          <w:p w14:paraId="03DA25A6" w14:textId="7BC3EB01" w:rsidR="00E36E71" w:rsidRPr="00500637" w:rsidRDefault="00A0709E" w:rsidP="000B66BC">
            <w:pPr>
              <w:pStyle w:val="BodyText1"/>
              <w:spacing w:after="240"/>
              <w:rPr>
                <w:rFonts w:ascii="Times New Roman" w:hAnsi="Times New Roman"/>
                <w:bCs/>
                <w:sz w:val="24"/>
                <w:szCs w:val="24"/>
              </w:rPr>
            </w:pPr>
            <w:r w:rsidRPr="00500637">
              <w:rPr>
                <w:rFonts w:ascii="Times New Roman" w:hAnsi="Times New Roman"/>
                <w:sz w:val="24"/>
              </w:rPr>
              <w:lastRenderedPageBreak/>
              <w:t>{0450;0010}</w:t>
            </w:r>
          </w:p>
        </w:tc>
        <w:tc>
          <w:tcPr>
            <w:tcW w:w="7566" w:type="dxa"/>
            <w:tcBorders>
              <w:top w:val="single" w:sz="4" w:space="0" w:color="auto"/>
              <w:left w:val="single" w:sz="4" w:space="0" w:color="auto"/>
              <w:bottom w:val="single" w:sz="4" w:space="0" w:color="auto"/>
              <w:right w:val="single" w:sz="4" w:space="0" w:color="auto"/>
            </w:tcBorders>
            <w:vAlign w:val="center"/>
          </w:tcPr>
          <w:p w14:paraId="39440973" w14:textId="44BB98C0" w:rsidR="00136A9C" w:rsidRPr="00500637" w:rsidRDefault="00E36E71" w:rsidP="000B66BC">
            <w:pPr>
              <w:pStyle w:val="BodyText1"/>
              <w:spacing w:after="240" w:line="240" w:lineRule="auto"/>
              <w:rPr>
                <w:rFonts w:ascii="Times New Roman" w:hAnsi="Times New Roman"/>
                <w:bCs/>
                <w:sz w:val="24"/>
                <w:szCs w:val="24"/>
              </w:rPr>
            </w:pPr>
            <w:r w:rsidRPr="00500637">
              <w:rPr>
                <w:rFonts w:ascii="Times New Roman" w:hAnsi="Times New Roman"/>
                <w:b/>
                <w:color w:val="auto"/>
                <w:sz w:val="24"/>
              </w:rPr>
              <w:t>Gesamtanforderung an die Verschuldungsquote (OLRR) und Eigenmittelzielkennziffer (Pillar 2 Guidance, P2G)</w:t>
            </w:r>
          </w:p>
          <w:p w14:paraId="022B6350" w14:textId="7060CF19" w:rsidR="00136A9C" w:rsidRPr="00500637" w:rsidRDefault="00136A9C"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104b der Richtlinie 2013/36/EU</w:t>
            </w:r>
          </w:p>
          <w:p w14:paraId="358F5440" w14:textId="77777777" w:rsidR="00136A9C" w:rsidRPr="00500637" w:rsidRDefault="00136A9C"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Summe aus i) und ii):</w:t>
            </w:r>
          </w:p>
          <w:p w14:paraId="4E42EACA" w14:textId="261B723C" w:rsidR="00136A9C" w:rsidRPr="00500637" w:rsidRDefault="00136A9C" w:rsidP="00AF4551">
            <w:pPr>
              <w:pStyle w:val="BodyText1"/>
              <w:numPr>
                <w:ilvl w:val="0"/>
                <w:numId w:val="33"/>
              </w:numPr>
              <w:spacing w:after="240" w:line="240" w:lineRule="auto"/>
              <w:rPr>
                <w:rFonts w:ascii="Times New Roman" w:hAnsi="Times New Roman"/>
                <w:color w:val="auto"/>
                <w:sz w:val="24"/>
                <w:szCs w:val="24"/>
              </w:rPr>
            </w:pPr>
            <w:r w:rsidRPr="00500637">
              <w:rPr>
                <w:rFonts w:ascii="Times New Roman" w:hAnsi="Times New Roman"/>
                <w:color w:val="auto"/>
                <w:sz w:val="24"/>
              </w:rPr>
              <w:t>in Zeile 0440 ausgewiesene OLRR;</w:t>
            </w:r>
          </w:p>
          <w:p w14:paraId="51B081D7" w14:textId="1328C32A" w:rsidR="00136A9C" w:rsidRPr="00500637" w:rsidRDefault="00136A9C" w:rsidP="00AF4551">
            <w:pPr>
              <w:pStyle w:val="BodyText1"/>
              <w:numPr>
                <w:ilvl w:val="0"/>
                <w:numId w:val="33"/>
              </w:numPr>
              <w:spacing w:after="240" w:line="240" w:lineRule="auto"/>
              <w:rPr>
                <w:rFonts w:ascii="Times New Roman" w:hAnsi="Times New Roman"/>
                <w:b/>
                <w:bCs/>
                <w:color w:val="auto"/>
                <w:sz w:val="24"/>
                <w:szCs w:val="24"/>
              </w:rPr>
            </w:pPr>
            <w:r w:rsidRPr="00500637">
              <w:rPr>
                <w:rFonts w:ascii="Times New Roman" w:hAnsi="Times New Roman"/>
                <w:color w:val="auto"/>
                <w:sz w:val="24"/>
              </w:rPr>
              <w:t>zusätzliche Eigenmittelanforderungen, die von der zuständigen Behörde zur Abdeckung der Risiken einer übermäßigen Verschuldung mitgeteilt werden, gemäß Artikel 104b der Richtlinie 2013/36/EU, ausgedrückt als Prozentsatz der Gesamtrisikoposition für die Verschuldungsquote.</w:t>
            </w:r>
          </w:p>
          <w:p w14:paraId="1C4745E4" w14:textId="77777777" w:rsidR="00B70EBF" w:rsidRPr="00500637" w:rsidRDefault="00780634" w:rsidP="00B70EBF">
            <w:pPr>
              <w:pStyle w:val="BodyText1"/>
              <w:spacing w:after="240" w:line="240" w:lineRule="auto"/>
              <w:rPr>
                <w:rFonts w:ascii="Times New Roman" w:hAnsi="Times New Roman"/>
                <w:bCs/>
                <w:color w:val="auto"/>
                <w:sz w:val="24"/>
                <w:szCs w:val="24"/>
              </w:rPr>
            </w:pPr>
            <w:r w:rsidRPr="00500637">
              <w:rPr>
                <w:rFonts w:ascii="Times New Roman" w:hAnsi="Times New Roman"/>
                <w:sz w:val="24"/>
              </w:rPr>
              <w:t>Die Institute berechnen Ziffer ii, indem der Wert in {0380;0010} durch den Wert in {0300;0010} dividiert wird.</w:t>
            </w:r>
            <w:r w:rsidRPr="00500637">
              <w:rPr>
                <w:rFonts w:ascii="Times New Roman" w:hAnsi="Times New Roman"/>
                <w:color w:val="auto"/>
                <w:sz w:val="24"/>
              </w:rPr>
              <w:t xml:space="preserve"> </w:t>
            </w:r>
          </w:p>
          <w:p w14:paraId="6E55E37C" w14:textId="5108C444" w:rsidR="00136A9C" w:rsidRPr="00500637" w:rsidRDefault="00B70EBF" w:rsidP="00B70EBF">
            <w:pPr>
              <w:pStyle w:val="BodyText1"/>
              <w:spacing w:after="240" w:line="240" w:lineRule="auto"/>
              <w:rPr>
                <w:rFonts w:ascii="Times New Roman" w:hAnsi="Times New Roman"/>
                <w:b/>
                <w:color w:val="auto"/>
                <w:sz w:val="24"/>
                <w:szCs w:val="24"/>
              </w:rPr>
            </w:pPr>
            <w:r w:rsidRPr="00500637">
              <w:rPr>
                <w:rFonts w:ascii="Times New Roman" w:hAnsi="Times New Roman"/>
                <w:color w:val="auto"/>
                <w:sz w:val="24"/>
              </w:rPr>
              <w:t>Teilt die zuständige Behörde keine P2G mit, ist hier nur Ziffer i auszuweisen.</w:t>
            </w:r>
          </w:p>
        </w:tc>
      </w:tr>
      <w:tr w:rsidR="00E36E71" w:rsidRPr="00500637" w14:paraId="680EF640" w14:textId="77777777" w:rsidTr="008979D2">
        <w:trPr>
          <w:trHeight w:val="304"/>
        </w:trPr>
        <w:tc>
          <w:tcPr>
            <w:tcW w:w="1555" w:type="dxa"/>
            <w:tcBorders>
              <w:top w:val="single" w:sz="4" w:space="0" w:color="auto"/>
              <w:left w:val="single" w:sz="4" w:space="0" w:color="auto"/>
              <w:bottom w:val="single" w:sz="4" w:space="0" w:color="auto"/>
              <w:right w:val="single" w:sz="4" w:space="0" w:color="auto"/>
            </w:tcBorders>
          </w:tcPr>
          <w:p w14:paraId="0BDF0E92" w14:textId="6C47A0CC" w:rsidR="00E36E71" w:rsidRPr="00500637" w:rsidRDefault="009573B2" w:rsidP="000B66BC">
            <w:pPr>
              <w:pStyle w:val="BodyText1"/>
              <w:spacing w:after="240"/>
              <w:rPr>
                <w:rFonts w:ascii="Times New Roman" w:hAnsi="Times New Roman"/>
                <w:bCs/>
                <w:sz w:val="24"/>
                <w:szCs w:val="24"/>
              </w:rPr>
            </w:pPr>
            <w:r w:rsidRPr="00500637">
              <w:rPr>
                <w:rFonts w:ascii="Times New Roman" w:hAnsi="Times New Roman"/>
                <w:sz w:val="24"/>
              </w:rPr>
              <w:t>{0460;0010}</w:t>
            </w:r>
          </w:p>
        </w:tc>
        <w:tc>
          <w:tcPr>
            <w:tcW w:w="7566" w:type="dxa"/>
            <w:tcBorders>
              <w:top w:val="single" w:sz="4" w:space="0" w:color="auto"/>
              <w:left w:val="single" w:sz="4" w:space="0" w:color="auto"/>
              <w:bottom w:val="single" w:sz="4" w:space="0" w:color="auto"/>
              <w:right w:val="single" w:sz="4" w:space="0" w:color="auto"/>
            </w:tcBorders>
            <w:vAlign w:val="center"/>
          </w:tcPr>
          <w:p w14:paraId="073EAF2A" w14:textId="3A51D2AA" w:rsidR="00E36E71" w:rsidRPr="00500637" w:rsidRDefault="001D36C8"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OLRR und P2G: in Form von hartem Kernkapital</w:t>
            </w:r>
          </w:p>
          <w:p w14:paraId="76E51CBF" w14:textId="77777777" w:rsidR="00136A9C" w:rsidRPr="00500637" w:rsidRDefault="00136A9C" w:rsidP="000B66BC">
            <w:pPr>
              <w:pStyle w:val="BodyText1"/>
              <w:spacing w:after="240" w:line="240" w:lineRule="auto"/>
              <w:rPr>
                <w:rFonts w:ascii="Times New Roman" w:hAnsi="Times New Roman"/>
                <w:color w:val="auto"/>
                <w:sz w:val="24"/>
                <w:szCs w:val="24"/>
              </w:rPr>
            </w:pPr>
            <w:r w:rsidRPr="00500637">
              <w:rPr>
                <w:rFonts w:ascii="Times New Roman" w:hAnsi="Times New Roman"/>
                <w:color w:val="auto"/>
                <w:sz w:val="24"/>
              </w:rPr>
              <w:t>Die Summe aus i) und ii):</w:t>
            </w:r>
          </w:p>
          <w:p w14:paraId="4E8CC957" w14:textId="6092A4C3" w:rsidR="00136A9C" w:rsidRPr="00500637" w:rsidRDefault="00136A9C" w:rsidP="00AF4551">
            <w:pPr>
              <w:pStyle w:val="BodyText1"/>
              <w:numPr>
                <w:ilvl w:val="0"/>
                <w:numId w:val="34"/>
              </w:numPr>
              <w:spacing w:after="240" w:line="240" w:lineRule="auto"/>
              <w:rPr>
                <w:rFonts w:ascii="Times New Roman" w:hAnsi="Times New Roman"/>
                <w:color w:val="auto"/>
                <w:sz w:val="24"/>
                <w:szCs w:val="24"/>
              </w:rPr>
            </w:pPr>
            <w:r w:rsidRPr="00500637">
              <w:rPr>
                <w:rFonts w:ascii="Times New Roman" w:hAnsi="Times New Roman"/>
                <w:color w:val="auto"/>
                <w:sz w:val="24"/>
              </w:rPr>
              <w:t>der in Zeile 0430 ausgewiesene Teil der zusätzlichen Eigenmittelquote, der nach Auflage der zuständigen Behörde in Form von hartem Kernkapital gehalten werden muss;</w:t>
            </w:r>
          </w:p>
          <w:p w14:paraId="611A5895" w14:textId="6EB99D1C" w:rsidR="00136A9C" w:rsidRPr="00500637" w:rsidRDefault="00136A9C" w:rsidP="00AF4551">
            <w:pPr>
              <w:pStyle w:val="BodyText1"/>
              <w:numPr>
                <w:ilvl w:val="0"/>
                <w:numId w:val="34"/>
              </w:numPr>
              <w:spacing w:after="240" w:line="240" w:lineRule="auto"/>
              <w:rPr>
                <w:rFonts w:ascii="Times New Roman" w:hAnsi="Times New Roman"/>
                <w:color w:val="auto"/>
                <w:sz w:val="24"/>
                <w:szCs w:val="24"/>
              </w:rPr>
            </w:pPr>
            <w:r w:rsidRPr="00500637">
              <w:rPr>
                <w:rFonts w:ascii="Times New Roman" w:hAnsi="Times New Roman"/>
                <w:color w:val="auto"/>
                <w:sz w:val="24"/>
              </w:rPr>
              <w:t>in Zeile 0450 Ziffer ii ausgewiesener P2G-Anteil, der nach Mitteilung der zuständigen Behörde in Form von hartem Kernkapital gehalten werden muss.</w:t>
            </w:r>
          </w:p>
          <w:p w14:paraId="30A327FA" w14:textId="77777777" w:rsidR="003E3C45" w:rsidRPr="00500637" w:rsidRDefault="00780634" w:rsidP="003E3C45">
            <w:pPr>
              <w:pStyle w:val="BodyText1"/>
              <w:spacing w:after="240" w:line="240" w:lineRule="auto"/>
              <w:rPr>
                <w:rFonts w:ascii="Times New Roman" w:hAnsi="Times New Roman"/>
                <w:color w:val="auto"/>
                <w:sz w:val="24"/>
                <w:szCs w:val="24"/>
              </w:rPr>
            </w:pPr>
            <w:r w:rsidRPr="00500637">
              <w:rPr>
                <w:rFonts w:ascii="Times New Roman" w:hAnsi="Times New Roman"/>
                <w:sz w:val="24"/>
              </w:rPr>
              <w:t>Die Institute berechnen Ziffer ii, indem der Wert in {0390;0010} durch den Wert in {0300;0010} dividiert wird.</w:t>
            </w:r>
            <w:r w:rsidRPr="00500637">
              <w:rPr>
                <w:rFonts w:ascii="Times New Roman" w:hAnsi="Times New Roman"/>
                <w:color w:val="auto"/>
                <w:sz w:val="24"/>
              </w:rPr>
              <w:t xml:space="preserve"> </w:t>
            </w:r>
          </w:p>
          <w:p w14:paraId="32685844" w14:textId="531CB8FD" w:rsidR="00E36E71" w:rsidRPr="00500637" w:rsidRDefault="003E3C45" w:rsidP="003E3C45">
            <w:pPr>
              <w:pStyle w:val="BodyText1"/>
              <w:spacing w:after="240" w:line="240" w:lineRule="auto"/>
              <w:rPr>
                <w:rFonts w:ascii="Times New Roman" w:hAnsi="Times New Roman"/>
                <w:b/>
                <w:color w:val="auto"/>
                <w:sz w:val="24"/>
                <w:szCs w:val="24"/>
              </w:rPr>
            </w:pPr>
            <w:r w:rsidRPr="00500637">
              <w:rPr>
                <w:rFonts w:ascii="Times New Roman" w:hAnsi="Times New Roman"/>
                <w:color w:val="auto"/>
                <w:sz w:val="24"/>
              </w:rPr>
              <w:t>Teilt die zuständige Behörde keine P2G mit, ist hier nur Ziffer i auszuweisen.</w:t>
            </w:r>
          </w:p>
        </w:tc>
      </w:tr>
      <w:tr w:rsidR="00E36E71" w:rsidRPr="00500637" w14:paraId="5CCACDAA" w14:textId="77777777" w:rsidTr="008979D2">
        <w:trPr>
          <w:trHeight w:val="304"/>
        </w:trPr>
        <w:tc>
          <w:tcPr>
            <w:tcW w:w="1555" w:type="dxa"/>
            <w:tcBorders>
              <w:top w:val="single" w:sz="4" w:space="0" w:color="auto"/>
              <w:left w:val="single" w:sz="4" w:space="0" w:color="auto"/>
              <w:bottom w:val="single" w:sz="4" w:space="0" w:color="auto"/>
              <w:right w:val="single" w:sz="4" w:space="0" w:color="auto"/>
            </w:tcBorders>
          </w:tcPr>
          <w:p w14:paraId="2109F561" w14:textId="5D20E85A" w:rsidR="00E36E71" w:rsidRPr="00500637" w:rsidRDefault="00A0709E" w:rsidP="000B66BC">
            <w:pPr>
              <w:pStyle w:val="BodyText1"/>
              <w:spacing w:after="240"/>
              <w:rPr>
                <w:rFonts w:ascii="Times New Roman" w:hAnsi="Times New Roman"/>
                <w:bCs/>
                <w:sz w:val="24"/>
                <w:szCs w:val="24"/>
              </w:rPr>
            </w:pPr>
            <w:r w:rsidRPr="00500637">
              <w:rPr>
                <w:rFonts w:ascii="Times New Roman" w:hAnsi="Times New Roman"/>
                <w:sz w:val="24"/>
              </w:rPr>
              <w:t>{0470;0010}</w:t>
            </w:r>
          </w:p>
        </w:tc>
        <w:tc>
          <w:tcPr>
            <w:tcW w:w="7566" w:type="dxa"/>
            <w:tcBorders>
              <w:top w:val="single" w:sz="4" w:space="0" w:color="auto"/>
              <w:left w:val="single" w:sz="4" w:space="0" w:color="auto"/>
              <w:bottom w:val="single" w:sz="4" w:space="0" w:color="auto"/>
              <w:right w:val="single" w:sz="4" w:space="0" w:color="auto"/>
            </w:tcBorders>
            <w:vAlign w:val="center"/>
          </w:tcPr>
          <w:p w14:paraId="161754F2" w14:textId="77777777" w:rsidR="00E36E71" w:rsidRPr="00500637" w:rsidRDefault="001D36C8"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OLRR und P2G: in Form von Kernkapital</w:t>
            </w:r>
          </w:p>
          <w:p w14:paraId="7E7156A9" w14:textId="787E9B54" w:rsidR="00136A9C" w:rsidRPr="00500637" w:rsidRDefault="00136A9C" w:rsidP="000B66BC">
            <w:pPr>
              <w:pStyle w:val="BodyText1"/>
              <w:spacing w:after="240" w:line="240" w:lineRule="auto"/>
              <w:rPr>
                <w:rFonts w:ascii="Times New Roman" w:hAnsi="Times New Roman"/>
                <w:color w:val="auto"/>
                <w:sz w:val="24"/>
                <w:szCs w:val="24"/>
              </w:rPr>
            </w:pPr>
            <w:r w:rsidRPr="00500637">
              <w:rPr>
                <w:rFonts w:ascii="Times New Roman" w:hAnsi="Times New Roman"/>
                <w:color w:val="auto"/>
                <w:sz w:val="24"/>
              </w:rPr>
              <w:t>Die Summe aus i), ii) und iii):</w:t>
            </w:r>
          </w:p>
          <w:p w14:paraId="5D168708" w14:textId="116662AF" w:rsidR="00136A9C" w:rsidRPr="00500637" w:rsidRDefault="00843D9B" w:rsidP="00AF4551">
            <w:pPr>
              <w:pStyle w:val="BodyText1"/>
              <w:numPr>
                <w:ilvl w:val="0"/>
                <w:numId w:val="35"/>
              </w:numPr>
              <w:spacing w:after="240" w:line="240" w:lineRule="auto"/>
              <w:rPr>
                <w:rFonts w:ascii="Times New Roman" w:hAnsi="Times New Roman"/>
                <w:color w:val="auto"/>
                <w:sz w:val="24"/>
                <w:szCs w:val="24"/>
              </w:rPr>
            </w:pPr>
            <w:r w:rsidRPr="00500637">
              <w:rPr>
                <w:rFonts w:ascii="Times New Roman" w:hAnsi="Times New Roman"/>
                <w:color w:val="auto"/>
                <w:sz w:val="24"/>
              </w:rPr>
              <w:t>die in Zeile 0420 ausgewiesene SREP-Gesamtanforderung an die Verschuldungsquote;</w:t>
            </w:r>
          </w:p>
          <w:p w14:paraId="44471EA4" w14:textId="37A3F29A" w:rsidR="00843D9B" w:rsidRPr="00500637" w:rsidRDefault="00843D9B" w:rsidP="00AF4551">
            <w:pPr>
              <w:pStyle w:val="ListParagraph"/>
              <w:numPr>
                <w:ilvl w:val="0"/>
                <w:numId w:val="35"/>
              </w:numPr>
              <w:spacing w:after="240"/>
              <w:rPr>
                <w:rFonts w:ascii="Times New Roman" w:hAnsi="Times New Roman"/>
                <w:sz w:val="24"/>
              </w:rPr>
            </w:pPr>
            <w:r w:rsidRPr="00500637">
              <w:rPr>
                <w:rFonts w:ascii="Times New Roman" w:hAnsi="Times New Roman"/>
                <w:sz w:val="24"/>
              </w:rPr>
              <w:t xml:space="preserve">der Puffer der Verschuldungsquote für G-SRI gemäß Artikel 92 Absatz 1a der Verordnung (EU) Nr. 575/2013, ausgedrückt als </w:t>
            </w:r>
            <w:r w:rsidRPr="00500637">
              <w:rPr>
                <w:rFonts w:ascii="Times New Roman" w:hAnsi="Times New Roman"/>
                <w:sz w:val="24"/>
              </w:rPr>
              <w:lastRenderedPageBreak/>
              <w:t>Prozentsatz der Gesamtrisikoposition für die Verschuldungsquote;</w:t>
            </w:r>
          </w:p>
          <w:p w14:paraId="776F4028" w14:textId="5132AE58" w:rsidR="00136A9C" w:rsidRPr="00500637" w:rsidRDefault="00136A9C" w:rsidP="00AF4551">
            <w:pPr>
              <w:pStyle w:val="BodyText1"/>
              <w:numPr>
                <w:ilvl w:val="0"/>
                <w:numId w:val="35"/>
              </w:numPr>
              <w:spacing w:after="240" w:line="240" w:lineRule="auto"/>
              <w:rPr>
                <w:rFonts w:ascii="Times New Roman" w:hAnsi="Times New Roman"/>
                <w:color w:val="auto"/>
                <w:sz w:val="24"/>
                <w:szCs w:val="24"/>
              </w:rPr>
            </w:pPr>
            <w:r w:rsidRPr="00500637">
              <w:rPr>
                <w:rFonts w:ascii="Times New Roman" w:hAnsi="Times New Roman"/>
                <w:color w:val="auto"/>
                <w:sz w:val="24"/>
              </w:rPr>
              <w:t>in Zeile 0450 Ziffer ii ausgewiesener P2G-Anteil, der nach Auflage der zuständigen Behörde in Form von Kernkapital gehalten werden muss.</w:t>
            </w:r>
          </w:p>
          <w:p w14:paraId="26F19755" w14:textId="77777777" w:rsidR="003E3C45" w:rsidRPr="00500637" w:rsidRDefault="003E3C45" w:rsidP="003E3C45">
            <w:pPr>
              <w:pStyle w:val="BodyText1"/>
              <w:spacing w:after="240" w:line="240" w:lineRule="auto"/>
              <w:rPr>
                <w:rFonts w:ascii="Times New Roman" w:hAnsi="Times New Roman"/>
                <w:color w:val="auto"/>
                <w:sz w:val="24"/>
                <w:szCs w:val="24"/>
              </w:rPr>
            </w:pPr>
            <w:r w:rsidRPr="00500637">
              <w:rPr>
                <w:rFonts w:ascii="Times New Roman" w:hAnsi="Times New Roman"/>
                <w:sz w:val="24"/>
              </w:rPr>
              <w:t>Die Institute berechnen Ziffer ii, indem der Wert in {0370;0010} durch den Wert in {0300;0010} dividiert wird.</w:t>
            </w:r>
          </w:p>
          <w:p w14:paraId="2313052B" w14:textId="77777777" w:rsidR="003E3C45" w:rsidRPr="00500637" w:rsidRDefault="003E3C45" w:rsidP="003E3C45">
            <w:pPr>
              <w:pStyle w:val="BodyText1"/>
              <w:spacing w:after="240" w:line="240" w:lineRule="auto"/>
              <w:rPr>
                <w:rFonts w:ascii="Times New Roman" w:hAnsi="Times New Roman"/>
                <w:bCs/>
                <w:sz w:val="24"/>
                <w:szCs w:val="24"/>
              </w:rPr>
            </w:pPr>
            <w:r w:rsidRPr="00500637">
              <w:rPr>
                <w:rFonts w:ascii="Times New Roman" w:hAnsi="Times New Roman"/>
                <w:sz w:val="24"/>
              </w:rPr>
              <w:t>Die Institute berechnen Ziffer iii, indem der Wert in {0400;0010} durch den Wert in {0300;0010} dividiert wird.</w:t>
            </w:r>
          </w:p>
          <w:p w14:paraId="6BF7BD0F" w14:textId="49D247A3" w:rsidR="00843D9B" w:rsidRPr="00500637" w:rsidRDefault="00843D9B" w:rsidP="003E3C45">
            <w:pPr>
              <w:pStyle w:val="BodyText1"/>
              <w:spacing w:after="240" w:line="240" w:lineRule="auto"/>
              <w:rPr>
                <w:rFonts w:ascii="Times New Roman" w:hAnsi="Times New Roman"/>
                <w:bCs/>
                <w:color w:val="auto"/>
                <w:sz w:val="24"/>
                <w:szCs w:val="24"/>
              </w:rPr>
            </w:pPr>
            <w:r w:rsidRPr="00500637">
              <w:rPr>
                <w:rFonts w:ascii="Times New Roman" w:hAnsi="Times New Roman"/>
                <w:color w:val="auto"/>
                <w:sz w:val="24"/>
              </w:rPr>
              <w:t>Ist kein Aufschlag für G-SRI anwendbar, sind nur Ziffer i und iii auszuweisen.</w:t>
            </w:r>
          </w:p>
          <w:p w14:paraId="784A7DD8" w14:textId="6852D82B" w:rsidR="00E36E71" w:rsidRPr="00500637" w:rsidRDefault="00136A9C" w:rsidP="003E3C45">
            <w:pPr>
              <w:pStyle w:val="BodyText1"/>
              <w:spacing w:after="240" w:line="240" w:lineRule="auto"/>
              <w:rPr>
                <w:rFonts w:ascii="Times New Roman" w:hAnsi="Times New Roman"/>
                <w:b/>
                <w:color w:val="auto"/>
                <w:sz w:val="24"/>
                <w:szCs w:val="24"/>
              </w:rPr>
            </w:pPr>
            <w:r w:rsidRPr="00500637">
              <w:rPr>
                <w:rFonts w:ascii="Times New Roman" w:hAnsi="Times New Roman"/>
                <w:color w:val="auto"/>
                <w:sz w:val="24"/>
              </w:rPr>
              <w:t>Teilt die zuständige Behörde keine P2G mit, sind hier nur Ziffern i und ii auszuweisen.</w:t>
            </w:r>
          </w:p>
        </w:tc>
      </w:tr>
      <w:tr w:rsidR="00E524FC" w:rsidRPr="00500637" w14:paraId="601424AF" w14:textId="77777777" w:rsidTr="008979D2">
        <w:trPr>
          <w:trHeight w:val="304"/>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500637" w:rsidRDefault="00E524FC" w:rsidP="000B66BC">
            <w:pPr>
              <w:pStyle w:val="BodyText1"/>
              <w:spacing w:after="240"/>
              <w:rPr>
                <w:rFonts w:ascii="Times New Roman" w:hAnsi="Times New Roman"/>
                <w:bCs/>
                <w:sz w:val="24"/>
                <w:szCs w:val="24"/>
              </w:rPr>
            </w:pPr>
            <w:r w:rsidRPr="00500637">
              <w:rPr>
                <w:rFonts w:ascii="Times New Roman" w:hAnsi="Times New Roman"/>
                <w:b/>
                <w:sz w:val="24"/>
              </w:rPr>
              <w:lastRenderedPageBreak/>
              <w:t>Zeile und Spalte</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500637" w:rsidRDefault="00E524FC"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Zusatzinformationen</w:t>
            </w:r>
          </w:p>
        </w:tc>
      </w:tr>
      <w:tr w:rsidR="00E524FC" w:rsidRPr="00500637" w14:paraId="66E51847" w14:textId="77777777" w:rsidTr="008979D2">
        <w:trPr>
          <w:trHeight w:val="304"/>
        </w:trPr>
        <w:tc>
          <w:tcPr>
            <w:tcW w:w="1555" w:type="dxa"/>
            <w:tcBorders>
              <w:top w:val="single" w:sz="4" w:space="0" w:color="auto"/>
              <w:left w:val="single" w:sz="4" w:space="0" w:color="auto"/>
              <w:bottom w:val="single" w:sz="4" w:space="0" w:color="auto"/>
              <w:right w:val="single" w:sz="4" w:space="0" w:color="auto"/>
            </w:tcBorders>
          </w:tcPr>
          <w:p w14:paraId="7FD03E43" w14:textId="3C27850E" w:rsidR="00E524FC" w:rsidRPr="00500637" w:rsidRDefault="00E524FC" w:rsidP="000B66BC">
            <w:pPr>
              <w:pStyle w:val="BodyText1"/>
              <w:spacing w:after="240"/>
              <w:rPr>
                <w:rFonts w:ascii="Times New Roman" w:hAnsi="Times New Roman"/>
                <w:bCs/>
                <w:sz w:val="24"/>
                <w:szCs w:val="24"/>
              </w:rPr>
            </w:pPr>
          </w:p>
        </w:tc>
        <w:tc>
          <w:tcPr>
            <w:tcW w:w="7566" w:type="dxa"/>
            <w:tcBorders>
              <w:top w:val="single" w:sz="4" w:space="0" w:color="auto"/>
              <w:left w:val="single" w:sz="4" w:space="0" w:color="auto"/>
              <w:bottom w:val="single" w:sz="4" w:space="0" w:color="auto"/>
              <w:right w:val="single" w:sz="4" w:space="0" w:color="auto"/>
            </w:tcBorders>
            <w:vAlign w:val="center"/>
          </w:tcPr>
          <w:p w14:paraId="7576BAB1" w14:textId="2E6DBCAE" w:rsidR="00E524FC" w:rsidRPr="00500637" w:rsidRDefault="009339A2" w:rsidP="000B66BC">
            <w:pPr>
              <w:pStyle w:val="BodyText1"/>
              <w:spacing w:after="240" w:line="240" w:lineRule="auto"/>
              <w:rPr>
                <w:rFonts w:ascii="Times New Roman" w:hAnsi="Times New Roman"/>
                <w:b/>
                <w:color w:val="auto"/>
                <w:sz w:val="24"/>
                <w:szCs w:val="24"/>
              </w:rPr>
            </w:pPr>
            <w:r w:rsidRPr="00500637">
              <w:rPr>
                <w:rFonts w:ascii="Times New Roman" w:hAnsi="Times New Roman"/>
                <w:color w:val="auto"/>
                <w:sz w:val="24"/>
              </w:rPr>
              <w:t xml:space="preserve">Verordnung (EU) Nr. 575/2013 </w:t>
            </w:r>
          </w:p>
        </w:tc>
      </w:tr>
      <w:tr w:rsidR="00E524FC" w:rsidRPr="00500637" w14:paraId="12DDA6F6" w14:textId="77777777" w:rsidTr="008979D2">
        <w:trPr>
          <w:trHeight w:val="304"/>
        </w:trPr>
        <w:tc>
          <w:tcPr>
            <w:tcW w:w="1555" w:type="dxa"/>
            <w:tcBorders>
              <w:top w:val="single" w:sz="4" w:space="0" w:color="auto"/>
              <w:left w:val="single" w:sz="4" w:space="0" w:color="auto"/>
              <w:bottom w:val="single" w:sz="4" w:space="0" w:color="auto"/>
              <w:right w:val="single" w:sz="4" w:space="0" w:color="auto"/>
            </w:tcBorders>
          </w:tcPr>
          <w:p w14:paraId="7DE13EEB" w14:textId="7EBFE2F4" w:rsidR="00E524FC" w:rsidRPr="00500637" w:rsidRDefault="00E524FC" w:rsidP="000B66BC">
            <w:pPr>
              <w:pStyle w:val="BodyText1"/>
              <w:spacing w:after="240"/>
              <w:rPr>
                <w:rFonts w:ascii="Times New Roman" w:hAnsi="Times New Roman"/>
                <w:bCs/>
                <w:sz w:val="24"/>
                <w:szCs w:val="24"/>
              </w:rPr>
            </w:pPr>
            <w:r w:rsidRPr="00500637">
              <w:rPr>
                <w:rFonts w:ascii="Times New Roman" w:hAnsi="Times New Roman"/>
                <w:sz w:val="24"/>
              </w:rPr>
              <w:t>{0490;0010}</w:t>
            </w:r>
          </w:p>
        </w:tc>
        <w:tc>
          <w:tcPr>
            <w:tcW w:w="7566" w:type="dxa"/>
            <w:tcBorders>
              <w:top w:val="single" w:sz="4" w:space="0" w:color="auto"/>
              <w:left w:val="single" w:sz="4" w:space="0" w:color="auto"/>
              <w:bottom w:val="single" w:sz="4" w:space="0" w:color="auto"/>
              <w:right w:val="single" w:sz="4" w:space="0" w:color="auto"/>
            </w:tcBorders>
            <w:vAlign w:val="center"/>
          </w:tcPr>
          <w:p w14:paraId="4537C97D" w14:textId="7B6565CA" w:rsidR="00E524FC" w:rsidRPr="00500637" w:rsidRDefault="00E524FC"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Verschuldungsquote, die sich ergäbe, wenn die vorübergehende Behandlung von zeitwertbilanzierten, im sonstigen Ergebnis nicht realisierten Gewinnen und Verlusten nicht angewandt würde</w:t>
            </w:r>
          </w:p>
          <w:p w14:paraId="22FC70A7" w14:textId="0B4FA8B5" w:rsidR="00E524FC" w:rsidRPr="00500637" w:rsidRDefault="00E524FC" w:rsidP="000B66BC">
            <w:pPr>
              <w:pStyle w:val="BodyText1"/>
              <w:spacing w:after="240" w:line="240" w:lineRule="auto"/>
              <w:rPr>
                <w:rFonts w:ascii="Times New Roman" w:hAnsi="Times New Roman"/>
                <w:color w:val="auto"/>
                <w:sz w:val="24"/>
                <w:szCs w:val="24"/>
              </w:rPr>
            </w:pPr>
            <w:r w:rsidRPr="00500637">
              <w:rPr>
                <w:rFonts w:ascii="Times New Roman" w:hAnsi="Times New Roman"/>
                <w:sz w:val="24"/>
              </w:rPr>
              <w:t>Artikel 468 Absatz 5 der Verordnung (EU) Nr. 575/2013</w:t>
            </w:r>
          </w:p>
          <w:p w14:paraId="787A9CC8" w14:textId="0A07D371" w:rsidR="00E524FC" w:rsidRPr="00500637" w:rsidRDefault="00E524FC" w:rsidP="000B66BC">
            <w:pPr>
              <w:pStyle w:val="BodyText1"/>
              <w:spacing w:after="240" w:line="240" w:lineRule="auto"/>
              <w:rPr>
                <w:rFonts w:ascii="Times New Roman" w:hAnsi="Times New Roman"/>
                <w:b/>
                <w:color w:val="auto"/>
                <w:sz w:val="24"/>
                <w:szCs w:val="24"/>
              </w:rPr>
            </w:pPr>
            <w:r w:rsidRPr="00500637">
              <w:rPr>
                <w:rFonts w:ascii="Times New Roman" w:hAnsi="Times New Roman"/>
                <w:sz w:val="24"/>
              </w:rPr>
              <w:t>Institute, die sich für die Anwendung der in Artikel 468 Absatz 1 der Verordnung (EU) Nr. 575/2013 dargelegte vorübergehende Behandlung entschieden haben, melden die Verschuldungsquote, die sich ergäbe, wenn sie diese Behandlung nicht anwenden würden.</w:t>
            </w:r>
          </w:p>
        </w:tc>
      </w:tr>
    </w:tbl>
    <w:p w14:paraId="6B40D8E2" w14:textId="77777777" w:rsidR="00AE2798" w:rsidRPr="00500637" w:rsidRDefault="00AE2798" w:rsidP="000B66BC">
      <w:pPr>
        <w:pStyle w:val="BodyText1"/>
        <w:spacing w:after="240"/>
        <w:rPr>
          <w:rFonts w:ascii="Times New Roman" w:hAnsi="Times New Roman"/>
          <w:sz w:val="24"/>
          <w:szCs w:val="24"/>
        </w:rPr>
      </w:pPr>
    </w:p>
    <w:p w14:paraId="794CE395" w14:textId="173F43D2" w:rsidR="00700DA6" w:rsidRPr="00500637" w:rsidRDefault="005F4574" w:rsidP="000B66BC">
      <w:pPr>
        <w:pStyle w:val="BodyText1"/>
        <w:spacing w:after="240"/>
        <w:ind w:left="357" w:hanging="357"/>
        <w:outlineLvl w:val="1"/>
        <w:rPr>
          <w:rFonts w:ascii="Times New Roman" w:hAnsi="Times New Roman"/>
          <w:b/>
          <w:sz w:val="24"/>
          <w:szCs w:val="24"/>
        </w:rPr>
      </w:pPr>
      <w:bookmarkStart w:id="53" w:name="_Toc351048507"/>
      <w:bookmarkStart w:id="54" w:name="_Toc359414286"/>
      <w:bookmarkStart w:id="55" w:name="_Toc423089071"/>
      <w:bookmarkStart w:id="56" w:name="_Toc188886282"/>
      <w:r w:rsidRPr="00500637">
        <w:rPr>
          <w:rFonts w:ascii="Times New Roman" w:hAnsi="Times New Roman"/>
          <w:b/>
          <w:sz w:val="24"/>
        </w:rPr>
        <w:t>4.</w:t>
      </w:r>
      <w:r w:rsidRPr="00500637">
        <w:tab/>
      </w:r>
      <w:r w:rsidRPr="00500637">
        <w:rPr>
          <w:rFonts w:ascii="Times New Roman" w:hAnsi="Times New Roman"/>
          <w:b/>
          <w:sz w:val="24"/>
        </w:rPr>
        <w:t>C 40.00 – Alternative Behandlung der Risikopositionsmessgröße</w:t>
      </w:r>
      <w:bookmarkEnd w:id="51"/>
      <w:bookmarkEnd w:id="53"/>
      <w:bookmarkEnd w:id="54"/>
      <w:r w:rsidRPr="00500637">
        <w:rPr>
          <w:rFonts w:ascii="Times New Roman" w:hAnsi="Times New Roman"/>
          <w:b/>
          <w:sz w:val="24"/>
        </w:rPr>
        <w:t xml:space="preserve"> (LR1)</w:t>
      </w:r>
      <w:bookmarkEnd w:id="55"/>
      <w:bookmarkEnd w:id="56"/>
    </w:p>
    <w:p w14:paraId="0FB337CA" w14:textId="47825928" w:rsidR="00F4754B" w:rsidRPr="00500637" w:rsidRDefault="00500508" w:rsidP="000B66BC">
      <w:pPr>
        <w:pStyle w:val="BodyText1"/>
        <w:spacing w:after="240" w:line="240" w:lineRule="auto"/>
        <w:ind w:left="720" w:hanging="360"/>
        <w:rPr>
          <w:rFonts w:ascii="Times New Roman" w:hAnsi="Times New Roman"/>
          <w:sz w:val="24"/>
          <w:szCs w:val="24"/>
        </w:rPr>
      </w:pPr>
      <w:r w:rsidRPr="00500637">
        <w:rPr>
          <w:rFonts w:ascii="Times New Roman" w:hAnsi="Times New Roman"/>
          <w:sz w:val="24"/>
        </w:rPr>
        <w:t>20.</w:t>
      </w:r>
      <w:r w:rsidRPr="00500637">
        <w:tab/>
      </w:r>
      <w:r w:rsidRPr="00500637">
        <w:rPr>
          <w:rFonts w:ascii="Times New Roman" w:hAnsi="Times New Roman"/>
          <w:sz w:val="24"/>
        </w:rPr>
        <w:t xml:space="preserve">In diesem Teil des Meldebogens werden Angaben zur alternativen Behandlung von Derivaten, SFTs, außerbilanziellen Posten, ausgeschlossenen öffentlichen Investitionen und ausgeschlossenen Risikopositionen gegenüber Förderdarlehen erhoben. </w:t>
      </w:r>
    </w:p>
    <w:p w14:paraId="0801E40E" w14:textId="6947458E" w:rsidR="00F4754B" w:rsidRPr="00500637" w:rsidRDefault="00500508" w:rsidP="000B66BC">
      <w:pPr>
        <w:pStyle w:val="BodyText1"/>
        <w:spacing w:after="240" w:line="240" w:lineRule="auto"/>
        <w:ind w:left="720" w:hanging="360"/>
        <w:rPr>
          <w:rFonts w:ascii="Times New Roman" w:hAnsi="Times New Roman"/>
          <w:sz w:val="24"/>
          <w:szCs w:val="24"/>
        </w:rPr>
      </w:pPr>
      <w:r w:rsidRPr="00500637">
        <w:rPr>
          <w:rFonts w:ascii="Times New Roman" w:hAnsi="Times New Roman"/>
          <w:sz w:val="24"/>
        </w:rPr>
        <w:t>21.</w:t>
      </w:r>
      <w:r w:rsidRPr="00500637">
        <w:tab/>
      </w:r>
      <w:r w:rsidRPr="00500637">
        <w:rPr>
          <w:rFonts w:ascii="Times New Roman" w:hAnsi="Times New Roman"/>
          <w:sz w:val="24"/>
        </w:rPr>
        <w:t xml:space="preserve">Die Institute ermitteln die „Bilanzwerte“ in LR1 auf der Grundlage des geltenden Rechnungslegungsrahmens im Sinne von Artikel 4 Absatz 1 Nummer 77 der Verordnung (EU) Nr. 575/2013. Der Begriff „Buchwert unter der Annahme: kein Netting oder andere CRM“ (CRM = Credit Risk Mitigation, Kreditrisikominderung) bezeichnet den Bilanzwert ohne Berücksichtigung der Auswirkungen des Netting oder einer anderen Risikominderung. </w:t>
      </w:r>
    </w:p>
    <w:p w14:paraId="6A1F4290" w14:textId="4A3B06AA" w:rsidR="005556DC" w:rsidRPr="00500637" w:rsidRDefault="00500508" w:rsidP="000B66BC">
      <w:pPr>
        <w:pStyle w:val="BodyText1"/>
        <w:spacing w:after="240" w:line="240" w:lineRule="auto"/>
        <w:ind w:left="720" w:hanging="360"/>
        <w:rPr>
          <w:rFonts w:ascii="Times New Roman" w:hAnsi="Times New Roman"/>
          <w:sz w:val="24"/>
          <w:szCs w:val="24"/>
        </w:rPr>
      </w:pPr>
      <w:r w:rsidRPr="00500637">
        <w:rPr>
          <w:rFonts w:ascii="Times New Roman" w:hAnsi="Times New Roman"/>
          <w:sz w:val="24"/>
        </w:rPr>
        <w:lastRenderedPageBreak/>
        <w:t>22.</w:t>
      </w:r>
      <w:r w:rsidRPr="00500637">
        <w:tab/>
      </w:r>
      <w:r w:rsidRPr="00500637">
        <w:rPr>
          <w:rFonts w:ascii="Times New Roman" w:hAnsi="Times New Roman"/>
          <w:sz w:val="24"/>
        </w:rPr>
        <w:t>Die Institute melden Posten des LR1 so, als wären die Posten mit negativem Vorzeichen im Meldebogen LRCalc (etwa Ausnahmen/Abzüge) gemäß der Vorzeichenkonvention nach Teil I Absatz 9 dieses Anhangs, ausgenommen {0270;0010} {0280;0010}, nicht anwendbar.</w:t>
      </w:r>
    </w:p>
    <w:p w14:paraId="3B5DA19A" w14:textId="314820A5" w:rsidR="00201643" w:rsidRPr="00500637" w:rsidRDefault="00201643" w:rsidP="000B66BC">
      <w:pPr>
        <w:pStyle w:val="BodyText1"/>
        <w:spacing w:after="240" w:line="240" w:lineRule="auto"/>
        <w:ind w:left="720" w:hanging="360"/>
        <w:rPr>
          <w:rFonts w:ascii="Times New Roman" w:hAnsi="Times New Roman"/>
          <w:sz w:val="24"/>
          <w:szCs w:val="24"/>
        </w:rPr>
      </w:pPr>
      <w:r w:rsidRPr="00500637">
        <w:rPr>
          <w:rFonts w:ascii="Times New Roman" w:hAnsi="Times New Roman"/>
          <w:sz w:val="24"/>
        </w:rPr>
        <w:t>23.</w:t>
      </w:r>
      <w:r w:rsidRPr="00500637">
        <w:tab/>
      </w:r>
      <w:r w:rsidRPr="00500637">
        <w:rPr>
          <w:rFonts w:ascii="Times New Roman" w:hAnsi="Times New Roman"/>
          <w:sz w:val="24"/>
        </w:rPr>
        <w:t>Gesamtaktiva ({r0410;c0010}) in Meldebogen 40.00 ist nur von folgenden Instituten auszuweisen:</w:t>
      </w:r>
    </w:p>
    <w:p w14:paraId="120D67B7" w14:textId="7350FC6D" w:rsidR="00390B64" w:rsidRPr="00500637" w:rsidRDefault="00390B64" w:rsidP="00AF4551">
      <w:pPr>
        <w:pStyle w:val="BodyText1"/>
        <w:numPr>
          <w:ilvl w:val="0"/>
          <w:numId w:val="26"/>
        </w:numPr>
        <w:spacing w:after="240"/>
        <w:rPr>
          <w:rFonts w:ascii="Times New Roman" w:hAnsi="Times New Roman"/>
          <w:sz w:val="24"/>
          <w:szCs w:val="24"/>
        </w:rPr>
      </w:pPr>
      <w:r w:rsidRPr="00500637">
        <w:rPr>
          <w:rFonts w:ascii="Times New Roman" w:hAnsi="Times New Roman"/>
          <w:sz w:val="24"/>
        </w:rPr>
        <w:t xml:space="preserve">halbjährlich von großen Instituten, bei denen es sich entweder um G-SRI handelt oder die Wertpapiere begeben haben, die zum Handel an einem geregelten Markt zugelassen sind; </w:t>
      </w:r>
    </w:p>
    <w:p w14:paraId="275097FF" w14:textId="4F3F0B8E" w:rsidR="00390B64" w:rsidRPr="00500637" w:rsidRDefault="00390B64" w:rsidP="00AF4551">
      <w:pPr>
        <w:pStyle w:val="BodyText1"/>
        <w:numPr>
          <w:ilvl w:val="0"/>
          <w:numId w:val="26"/>
        </w:numPr>
        <w:spacing w:after="240"/>
        <w:rPr>
          <w:rFonts w:ascii="Times New Roman" w:hAnsi="Times New Roman"/>
          <w:sz w:val="24"/>
          <w:szCs w:val="24"/>
        </w:rPr>
      </w:pPr>
      <w:r w:rsidRPr="00500637">
        <w:rPr>
          <w:rFonts w:ascii="Times New Roman" w:hAnsi="Times New Roman"/>
          <w:sz w:val="24"/>
        </w:rPr>
        <w:t>jährlich von großen Instituten, bei denen es sich nicht um G-SRI handelt und die nicht börsennotiert sind;</w:t>
      </w:r>
    </w:p>
    <w:p w14:paraId="59E3D42C" w14:textId="4C664B3D" w:rsidR="00390B64" w:rsidRPr="00500637" w:rsidRDefault="00390B64" w:rsidP="00AF4551">
      <w:pPr>
        <w:pStyle w:val="BodyText1"/>
        <w:numPr>
          <w:ilvl w:val="0"/>
          <w:numId w:val="26"/>
        </w:numPr>
        <w:spacing w:after="240"/>
        <w:rPr>
          <w:rFonts w:ascii="Times New Roman" w:hAnsi="Times New Roman"/>
          <w:sz w:val="24"/>
          <w:szCs w:val="24"/>
        </w:rPr>
      </w:pPr>
      <w:r w:rsidRPr="00500637">
        <w:rPr>
          <w:rFonts w:ascii="Times New Roman" w:hAnsi="Times New Roman"/>
          <w:sz w:val="24"/>
        </w:rPr>
        <w:t xml:space="preserve">jährlich von sonstigen Instituten, bei denen es sich nicht um große Institute handelt, und von kleinen und nicht komplexen Instituten, die Wertpapiere begeben haben, die zum Handel an einem geregelten Markt zugelassen sind.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50"/>
      </w:tblGrid>
      <w:tr w:rsidR="00F4754B" w:rsidRPr="00500637" w14:paraId="26421155" w14:textId="77777777" w:rsidTr="00500637">
        <w:tc>
          <w:tcPr>
            <w:tcW w:w="1588" w:type="dxa"/>
            <w:shd w:val="clear" w:color="auto" w:fill="D9D9D9" w:themeFill="background1" w:themeFillShade="D9"/>
          </w:tcPr>
          <w:p w14:paraId="08FB450D" w14:textId="524E5AB8" w:rsidR="00F4754B" w:rsidRPr="00500637" w:rsidRDefault="00F4754B" w:rsidP="000B66BC">
            <w:pPr>
              <w:pStyle w:val="BodyText1"/>
              <w:spacing w:after="240"/>
              <w:rPr>
                <w:rFonts w:ascii="Times New Roman" w:hAnsi="Times New Roman"/>
                <w:b/>
                <w:sz w:val="24"/>
                <w:szCs w:val="24"/>
              </w:rPr>
            </w:pPr>
            <w:r w:rsidRPr="00500637">
              <w:rPr>
                <w:rFonts w:ascii="Times New Roman" w:hAnsi="Times New Roman"/>
                <w:b/>
                <w:sz w:val="24"/>
              </w:rPr>
              <w:t>Zeile und Spalte</w:t>
            </w:r>
          </w:p>
        </w:tc>
        <w:tc>
          <w:tcPr>
            <w:tcW w:w="7450" w:type="dxa"/>
            <w:shd w:val="clear" w:color="auto" w:fill="D9D9D9" w:themeFill="background1" w:themeFillShade="D9"/>
          </w:tcPr>
          <w:p w14:paraId="2A94B720" w14:textId="77777777"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Rechtsgrundlagen und Erläuterungen</w:t>
            </w:r>
          </w:p>
        </w:tc>
      </w:tr>
      <w:tr w:rsidR="00F4754B" w:rsidRPr="00500637" w14:paraId="361F248A" w14:textId="77777777" w:rsidTr="00500637">
        <w:tc>
          <w:tcPr>
            <w:tcW w:w="1588" w:type="dxa"/>
          </w:tcPr>
          <w:p w14:paraId="4F9FA107" w14:textId="57BE6A84"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{0010;0010}</w:t>
            </w:r>
          </w:p>
        </w:tc>
        <w:tc>
          <w:tcPr>
            <w:tcW w:w="7450" w:type="dxa"/>
          </w:tcPr>
          <w:p w14:paraId="39F15765" w14:textId="77777777" w:rsidR="00F4754B" w:rsidRPr="00500637" w:rsidRDefault="00F4754B" w:rsidP="000B66BC">
            <w:pPr>
              <w:pStyle w:val="BodyText1"/>
              <w:spacing w:after="240" w:line="240" w:lineRule="auto"/>
              <w:rPr>
                <w:rFonts w:ascii="Times New Roman" w:hAnsi="Times New Roman"/>
                <w:bCs/>
                <w:sz w:val="24"/>
                <w:szCs w:val="24"/>
                <w:u w:val="single"/>
              </w:rPr>
            </w:pPr>
            <w:r w:rsidRPr="00500637">
              <w:rPr>
                <w:rFonts w:ascii="Times New Roman" w:hAnsi="Times New Roman"/>
                <w:b/>
                <w:sz w:val="24"/>
              </w:rPr>
              <w:t>Derivate – Bilanzwert</w:t>
            </w:r>
          </w:p>
          <w:p w14:paraId="7F9C9C25" w14:textId="151D2509" w:rsidR="000A6437" w:rsidRPr="00500637" w:rsidRDefault="00F4754B"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Summe der Felder {0020;010}, {0050;0010} und {0060;0010}.</w:t>
            </w:r>
          </w:p>
        </w:tc>
      </w:tr>
      <w:tr w:rsidR="00F4754B" w:rsidRPr="00500637" w14:paraId="1D231FFA" w14:textId="77777777" w:rsidTr="00500637">
        <w:tc>
          <w:tcPr>
            <w:tcW w:w="1588" w:type="dxa"/>
          </w:tcPr>
          <w:p w14:paraId="63C98797" w14:textId="06C6C9DC"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{0010;0020}</w:t>
            </w:r>
          </w:p>
        </w:tc>
        <w:tc>
          <w:tcPr>
            <w:tcW w:w="7450" w:type="dxa"/>
          </w:tcPr>
          <w:p w14:paraId="4563944E" w14:textId="77777777"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Derivate – Buchwert unter der Annahme: kein Netting oder andere Kreditrisikominderung (CRM)</w:t>
            </w:r>
          </w:p>
          <w:p w14:paraId="7E68FF9D" w14:textId="3AAE9DFF" w:rsidR="00FF3AC1" w:rsidRPr="00500637" w:rsidRDefault="00F4754B"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Summe der Felder {0020;0020}, {0050;0020} und {0060;0020}.</w:t>
            </w:r>
          </w:p>
        </w:tc>
      </w:tr>
      <w:tr w:rsidR="00F4754B" w:rsidRPr="00500637" w14:paraId="56F668DB" w14:textId="77777777" w:rsidTr="00500637">
        <w:tc>
          <w:tcPr>
            <w:tcW w:w="1588" w:type="dxa"/>
          </w:tcPr>
          <w:p w14:paraId="678E69B3" w14:textId="4CB76640"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{0010;0070}</w:t>
            </w:r>
          </w:p>
        </w:tc>
        <w:tc>
          <w:tcPr>
            <w:tcW w:w="7450" w:type="dxa"/>
          </w:tcPr>
          <w:p w14:paraId="5D79D47D" w14:textId="77777777"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Derivate – Nominalbetrag</w:t>
            </w:r>
          </w:p>
          <w:p w14:paraId="2AECBC09" w14:textId="2F33E455" w:rsidR="00F4754B" w:rsidRPr="00500637" w:rsidRDefault="00F4754B"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Summe der Felder {0020;0070}, {0050;0070} und {0060;0070}.</w:t>
            </w:r>
          </w:p>
        </w:tc>
      </w:tr>
      <w:tr w:rsidR="00F4754B" w:rsidRPr="00500637" w14:paraId="6B45BB27" w14:textId="77777777" w:rsidTr="00500637">
        <w:tc>
          <w:tcPr>
            <w:tcW w:w="1588" w:type="dxa"/>
          </w:tcPr>
          <w:p w14:paraId="46216D41" w14:textId="7412E938"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{0020;0010}</w:t>
            </w:r>
          </w:p>
        </w:tc>
        <w:tc>
          <w:tcPr>
            <w:tcW w:w="7450" w:type="dxa"/>
          </w:tcPr>
          <w:p w14:paraId="0B692C56" w14:textId="77777777"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Kreditderivate (Besicherung veräußert) – Bilanzwert</w:t>
            </w:r>
          </w:p>
          <w:p w14:paraId="0232A08C" w14:textId="557B887D" w:rsidR="00F4754B" w:rsidRPr="00500637" w:rsidRDefault="006D6827" w:rsidP="003E3C45">
            <w:pPr>
              <w:pStyle w:val="BodyText1"/>
              <w:spacing w:after="240" w:line="240" w:lineRule="auto"/>
              <w:rPr>
                <w:rFonts w:ascii="Times New Roman" w:hAnsi="Times New Roman"/>
                <w:b/>
                <w:bCs/>
                <w:sz w:val="24"/>
                <w:szCs w:val="24"/>
                <w:u w:val="single"/>
              </w:rPr>
            </w:pPr>
            <w:r w:rsidRPr="00500637">
              <w:rPr>
                <w:rFonts w:ascii="Times New Roman" w:hAnsi="Times New Roman"/>
                <w:sz w:val="24"/>
              </w:rPr>
              <w:t>Artikel 4 Absatz 1 Nummer 77 der Verordnung (EU) Nr. 575/2013; der nach dem geltenden Rechnungslegungsrahmen ermittelte Bilanzwert für Kreditderivate, wenn das Institut eine Kreditbesicherung an eine Gegenpartei veräußert und das Geschäft in der Bilanz erfasst wird.</w:t>
            </w:r>
          </w:p>
        </w:tc>
      </w:tr>
      <w:tr w:rsidR="00F4754B" w:rsidRPr="00500637" w14:paraId="78089643" w14:textId="77777777" w:rsidTr="00500637">
        <w:tc>
          <w:tcPr>
            <w:tcW w:w="1588" w:type="dxa"/>
          </w:tcPr>
          <w:p w14:paraId="6D29AC05" w14:textId="21326B21"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{0020;0020}</w:t>
            </w:r>
          </w:p>
        </w:tc>
        <w:tc>
          <w:tcPr>
            <w:tcW w:w="7450" w:type="dxa"/>
          </w:tcPr>
          <w:p w14:paraId="47C4979D" w14:textId="1C2E617E"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b/>
                <w:sz w:val="24"/>
              </w:rPr>
              <w:t>Kreditderivate (Besicherung veräußert) – Buchwert unter der Annahme: kein Netting oder andere Kreditrisikominderung (CRM)</w:t>
            </w:r>
          </w:p>
          <w:p w14:paraId="379F5EE7" w14:textId="7F30105A" w:rsidR="00F4754B" w:rsidRPr="00500637" w:rsidRDefault="006D6827" w:rsidP="003E3C45">
            <w:pPr>
              <w:pStyle w:val="BodyText1"/>
              <w:spacing w:after="240" w:line="240" w:lineRule="auto"/>
              <w:rPr>
                <w:rFonts w:ascii="Times New Roman" w:hAnsi="Times New Roman"/>
                <w:b/>
                <w:bCs/>
                <w:sz w:val="24"/>
                <w:szCs w:val="24"/>
                <w:u w:val="single"/>
              </w:rPr>
            </w:pPr>
            <w:r w:rsidRPr="00500637">
              <w:rPr>
                <w:rFonts w:ascii="Times New Roman" w:hAnsi="Times New Roman"/>
                <w:sz w:val="24"/>
              </w:rPr>
              <w:t xml:space="preserve">Artikel 4 Absatz 1 Nummer 77 der Verordnung (EU) Nr. 575/2013; der nach dem geltenden Rechnungslegungsrahmen ermittelte Bilanzwert von Kreditderivaten, wenn das Institut eine Kreditbesicherung an eine Gegenpartei veräußert und das Geschäft in der Bilanz erfasst wird, in der Annahme, dass es keine aufsichtlichen oder Bilanzierungs-Netting- oder </w:t>
            </w:r>
            <w:r w:rsidRPr="00500637">
              <w:rPr>
                <w:rFonts w:ascii="Times New Roman" w:hAnsi="Times New Roman"/>
                <w:sz w:val="24"/>
              </w:rPr>
              <w:lastRenderedPageBreak/>
              <w:t>anderen CRM-Effekte gibt (d. h. die Bilanzierungs-Netting- oder CRM-Effekte in Bezug auf den Bilanzwert werden zurückgenommen).</w:t>
            </w:r>
          </w:p>
        </w:tc>
      </w:tr>
      <w:tr w:rsidR="00F4754B" w:rsidRPr="00500637" w14:paraId="6F14FFAF" w14:textId="77777777" w:rsidTr="00500637">
        <w:tc>
          <w:tcPr>
            <w:tcW w:w="1588" w:type="dxa"/>
          </w:tcPr>
          <w:p w14:paraId="7C797A14" w14:textId="4C6AAC24"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lastRenderedPageBreak/>
              <w:t>{0020;0070}</w:t>
            </w:r>
          </w:p>
        </w:tc>
        <w:tc>
          <w:tcPr>
            <w:tcW w:w="7450" w:type="dxa"/>
          </w:tcPr>
          <w:p w14:paraId="5B4D4747" w14:textId="77777777"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Kreditderivate (Besicherung veräußert) – Nominalbetrag</w:t>
            </w:r>
          </w:p>
          <w:p w14:paraId="79F96141" w14:textId="45B474E1" w:rsidR="00F4754B" w:rsidRPr="00500637" w:rsidRDefault="00F4754B"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Summe der Felder {0030;0070} und {0040;0070}.</w:t>
            </w:r>
          </w:p>
        </w:tc>
      </w:tr>
      <w:tr w:rsidR="00410E47" w:rsidRPr="00500637" w14:paraId="3223F811" w14:textId="77777777" w:rsidTr="00500637">
        <w:tc>
          <w:tcPr>
            <w:tcW w:w="1588" w:type="dxa"/>
          </w:tcPr>
          <w:p w14:paraId="13A1CD32" w14:textId="73B22E89" w:rsidR="00410E47" w:rsidRPr="00500637" w:rsidRDefault="00410E47" w:rsidP="000B66BC">
            <w:pPr>
              <w:pStyle w:val="BodyText1"/>
              <w:spacing w:after="240"/>
              <w:rPr>
                <w:rFonts w:ascii="Times New Roman" w:hAnsi="Times New Roman"/>
                <w:bCs/>
                <w:sz w:val="24"/>
                <w:szCs w:val="24"/>
              </w:rPr>
            </w:pPr>
            <w:r w:rsidRPr="00500637">
              <w:rPr>
                <w:rFonts w:ascii="Times New Roman" w:hAnsi="Times New Roman"/>
                <w:sz w:val="24"/>
              </w:rPr>
              <w:t>{0020;0075}</w:t>
            </w:r>
          </w:p>
        </w:tc>
        <w:tc>
          <w:tcPr>
            <w:tcW w:w="7450" w:type="dxa"/>
          </w:tcPr>
          <w:p w14:paraId="4149AAF1" w14:textId="77777777" w:rsidR="00410E47" w:rsidRPr="00500637" w:rsidRDefault="00410E47"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Kreditderivate (Besicherung veräußert) – Gedeckelter Nominalbetrag</w:t>
            </w:r>
          </w:p>
          <w:p w14:paraId="0C4AF19E" w14:textId="54E04166" w:rsidR="00410E47" w:rsidRPr="00500637" w:rsidRDefault="003E3C45"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den durch Kreditderivate (Besicherung veräußert) referenzierten Nominalbetrag wie in {0020;0070} abzüglich etwaiger Veränderungen des negativen Zeitwerts, die in das Kernkapital in Bezug auf die geschriebenen Kreditderivate aufgenommen wurden.</w:t>
            </w:r>
          </w:p>
        </w:tc>
      </w:tr>
      <w:tr w:rsidR="00F56B61" w:rsidRPr="00500637" w14:paraId="01AA1F98" w14:textId="77777777" w:rsidTr="00500637">
        <w:tc>
          <w:tcPr>
            <w:tcW w:w="1588" w:type="dxa"/>
            <w:tcBorders>
              <w:top w:val="single" w:sz="4" w:space="0" w:color="auto"/>
              <w:left w:val="single" w:sz="4" w:space="0" w:color="auto"/>
              <w:bottom w:val="single" w:sz="4" w:space="0" w:color="auto"/>
              <w:right w:val="single" w:sz="4" w:space="0" w:color="auto"/>
            </w:tcBorders>
          </w:tcPr>
          <w:p w14:paraId="2BE34FE0" w14:textId="29A35CD8" w:rsidR="00F56B61" w:rsidRPr="00500637" w:rsidRDefault="00F56B61" w:rsidP="000B66BC">
            <w:pPr>
              <w:pStyle w:val="BodyText1"/>
              <w:spacing w:after="240"/>
              <w:rPr>
                <w:rFonts w:ascii="Times New Roman" w:hAnsi="Times New Roman"/>
                <w:bCs/>
                <w:sz w:val="24"/>
                <w:szCs w:val="24"/>
              </w:rPr>
            </w:pPr>
            <w:r w:rsidRPr="00500637">
              <w:rPr>
                <w:rFonts w:ascii="Times New Roman" w:hAnsi="Times New Roman"/>
                <w:sz w:val="24"/>
              </w:rPr>
              <w:t>{0030;0070}</w:t>
            </w:r>
          </w:p>
        </w:tc>
        <w:tc>
          <w:tcPr>
            <w:tcW w:w="7450" w:type="dxa"/>
            <w:tcBorders>
              <w:top w:val="single" w:sz="4" w:space="0" w:color="auto"/>
              <w:left w:val="single" w:sz="4" w:space="0" w:color="auto"/>
              <w:bottom w:val="single" w:sz="4" w:space="0" w:color="auto"/>
              <w:right w:val="single" w:sz="4" w:space="0" w:color="auto"/>
            </w:tcBorders>
          </w:tcPr>
          <w:p w14:paraId="15FC1D07" w14:textId="36F4ADB6" w:rsidR="00F56B61" w:rsidRPr="00500637" w:rsidRDefault="00F56B61"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Kreditderivate (Besicherung veräußert) mit Glattstellungsklausel – Nominalbetrag</w:t>
            </w:r>
          </w:p>
          <w:p w14:paraId="018BEF1F" w14:textId="22289BB3" w:rsidR="00F56B61" w:rsidRPr="00500637" w:rsidRDefault="003E3C45"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melden den durch Kreditderivate referenzierten Nominalbetrag, wenn das Institut eine Kreditbesicherung mit Glattstellungsklausel veräußert.</w:t>
            </w:r>
          </w:p>
          <w:p w14:paraId="5A116C41" w14:textId="488FF38F" w:rsidR="00F56B61" w:rsidRPr="00500637" w:rsidRDefault="00F56B61" w:rsidP="000B66BC">
            <w:pPr>
              <w:pStyle w:val="BodyText1"/>
              <w:spacing w:after="240" w:line="240" w:lineRule="auto"/>
              <w:rPr>
                <w:rFonts w:ascii="Times New Roman" w:hAnsi="Times New Roman"/>
                <w:bCs/>
                <w:sz w:val="24"/>
                <w:szCs w:val="24"/>
              </w:rPr>
            </w:pPr>
            <w:r w:rsidRPr="00500637">
              <w:rPr>
                <w:rFonts w:ascii="Times New Roman" w:hAnsi="Times New Roman"/>
                <w:sz w:val="24"/>
              </w:rPr>
              <w:t>Eine Glattstellungsklausel ist definiert als Klausel, die der nicht ausfallenden Partei das Recht verleiht, bei einem Ausfall, einschließlich Insolvenz oder Konkurs der Gegenpartei, alle unter die Vereinbarung fallenden Geschäfte zeitnah zu beenden und glattzustellen.</w:t>
            </w:r>
          </w:p>
          <w:p w14:paraId="7931AC41" w14:textId="557F8233" w:rsidR="00F56B61" w:rsidRPr="00500637" w:rsidRDefault="00F56B61" w:rsidP="000B66BC">
            <w:pPr>
              <w:pStyle w:val="BodyText1"/>
              <w:spacing w:after="240" w:line="240" w:lineRule="auto"/>
              <w:rPr>
                <w:rFonts w:ascii="Times New Roman" w:hAnsi="Times New Roman"/>
                <w:b/>
                <w:bCs/>
                <w:sz w:val="24"/>
                <w:szCs w:val="24"/>
              </w:rPr>
            </w:pPr>
            <w:r w:rsidRPr="00500637">
              <w:rPr>
                <w:rFonts w:ascii="Times New Roman" w:hAnsi="Times New Roman"/>
                <w:sz w:val="24"/>
              </w:rPr>
              <w:t>Die Institute berücksichtigen alle Kreditderivate, nicht nur die, die dem Handelsbuch zugeordnet sind.</w:t>
            </w:r>
          </w:p>
        </w:tc>
      </w:tr>
      <w:tr w:rsidR="00410E47" w:rsidRPr="00500637" w14:paraId="758B12D8" w14:textId="77777777" w:rsidTr="00500637">
        <w:tc>
          <w:tcPr>
            <w:tcW w:w="1588" w:type="dxa"/>
          </w:tcPr>
          <w:p w14:paraId="25EB07E0" w14:textId="122C4861" w:rsidR="00410E47" w:rsidRPr="00500637" w:rsidRDefault="00410E47" w:rsidP="000B66BC">
            <w:pPr>
              <w:pStyle w:val="BodyText1"/>
              <w:spacing w:after="240"/>
              <w:rPr>
                <w:rFonts w:ascii="Times New Roman" w:hAnsi="Times New Roman"/>
                <w:bCs/>
                <w:sz w:val="24"/>
                <w:szCs w:val="24"/>
              </w:rPr>
            </w:pPr>
            <w:r w:rsidRPr="00500637">
              <w:rPr>
                <w:rFonts w:ascii="Times New Roman" w:hAnsi="Times New Roman"/>
                <w:sz w:val="24"/>
              </w:rPr>
              <w:t>{0040;0070}</w:t>
            </w:r>
          </w:p>
        </w:tc>
        <w:tc>
          <w:tcPr>
            <w:tcW w:w="7450" w:type="dxa"/>
          </w:tcPr>
          <w:p w14:paraId="6050FB9E" w14:textId="17B2C2C9" w:rsidR="00410E47" w:rsidRPr="00500637" w:rsidRDefault="00410E47"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Kreditderivate (Besicherung veräußert) ohne Glattstellungsklausel – Nominalbetrag</w:t>
            </w:r>
          </w:p>
          <w:p w14:paraId="1DD1CCDE" w14:textId="0B30797B" w:rsidR="00410E47" w:rsidRPr="00500637" w:rsidRDefault="003E3C45" w:rsidP="000B66BC">
            <w:pPr>
              <w:pStyle w:val="BodyText1"/>
              <w:spacing w:after="240" w:line="240" w:lineRule="auto"/>
              <w:rPr>
                <w:rFonts w:ascii="Times New Roman" w:hAnsi="Times New Roman"/>
                <w:sz w:val="24"/>
                <w:szCs w:val="24"/>
              </w:rPr>
            </w:pPr>
            <w:r w:rsidRPr="00500637">
              <w:rPr>
                <w:rFonts w:ascii="Times New Roman" w:hAnsi="Times New Roman"/>
                <w:sz w:val="24"/>
              </w:rPr>
              <w:t>Die Institute melden den durch Kreditderivate referenzierten Nominalbetrag, wenn das Institut eine Kreditbesicherung ohne Glattstellungsklausel veräußert.</w:t>
            </w:r>
          </w:p>
          <w:p w14:paraId="35F31007" w14:textId="3FE74DD8" w:rsidR="00410E47" w:rsidRPr="00500637" w:rsidRDefault="00410E47" w:rsidP="000B66BC">
            <w:pPr>
              <w:pStyle w:val="BodyText1"/>
              <w:spacing w:after="240" w:line="240" w:lineRule="auto"/>
              <w:rPr>
                <w:rFonts w:ascii="Times New Roman" w:hAnsi="Times New Roman"/>
                <w:sz w:val="24"/>
                <w:szCs w:val="24"/>
              </w:rPr>
            </w:pPr>
            <w:r w:rsidRPr="00500637">
              <w:rPr>
                <w:rFonts w:ascii="Times New Roman" w:hAnsi="Times New Roman"/>
                <w:sz w:val="24"/>
              </w:rPr>
              <w:t>Eine Glattstellungsklausel ist definiert als Klausel, die der nicht ausfallenden Partei das Recht verleiht, bei einem Ausfall, einschließlich Insolvenz oder Konkurs der Gegenpartei, alle unter die Vereinbarung fallenden Geschäfte zeitnah zu beenden und glattzustellen.</w:t>
            </w:r>
          </w:p>
          <w:p w14:paraId="3D6F6539" w14:textId="27A2337C" w:rsidR="00410E47" w:rsidRPr="00500637" w:rsidRDefault="00410E47"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berücksichtigen alle Kreditderivate, nicht nur die, die dem Handelsbuch zugeordnet sind.</w:t>
            </w:r>
            <w:r w:rsidRPr="00500637">
              <w:rPr>
                <w:rFonts w:ascii="Times New Roman" w:hAnsi="Times New Roman"/>
                <w:b/>
                <w:sz w:val="24"/>
                <w:u w:val="single"/>
              </w:rPr>
              <w:t xml:space="preserve"> </w:t>
            </w:r>
          </w:p>
        </w:tc>
      </w:tr>
      <w:tr w:rsidR="00410E47" w:rsidRPr="00500637" w14:paraId="6FD3F9A1" w14:textId="77777777" w:rsidTr="00500637">
        <w:tc>
          <w:tcPr>
            <w:tcW w:w="1588" w:type="dxa"/>
          </w:tcPr>
          <w:p w14:paraId="735EF22F" w14:textId="3084E841" w:rsidR="00410E47" w:rsidRPr="00500637" w:rsidRDefault="00410E47" w:rsidP="000B66BC">
            <w:pPr>
              <w:pStyle w:val="BodyText1"/>
              <w:spacing w:after="240"/>
              <w:rPr>
                <w:rFonts w:ascii="Times New Roman" w:hAnsi="Times New Roman"/>
                <w:bCs/>
                <w:sz w:val="24"/>
                <w:szCs w:val="24"/>
              </w:rPr>
            </w:pPr>
            <w:r w:rsidRPr="00500637">
              <w:rPr>
                <w:rFonts w:ascii="Times New Roman" w:hAnsi="Times New Roman"/>
                <w:sz w:val="24"/>
              </w:rPr>
              <w:t>{0050;0010}</w:t>
            </w:r>
          </w:p>
        </w:tc>
        <w:tc>
          <w:tcPr>
            <w:tcW w:w="7450" w:type="dxa"/>
          </w:tcPr>
          <w:p w14:paraId="1C7DEFE2" w14:textId="77777777" w:rsidR="00410E47" w:rsidRPr="00500637" w:rsidRDefault="00410E47"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Kreditderivate (Besicherung erworben) – Bilanzwert</w:t>
            </w:r>
          </w:p>
          <w:p w14:paraId="253831D8" w14:textId="71F050F1" w:rsidR="00410E47" w:rsidRPr="00500637" w:rsidRDefault="006D6827"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 Absatz 1 Nummer 77 der Verordnung (EU) Nr. 575/2013; der nach dem geltenden Rechnungslegungsrahmen ermittelte Bilanzwert für Kreditderivate, wenn das Institut von einer Gegenpartei eine Kreditbesicherung erwirbt und das Geschäft in der Bilanz erfasst wird.</w:t>
            </w:r>
          </w:p>
          <w:p w14:paraId="702252EB" w14:textId="057F95BC" w:rsidR="00410E47" w:rsidRPr="00500637" w:rsidRDefault="00410E47"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lastRenderedPageBreak/>
              <w:t>Die Institute berücksichtigen alle Kreditderivate, nicht nur die, die dem Handelsbuch zugeordnet sind.</w:t>
            </w:r>
            <w:r w:rsidRPr="00500637">
              <w:rPr>
                <w:rFonts w:ascii="Times New Roman" w:hAnsi="Times New Roman"/>
                <w:b/>
                <w:sz w:val="24"/>
                <w:u w:val="single"/>
              </w:rPr>
              <w:t xml:space="preserve"> </w:t>
            </w:r>
          </w:p>
        </w:tc>
      </w:tr>
      <w:tr w:rsidR="00410E47" w:rsidRPr="00500637" w14:paraId="7D57309E" w14:textId="77777777" w:rsidTr="00500637">
        <w:tc>
          <w:tcPr>
            <w:tcW w:w="1588" w:type="dxa"/>
          </w:tcPr>
          <w:p w14:paraId="321C83DC" w14:textId="405C1057" w:rsidR="00410E47" w:rsidRPr="00500637" w:rsidRDefault="00410E47" w:rsidP="000B66BC">
            <w:pPr>
              <w:pStyle w:val="BodyText1"/>
              <w:spacing w:after="240"/>
              <w:rPr>
                <w:rFonts w:ascii="Times New Roman" w:hAnsi="Times New Roman"/>
                <w:bCs/>
                <w:sz w:val="24"/>
                <w:szCs w:val="24"/>
              </w:rPr>
            </w:pPr>
            <w:r w:rsidRPr="00500637">
              <w:rPr>
                <w:rFonts w:ascii="Times New Roman" w:hAnsi="Times New Roman"/>
                <w:sz w:val="24"/>
              </w:rPr>
              <w:lastRenderedPageBreak/>
              <w:t>{0050;0020}</w:t>
            </w:r>
          </w:p>
        </w:tc>
        <w:tc>
          <w:tcPr>
            <w:tcW w:w="7450" w:type="dxa"/>
          </w:tcPr>
          <w:p w14:paraId="0AFB57D5" w14:textId="77777777" w:rsidR="00410E47" w:rsidRPr="00500637" w:rsidRDefault="00410E47"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Kreditderivate (Besicherung erworben) – Buchwert unter der Annahme: kein Netting oder andere Kreditrisikominderung (CRM)</w:t>
            </w:r>
          </w:p>
          <w:p w14:paraId="269D2982" w14:textId="2B5E1E52" w:rsidR="00410E47" w:rsidRPr="00500637" w:rsidRDefault="006D6827"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 Absatz 1 Nummer 77 der Verordnung (EU) Nr. 575/2013; der nach dem geltenden Rechnungslegungsrahmen ermittelte Bilanzwert von Kreditderivaten, wenn das Institut von einer Gegenpartei eine Kreditbesicherung erwirbt und das Geschäft in der Bilanz erfasst wird, in der Annahme, dass es keine aufsichtlichen oder Bilanzierungs-Netting- oder CRM-Effekte gibt (d. h. die Bilanzierungs-Netting- oder CRM-Effekte in Bezug auf den Bilanzwert werden zurückgenommen).</w:t>
            </w:r>
          </w:p>
          <w:p w14:paraId="2E8D49DB" w14:textId="0AA00007" w:rsidR="00410E47" w:rsidRPr="00500637" w:rsidRDefault="00410E47"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berücksichtigen alle Kreditderivate, nicht nur die, die dem Handelsbuch zugeordnet sind.</w:t>
            </w:r>
            <w:r w:rsidRPr="00500637">
              <w:rPr>
                <w:rFonts w:ascii="Times New Roman" w:hAnsi="Times New Roman"/>
                <w:b/>
                <w:sz w:val="24"/>
                <w:u w:val="single"/>
              </w:rPr>
              <w:t xml:space="preserve"> </w:t>
            </w:r>
          </w:p>
        </w:tc>
      </w:tr>
      <w:tr w:rsidR="00410E47" w:rsidRPr="00500637" w14:paraId="66D4DF42" w14:textId="77777777" w:rsidTr="00500637">
        <w:tc>
          <w:tcPr>
            <w:tcW w:w="1588" w:type="dxa"/>
          </w:tcPr>
          <w:p w14:paraId="14F12A57" w14:textId="14E0A38E" w:rsidR="00410E47" w:rsidRPr="00500637" w:rsidRDefault="00410E47" w:rsidP="000B66BC">
            <w:pPr>
              <w:pStyle w:val="BodyText1"/>
              <w:spacing w:after="240"/>
              <w:rPr>
                <w:rFonts w:ascii="Times New Roman" w:hAnsi="Times New Roman"/>
                <w:bCs/>
                <w:sz w:val="24"/>
                <w:szCs w:val="24"/>
              </w:rPr>
            </w:pPr>
            <w:r w:rsidRPr="00500637">
              <w:rPr>
                <w:rFonts w:ascii="Times New Roman" w:hAnsi="Times New Roman"/>
                <w:sz w:val="24"/>
              </w:rPr>
              <w:t>{0050;0070}</w:t>
            </w:r>
          </w:p>
          <w:p w14:paraId="02F218B6" w14:textId="77777777" w:rsidR="00410E47" w:rsidRPr="00500637" w:rsidRDefault="00410E47" w:rsidP="000B66BC">
            <w:pPr>
              <w:pStyle w:val="BodyText1"/>
              <w:spacing w:after="240"/>
              <w:rPr>
                <w:rFonts w:ascii="Times New Roman" w:hAnsi="Times New Roman"/>
                <w:bCs/>
                <w:sz w:val="24"/>
                <w:szCs w:val="24"/>
              </w:rPr>
            </w:pPr>
          </w:p>
        </w:tc>
        <w:tc>
          <w:tcPr>
            <w:tcW w:w="7450" w:type="dxa"/>
          </w:tcPr>
          <w:p w14:paraId="1CAAAE13" w14:textId="77777777" w:rsidR="00410E47" w:rsidRPr="00500637" w:rsidRDefault="00410E47"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Kreditderivate (Besicherung erworben) – Nominalbetrag</w:t>
            </w:r>
          </w:p>
          <w:p w14:paraId="1671DB5D" w14:textId="3D6728B4" w:rsidR="00410E47" w:rsidRPr="00500637" w:rsidRDefault="003E3C45" w:rsidP="000B66BC">
            <w:pPr>
              <w:pStyle w:val="BodyText1"/>
              <w:spacing w:after="240" w:line="240" w:lineRule="auto"/>
              <w:rPr>
                <w:rFonts w:ascii="Times New Roman" w:hAnsi="Times New Roman"/>
                <w:bCs/>
                <w:sz w:val="24"/>
                <w:szCs w:val="24"/>
              </w:rPr>
            </w:pPr>
            <w:r w:rsidRPr="00500637">
              <w:rPr>
                <w:rFonts w:ascii="Times New Roman" w:hAnsi="Times New Roman"/>
                <w:sz w:val="24"/>
              </w:rPr>
              <w:t xml:space="preserve">Die Institute melden den durch Kreditderivate referenzierten Nominalbetrag, wenn das Institut von einer Gegenpartei eine Kreditbesicherung erwirbt. </w:t>
            </w:r>
          </w:p>
          <w:p w14:paraId="38DBE45F" w14:textId="372DBEE5" w:rsidR="00410E47" w:rsidRPr="00500637" w:rsidRDefault="00410E47"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berücksichtigen alle Kreditderivate, nicht nur die, die dem Handelsbuch zugeordnet sind.</w:t>
            </w:r>
            <w:r w:rsidRPr="00500637">
              <w:rPr>
                <w:rFonts w:ascii="Times New Roman" w:hAnsi="Times New Roman"/>
                <w:b/>
                <w:sz w:val="24"/>
                <w:u w:val="single"/>
              </w:rPr>
              <w:t xml:space="preserve"> </w:t>
            </w:r>
          </w:p>
        </w:tc>
      </w:tr>
      <w:tr w:rsidR="00410E47" w:rsidRPr="00500637" w14:paraId="05C9F42E" w14:textId="77777777" w:rsidTr="00500637">
        <w:tc>
          <w:tcPr>
            <w:tcW w:w="1588" w:type="dxa"/>
          </w:tcPr>
          <w:p w14:paraId="0F85E383" w14:textId="5077338D" w:rsidR="00410E47" w:rsidRPr="00500637" w:rsidRDefault="00410E47" w:rsidP="000B66BC">
            <w:pPr>
              <w:pStyle w:val="BodyText1"/>
              <w:spacing w:after="240"/>
              <w:rPr>
                <w:rFonts w:ascii="Times New Roman" w:hAnsi="Times New Roman"/>
                <w:bCs/>
                <w:sz w:val="24"/>
                <w:szCs w:val="24"/>
              </w:rPr>
            </w:pPr>
            <w:r w:rsidRPr="00500637">
              <w:rPr>
                <w:rFonts w:ascii="Times New Roman" w:hAnsi="Times New Roman"/>
                <w:sz w:val="24"/>
              </w:rPr>
              <w:t>{0050;0075}</w:t>
            </w:r>
          </w:p>
        </w:tc>
        <w:tc>
          <w:tcPr>
            <w:tcW w:w="7450" w:type="dxa"/>
          </w:tcPr>
          <w:p w14:paraId="1E75C7B9" w14:textId="77777777" w:rsidR="00410E47" w:rsidRPr="00500637" w:rsidRDefault="00410E47"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Kreditderivate (Besicherung erworben) – Gedeckelter Nominalbetrag</w:t>
            </w:r>
          </w:p>
          <w:p w14:paraId="34A0542C" w14:textId="20F92B99" w:rsidR="00410E47" w:rsidRPr="00500637" w:rsidRDefault="003E3C45" w:rsidP="000B66BC">
            <w:pPr>
              <w:pStyle w:val="BodyText1"/>
              <w:spacing w:after="240" w:line="240" w:lineRule="auto"/>
              <w:rPr>
                <w:rFonts w:ascii="Times New Roman" w:hAnsi="Times New Roman"/>
                <w:b/>
                <w:bCs/>
                <w:sz w:val="24"/>
                <w:szCs w:val="24"/>
              </w:rPr>
            </w:pPr>
            <w:r w:rsidRPr="00500637">
              <w:rPr>
                <w:rFonts w:ascii="Times New Roman" w:hAnsi="Times New Roman"/>
                <w:sz w:val="24"/>
              </w:rPr>
              <w:t>Die Institute melden den durch Kreditderivate (Besicherung erworben) referenzierten Nominalbetrag wie in {0050;0070} abzüglich etwaiger Veränderungen des positiven Zeitwerts, die in das Kernkapital in Bezug auf die erworbenen Kreditderivate aufgenommen wurden.</w:t>
            </w:r>
          </w:p>
        </w:tc>
      </w:tr>
      <w:tr w:rsidR="00410E47" w:rsidRPr="00500637" w14:paraId="3D24D0EB" w14:textId="77777777" w:rsidTr="00500637">
        <w:tc>
          <w:tcPr>
            <w:tcW w:w="1588" w:type="dxa"/>
          </w:tcPr>
          <w:p w14:paraId="2FA9342C" w14:textId="1D5DB6DE" w:rsidR="00410E47" w:rsidRPr="00500637" w:rsidRDefault="00410E47" w:rsidP="000B66BC">
            <w:pPr>
              <w:pStyle w:val="BodyText1"/>
              <w:spacing w:after="240"/>
              <w:rPr>
                <w:rFonts w:ascii="Times New Roman" w:hAnsi="Times New Roman"/>
                <w:bCs/>
                <w:sz w:val="24"/>
                <w:szCs w:val="24"/>
              </w:rPr>
            </w:pPr>
            <w:r w:rsidRPr="00500637">
              <w:rPr>
                <w:rFonts w:ascii="Times New Roman" w:hAnsi="Times New Roman"/>
                <w:sz w:val="24"/>
              </w:rPr>
              <w:t>{0050;0085}</w:t>
            </w:r>
          </w:p>
          <w:p w14:paraId="09433CF3" w14:textId="77777777" w:rsidR="00410E47" w:rsidRPr="00500637" w:rsidRDefault="00410E47" w:rsidP="000B66BC">
            <w:pPr>
              <w:pStyle w:val="BodyText1"/>
              <w:spacing w:after="240"/>
              <w:rPr>
                <w:rFonts w:ascii="Times New Roman" w:hAnsi="Times New Roman"/>
                <w:bCs/>
                <w:sz w:val="24"/>
                <w:szCs w:val="24"/>
              </w:rPr>
            </w:pPr>
          </w:p>
        </w:tc>
        <w:tc>
          <w:tcPr>
            <w:tcW w:w="7450" w:type="dxa"/>
          </w:tcPr>
          <w:p w14:paraId="7385FC42" w14:textId="77777777" w:rsidR="00410E47" w:rsidRPr="00500637" w:rsidRDefault="00ED7412"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Kreditderivate (Besicherung erworben) – Gedeckelter Nominalbetrag (selbe Referenzadresse)</w:t>
            </w:r>
          </w:p>
          <w:p w14:paraId="797BBD79" w14:textId="03DB9559" w:rsidR="00410E47" w:rsidRPr="00500637" w:rsidRDefault="003E3C45"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melden den durch Kreditderivate referenzierten Nominalbetrag, wenn das Institut eine Kreditbesicherung auf dieselbe Basiswert-Referenzadresse erwirbt wie die vom berichtenden Institut ausgestellten Derivate.</w:t>
            </w:r>
          </w:p>
          <w:p w14:paraId="55CDE23E" w14:textId="77777777" w:rsidR="00410E47" w:rsidRPr="00500637" w:rsidRDefault="00410E47" w:rsidP="000B66BC">
            <w:pPr>
              <w:pStyle w:val="BodyText1"/>
              <w:spacing w:after="240" w:line="240" w:lineRule="auto"/>
              <w:rPr>
                <w:rFonts w:ascii="Times New Roman" w:hAnsi="Times New Roman"/>
                <w:bCs/>
                <w:sz w:val="24"/>
                <w:szCs w:val="24"/>
              </w:rPr>
            </w:pPr>
            <w:r w:rsidRPr="00500637">
              <w:rPr>
                <w:rFonts w:ascii="Times New Roman" w:hAnsi="Times New Roman"/>
                <w:sz w:val="24"/>
              </w:rPr>
              <w:t xml:space="preserve">Bei der Ausfüllung dieses Felds wird davon ausgegangen, dass es sich bei Basiswert-Referenzadressen, die sich auf denselben Rechtsträger und dieselbe Rangstufe beziehen, um dieselben handelt. </w:t>
            </w:r>
          </w:p>
          <w:p w14:paraId="2F022BB9" w14:textId="3144A560" w:rsidR="00410E47" w:rsidRPr="00500637" w:rsidRDefault="00410E47" w:rsidP="000B66BC">
            <w:pPr>
              <w:pStyle w:val="BodyText1"/>
              <w:spacing w:after="240" w:line="240" w:lineRule="auto"/>
              <w:rPr>
                <w:rFonts w:ascii="Times New Roman" w:hAnsi="Times New Roman"/>
                <w:bCs/>
                <w:sz w:val="24"/>
                <w:szCs w:val="24"/>
              </w:rPr>
            </w:pPr>
            <w:r w:rsidRPr="00500637">
              <w:rPr>
                <w:rFonts w:ascii="Times New Roman" w:hAnsi="Times New Roman"/>
                <w:sz w:val="24"/>
              </w:rPr>
              <w:t>Eine auf einen Pool von Referenzadressen erworbene Kreditbesicherung gilt als Kreditbesicherung auf dieselbe Adresse, wenn sie dem separaten Erwerb von Besicherungen für jede der im Pool enthaltenen einzelnen Adressen wirtschaftlich gleichwertig ist.</w:t>
            </w:r>
          </w:p>
          <w:p w14:paraId="0154314D" w14:textId="77777777" w:rsidR="00410E47" w:rsidRPr="00500637" w:rsidRDefault="00410E47" w:rsidP="000B66BC">
            <w:pPr>
              <w:pStyle w:val="BodyText1"/>
              <w:spacing w:after="240" w:line="240" w:lineRule="auto"/>
              <w:rPr>
                <w:rFonts w:ascii="Times New Roman" w:hAnsi="Times New Roman"/>
                <w:bCs/>
                <w:sz w:val="24"/>
                <w:szCs w:val="24"/>
              </w:rPr>
            </w:pPr>
            <w:r w:rsidRPr="00500637">
              <w:rPr>
                <w:rFonts w:ascii="Times New Roman" w:hAnsi="Times New Roman"/>
                <w:sz w:val="24"/>
              </w:rPr>
              <w:lastRenderedPageBreak/>
              <w:t xml:space="preserve">Wenn ein Institut eine Kreditbesicherung auf einen Pool von Referenzadressen erwirbt, gilt diese Kreditbesicherung nur dann als Kreditbesicherung auf dieselbe Adresse, wenn die erworbene Kreditbesicherung die Gesamtheit der Untergruppen des Pools abdeckt, auf den die Kreditbesicherung veräußert wurde. Anders ausgedrückt: Eine Aufrechnung kann nur dann ausgewiesen werden, wenn der Pool der Referenzadressen und die Position in der Rangfolge bei beiden Geschäften identisch sind. </w:t>
            </w:r>
          </w:p>
          <w:p w14:paraId="52D47F4F" w14:textId="120567C7" w:rsidR="00410E47" w:rsidRPr="00500637" w:rsidRDefault="00410E47" w:rsidP="00474B43">
            <w:pPr>
              <w:pStyle w:val="BodyText1"/>
              <w:spacing w:after="240" w:line="240" w:lineRule="auto"/>
              <w:rPr>
                <w:rFonts w:ascii="Times New Roman" w:hAnsi="Times New Roman"/>
                <w:b/>
                <w:bCs/>
                <w:sz w:val="24"/>
                <w:szCs w:val="24"/>
                <w:u w:val="single"/>
              </w:rPr>
            </w:pPr>
            <w:r w:rsidRPr="00500637">
              <w:rPr>
                <w:rFonts w:ascii="Times New Roman" w:hAnsi="Times New Roman"/>
                <w:sz w:val="24"/>
              </w:rPr>
              <w:t>Bei keiner Referenzadresse dürfen die Nominalbeträge der Kreditbesicherung, die in diesem Feld zu Meldezwecken zu berücksichtigen sind, die in {0020;0075} und {0050;0075} angegebenen Beträge übersteigen.</w:t>
            </w:r>
          </w:p>
        </w:tc>
      </w:tr>
      <w:tr w:rsidR="00410E47" w:rsidRPr="00500637" w14:paraId="679A8A87" w14:textId="77777777" w:rsidTr="00500637">
        <w:tc>
          <w:tcPr>
            <w:tcW w:w="1588" w:type="dxa"/>
          </w:tcPr>
          <w:p w14:paraId="486F8B55" w14:textId="7C0C1343" w:rsidR="00410E47" w:rsidRPr="00500637" w:rsidRDefault="00410E47" w:rsidP="000B66BC">
            <w:pPr>
              <w:pStyle w:val="BodyText1"/>
              <w:spacing w:after="240"/>
              <w:rPr>
                <w:rFonts w:ascii="Times New Roman" w:hAnsi="Times New Roman"/>
                <w:bCs/>
                <w:sz w:val="24"/>
                <w:szCs w:val="24"/>
              </w:rPr>
            </w:pPr>
            <w:r w:rsidRPr="00500637">
              <w:rPr>
                <w:rFonts w:ascii="Times New Roman" w:hAnsi="Times New Roman"/>
                <w:sz w:val="24"/>
              </w:rPr>
              <w:lastRenderedPageBreak/>
              <w:t>{0060;0010}</w:t>
            </w:r>
          </w:p>
        </w:tc>
        <w:tc>
          <w:tcPr>
            <w:tcW w:w="7450" w:type="dxa"/>
          </w:tcPr>
          <w:p w14:paraId="7A410C0D" w14:textId="15D05203" w:rsidR="00410E47" w:rsidRPr="00500637" w:rsidRDefault="00410E47"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Finanzderivate – Bilanzwert</w:t>
            </w:r>
          </w:p>
          <w:p w14:paraId="6FA0DDE8" w14:textId="54BDF180" w:rsidR="00410E47" w:rsidRPr="00500637" w:rsidRDefault="006D6827"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 Absatz 1 Nummer 77 der Verordnung (EU) Nr. 575/2013</w:t>
            </w:r>
          </w:p>
          <w:p w14:paraId="5A64C9B2" w14:textId="15E6A0CE" w:rsidR="00410E47" w:rsidRPr="00500637" w:rsidRDefault="00E24137" w:rsidP="00474B43">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den nach dem geltenden Rechnungslegungsrahmen ermittelten Bilanzwert für die in Anhang II der Verordnung (EU) Nr. 575/2013 aufgeführten Geschäfte, wenn die Geschäfte als Aktiva in der Bilanz erfasst sind.</w:t>
            </w:r>
          </w:p>
        </w:tc>
      </w:tr>
      <w:tr w:rsidR="00410E47" w:rsidRPr="00500637" w14:paraId="64AB4D96" w14:textId="77777777" w:rsidTr="00500637">
        <w:tc>
          <w:tcPr>
            <w:tcW w:w="1588" w:type="dxa"/>
          </w:tcPr>
          <w:p w14:paraId="2EC14738" w14:textId="4D7985E6" w:rsidR="00410E47" w:rsidRPr="00500637" w:rsidRDefault="00410E47" w:rsidP="000B66BC">
            <w:pPr>
              <w:pStyle w:val="BodyText1"/>
              <w:spacing w:after="240"/>
              <w:rPr>
                <w:rFonts w:ascii="Times New Roman" w:hAnsi="Times New Roman"/>
                <w:bCs/>
                <w:sz w:val="24"/>
                <w:szCs w:val="24"/>
              </w:rPr>
            </w:pPr>
            <w:r w:rsidRPr="00500637">
              <w:rPr>
                <w:rFonts w:ascii="Times New Roman" w:hAnsi="Times New Roman"/>
                <w:sz w:val="24"/>
              </w:rPr>
              <w:t>{0060;0020}</w:t>
            </w:r>
          </w:p>
        </w:tc>
        <w:tc>
          <w:tcPr>
            <w:tcW w:w="7450" w:type="dxa"/>
          </w:tcPr>
          <w:p w14:paraId="47D5F195" w14:textId="77777777" w:rsidR="00410E47" w:rsidRPr="00500637" w:rsidRDefault="00410E47"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Finanzderivate – Buchwert unter der Annahme: kein Netting oder andere Kreditrisikominderung (CRM)</w:t>
            </w:r>
          </w:p>
          <w:p w14:paraId="00EB79C6" w14:textId="4B1F5274" w:rsidR="00410E47" w:rsidRPr="00500637" w:rsidRDefault="006D6827" w:rsidP="00474B43">
            <w:pPr>
              <w:pStyle w:val="BodyText1"/>
              <w:spacing w:after="240" w:line="240" w:lineRule="auto"/>
              <w:rPr>
                <w:rFonts w:ascii="Times New Roman" w:hAnsi="Times New Roman"/>
                <w:b/>
                <w:bCs/>
                <w:sz w:val="24"/>
                <w:szCs w:val="24"/>
                <w:u w:val="single"/>
              </w:rPr>
            </w:pPr>
            <w:r w:rsidRPr="00500637">
              <w:rPr>
                <w:rFonts w:ascii="Times New Roman" w:hAnsi="Times New Roman"/>
                <w:sz w:val="24"/>
              </w:rPr>
              <w:t>Artikel 4 Absatz 1 Nummer 77 der Verordnung (EU) Nr. 575/2013; der nach dem geltenden Rechnungslegungsrahmen ermittelte Bilanzwert für die in Anhang II der Verordnung (EU) Nr. 575/2013 aufgeführten Geschäfte, wenn die Geschäfte ohne Annahme von aufsichtlichen oder Bilanzierungs-Netting- oder anderen CRM-Effekten als Aktiva in der Bilanz erfasst sind (d. h. die Bilanzierungs-Netting- oder CRM-Effekte in Bezug auf den Bilanzwert werden zurückgenommen).</w:t>
            </w:r>
          </w:p>
        </w:tc>
      </w:tr>
      <w:tr w:rsidR="00410E47" w:rsidRPr="00500637" w14:paraId="24EE0FAD" w14:textId="77777777" w:rsidTr="00500637">
        <w:tc>
          <w:tcPr>
            <w:tcW w:w="1588" w:type="dxa"/>
          </w:tcPr>
          <w:p w14:paraId="1ACC573A" w14:textId="679E5400" w:rsidR="00410E47" w:rsidRPr="00500637" w:rsidRDefault="00410E47" w:rsidP="000B66BC">
            <w:pPr>
              <w:pStyle w:val="BodyText1"/>
              <w:spacing w:after="240"/>
              <w:rPr>
                <w:rFonts w:ascii="Times New Roman" w:hAnsi="Times New Roman"/>
                <w:bCs/>
                <w:sz w:val="24"/>
                <w:szCs w:val="24"/>
              </w:rPr>
            </w:pPr>
            <w:r w:rsidRPr="00500637">
              <w:rPr>
                <w:rFonts w:ascii="Times New Roman" w:hAnsi="Times New Roman"/>
                <w:sz w:val="24"/>
              </w:rPr>
              <w:t>{0060;0070}</w:t>
            </w:r>
          </w:p>
        </w:tc>
        <w:tc>
          <w:tcPr>
            <w:tcW w:w="7450" w:type="dxa"/>
          </w:tcPr>
          <w:p w14:paraId="2C3B01F2" w14:textId="77777777" w:rsidR="00410E47" w:rsidRPr="00500637" w:rsidRDefault="00410E47"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Finanzderivate – Nominalbetrag</w:t>
            </w:r>
          </w:p>
          <w:p w14:paraId="64E79FE5" w14:textId="0BAB0D53" w:rsidR="00410E47" w:rsidRPr="00500637" w:rsidRDefault="00410E47" w:rsidP="00474B43">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Dieses Feld enthält den durch in Anhang II der Verordnung (EU) Nr. 575/2013 aufgeführte Geschäfte referenzierten Nominalbetrag.</w:t>
            </w:r>
          </w:p>
        </w:tc>
      </w:tr>
      <w:tr w:rsidR="007B7914" w:rsidRPr="00500637" w14:paraId="77E61D46" w14:textId="77777777" w:rsidTr="00500637">
        <w:tc>
          <w:tcPr>
            <w:tcW w:w="1588" w:type="dxa"/>
            <w:tcBorders>
              <w:top w:val="single" w:sz="4" w:space="0" w:color="auto"/>
              <w:left w:val="single" w:sz="4" w:space="0" w:color="auto"/>
              <w:bottom w:val="single" w:sz="4" w:space="0" w:color="auto"/>
              <w:right w:val="single" w:sz="4" w:space="0" w:color="auto"/>
            </w:tcBorders>
          </w:tcPr>
          <w:p w14:paraId="1DF724BB" w14:textId="77777777" w:rsidR="007B7914" w:rsidRPr="00500637" w:rsidRDefault="007B7914" w:rsidP="000B66BC">
            <w:pPr>
              <w:pStyle w:val="BodyText1"/>
              <w:spacing w:after="240"/>
              <w:rPr>
                <w:rFonts w:ascii="Times New Roman" w:hAnsi="Times New Roman"/>
                <w:bCs/>
                <w:sz w:val="24"/>
                <w:szCs w:val="24"/>
              </w:rPr>
            </w:pPr>
            <w:r w:rsidRPr="00500637">
              <w:rPr>
                <w:rFonts w:ascii="Times New Roman" w:hAnsi="Times New Roman"/>
                <w:sz w:val="24"/>
              </w:rPr>
              <w:t>{0071;0010}</w:t>
            </w:r>
          </w:p>
        </w:tc>
        <w:tc>
          <w:tcPr>
            <w:tcW w:w="7450" w:type="dxa"/>
            <w:tcBorders>
              <w:top w:val="single" w:sz="4" w:space="0" w:color="auto"/>
              <w:left w:val="single" w:sz="4" w:space="0" w:color="auto"/>
              <w:bottom w:val="single" w:sz="4" w:space="0" w:color="auto"/>
              <w:right w:val="single" w:sz="4" w:space="0" w:color="auto"/>
            </w:tcBorders>
          </w:tcPr>
          <w:p w14:paraId="2D48E17E" w14:textId="77777777" w:rsidR="007B7914" w:rsidRPr="00500637" w:rsidRDefault="007B7914"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Wertpapierfinanzierungsgeschäfte – Bilanzwert</w:t>
            </w:r>
          </w:p>
          <w:p w14:paraId="0D6AB751" w14:textId="3C2AF32F" w:rsidR="007B7914" w:rsidRPr="00500637" w:rsidRDefault="007B7914" w:rsidP="000B66BC">
            <w:pPr>
              <w:pStyle w:val="BodyText1"/>
              <w:spacing w:after="240" w:line="240" w:lineRule="auto"/>
              <w:rPr>
                <w:rFonts w:ascii="Times New Roman" w:hAnsi="Times New Roman"/>
                <w:bCs/>
                <w:sz w:val="24"/>
                <w:szCs w:val="24"/>
              </w:rPr>
            </w:pPr>
            <w:r w:rsidRPr="00500637">
              <w:rPr>
                <w:rFonts w:ascii="Times New Roman" w:hAnsi="Times New Roman"/>
                <w:sz w:val="24"/>
              </w:rPr>
              <w:t>Artikel 4 Absatz 1 Nummer 77 der Verordnung (EU) Nr. 575/2013; der Bilanzwert von SFTs gemäß dem geltenden Rechnungslegungsrahmen, wenn die Geschäfte als Aktiva in der Bilanz erfasst sind.</w:t>
            </w:r>
          </w:p>
          <w:p w14:paraId="2235756A" w14:textId="4A4EF690" w:rsidR="007B7914" w:rsidRPr="00500637" w:rsidRDefault="007B7914" w:rsidP="000B66BC">
            <w:pPr>
              <w:pStyle w:val="BodyText1"/>
              <w:spacing w:after="240" w:line="240" w:lineRule="auto"/>
              <w:rPr>
                <w:rFonts w:ascii="Times New Roman" w:hAnsi="Times New Roman"/>
                <w:b/>
                <w:bCs/>
                <w:sz w:val="24"/>
                <w:szCs w:val="24"/>
              </w:rPr>
            </w:pPr>
            <w:r w:rsidRPr="00500637">
              <w:rPr>
                <w:rFonts w:ascii="Times New Roman" w:hAnsi="Times New Roman"/>
                <w:sz w:val="24"/>
              </w:rPr>
              <w:t xml:space="preserve">In diesem Feld weisen die Institute keine entgegengenommenen Barmittel oder Sicherheiten aus, die einer Gegenpartei über die vorgenannten Geschäfte zur Verfügung gestellt werden und die weiter in der Bilanz geführt werden (d. h. bei denen die nach dem geltenden </w:t>
            </w:r>
            <w:r w:rsidRPr="00500637">
              <w:rPr>
                <w:rFonts w:ascii="Times New Roman" w:hAnsi="Times New Roman"/>
                <w:sz w:val="24"/>
              </w:rPr>
              <w:lastRenderedPageBreak/>
              <w:t>Rechnungslegungsrahmen anwendbaren Ausbuchungskriterien nicht erfüllt sind). Diese werden stattdessen in {0090,0010} ausgewiesen.</w:t>
            </w:r>
          </w:p>
        </w:tc>
      </w:tr>
      <w:tr w:rsidR="007B7914" w:rsidRPr="00500637" w14:paraId="4906EC4F" w14:textId="77777777" w:rsidTr="00500637">
        <w:tc>
          <w:tcPr>
            <w:tcW w:w="1588" w:type="dxa"/>
            <w:tcBorders>
              <w:top w:val="single" w:sz="4" w:space="0" w:color="auto"/>
              <w:left w:val="single" w:sz="4" w:space="0" w:color="auto"/>
              <w:bottom w:val="single" w:sz="4" w:space="0" w:color="auto"/>
              <w:right w:val="single" w:sz="4" w:space="0" w:color="auto"/>
            </w:tcBorders>
          </w:tcPr>
          <w:p w14:paraId="51FE085B" w14:textId="77777777" w:rsidR="007B7914" w:rsidRPr="00500637" w:rsidRDefault="007B7914" w:rsidP="000B66BC">
            <w:pPr>
              <w:pStyle w:val="BodyText1"/>
              <w:spacing w:after="240"/>
              <w:rPr>
                <w:rFonts w:ascii="Times New Roman" w:hAnsi="Times New Roman"/>
                <w:bCs/>
                <w:sz w:val="24"/>
                <w:szCs w:val="24"/>
              </w:rPr>
            </w:pPr>
            <w:r w:rsidRPr="00500637">
              <w:rPr>
                <w:rFonts w:ascii="Times New Roman" w:hAnsi="Times New Roman"/>
                <w:sz w:val="24"/>
              </w:rPr>
              <w:lastRenderedPageBreak/>
              <w:t>{0071;0020}</w:t>
            </w:r>
          </w:p>
        </w:tc>
        <w:tc>
          <w:tcPr>
            <w:tcW w:w="7450" w:type="dxa"/>
            <w:tcBorders>
              <w:top w:val="single" w:sz="4" w:space="0" w:color="auto"/>
              <w:left w:val="single" w:sz="4" w:space="0" w:color="auto"/>
              <w:bottom w:val="single" w:sz="4" w:space="0" w:color="auto"/>
              <w:right w:val="single" w:sz="4" w:space="0" w:color="auto"/>
            </w:tcBorders>
          </w:tcPr>
          <w:p w14:paraId="199363B4" w14:textId="77777777" w:rsidR="007B7914" w:rsidRPr="00500637" w:rsidRDefault="007B7914"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Wertpapierfinanzierungsgeschäfte – Buchwert unter der Annahme: kein Netting oder andere Kreditrisikominderung (CRM)</w:t>
            </w:r>
          </w:p>
          <w:p w14:paraId="07F0EA6D" w14:textId="56C0173B" w:rsidR="00474B43" w:rsidRPr="00500637" w:rsidRDefault="007B7914" w:rsidP="000B66BC">
            <w:pPr>
              <w:pStyle w:val="BodyText1"/>
              <w:spacing w:after="240" w:line="240" w:lineRule="auto"/>
              <w:rPr>
                <w:rFonts w:ascii="Times New Roman" w:hAnsi="Times New Roman"/>
                <w:bCs/>
                <w:sz w:val="24"/>
                <w:szCs w:val="24"/>
              </w:rPr>
            </w:pPr>
            <w:r w:rsidRPr="00500637">
              <w:rPr>
                <w:rFonts w:ascii="Times New Roman" w:hAnsi="Times New Roman"/>
                <w:sz w:val="24"/>
              </w:rPr>
              <w:t xml:space="preserve">Artikel 4 Absatz 1 Nummer 77 der Verordnung (EU) Nr. 575/2013; der nach dem geltenden Rechnungslegungsrahmen ermittelte Bilanzwert, wenn die Geschäfte ohne Annahme von aufsichtlichen oder Bilanzierungs-Netting- oder anderen CRM-Effekten als Aktiva in der Bilanz erfasst sind (d. h. die Bilanzierungs-Netting- oder CRM-Effekte in Bezug auf den Bilanzwert werden zurückgenommen). </w:t>
            </w:r>
          </w:p>
          <w:p w14:paraId="04F4C292" w14:textId="292EA0BD" w:rsidR="007B7914" w:rsidRPr="00500637" w:rsidRDefault="00474B43" w:rsidP="000B66BC">
            <w:pPr>
              <w:pStyle w:val="BodyText1"/>
              <w:spacing w:after="240" w:line="240" w:lineRule="auto"/>
              <w:rPr>
                <w:rFonts w:ascii="Times New Roman" w:hAnsi="Times New Roman"/>
                <w:bCs/>
                <w:sz w:val="24"/>
                <w:szCs w:val="24"/>
              </w:rPr>
            </w:pPr>
            <w:r w:rsidRPr="00500637">
              <w:rPr>
                <w:rFonts w:ascii="Times New Roman" w:hAnsi="Times New Roman"/>
                <w:sz w:val="24"/>
              </w:rPr>
              <w:t>Wird ein SFT nach dem geltendem Rechnungslegungsrahmen als Verkauf verbucht, nehmen die Institute für alle verkaufsverbundenen Vorgänge Rückbuchungen vor.</w:t>
            </w:r>
          </w:p>
          <w:p w14:paraId="072F9F82" w14:textId="5255D9A3" w:rsidR="007B7914" w:rsidRPr="00500637" w:rsidRDefault="007B7914" w:rsidP="000B66BC">
            <w:pPr>
              <w:pStyle w:val="BodyText1"/>
              <w:spacing w:after="240" w:line="240" w:lineRule="auto"/>
              <w:rPr>
                <w:rFonts w:ascii="Times New Roman" w:hAnsi="Times New Roman"/>
                <w:b/>
                <w:bCs/>
                <w:sz w:val="24"/>
                <w:szCs w:val="24"/>
              </w:rPr>
            </w:pPr>
            <w:r w:rsidRPr="00500637">
              <w:rPr>
                <w:rFonts w:ascii="Times New Roman" w:hAnsi="Times New Roman"/>
                <w:sz w:val="24"/>
              </w:rPr>
              <w:t>In diesem Feld weisen die Institute keine entgegengenommenen Barmittel oder Sicherheiten aus, die einer Gegenpartei über die vorgenannten Geschäfte zur Verfügung gestellt werden und die weiter in der Bilanz geführt werden (d. h. bei denen die nach dem geltenden Rechnungslegungsrahmen anwendbaren Ausbuchungskriterien nicht erfüllt sind). Diese werden stattdessen in {0090,0020} ausgewiesen.</w:t>
            </w:r>
          </w:p>
        </w:tc>
      </w:tr>
      <w:tr w:rsidR="00410E47" w:rsidRPr="00500637" w14:paraId="2BD078C3" w14:textId="77777777" w:rsidTr="00500637">
        <w:tc>
          <w:tcPr>
            <w:tcW w:w="1588" w:type="dxa"/>
          </w:tcPr>
          <w:p w14:paraId="793DC72B" w14:textId="19D262D1" w:rsidR="00410E47" w:rsidRPr="00500637" w:rsidRDefault="00410E47" w:rsidP="000B66BC">
            <w:pPr>
              <w:pStyle w:val="BodyText1"/>
              <w:spacing w:after="240"/>
              <w:rPr>
                <w:rFonts w:ascii="Times New Roman" w:hAnsi="Times New Roman"/>
                <w:bCs/>
                <w:sz w:val="24"/>
                <w:szCs w:val="24"/>
              </w:rPr>
            </w:pPr>
            <w:r w:rsidRPr="00500637">
              <w:rPr>
                <w:rFonts w:ascii="Times New Roman" w:hAnsi="Times New Roman"/>
                <w:sz w:val="24"/>
              </w:rPr>
              <w:t>{0090;0010}</w:t>
            </w:r>
          </w:p>
        </w:tc>
        <w:tc>
          <w:tcPr>
            <w:tcW w:w="7450" w:type="dxa"/>
          </w:tcPr>
          <w:p w14:paraId="520EA2AC" w14:textId="77777777" w:rsidR="00410E47" w:rsidRPr="00500637" w:rsidRDefault="00410E47"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Andere Vermögenswerte – Bilanzwert</w:t>
            </w:r>
          </w:p>
          <w:p w14:paraId="6BEE30BB" w14:textId="44CE9FC7" w:rsidR="00410E47" w:rsidRPr="00500637" w:rsidRDefault="0084728D" w:rsidP="00474B43">
            <w:pPr>
              <w:pStyle w:val="BodyText1"/>
              <w:spacing w:after="240" w:line="240" w:lineRule="auto"/>
              <w:rPr>
                <w:rFonts w:ascii="Times New Roman" w:hAnsi="Times New Roman"/>
                <w:b/>
                <w:bCs/>
                <w:sz w:val="24"/>
                <w:szCs w:val="24"/>
                <w:u w:val="single"/>
              </w:rPr>
            </w:pPr>
            <w:r w:rsidRPr="00500637">
              <w:rPr>
                <w:rFonts w:ascii="Times New Roman" w:hAnsi="Times New Roman"/>
                <w:sz w:val="24"/>
              </w:rPr>
              <w:t>Artikel 4 Absatz 1 Nummer 77 der Verordnung (EU) Nr. 575/2013; der nach dem geltenden Rechnungslegungsrahmen ermittelte Bilanzwert aller Vermögenswerte außer den in Anhang II der Verordnung (EU) Nr. 575/2013 genannten Geschäften, Kreditderivaten und SFTs.</w:t>
            </w:r>
          </w:p>
        </w:tc>
      </w:tr>
      <w:tr w:rsidR="00410E47" w:rsidRPr="00500637" w14:paraId="2A9CFA05" w14:textId="77777777" w:rsidTr="00500637">
        <w:tc>
          <w:tcPr>
            <w:tcW w:w="1588" w:type="dxa"/>
          </w:tcPr>
          <w:p w14:paraId="77B58A02" w14:textId="52063391" w:rsidR="00410E47" w:rsidRPr="00500637" w:rsidRDefault="00410E47" w:rsidP="000B66BC">
            <w:pPr>
              <w:pStyle w:val="BodyText1"/>
              <w:spacing w:after="240"/>
              <w:rPr>
                <w:rFonts w:ascii="Times New Roman" w:hAnsi="Times New Roman"/>
                <w:bCs/>
                <w:sz w:val="24"/>
                <w:szCs w:val="24"/>
              </w:rPr>
            </w:pPr>
            <w:r w:rsidRPr="00500637">
              <w:rPr>
                <w:rFonts w:ascii="Times New Roman" w:hAnsi="Times New Roman"/>
                <w:sz w:val="24"/>
              </w:rPr>
              <w:t>{0090;0020}</w:t>
            </w:r>
          </w:p>
        </w:tc>
        <w:tc>
          <w:tcPr>
            <w:tcW w:w="7450" w:type="dxa"/>
          </w:tcPr>
          <w:p w14:paraId="0A7C5F46" w14:textId="77777777" w:rsidR="00410E47" w:rsidRPr="00500637" w:rsidRDefault="00410E47"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Andere Vermögenswerte – Buchwert unter der Annahme: kein Netting oder andere Kreditrisikominderung (CRM)</w:t>
            </w:r>
          </w:p>
          <w:p w14:paraId="398E7EA3" w14:textId="1F1EF083" w:rsidR="00D1326E" w:rsidRPr="00500637" w:rsidRDefault="00E20CD8" w:rsidP="00474B43">
            <w:pPr>
              <w:pStyle w:val="BodyText1"/>
              <w:spacing w:after="240" w:line="240" w:lineRule="auto"/>
              <w:rPr>
                <w:rFonts w:ascii="Times New Roman" w:hAnsi="Times New Roman"/>
                <w:bCs/>
                <w:sz w:val="24"/>
                <w:szCs w:val="24"/>
              </w:rPr>
            </w:pPr>
            <w:r w:rsidRPr="00500637">
              <w:rPr>
                <w:rFonts w:ascii="Times New Roman" w:hAnsi="Times New Roman"/>
                <w:sz w:val="24"/>
              </w:rPr>
              <w:t>Artikel 4 Absatz 1 Nummer 77 der Verordnung (EU) Nr. 575/2013; der nach dem geltenden Rechnungslegungsrahmen ermittelte Bilanzwert für alle Vermögenswerte außer den Geschäften, die in Anhang II der Verordnung (EU) Nr. 575/2013 aufgeführt sind, Kreditderivaten und SFTs, in der Annahme, dass es keine Bilanzierungs-Netting- oder anderen CRM-Effekte gibt (d. h. die Bilanzierungs-Netting- oder CRM-Effekte in Bezug auf den Bilanzwert werden zurückgenommen).</w:t>
            </w:r>
          </w:p>
        </w:tc>
      </w:tr>
      <w:tr w:rsidR="00D5649D" w:rsidRPr="00500637" w14:paraId="6FD4B7E9" w14:textId="77777777" w:rsidTr="00500637">
        <w:tc>
          <w:tcPr>
            <w:tcW w:w="1588" w:type="dxa"/>
            <w:tcBorders>
              <w:top w:val="single" w:sz="4" w:space="0" w:color="auto"/>
              <w:left w:val="single" w:sz="4" w:space="0" w:color="auto"/>
              <w:bottom w:val="single" w:sz="4" w:space="0" w:color="auto"/>
              <w:right w:val="single" w:sz="4" w:space="0" w:color="auto"/>
            </w:tcBorders>
          </w:tcPr>
          <w:p w14:paraId="620B263B" w14:textId="77777777" w:rsidR="00D5649D" w:rsidRPr="00500637" w:rsidDel="00764219" w:rsidRDefault="00D5649D" w:rsidP="000B66BC">
            <w:pPr>
              <w:pStyle w:val="BodyText1"/>
              <w:spacing w:after="240"/>
              <w:rPr>
                <w:rFonts w:ascii="Times New Roman" w:hAnsi="Times New Roman"/>
                <w:bCs/>
                <w:sz w:val="24"/>
                <w:szCs w:val="24"/>
              </w:rPr>
            </w:pPr>
            <w:r w:rsidRPr="00500637">
              <w:rPr>
                <w:rFonts w:ascii="Times New Roman" w:hAnsi="Times New Roman"/>
                <w:sz w:val="24"/>
              </w:rPr>
              <w:t>{0095;0070}</w:t>
            </w:r>
          </w:p>
        </w:tc>
        <w:tc>
          <w:tcPr>
            <w:tcW w:w="7450" w:type="dxa"/>
            <w:tcBorders>
              <w:top w:val="single" w:sz="4" w:space="0" w:color="auto"/>
              <w:left w:val="single" w:sz="4" w:space="0" w:color="auto"/>
              <w:bottom w:val="single" w:sz="4" w:space="0" w:color="auto"/>
              <w:right w:val="single" w:sz="4" w:space="0" w:color="auto"/>
            </w:tcBorders>
          </w:tcPr>
          <w:p w14:paraId="60C68604" w14:textId="77777777" w:rsidR="00D5649D" w:rsidRPr="00500637" w:rsidRDefault="00D5649D"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Außerbilanzielle Posten</w:t>
            </w:r>
          </w:p>
          <w:p w14:paraId="76247621" w14:textId="685AAB93" w:rsidR="00D5649D" w:rsidRPr="00500637" w:rsidDel="00764219" w:rsidRDefault="00474B43" w:rsidP="000B66BC">
            <w:pPr>
              <w:pStyle w:val="BodyText1"/>
              <w:spacing w:after="240" w:line="240" w:lineRule="auto"/>
              <w:rPr>
                <w:rFonts w:ascii="Times New Roman" w:hAnsi="Times New Roman"/>
                <w:b/>
                <w:bCs/>
                <w:sz w:val="24"/>
                <w:szCs w:val="24"/>
              </w:rPr>
            </w:pPr>
            <w:r w:rsidRPr="00500637">
              <w:rPr>
                <w:rFonts w:ascii="Times New Roman" w:hAnsi="Times New Roman"/>
                <w:sz w:val="24"/>
              </w:rPr>
              <w:t>Institute melden den Nominalwert von außerbilanziellen Posten. Gemäß Artikel 429f Absatz 1 der Verordnung (EU) Nr. 575/2013 weisen die Institute in diesem Feld weder die in Anhang II der Verordnung (EU) Nr. 575/2013 genannten Geschäfte, noch Kreditderivate und SFTs aus.</w:t>
            </w:r>
          </w:p>
        </w:tc>
      </w:tr>
      <w:tr w:rsidR="00410E47" w:rsidRPr="00500637" w14:paraId="0FBB579D" w14:textId="77777777" w:rsidTr="00500637">
        <w:tc>
          <w:tcPr>
            <w:tcW w:w="1588" w:type="dxa"/>
          </w:tcPr>
          <w:p w14:paraId="28FDBFBD" w14:textId="613B5E03" w:rsidR="00410E47" w:rsidRPr="00500637" w:rsidRDefault="00410E47" w:rsidP="000B66BC">
            <w:pPr>
              <w:pStyle w:val="BodyText1"/>
              <w:spacing w:after="240"/>
              <w:rPr>
                <w:rFonts w:ascii="Times New Roman" w:hAnsi="Times New Roman"/>
                <w:bCs/>
                <w:sz w:val="24"/>
                <w:szCs w:val="24"/>
              </w:rPr>
            </w:pPr>
            <w:r w:rsidRPr="00500637">
              <w:rPr>
                <w:rFonts w:ascii="Times New Roman" w:hAnsi="Times New Roman"/>
                <w:sz w:val="24"/>
              </w:rPr>
              <w:lastRenderedPageBreak/>
              <w:t>{0210;0020}</w:t>
            </w:r>
          </w:p>
        </w:tc>
        <w:tc>
          <w:tcPr>
            <w:tcW w:w="7450" w:type="dxa"/>
          </w:tcPr>
          <w:p w14:paraId="29B185C3" w14:textId="77777777" w:rsidR="00410E47" w:rsidRPr="00500637" w:rsidRDefault="00410E47"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Bei Derivatgeschäften entgegengenommene Barsicherheiten – Buchwert unter der Annahme: kein Netting oder andere Kreditrisikominderung (CRM)</w:t>
            </w:r>
          </w:p>
          <w:p w14:paraId="39EDF297" w14:textId="273BC4C8" w:rsidR="00410E47" w:rsidRPr="00500637" w:rsidRDefault="00410E47"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nach dem geltenden Rechnungslegungsrahmen ermittelte Bilanzwert für bei Derivatgeschäften entgegengenommene Barsicherheiten, in der Annahme, dass es keine Bilanzierungs-Netting- oder anderen CRM-Effekte gibt (d. h. die Bilanzierungs-Netting- oder CRM-Effekte in Bezug auf den Bilanzwert werden zurückgenommen).</w:t>
            </w:r>
          </w:p>
          <w:p w14:paraId="2131D4BF" w14:textId="59EC9867" w:rsidR="00410E47" w:rsidRPr="00500637" w:rsidRDefault="00410E47" w:rsidP="00474B43">
            <w:pPr>
              <w:pStyle w:val="BodyText1"/>
              <w:tabs>
                <w:tab w:val="left" w:pos="4755"/>
              </w:tabs>
              <w:spacing w:after="240" w:line="240" w:lineRule="auto"/>
              <w:rPr>
                <w:rFonts w:ascii="Times New Roman" w:hAnsi="Times New Roman"/>
                <w:b/>
                <w:bCs/>
                <w:sz w:val="24"/>
                <w:szCs w:val="24"/>
              </w:rPr>
            </w:pPr>
            <w:r w:rsidRPr="00500637">
              <w:rPr>
                <w:rFonts w:ascii="Times New Roman" w:hAnsi="Times New Roman"/>
                <w:sz w:val="24"/>
              </w:rPr>
              <w:t>Für dieses Feld wird der Begriff Barmittel definiert als der Gesamtbetrag der Barbestände, einschließlich Münzen und Banknoten pro Währung. Die Gesamthöhe der Einlagen bei Zentralbanken wird berücksichtigt, soweit diese Einlagen in Stressphasen aufgelöst werden können. Bareinlagen bei anderen Instituten sind in diesem Feld nicht auszuweisen.</w:t>
            </w:r>
          </w:p>
        </w:tc>
      </w:tr>
      <w:tr w:rsidR="00410E47" w:rsidRPr="00500637" w14:paraId="53DF6927" w14:textId="77777777" w:rsidTr="00500637">
        <w:tc>
          <w:tcPr>
            <w:tcW w:w="1588" w:type="dxa"/>
          </w:tcPr>
          <w:p w14:paraId="211CECAA" w14:textId="44AF7167" w:rsidR="00410E47" w:rsidRPr="00500637" w:rsidRDefault="00410E47" w:rsidP="000B66BC">
            <w:pPr>
              <w:pStyle w:val="BodyText1"/>
              <w:spacing w:after="240"/>
              <w:rPr>
                <w:rFonts w:ascii="Times New Roman" w:hAnsi="Times New Roman"/>
                <w:bCs/>
                <w:sz w:val="24"/>
                <w:szCs w:val="24"/>
              </w:rPr>
            </w:pPr>
            <w:r w:rsidRPr="00500637">
              <w:rPr>
                <w:rFonts w:ascii="Times New Roman" w:hAnsi="Times New Roman"/>
                <w:sz w:val="24"/>
              </w:rPr>
              <w:t>{0220;0020}</w:t>
            </w:r>
          </w:p>
        </w:tc>
        <w:tc>
          <w:tcPr>
            <w:tcW w:w="7450" w:type="dxa"/>
          </w:tcPr>
          <w:p w14:paraId="6DB00C4C" w14:textId="77777777" w:rsidR="00410E47" w:rsidRPr="00500637" w:rsidRDefault="00410E47"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Forderungen für Barsicherheiten, die bei Derivatgeschäften hinterlegt wurden – Buchwert unter der Annahme: kein Netting oder andere Kreditrisikominderung (CRM)</w:t>
            </w:r>
          </w:p>
          <w:p w14:paraId="7D33E862" w14:textId="047F9D4A" w:rsidR="00474B43" w:rsidRPr="00500637" w:rsidRDefault="00410E47" w:rsidP="000B66BC">
            <w:pPr>
              <w:pStyle w:val="BodyText1"/>
              <w:spacing w:after="240" w:line="240" w:lineRule="auto"/>
              <w:rPr>
                <w:rFonts w:ascii="Times New Roman" w:hAnsi="Times New Roman"/>
                <w:sz w:val="24"/>
                <w:szCs w:val="24"/>
              </w:rPr>
            </w:pPr>
            <w:r w:rsidRPr="00500637">
              <w:rPr>
                <w:rFonts w:ascii="Times New Roman" w:hAnsi="Times New Roman"/>
                <w:sz w:val="24"/>
              </w:rPr>
              <w:t xml:space="preserve">Der nach dem geltenden Rechnungslegungsrahmen ermittelte Bilanzwert von Forderungen für bei Derivatgeschäften hinterlegte Barsicherheiten, unter der Annahme, dass es keine Bilanzierungs-Netting- oder CRM-Effekte gibt (d. h. die Bilanzierungs-Netting- oder CRM-Effekte in Bezug auf den Bilanzwert werden zurückgenommen). </w:t>
            </w:r>
          </w:p>
          <w:p w14:paraId="7CD00868" w14:textId="0996E74B" w:rsidR="00410E47" w:rsidRPr="00500637" w:rsidRDefault="00410E47" w:rsidP="000B66BC">
            <w:pPr>
              <w:pStyle w:val="BodyText1"/>
              <w:spacing w:after="240" w:line="240" w:lineRule="auto"/>
              <w:rPr>
                <w:rFonts w:ascii="Times New Roman" w:hAnsi="Times New Roman"/>
                <w:b/>
                <w:bCs/>
                <w:sz w:val="24"/>
                <w:szCs w:val="24"/>
              </w:rPr>
            </w:pPr>
            <w:r w:rsidRPr="00500637">
              <w:rPr>
                <w:rFonts w:ascii="Times New Roman" w:hAnsi="Times New Roman"/>
                <w:sz w:val="24"/>
              </w:rPr>
              <w:t>Institute, die die Forderung für hinterlegte Barsicherheiten dem geltenden Rechnungslegungsrahmen zufolge gegen die entsprechende Derivate-Verbindlichkeit (negativer Zeitwert) aufrechnen dürfen und dies auch tun, machen diese Aufrechnung wieder rückgängig und geben die Höhe der Netto-Barforderung an.</w:t>
            </w:r>
          </w:p>
        </w:tc>
      </w:tr>
      <w:tr w:rsidR="00410E47" w:rsidRPr="00500637" w14:paraId="56CCADD2" w14:textId="77777777" w:rsidTr="00500637">
        <w:tc>
          <w:tcPr>
            <w:tcW w:w="1588" w:type="dxa"/>
          </w:tcPr>
          <w:p w14:paraId="3CD1E23F" w14:textId="2F79B69D" w:rsidR="00410E47" w:rsidRPr="00500637" w:rsidRDefault="00410E47" w:rsidP="000B66BC">
            <w:pPr>
              <w:pStyle w:val="BodyText1"/>
              <w:spacing w:after="240"/>
              <w:rPr>
                <w:rFonts w:ascii="Times New Roman" w:hAnsi="Times New Roman"/>
                <w:bCs/>
                <w:sz w:val="24"/>
                <w:szCs w:val="24"/>
              </w:rPr>
            </w:pPr>
            <w:r w:rsidRPr="00500637">
              <w:rPr>
                <w:rFonts w:ascii="Times New Roman" w:hAnsi="Times New Roman"/>
                <w:sz w:val="24"/>
              </w:rPr>
              <w:t>{0230;0020}</w:t>
            </w:r>
          </w:p>
        </w:tc>
        <w:tc>
          <w:tcPr>
            <w:tcW w:w="7450" w:type="dxa"/>
          </w:tcPr>
          <w:p w14:paraId="5AE16600" w14:textId="77777777" w:rsidR="00410E47" w:rsidRPr="00500637" w:rsidRDefault="00410E47"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Bei einem SFT entgegengenommene Wertpapiere, die als Aktiva erfasst werden – Buchwert unter der Annahme: kein Netting oder andere Kreditrisikominderung (CRM)</w:t>
            </w:r>
          </w:p>
          <w:p w14:paraId="28A4D6AF" w14:textId="5C43B50B" w:rsidR="00410E47" w:rsidRPr="00500637" w:rsidRDefault="00410E47" w:rsidP="00474B43">
            <w:pPr>
              <w:pStyle w:val="BodyText1"/>
              <w:spacing w:after="240" w:line="240" w:lineRule="auto"/>
              <w:rPr>
                <w:rFonts w:ascii="Times New Roman" w:hAnsi="Times New Roman"/>
                <w:b/>
                <w:bCs/>
                <w:sz w:val="24"/>
                <w:szCs w:val="24"/>
              </w:rPr>
            </w:pPr>
            <w:r w:rsidRPr="00500637">
              <w:rPr>
                <w:rFonts w:ascii="Times New Roman" w:hAnsi="Times New Roman"/>
                <w:sz w:val="24"/>
              </w:rPr>
              <w:t>Der nach dem geltenden Rechnungslegungsrahmen ermittelte Bilanzwert von bei einem SFT entgegengenommenen Wertpapieren, die nach dem geltenden Rechnungslegungsrahmen als Aktiva erfasst werden, in der Annahme, dass es keine Bilanzierungs-Netting- oder anderen CRM-Effekte gibt (d. h. die Bilanzierungs-Netting- oder CRM-Effekte in Bezug auf den Bilanzwert werden zurückgenommen).</w:t>
            </w:r>
          </w:p>
        </w:tc>
      </w:tr>
      <w:tr w:rsidR="00410E47" w:rsidRPr="00500637" w14:paraId="73AB9A4D" w14:textId="77777777" w:rsidTr="00500637">
        <w:tc>
          <w:tcPr>
            <w:tcW w:w="1588" w:type="dxa"/>
          </w:tcPr>
          <w:p w14:paraId="05353E9D" w14:textId="466C38AA" w:rsidR="00410E47" w:rsidRPr="00500637" w:rsidRDefault="00410E47" w:rsidP="000B66BC">
            <w:pPr>
              <w:pStyle w:val="BodyText1"/>
              <w:spacing w:after="240"/>
              <w:rPr>
                <w:rFonts w:ascii="Times New Roman" w:hAnsi="Times New Roman"/>
                <w:bCs/>
                <w:sz w:val="24"/>
                <w:szCs w:val="24"/>
              </w:rPr>
            </w:pPr>
            <w:r w:rsidRPr="00500637">
              <w:rPr>
                <w:rFonts w:ascii="Times New Roman" w:hAnsi="Times New Roman"/>
                <w:sz w:val="24"/>
              </w:rPr>
              <w:t>{0240;0020}</w:t>
            </w:r>
          </w:p>
        </w:tc>
        <w:tc>
          <w:tcPr>
            <w:tcW w:w="7450" w:type="dxa"/>
          </w:tcPr>
          <w:p w14:paraId="66AFC109" w14:textId="77777777" w:rsidR="00410E47" w:rsidRPr="00500637" w:rsidRDefault="00410E47" w:rsidP="000B66BC">
            <w:pPr>
              <w:pStyle w:val="BodyText1"/>
              <w:tabs>
                <w:tab w:val="left" w:pos="4755"/>
              </w:tabs>
              <w:spacing w:after="240" w:line="240" w:lineRule="auto"/>
              <w:rPr>
                <w:rFonts w:ascii="Times New Roman" w:hAnsi="Times New Roman"/>
                <w:b/>
                <w:bCs/>
                <w:sz w:val="24"/>
                <w:szCs w:val="24"/>
              </w:rPr>
            </w:pPr>
            <w:r w:rsidRPr="00500637">
              <w:rPr>
                <w:rFonts w:ascii="Times New Roman" w:hAnsi="Times New Roman"/>
                <w:b/>
                <w:sz w:val="24"/>
              </w:rPr>
              <w:t>SFT Cash Conduit Lending (Barforderungen) – Buchwert unter der Annahme: kein Netting oder andere Kreditrisikominderung (CRM)</w:t>
            </w:r>
          </w:p>
          <w:p w14:paraId="6B9D4FF6" w14:textId="65358007" w:rsidR="00410E47" w:rsidRPr="00500637" w:rsidRDefault="00410E47" w:rsidP="000B66BC">
            <w:pPr>
              <w:pStyle w:val="BodyText1"/>
              <w:tabs>
                <w:tab w:val="left" w:pos="4755"/>
              </w:tabs>
              <w:spacing w:after="240" w:line="240" w:lineRule="auto"/>
              <w:rPr>
                <w:rFonts w:ascii="Times New Roman" w:hAnsi="Times New Roman"/>
                <w:sz w:val="24"/>
                <w:szCs w:val="24"/>
              </w:rPr>
            </w:pPr>
            <w:r w:rsidRPr="00500637">
              <w:rPr>
                <w:rFonts w:ascii="Times New Roman" w:hAnsi="Times New Roman"/>
                <w:sz w:val="24"/>
              </w:rPr>
              <w:t>Der nach dem geltenden Rechnungslegungsrahmen ermittelte Bilanzwert der Barforderung für die im Rahmen einer anerkennungsfähigen Cash Conduit Lending Transaction (CCLT) an den Wertpapier-Inhaber weiterverliehenen Barmittel, in der Annahme, dass es keine Bilanzierungs-</w:t>
            </w:r>
            <w:r w:rsidRPr="00500637">
              <w:rPr>
                <w:rFonts w:ascii="Times New Roman" w:hAnsi="Times New Roman"/>
                <w:sz w:val="24"/>
              </w:rPr>
              <w:lastRenderedPageBreak/>
              <w:t>Netting- oder anderen CRM-Effekte gibt (d. h. die Bilanzierungs-Netting- oder CRM-Effekte in Bezug auf den Bilanzwert werden zurückgenommen).</w:t>
            </w:r>
          </w:p>
          <w:p w14:paraId="748B124D" w14:textId="5207C935" w:rsidR="00410E47" w:rsidRPr="00500637" w:rsidRDefault="00410E47" w:rsidP="000B66BC">
            <w:pPr>
              <w:pStyle w:val="BodyText1"/>
              <w:tabs>
                <w:tab w:val="left" w:pos="4755"/>
              </w:tabs>
              <w:spacing w:after="240" w:line="240" w:lineRule="auto"/>
              <w:rPr>
                <w:rFonts w:ascii="Times New Roman" w:hAnsi="Times New Roman"/>
                <w:sz w:val="24"/>
                <w:szCs w:val="24"/>
              </w:rPr>
            </w:pPr>
            <w:r w:rsidRPr="00500637">
              <w:rPr>
                <w:rFonts w:ascii="Times New Roman" w:hAnsi="Times New Roman"/>
                <w:sz w:val="24"/>
              </w:rPr>
              <w:t>Für dieses Feld wird der Begriff Barmittel definiert als der Gesamtbetrag der Barbestände, einschließlich Münzen und Banknoten pro Währung. Die Gesamthöhe der Einlagen bei Zentralbanken wird berücksichtigt, soweit diese Einlagen in Stressphasen aufgelöst werden können. Bareinlagen bei anderen Instituten sind in diesem Feld nicht auszuweisen.</w:t>
            </w:r>
          </w:p>
          <w:p w14:paraId="334DF029" w14:textId="53853645" w:rsidR="00410E47" w:rsidRPr="00500637" w:rsidRDefault="00410E47" w:rsidP="000B66BC">
            <w:pPr>
              <w:pStyle w:val="BodyText1"/>
              <w:tabs>
                <w:tab w:val="left" w:pos="4755"/>
              </w:tabs>
              <w:spacing w:after="240" w:line="240" w:lineRule="auto"/>
              <w:rPr>
                <w:rFonts w:ascii="Times New Roman" w:hAnsi="Times New Roman"/>
                <w:sz w:val="24"/>
                <w:szCs w:val="24"/>
              </w:rPr>
            </w:pPr>
            <w:r w:rsidRPr="00500637">
              <w:rPr>
                <w:rFonts w:ascii="Times New Roman" w:hAnsi="Times New Roman"/>
                <w:sz w:val="24"/>
              </w:rPr>
              <w:t>Ein CCLT wird definiert als Kombination aus zwei Geschäften, wobei ein Institut Wertpapiere vom Wertpapier-Inhaber ausleiht und diese Wertpapiere an den Wertpapier-Entleiher weiter verleiht. Parallel dazu erhält das Institut vom Wertpapier-Entleiher Barsicherheiten und verleiht diese entgegengenommenen Barmittel weiter an den Wertpapier-Inhaber. Ein anerkennungsfähiges CCLT muss alle folgenden Anforderungen erfüllen:</w:t>
            </w:r>
          </w:p>
          <w:p w14:paraId="2544528C" w14:textId="77777777" w:rsidR="00410E47" w:rsidRPr="00500637" w:rsidRDefault="00500508" w:rsidP="000B66BC">
            <w:pPr>
              <w:pStyle w:val="Paragraph"/>
              <w:spacing w:after="240"/>
              <w:ind w:left="794" w:hanging="794"/>
              <w:rPr>
                <w:rFonts w:ascii="Times New Roman" w:hAnsi="Times New Roman"/>
                <w:color w:val="000000"/>
                <w:sz w:val="24"/>
                <w:szCs w:val="24"/>
              </w:rPr>
            </w:pPr>
            <w:r w:rsidRPr="00500637">
              <w:rPr>
                <w:rFonts w:ascii="Times New Roman" w:hAnsi="Times New Roman"/>
                <w:color w:val="000000"/>
                <w:sz w:val="24"/>
              </w:rPr>
              <w:t>a)</w:t>
            </w:r>
            <w:r w:rsidRPr="00500637">
              <w:tab/>
            </w:r>
            <w:r w:rsidRPr="00500637">
              <w:rPr>
                <w:rFonts w:ascii="Times New Roman" w:hAnsi="Times New Roman"/>
                <w:color w:val="000000"/>
                <w:sz w:val="24"/>
              </w:rPr>
              <w:t>Die beiden einzelnen Geschäfte, aus denen das anerkennungsfähige CCLT besteht, werden beide am gleichen Handelstag ausgeführt, bzw. bei internationalen Geschäften an aufeinanderfolgenden Geschäftstagen;</w:t>
            </w:r>
          </w:p>
          <w:p w14:paraId="491F9748" w14:textId="77777777" w:rsidR="00410E47" w:rsidRPr="00500637" w:rsidRDefault="00500508" w:rsidP="000B66BC">
            <w:pPr>
              <w:pStyle w:val="Paragraph"/>
              <w:spacing w:after="240"/>
              <w:ind w:left="794" w:hanging="794"/>
              <w:rPr>
                <w:rFonts w:ascii="Times New Roman" w:hAnsi="Times New Roman"/>
                <w:color w:val="000000"/>
                <w:sz w:val="24"/>
                <w:szCs w:val="24"/>
              </w:rPr>
            </w:pPr>
            <w:r w:rsidRPr="00500637">
              <w:rPr>
                <w:rFonts w:ascii="Times New Roman" w:hAnsi="Times New Roman"/>
                <w:color w:val="000000"/>
                <w:sz w:val="24"/>
              </w:rPr>
              <w:t>b)</w:t>
            </w:r>
            <w:r w:rsidRPr="00500637">
              <w:tab/>
            </w:r>
            <w:r w:rsidRPr="00500637">
              <w:rPr>
                <w:rFonts w:ascii="Times New Roman" w:hAnsi="Times New Roman"/>
                <w:color w:val="000000"/>
                <w:sz w:val="24"/>
              </w:rPr>
              <w:t>wenn bei den Geschäften, aus denen das CCLT besteht, keine Laufzeit angegeben ist, ist das Institut gesetzlich dazu berechtigt, jede der beiden Seiten des CCLT, d. h. also beide Geschäfte, aus denen das CCLT besteht, jederzeit und unangekündigt glattzustellen;</w:t>
            </w:r>
          </w:p>
          <w:p w14:paraId="5BFB7780" w14:textId="77777777" w:rsidR="00410E47" w:rsidRPr="00500637" w:rsidRDefault="00500508" w:rsidP="000B66BC">
            <w:pPr>
              <w:pStyle w:val="Paragraph"/>
              <w:spacing w:after="240"/>
              <w:ind w:left="794" w:hanging="794"/>
              <w:rPr>
                <w:rFonts w:ascii="Times New Roman" w:hAnsi="Times New Roman"/>
                <w:color w:val="000000"/>
                <w:sz w:val="24"/>
                <w:szCs w:val="24"/>
              </w:rPr>
            </w:pPr>
            <w:r w:rsidRPr="00500637">
              <w:rPr>
                <w:rFonts w:ascii="Times New Roman" w:hAnsi="Times New Roman"/>
                <w:color w:val="000000"/>
                <w:sz w:val="24"/>
              </w:rPr>
              <w:t>c)</w:t>
            </w:r>
            <w:r w:rsidRPr="00500637">
              <w:tab/>
            </w:r>
            <w:r w:rsidRPr="00500637">
              <w:rPr>
                <w:rFonts w:ascii="Times New Roman" w:hAnsi="Times New Roman"/>
                <w:color w:val="000000"/>
                <w:sz w:val="24"/>
              </w:rPr>
              <w:t>wenn bei den Geschäften, aus denen das CCLT besteht, eine Laufzeit angegeben ist, gibt es bei dem CCLT für das Institut keine Diskrepanz zwischen den beiden Laufzeiten; das Institut ist gesetzlich dazu berechtigt, jede der beiden Seiten des CCLT, d. h. also beide Geschäfte, aus denen das CCLT besteht, jederzeit und unangekündigt glattzustellen;</w:t>
            </w:r>
          </w:p>
          <w:p w14:paraId="62CD2905" w14:textId="1AEDC3DC" w:rsidR="00410E47" w:rsidRPr="00500637" w:rsidRDefault="00500508" w:rsidP="000B66BC">
            <w:pPr>
              <w:pStyle w:val="Paragraph"/>
              <w:spacing w:after="240"/>
              <w:ind w:left="794" w:hanging="794"/>
              <w:rPr>
                <w:rFonts w:ascii="Times New Roman" w:hAnsi="Times New Roman"/>
                <w:b/>
                <w:bCs/>
                <w:sz w:val="24"/>
                <w:szCs w:val="24"/>
              </w:rPr>
            </w:pPr>
            <w:r w:rsidRPr="00500637">
              <w:rPr>
                <w:rFonts w:ascii="Times New Roman" w:hAnsi="Times New Roman"/>
                <w:sz w:val="24"/>
              </w:rPr>
              <w:t>d)</w:t>
            </w:r>
            <w:r w:rsidRPr="00500637">
              <w:tab/>
            </w:r>
            <w:r w:rsidRPr="00500637">
              <w:rPr>
                <w:rFonts w:ascii="Times New Roman" w:hAnsi="Times New Roman"/>
                <w:sz w:val="24"/>
              </w:rPr>
              <w:t>das CCLT zieht keine anderen zusätzlichen Risiken nach sich.</w:t>
            </w:r>
          </w:p>
        </w:tc>
      </w:tr>
      <w:tr w:rsidR="00142881" w:rsidRPr="00500637" w14:paraId="12EB77F9" w14:textId="77777777" w:rsidTr="00500637">
        <w:tc>
          <w:tcPr>
            <w:tcW w:w="1588" w:type="dxa"/>
          </w:tcPr>
          <w:p w14:paraId="2EC98E8B" w14:textId="4055F8C1" w:rsidR="00142881" w:rsidRPr="00500637" w:rsidRDefault="00142881" w:rsidP="000B66BC">
            <w:pPr>
              <w:pStyle w:val="BodyText1"/>
              <w:spacing w:after="240"/>
              <w:rPr>
                <w:rFonts w:ascii="Times New Roman" w:hAnsi="Times New Roman"/>
                <w:bCs/>
                <w:sz w:val="24"/>
                <w:szCs w:val="24"/>
              </w:rPr>
            </w:pPr>
            <w:bookmarkStart w:id="57" w:name="_Toc322687882"/>
            <w:bookmarkEnd w:id="52"/>
            <w:r w:rsidRPr="00500637">
              <w:rPr>
                <w:rFonts w:ascii="Times New Roman" w:hAnsi="Times New Roman"/>
                <w:sz w:val="24"/>
              </w:rPr>
              <w:lastRenderedPageBreak/>
              <w:t>{0270;0010}</w:t>
            </w:r>
          </w:p>
        </w:tc>
        <w:tc>
          <w:tcPr>
            <w:tcW w:w="7450" w:type="dxa"/>
          </w:tcPr>
          <w:p w14:paraId="056E429E" w14:textId="1C4A54EB" w:rsidR="00142881" w:rsidRPr="00500637" w:rsidRDefault="00142881" w:rsidP="000B66BC">
            <w:pPr>
              <w:pStyle w:val="BodyText1"/>
              <w:tabs>
                <w:tab w:val="left" w:pos="4755"/>
              </w:tabs>
              <w:spacing w:after="240" w:line="240" w:lineRule="auto"/>
              <w:rPr>
                <w:rFonts w:ascii="Times New Roman" w:hAnsi="Times New Roman"/>
                <w:b/>
                <w:bCs/>
                <w:sz w:val="24"/>
                <w:szCs w:val="24"/>
              </w:rPr>
            </w:pPr>
            <w:r w:rsidRPr="00500637">
              <w:rPr>
                <w:rFonts w:ascii="Times New Roman" w:hAnsi="Times New Roman"/>
                <w:b/>
                <w:sz w:val="24"/>
              </w:rPr>
              <w:t>Öffentliche Investitionen – Forderungen an Zentralstaaten – Bilanzwert</w:t>
            </w:r>
          </w:p>
          <w:p w14:paraId="62173A01" w14:textId="7BC7EE77" w:rsidR="00474B43" w:rsidRPr="00500637" w:rsidRDefault="00142881" w:rsidP="000B66BC">
            <w:pPr>
              <w:pStyle w:val="BodyText1"/>
              <w:spacing w:after="240" w:line="240" w:lineRule="auto"/>
              <w:rPr>
                <w:rFonts w:ascii="Times New Roman" w:hAnsi="Times New Roman"/>
                <w:bCs/>
                <w:sz w:val="24"/>
                <w:szCs w:val="24"/>
              </w:rPr>
            </w:pPr>
            <w:r w:rsidRPr="00500637">
              <w:rPr>
                <w:rFonts w:ascii="Times New Roman" w:hAnsi="Times New Roman"/>
                <w:sz w:val="24"/>
              </w:rPr>
              <w:t xml:space="preserve">Bilanzwert nach dem geltenden Rechnungslegungsrahmen von Aktiva, die Forderungen an Zentralstaaten im Zusammenhang mit öffentlichen Investitionen darstellen, wenn das Institut eine öffentliche Entwicklungsbank ist. </w:t>
            </w:r>
          </w:p>
          <w:p w14:paraId="4B86F17F" w14:textId="318E21E8" w:rsidR="00142881" w:rsidRPr="00500637" w:rsidRDefault="007A5EF2" w:rsidP="000B66BC">
            <w:pPr>
              <w:pStyle w:val="BodyText1"/>
              <w:spacing w:after="240" w:line="240" w:lineRule="auto"/>
              <w:rPr>
                <w:rFonts w:ascii="Times New Roman" w:hAnsi="Times New Roman"/>
                <w:b/>
                <w:bCs/>
                <w:sz w:val="24"/>
                <w:szCs w:val="24"/>
              </w:rPr>
            </w:pPr>
            <w:r w:rsidRPr="00500637">
              <w:rPr>
                <w:rFonts w:ascii="Times New Roman" w:hAnsi="Times New Roman"/>
                <w:sz w:val="24"/>
              </w:rPr>
              <w:t>Die Bilanzwerte eines Instituts, das von einer zuständigen Behörde nach Artikel 429a Absatz 2 letzter Unterabsatz als öffentliche Entwicklungsbank behandelt wird, werden ebenfalls berücksichtigt.</w:t>
            </w:r>
          </w:p>
        </w:tc>
      </w:tr>
      <w:tr w:rsidR="00142881" w:rsidRPr="00500637" w14:paraId="65A561BA" w14:textId="77777777" w:rsidTr="00500637">
        <w:tc>
          <w:tcPr>
            <w:tcW w:w="1588" w:type="dxa"/>
          </w:tcPr>
          <w:p w14:paraId="6E6645F9" w14:textId="7051B924" w:rsidR="00142881" w:rsidRPr="00500637" w:rsidRDefault="00142881" w:rsidP="000B66BC">
            <w:pPr>
              <w:pStyle w:val="BodyText1"/>
              <w:spacing w:after="240"/>
              <w:rPr>
                <w:rFonts w:ascii="Times New Roman" w:hAnsi="Times New Roman"/>
                <w:bCs/>
                <w:sz w:val="24"/>
                <w:szCs w:val="24"/>
              </w:rPr>
            </w:pPr>
            <w:r w:rsidRPr="00500637">
              <w:rPr>
                <w:rFonts w:ascii="Times New Roman" w:hAnsi="Times New Roman"/>
                <w:sz w:val="24"/>
              </w:rPr>
              <w:lastRenderedPageBreak/>
              <w:t>{0280;0010}</w:t>
            </w:r>
          </w:p>
        </w:tc>
        <w:tc>
          <w:tcPr>
            <w:tcW w:w="7450" w:type="dxa"/>
          </w:tcPr>
          <w:p w14:paraId="64975C56" w14:textId="4DD757EC" w:rsidR="00142881" w:rsidRPr="00500637" w:rsidRDefault="00142881" w:rsidP="000B66BC">
            <w:pPr>
              <w:pStyle w:val="BodyText1"/>
              <w:tabs>
                <w:tab w:val="left" w:pos="4755"/>
              </w:tabs>
              <w:spacing w:after="240" w:line="240" w:lineRule="auto"/>
              <w:rPr>
                <w:rFonts w:ascii="Times New Roman" w:hAnsi="Times New Roman"/>
                <w:b/>
                <w:bCs/>
                <w:sz w:val="24"/>
                <w:szCs w:val="24"/>
              </w:rPr>
            </w:pPr>
            <w:r w:rsidRPr="00500637">
              <w:rPr>
                <w:rFonts w:ascii="Times New Roman" w:hAnsi="Times New Roman"/>
                <w:b/>
                <w:sz w:val="24"/>
              </w:rPr>
              <w:t>Öffentliche Investitionen – Forderungen an regionale Gebietskörperschaften – Bilanzwert</w:t>
            </w:r>
          </w:p>
          <w:p w14:paraId="13E2AB70" w14:textId="21F74962" w:rsidR="006E4F4E" w:rsidRPr="00500637" w:rsidRDefault="00142881" w:rsidP="000B66BC">
            <w:pPr>
              <w:pStyle w:val="BodyText1"/>
              <w:tabs>
                <w:tab w:val="left" w:pos="4755"/>
              </w:tabs>
              <w:spacing w:after="240" w:line="240" w:lineRule="auto"/>
              <w:rPr>
                <w:rFonts w:ascii="Times New Roman" w:hAnsi="Times New Roman"/>
                <w:bCs/>
                <w:sz w:val="24"/>
                <w:szCs w:val="24"/>
              </w:rPr>
            </w:pPr>
            <w:r w:rsidRPr="00500637">
              <w:rPr>
                <w:rFonts w:ascii="Times New Roman" w:hAnsi="Times New Roman"/>
                <w:sz w:val="24"/>
              </w:rPr>
              <w:t xml:space="preserve">Bilanzwert nach dem geltenden Rechnungslegungsrahmen von Aktiva, die Forderungen an regionale Gebietskörperschaften im Zusammenhang mit öffentlichen Investitionen darstellen, wenn das Institut eine öffentliche Entwicklungsbank ist. </w:t>
            </w:r>
          </w:p>
          <w:p w14:paraId="440096C8" w14:textId="4D2E5EED" w:rsidR="00142881" w:rsidRPr="00500637" w:rsidRDefault="007A5EF2" w:rsidP="006E4F4E">
            <w:pPr>
              <w:pStyle w:val="BodyText1"/>
              <w:tabs>
                <w:tab w:val="left" w:pos="4755"/>
              </w:tabs>
              <w:spacing w:after="240" w:line="240" w:lineRule="auto"/>
              <w:rPr>
                <w:rFonts w:ascii="Times New Roman" w:hAnsi="Times New Roman"/>
                <w:b/>
                <w:bCs/>
                <w:sz w:val="24"/>
                <w:szCs w:val="24"/>
              </w:rPr>
            </w:pPr>
            <w:r w:rsidRPr="00500637">
              <w:rPr>
                <w:rFonts w:ascii="Times New Roman" w:hAnsi="Times New Roman"/>
                <w:sz w:val="24"/>
              </w:rPr>
              <w:t>Die Bilanzwerte eines Instituts, das von einer zuständigen Behörde nach Artikel 429a Absatz 2 letzter Unterabsatz als öffentliche Entwicklungsbank behandelt wird, werden ebenfalls berücksichtigt.</w:t>
            </w:r>
          </w:p>
        </w:tc>
      </w:tr>
      <w:tr w:rsidR="00142881" w:rsidRPr="00500637" w14:paraId="178B01CC" w14:textId="77777777" w:rsidTr="00500637">
        <w:tc>
          <w:tcPr>
            <w:tcW w:w="1588" w:type="dxa"/>
          </w:tcPr>
          <w:p w14:paraId="14A30C11" w14:textId="09FC39C8" w:rsidR="00142881" w:rsidRPr="00500637" w:rsidRDefault="00142881" w:rsidP="000B66BC">
            <w:pPr>
              <w:pStyle w:val="BodyText1"/>
              <w:spacing w:after="240"/>
              <w:rPr>
                <w:rFonts w:ascii="Times New Roman" w:hAnsi="Times New Roman"/>
                <w:bCs/>
                <w:sz w:val="24"/>
                <w:szCs w:val="24"/>
              </w:rPr>
            </w:pPr>
            <w:r w:rsidRPr="00500637">
              <w:rPr>
                <w:rFonts w:ascii="Times New Roman" w:hAnsi="Times New Roman"/>
                <w:sz w:val="24"/>
              </w:rPr>
              <w:t>{0290;0010}</w:t>
            </w:r>
          </w:p>
        </w:tc>
        <w:tc>
          <w:tcPr>
            <w:tcW w:w="7450" w:type="dxa"/>
          </w:tcPr>
          <w:p w14:paraId="4E12A671" w14:textId="20EE5DA6" w:rsidR="00142881" w:rsidRPr="00500637" w:rsidRDefault="00142881" w:rsidP="000B66BC">
            <w:pPr>
              <w:pStyle w:val="BodyText1"/>
              <w:tabs>
                <w:tab w:val="left" w:pos="4755"/>
              </w:tabs>
              <w:spacing w:after="240" w:line="240" w:lineRule="auto"/>
              <w:rPr>
                <w:rFonts w:ascii="Times New Roman" w:hAnsi="Times New Roman"/>
                <w:b/>
                <w:bCs/>
                <w:sz w:val="24"/>
                <w:szCs w:val="24"/>
              </w:rPr>
            </w:pPr>
            <w:r w:rsidRPr="00500637">
              <w:rPr>
                <w:rFonts w:ascii="Times New Roman" w:hAnsi="Times New Roman"/>
                <w:b/>
                <w:sz w:val="24"/>
              </w:rPr>
              <w:t>Öffentliche Investitionen – Forderungen an lokale Gebietskörperschaften – Bilanzwert</w:t>
            </w:r>
          </w:p>
          <w:p w14:paraId="1993F59B" w14:textId="77777777" w:rsidR="006E4F4E" w:rsidRPr="00500637" w:rsidRDefault="00142881" w:rsidP="000B66BC">
            <w:pPr>
              <w:pStyle w:val="BodyText1"/>
              <w:tabs>
                <w:tab w:val="left" w:pos="4755"/>
              </w:tabs>
              <w:spacing w:after="240" w:line="240" w:lineRule="auto"/>
              <w:rPr>
                <w:rFonts w:ascii="Times New Roman" w:hAnsi="Times New Roman"/>
                <w:bCs/>
                <w:sz w:val="24"/>
                <w:szCs w:val="24"/>
              </w:rPr>
            </w:pPr>
            <w:r w:rsidRPr="00500637">
              <w:rPr>
                <w:rFonts w:ascii="Times New Roman" w:hAnsi="Times New Roman"/>
                <w:sz w:val="24"/>
              </w:rPr>
              <w:t>Bilanzwert nach dem geltenden Rechnungslegungsrahmen von Aktiva, die Forderungen an regionale Gebietskörperschaften im Zusammenhang mit öffentlichen Investitionen darstellen, wenn das Institut eine öffentliche Entwicklungsbank ist.</w:t>
            </w:r>
          </w:p>
          <w:p w14:paraId="3AEC5523" w14:textId="32E213BF" w:rsidR="00142881" w:rsidRPr="00500637" w:rsidRDefault="007A5EF2" w:rsidP="006E4F4E">
            <w:pPr>
              <w:pStyle w:val="BodyText1"/>
              <w:tabs>
                <w:tab w:val="left" w:pos="4755"/>
              </w:tabs>
              <w:spacing w:after="240" w:line="240" w:lineRule="auto"/>
              <w:rPr>
                <w:rFonts w:ascii="Times New Roman" w:hAnsi="Times New Roman"/>
                <w:b/>
                <w:bCs/>
                <w:sz w:val="24"/>
                <w:szCs w:val="24"/>
              </w:rPr>
            </w:pPr>
            <w:r w:rsidRPr="00500637">
              <w:rPr>
                <w:rFonts w:ascii="Times New Roman" w:hAnsi="Times New Roman"/>
                <w:sz w:val="24"/>
              </w:rPr>
              <w:t>Die Bilanzwerte eines Instituts, das von einer zuständigen Behörde nach Artikel 429a Absatz 2 letzter Unterabsatz als öffentliche Entwicklungsbank behandelt wird, werden ebenfalls berücksichtigt.</w:t>
            </w:r>
          </w:p>
        </w:tc>
      </w:tr>
      <w:tr w:rsidR="00142881" w:rsidRPr="00500637" w14:paraId="6B4A4FFD" w14:textId="77777777" w:rsidTr="00500637">
        <w:tc>
          <w:tcPr>
            <w:tcW w:w="1588" w:type="dxa"/>
          </w:tcPr>
          <w:p w14:paraId="4AD0C008" w14:textId="06F13C4A" w:rsidR="00142881" w:rsidRPr="00500637" w:rsidRDefault="00142881" w:rsidP="000B66BC">
            <w:pPr>
              <w:pStyle w:val="BodyText1"/>
              <w:spacing w:after="240"/>
              <w:rPr>
                <w:rFonts w:ascii="Times New Roman" w:hAnsi="Times New Roman"/>
                <w:bCs/>
                <w:sz w:val="24"/>
                <w:szCs w:val="24"/>
              </w:rPr>
            </w:pPr>
            <w:r w:rsidRPr="00500637">
              <w:rPr>
                <w:rFonts w:ascii="Times New Roman" w:hAnsi="Times New Roman"/>
                <w:sz w:val="24"/>
              </w:rPr>
              <w:t>{0300;0010}</w:t>
            </w:r>
          </w:p>
        </w:tc>
        <w:tc>
          <w:tcPr>
            <w:tcW w:w="7450" w:type="dxa"/>
          </w:tcPr>
          <w:p w14:paraId="00BE052E" w14:textId="3ADFA117" w:rsidR="00142881" w:rsidRPr="00500637" w:rsidRDefault="00142881" w:rsidP="000B66BC">
            <w:pPr>
              <w:pStyle w:val="BodyText1"/>
              <w:tabs>
                <w:tab w:val="left" w:pos="4755"/>
              </w:tabs>
              <w:spacing w:after="240" w:line="240" w:lineRule="auto"/>
              <w:rPr>
                <w:rFonts w:ascii="Times New Roman" w:hAnsi="Times New Roman"/>
                <w:color w:val="auto"/>
                <w:sz w:val="24"/>
                <w:szCs w:val="24"/>
              </w:rPr>
            </w:pPr>
            <w:r w:rsidRPr="00500637">
              <w:rPr>
                <w:rFonts w:ascii="Times New Roman" w:hAnsi="Times New Roman"/>
                <w:b/>
                <w:sz w:val="24"/>
              </w:rPr>
              <w:t>Öffentliche Investitionen – Forderungen an öffentliche Stellen – Bilanzwert</w:t>
            </w:r>
          </w:p>
          <w:p w14:paraId="4C818D07" w14:textId="23446733" w:rsidR="006E4F4E" w:rsidRPr="00500637" w:rsidRDefault="00142881" w:rsidP="000B66BC">
            <w:pPr>
              <w:pStyle w:val="BodyText1"/>
              <w:tabs>
                <w:tab w:val="left" w:pos="4755"/>
              </w:tabs>
              <w:spacing w:after="240" w:line="240" w:lineRule="auto"/>
              <w:rPr>
                <w:rFonts w:ascii="Times New Roman" w:hAnsi="Times New Roman"/>
                <w:bCs/>
                <w:sz w:val="24"/>
                <w:szCs w:val="24"/>
              </w:rPr>
            </w:pPr>
            <w:r w:rsidRPr="00500637">
              <w:rPr>
                <w:rFonts w:ascii="Times New Roman" w:hAnsi="Times New Roman"/>
                <w:sz w:val="24"/>
              </w:rPr>
              <w:t>Bilanzwert nach dem geltenden Rechnungslegungsrahmen von Aktiva, die Forderungen an öffentliche Stellen im Zusammenhang mit öffentlichen Investitionen darstellen, wenn das Institut eine öffentliche Entwicklungsbank ist.</w:t>
            </w:r>
          </w:p>
          <w:p w14:paraId="7115C598" w14:textId="32973285" w:rsidR="00142881" w:rsidRPr="00500637" w:rsidRDefault="007A5EF2" w:rsidP="006E4F4E">
            <w:pPr>
              <w:pStyle w:val="BodyText1"/>
              <w:tabs>
                <w:tab w:val="left" w:pos="4755"/>
              </w:tabs>
              <w:spacing w:after="240" w:line="240" w:lineRule="auto"/>
              <w:rPr>
                <w:rFonts w:ascii="Times New Roman" w:hAnsi="Times New Roman"/>
                <w:b/>
                <w:bCs/>
                <w:sz w:val="24"/>
                <w:szCs w:val="24"/>
              </w:rPr>
            </w:pPr>
            <w:r w:rsidRPr="00500637">
              <w:rPr>
                <w:rFonts w:ascii="Times New Roman" w:hAnsi="Times New Roman"/>
                <w:sz w:val="24"/>
              </w:rPr>
              <w:t>Die Bilanzwerte der Einheit eines Instituts, das von einer zuständigen Behörde nach Artikel 429a Absatz 2 letzter Unterabsatz als öffentliche Entwicklungsbank behandelt wird, werden ebenfalls berücksichtigt.</w:t>
            </w:r>
          </w:p>
        </w:tc>
      </w:tr>
      <w:tr w:rsidR="00D126C3" w:rsidRPr="00500637" w14:paraId="5655180E" w14:textId="77777777" w:rsidTr="00500637">
        <w:tc>
          <w:tcPr>
            <w:tcW w:w="1588" w:type="dxa"/>
            <w:tcBorders>
              <w:top w:val="single" w:sz="4" w:space="0" w:color="auto"/>
              <w:left w:val="single" w:sz="4" w:space="0" w:color="auto"/>
              <w:bottom w:val="single" w:sz="4" w:space="0" w:color="auto"/>
              <w:right w:val="single" w:sz="4" w:space="0" w:color="auto"/>
            </w:tcBorders>
          </w:tcPr>
          <w:p w14:paraId="3373E0CF" w14:textId="68555762" w:rsidR="00D126C3" w:rsidRPr="00500637" w:rsidRDefault="00D126C3" w:rsidP="000B66BC">
            <w:pPr>
              <w:pStyle w:val="BodyText1"/>
              <w:spacing w:after="240"/>
              <w:rPr>
                <w:rFonts w:ascii="Times New Roman" w:hAnsi="Times New Roman"/>
                <w:bCs/>
                <w:sz w:val="24"/>
                <w:szCs w:val="24"/>
              </w:rPr>
            </w:pPr>
            <w:r w:rsidRPr="00500637">
              <w:rPr>
                <w:rFonts w:ascii="Times New Roman" w:hAnsi="Times New Roman"/>
                <w:sz w:val="24"/>
              </w:rPr>
              <w:t>{0310;0010}</w:t>
            </w:r>
          </w:p>
        </w:tc>
        <w:tc>
          <w:tcPr>
            <w:tcW w:w="7450" w:type="dxa"/>
            <w:tcBorders>
              <w:top w:val="single" w:sz="4" w:space="0" w:color="auto"/>
              <w:left w:val="single" w:sz="4" w:space="0" w:color="auto"/>
              <w:bottom w:val="single" w:sz="4" w:space="0" w:color="auto"/>
              <w:right w:val="single" w:sz="4" w:space="0" w:color="auto"/>
            </w:tcBorders>
          </w:tcPr>
          <w:p w14:paraId="0E650077" w14:textId="4AFA1485" w:rsidR="00D126C3" w:rsidRPr="00500637" w:rsidRDefault="00D126C3" w:rsidP="000B66BC">
            <w:pPr>
              <w:pStyle w:val="BodyText1"/>
              <w:tabs>
                <w:tab w:val="left" w:pos="4755"/>
              </w:tabs>
              <w:spacing w:after="240" w:line="240" w:lineRule="auto"/>
              <w:rPr>
                <w:rFonts w:ascii="Times New Roman" w:hAnsi="Times New Roman"/>
                <w:b/>
                <w:bCs/>
                <w:sz w:val="24"/>
                <w:szCs w:val="24"/>
              </w:rPr>
            </w:pPr>
            <w:r w:rsidRPr="00500637">
              <w:rPr>
                <w:rFonts w:ascii="Times New Roman" w:hAnsi="Times New Roman"/>
                <w:b/>
                <w:sz w:val="24"/>
              </w:rPr>
              <w:t>Förderdarlehen – Forderungen an Zentralstaaten – Bilanzwert</w:t>
            </w:r>
          </w:p>
          <w:p w14:paraId="23369FCD" w14:textId="74E86023" w:rsidR="006E4F4E" w:rsidRPr="00500637" w:rsidRDefault="00D126C3" w:rsidP="000B66BC">
            <w:pPr>
              <w:pStyle w:val="BodyText1"/>
              <w:tabs>
                <w:tab w:val="left" w:pos="4755"/>
              </w:tabs>
              <w:spacing w:after="240" w:line="240" w:lineRule="auto"/>
              <w:rPr>
                <w:rFonts w:ascii="Times New Roman" w:hAnsi="Times New Roman"/>
                <w:bCs/>
                <w:sz w:val="24"/>
                <w:szCs w:val="24"/>
              </w:rPr>
            </w:pPr>
            <w:r w:rsidRPr="00500637">
              <w:rPr>
                <w:rFonts w:ascii="Times New Roman" w:hAnsi="Times New Roman"/>
                <w:sz w:val="24"/>
              </w:rPr>
              <w:t xml:space="preserve">Bilanzwert nach dem geltenden Rechnungslegungsrahmen von Aktiva, die Forderungen an Zentralstaaten im Zusammenhang mit Förderdarlehen darstellen, wenn das Institut eine öffentliche Entwicklungsbank ist. </w:t>
            </w:r>
          </w:p>
          <w:p w14:paraId="57D9B72D" w14:textId="5104929D" w:rsidR="00D126C3" w:rsidRPr="00500637" w:rsidRDefault="00D126C3" w:rsidP="006E4F4E">
            <w:pPr>
              <w:pStyle w:val="BodyText1"/>
              <w:tabs>
                <w:tab w:val="left" w:pos="4755"/>
              </w:tabs>
              <w:spacing w:after="240" w:line="240" w:lineRule="auto"/>
              <w:rPr>
                <w:rFonts w:ascii="Times New Roman" w:hAnsi="Times New Roman"/>
                <w:b/>
                <w:bCs/>
                <w:sz w:val="24"/>
                <w:szCs w:val="24"/>
              </w:rPr>
            </w:pPr>
            <w:r w:rsidRPr="00500637">
              <w:rPr>
                <w:rFonts w:ascii="Times New Roman" w:hAnsi="Times New Roman"/>
                <w:sz w:val="24"/>
              </w:rPr>
              <w:t>Die Bilanzwerte der Einheit eines Instituts, das von einer zuständigen Behörde nach Artikel 429a Absatz 2 letzter Unterabsatz als öffentliche Entwicklungsbank behandelt wird, werden ebenfalls berücksichtigt.</w:t>
            </w:r>
          </w:p>
        </w:tc>
      </w:tr>
    </w:tbl>
    <w:p w14:paraId="1B95AFF1" w14:textId="77777777" w:rsidR="00500637" w:rsidRDefault="00500637">
      <w:r>
        <w:br w:type="page"/>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50"/>
      </w:tblGrid>
      <w:tr w:rsidR="001E5A9A" w:rsidRPr="00500637" w14:paraId="31EDB1F9" w14:textId="77777777" w:rsidTr="00500637">
        <w:tc>
          <w:tcPr>
            <w:tcW w:w="1588" w:type="dxa"/>
          </w:tcPr>
          <w:p w14:paraId="1988C1B5" w14:textId="00FD96FA" w:rsidR="001E5A9A" w:rsidRPr="00500637" w:rsidRDefault="001E5A9A" w:rsidP="000B66BC">
            <w:pPr>
              <w:pStyle w:val="BodyText1"/>
              <w:spacing w:after="240"/>
              <w:rPr>
                <w:rFonts w:ascii="Times New Roman" w:hAnsi="Times New Roman"/>
                <w:bCs/>
                <w:sz w:val="24"/>
                <w:szCs w:val="24"/>
              </w:rPr>
            </w:pPr>
            <w:r w:rsidRPr="00500637">
              <w:rPr>
                <w:rFonts w:ascii="Times New Roman" w:hAnsi="Times New Roman"/>
                <w:sz w:val="24"/>
              </w:rPr>
              <w:lastRenderedPageBreak/>
              <w:t>{0310;0070}</w:t>
            </w:r>
          </w:p>
        </w:tc>
        <w:tc>
          <w:tcPr>
            <w:tcW w:w="7450" w:type="dxa"/>
          </w:tcPr>
          <w:p w14:paraId="63C478B7" w14:textId="76F217EB" w:rsidR="001E5A9A" w:rsidRPr="00500637" w:rsidRDefault="001E5A9A" w:rsidP="000B66BC">
            <w:pPr>
              <w:pStyle w:val="BodyText1"/>
              <w:tabs>
                <w:tab w:val="left" w:pos="4755"/>
              </w:tabs>
              <w:spacing w:after="240" w:line="240" w:lineRule="auto"/>
              <w:rPr>
                <w:rFonts w:ascii="Times New Roman" w:hAnsi="Times New Roman"/>
                <w:color w:val="auto"/>
                <w:sz w:val="24"/>
                <w:szCs w:val="24"/>
              </w:rPr>
            </w:pPr>
            <w:r w:rsidRPr="00500637">
              <w:rPr>
                <w:rFonts w:ascii="Times New Roman" w:hAnsi="Times New Roman"/>
                <w:b/>
                <w:sz w:val="24"/>
              </w:rPr>
              <w:t>Förderdarlehen – Forderungen an Zentralstaaten – Nominalbetrag/Nominalwert</w:t>
            </w:r>
          </w:p>
          <w:p w14:paraId="7A0E36C1" w14:textId="77777777" w:rsidR="006E4F4E" w:rsidRPr="00500637" w:rsidRDefault="001E5A9A"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Nominalbetrag außerbilanzieller Posten im Zusammenhang mit dem nicht in Anspruch genommenen Teil der Förderdarlehen an Zentralstaaten, wenn das Institut eine öffentliche Entwicklungsbank ist.</w:t>
            </w:r>
          </w:p>
          <w:p w14:paraId="60CCF55C" w14:textId="65935CC3" w:rsidR="001E5A9A" w:rsidRPr="00500637" w:rsidRDefault="001E5A9A" w:rsidP="006E4F4E">
            <w:pPr>
              <w:pStyle w:val="BodyText1"/>
              <w:spacing w:after="240" w:line="240" w:lineRule="auto"/>
              <w:rPr>
                <w:rFonts w:ascii="Times New Roman" w:hAnsi="Times New Roman"/>
                <w:b/>
                <w:bCs/>
                <w:sz w:val="24"/>
                <w:szCs w:val="24"/>
              </w:rPr>
            </w:pPr>
            <w:r w:rsidRPr="00500637">
              <w:rPr>
                <w:rFonts w:ascii="Times New Roman" w:hAnsi="Times New Roman"/>
                <w:sz w:val="24"/>
              </w:rPr>
              <w:t>Nominalbeträge einer Einheit eines Instituts, das von einer zuständigen Behörde nach Artikel 429a Absatz 2 letzter Unterabsatz als öffentliche Entwicklungsbank behandelt wird, werden ebenfalls berücksichtigt.</w:t>
            </w:r>
          </w:p>
        </w:tc>
      </w:tr>
      <w:tr w:rsidR="00D126C3" w:rsidRPr="00500637" w14:paraId="4CD3F0D4" w14:textId="77777777" w:rsidTr="00500637">
        <w:tc>
          <w:tcPr>
            <w:tcW w:w="1588" w:type="dxa"/>
            <w:tcBorders>
              <w:top w:val="single" w:sz="4" w:space="0" w:color="auto"/>
              <w:left w:val="single" w:sz="4" w:space="0" w:color="auto"/>
              <w:bottom w:val="single" w:sz="4" w:space="0" w:color="auto"/>
              <w:right w:val="single" w:sz="4" w:space="0" w:color="auto"/>
            </w:tcBorders>
          </w:tcPr>
          <w:p w14:paraId="06D17859" w14:textId="476A44FC" w:rsidR="00D126C3" w:rsidRPr="00500637" w:rsidRDefault="00D126C3" w:rsidP="000B66BC">
            <w:pPr>
              <w:pStyle w:val="BodyText1"/>
              <w:spacing w:after="240"/>
              <w:rPr>
                <w:rFonts w:ascii="Times New Roman" w:hAnsi="Times New Roman"/>
                <w:bCs/>
                <w:sz w:val="24"/>
                <w:szCs w:val="24"/>
              </w:rPr>
            </w:pPr>
            <w:r w:rsidRPr="00500637">
              <w:rPr>
                <w:rFonts w:ascii="Times New Roman" w:hAnsi="Times New Roman"/>
                <w:sz w:val="24"/>
              </w:rPr>
              <w:t>{0320;0010}</w:t>
            </w:r>
          </w:p>
        </w:tc>
        <w:tc>
          <w:tcPr>
            <w:tcW w:w="7450" w:type="dxa"/>
            <w:tcBorders>
              <w:top w:val="single" w:sz="4" w:space="0" w:color="auto"/>
              <w:left w:val="single" w:sz="4" w:space="0" w:color="auto"/>
              <w:bottom w:val="single" w:sz="4" w:space="0" w:color="auto"/>
              <w:right w:val="single" w:sz="4" w:space="0" w:color="auto"/>
            </w:tcBorders>
          </w:tcPr>
          <w:p w14:paraId="5AEC1E03" w14:textId="67E09130" w:rsidR="00D126C3" w:rsidRPr="00500637" w:rsidRDefault="003B79B4" w:rsidP="000B66BC">
            <w:pPr>
              <w:pStyle w:val="BodyText1"/>
              <w:tabs>
                <w:tab w:val="left" w:pos="4755"/>
              </w:tabs>
              <w:spacing w:after="240" w:line="240" w:lineRule="auto"/>
              <w:rPr>
                <w:rFonts w:ascii="Times New Roman" w:hAnsi="Times New Roman"/>
                <w:b/>
                <w:bCs/>
                <w:sz w:val="24"/>
                <w:szCs w:val="24"/>
              </w:rPr>
            </w:pPr>
            <w:r w:rsidRPr="00500637">
              <w:rPr>
                <w:rFonts w:ascii="Times New Roman" w:hAnsi="Times New Roman"/>
                <w:b/>
                <w:sz w:val="24"/>
              </w:rPr>
              <w:t>Förderdarlehen – Forderungen an regionale Gebietskörperschaften – Bilanzwert</w:t>
            </w:r>
          </w:p>
          <w:p w14:paraId="23DFAEA6" w14:textId="77777777" w:rsidR="006E4F4E" w:rsidRPr="00500637" w:rsidRDefault="00D126C3" w:rsidP="006E4F4E">
            <w:pPr>
              <w:pStyle w:val="BodyText1"/>
              <w:tabs>
                <w:tab w:val="left" w:pos="4755"/>
              </w:tabs>
              <w:spacing w:after="240" w:line="240" w:lineRule="auto"/>
              <w:rPr>
                <w:rFonts w:ascii="Times New Roman" w:hAnsi="Times New Roman"/>
                <w:bCs/>
                <w:sz w:val="24"/>
                <w:szCs w:val="24"/>
              </w:rPr>
            </w:pPr>
            <w:r w:rsidRPr="00500637">
              <w:rPr>
                <w:rFonts w:ascii="Times New Roman" w:hAnsi="Times New Roman"/>
                <w:sz w:val="24"/>
              </w:rPr>
              <w:t>Bilanzwert nach dem geltenden Rechnungslegungsrahmen von Aktiva, die Forderungen an regionale Gebietskörperschaften im Zusammenhang mit Förderdarlehen darstellen, wenn das Institut eine öffentliche Entwicklungsbank ist.</w:t>
            </w:r>
          </w:p>
          <w:p w14:paraId="5822DF0E" w14:textId="16DA8EF0" w:rsidR="00D126C3" w:rsidRPr="00500637" w:rsidRDefault="00D126C3" w:rsidP="006918E9">
            <w:pPr>
              <w:pStyle w:val="BodyText1"/>
              <w:tabs>
                <w:tab w:val="left" w:pos="4755"/>
              </w:tabs>
              <w:spacing w:after="240" w:line="240" w:lineRule="auto"/>
              <w:rPr>
                <w:rFonts w:ascii="Times New Roman" w:hAnsi="Times New Roman"/>
                <w:b/>
                <w:bCs/>
                <w:sz w:val="24"/>
                <w:szCs w:val="24"/>
              </w:rPr>
            </w:pPr>
            <w:r w:rsidRPr="00500637">
              <w:rPr>
                <w:rFonts w:ascii="Times New Roman" w:hAnsi="Times New Roman"/>
                <w:sz w:val="24"/>
              </w:rPr>
              <w:t>Die Bilanzwerte der Einheit eines Instituts, das von einer zuständigen Behörde nach Artikel 429a Absatz 2 letzter Unterabsatz als öffentliche Entwicklungsbank behandelt wird, werden ebenfalls berücksichtigt.</w:t>
            </w:r>
          </w:p>
        </w:tc>
      </w:tr>
      <w:tr w:rsidR="001943A2" w:rsidRPr="00500637" w14:paraId="44874BFB" w14:textId="77777777" w:rsidTr="00500637">
        <w:tc>
          <w:tcPr>
            <w:tcW w:w="1588" w:type="dxa"/>
          </w:tcPr>
          <w:p w14:paraId="79CADF8F" w14:textId="0B21C100" w:rsidR="001943A2" w:rsidRPr="00500637" w:rsidRDefault="001943A2" w:rsidP="000B66BC">
            <w:pPr>
              <w:pStyle w:val="BodyText1"/>
              <w:spacing w:after="240"/>
              <w:rPr>
                <w:rFonts w:ascii="Times New Roman" w:hAnsi="Times New Roman"/>
                <w:bCs/>
                <w:sz w:val="24"/>
                <w:szCs w:val="24"/>
              </w:rPr>
            </w:pPr>
            <w:r w:rsidRPr="00500637">
              <w:rPr>
                <w:rFonts w:ascii="Times New Roman" w:hAnsi="Times New Roman"/>
                <w:sz w:val="24"/>
              </w:rPr>
              <w:t>{0320;0070}</w:t>
            </w:r>
          </w:p>
        </w:tc>
        <w:tc>
          <w:tcPr>
            <w:tcW w:w="7450" w:type="dxa"/>
          </w:tcPr>
          <w:p w14:paraId="5C83E384" w14:textId="76BED22D" w:rsidR="001943A2" w:rsidRPr="00500637" w:rsidRDefault="001943A2" w:rsidP="000B66BC">
            <w:pPr>
              <w:pStyle w:val="BodyText1"/>
              <w:tabs>
                <w:tab w:val="left" w:pos="4755"/>
              </w:tabs>
              <w:spacing w:after="240" w:line="240" w:lineRule="auto"/>
              <w:rPr>
                <w:rFonts w:ascii="Times New Roman" w:hAnsi="Times New Roman"/>
                <w:color w:val="auto"/>
                <w:sz w:val="24"/>
                <w:szCs w:val="24"/>
              </w:rPr>
            </w:pPr>
            <w:r w:rsidRPr="00500637">
              <w:rPr>
                <w:rFonts w:ascii="Times New Roman" w:hAnsi="Times New Roman"/>
                <w:b/>
                <w:sz w:val="24"/>
              </w:rPr>
              <w:t>Förderdarlehen – Forderungen an regionale Gebietskörperschaften – Nominalbetrag/Nominalwert</w:t>
            </w:r>
          </w:p>
          <w:p w14:paraId="645C841D" w14:textId="1E4EDCB5" w:rsidR="006918E9" w:rsidRPr="00500637" w:rsidRDefault="001943A2"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Nominalbetrag außerbilanzieller Posten im Zusammenhang mit dem nicht in Anspruch genommenen Teil der Förderdarlehen an regionale Gebietskörperschaften, wenn das Institut eine öffentliche Entwicklungsbank ist.</w:t>
            </w:r>
          </w:p>
          <w:p w14:paraId="2D66318A" w14:textId="19721B69" w:rsidR="000A486B" w:rsidRPr="00500637" w:rsidRDefault="001943A2" w:rsidP="006918E9">
            <w:pPr>
              <w:pStyle w:val="BodyText1"/>
              <w:spacing w:after="240" w:line="240" w:lineRule="auto"/>
              <w:rPr>
                <w:rFonts w:ascii="Times New Roman" w:hAnsi="Times New Roman"/>
                <w:b/>
                <w:bCs/>
                <w:sz w:val="24"/>
                <w:szCs w:val="24"/>
              </w:rPr>
            </w:pPr>
            <w:r w:rsidRPr="00500637">
              <w:rPr>
                <w:rFonts w:ascii="Times New Roman" w:hAnsi="Times New Roman"/>
                <w:sz w:val="24"/>
              </w:rPr>
              <w:t>Nominalbeträge einer Einheit eines Instituts, das von einer zuständigen Behörde nach Artikel 429a Absatz 2 letzter Unterabsatz als öffentliche Entwicklungsbank behandelt wird, werden ebenfalls berücksichtigt.</w:t>
            </w:r>
          </w:p>
        </w:tc>
      </w:tr>
      <w:tr w:rsidR="00D126C3" w:rsidRPr="00500637" w14:paraId="31B79207" w14:textId="77777777" w:rsidTr="00500637">
        <w:tc>
          <w:tcPr>
            <w:tcW w:w="1588" w:type="dxa"/>
            <w:tcBorders>
              <w:top w:val="single" w:sz="4" w:space="0" w:color="auto"/>
              <w:left w:val="single" w:sz="4" w:space="0" w:color="auto"/>
              <w:bottom w:val="single" w:sz="4" w:space="0" w:color="auto"/>
              <w:right w:val="single" w:sz="4" w:space="0" w:color="auto"/>
            </w:tcBorders>
          </w:tcPr>
          <w:p w14:paraId="157AB5A7" w14:textId="6C4B4A9D" w:rsidR="00D126C3" w:rsidRPr="00500637" w:rsidRDefault="00D126C3" w:rsidP="000B66BC">
            <w:pPr>
              <w:pStyle w:val="BodyText1"/>
              <w:spacing w:after="240"/>
              <w:rPr>
                <w:rFonts w:ascii="Times New Roman" w:hAnsi="Times New Roman"/>
                <w:bCs/>
                <w:sz w:val="24"/>
                <w:szCs w:val="24"/>
              </w:rPr>
            </w:pPr>
            <w:r w:rsidRPr="00500637">
              <w:rPr>
                <w:rFonts w:ascii="Times New Roman" w:hAnsi="Times New Roman"/>
                <w:sz w:val="24"/>
              </w:rPr>
              <w:t>{0330;0010}</w:t>
            </w:r>
          </w:p>
        </w:tc>
        <w:tc>
          <w:tcPr>
            <w:tcW w:w="7450" w:type="dxa"/>
            <w:tcBorders>
              <w:top w:val="single" w:sz="4" w:space="0" w:color="auto"/>
              <w:left w:val="single" w:sz="4" w:space="0" w:color="auto"/>
              <w:bottom w:val="single" w:sz="4" w:space="0" w:color="auto"/>
              <w:right w:val="single" w:sz="4" w:space="0" w:color="auto"/>
            </w:tcBorders>
          </w:tcPr>
          <w:p w14:paraId="10A9D422" w14:textId="267967C6" w:rsidR="00D126C3" w:rsidRPr="00500637" w:rsidRDefault="00D126C3" w:rsidP="000B66BC">
            <w:pPr>
              <w:pStyle w:val="BodyText1"/>
              <w:tabs>
                <w:tab w:val="left" w:pos="4755"/>
              </w:tabs>
              <w:spacing w:after="240" w:line="240" w:lineRule="auto"/>
              <w:rPr>
                <w:rFonts w:ascii="Times New Roman" w:hAnsi="Times New Roman"/>
                <w:b/>
                <w:bCs/>
                <w:sz w:val="24"/>
                <w:szCs w:val="24"/>
              </w:rPr>
            </w:pPr>
            <w:r w:rsidRPr="00500637">
              <w:rPr>
                <w:rFonts w:ascii="Times New Roman" w:hAnsi="Times New Roman"/>
                <w:b/>
                <w:sz w:val="24"/>
              </w:rPr>
              <w:t>Förderdarlehen – Forderungen an lokale Gebietskörperschaften – Bilanzwert</w:t>
            </w:r>
          </w:p>
          <w:p w14:paraId="04327041" w14:textId="6CF71B42" w:rsidR="006918E9" w:rsidRPr="00500637" w:rsidRDefault="00D126C3" w:rsidP="000B66BC">
            <w:pPr>
              <w:pStyle w:val="BodyText1"/>
              <w:tabs>
                <w:tab w:val="left" w:pos="4755"/>
              </w:tabs>
              <w:spacing w:after="240" w:line="240" w:lineRule="auto"/>
              <w:rPr>
                <w:rFonts w:ascii="Times New Roman" w:hAnsi="Times New Roman"/>
                <w:bCs/>
                <w:sz w:val="24"/>
                <w:szCs w:val="24"/>
              </w:rPr>
            </w:pPr>
            <w:r w:rsidRPr="00500637">
              <w:rPr>
                <w:rFonts w:ascii="Times New Roman" w:hAnsi="Times New Roman"/>
                <w:sz w:val="24"/>
              </w:rPr>
              <w:t>Bilanzwert nach dem geltenden Rechnungslegungsrahmen von Aktiva, die Forderungen an lokale Gebietskörperschaften im Zusammenhang mit Förderdarlehen darstellen, wenn das Institut eine öffentliche Entwicklungsbank ist.</w:t>
            </w:r>
          </w:p>
          <w:p w14:paraId="3B5B1EC0" w14:textId="304F0DBC" w:rsidR="00D126C3" w:rsidRPr="00500637" w:rsidRDefault="00D126C3" w:rsidP="006918E9">
            <w:pPr>
              <w:pStyle w:val="BodyText1"/>
              <w:tabs>
                <w:tab w:val="left" w:pos="4755"/>
              </w:tabs>
              <w:spacing w:after="240" w:line="240" w:lineRule="auto"/>
              <w:rPr>
                <w:rFonts w:ascii="Times New Roman" w:hAnsi="Times New Roman"/>
                <w:b/>
                <w:bCs/>
                <w:sz w:val="24"/>
                <w:szCs w:val="24"/>
              </w:rPr>
            </w:pPr>
            <w:r w:rsidRPr="00500637">
              <w:rPr>
                <w:rFonts w:ascii="Times New Roman" w:hAnsi="Times New Roman"/>
                <w:sz w:val="24"/>
              </w:rPr>
              <w:t>Die Bilanzwerte der Einheit eines Instituts, das von einer zuständigen Behörde nach Artikel 429a Absatz 2 letzter Unterabsatz als öffentliche Entwicklungsbank behandelt wird, werden ebenfalls berücksichtigt.</w:t>
            </w:r>
          </w:p>
        </w:tc>
      </w:tr>
    </w:tbl>
    <w:p w14:paraId="785808E4" w14:textId="77777777" w:rsidR="00500637" w:rsidRDefault="00500637">
      <w:r>
        <w:br w:type="page"/>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50"/>
      </w:tblGrid>
      <w:tr w:rsidR="001943A2" w:rsidRPr="00500637" w14:paraId="0ABE486A" w14:textId="77777777" w:rsidTr="00500637">
        <w:tc>
          <w:tcPr>
            <w:tcW w:w="1588" w:type="dxa"/>
          </w:tcPr>
          <w:p w14:paraId="6A69EE0F" w14:textId="588B7017" w:rsidR="001943A2" w:rsidRPr="00500637" w:rsidRDefault="001943A2" w:rsidP="000B66BC">
            <w:pPr>
              <w:pStyle w:val="BodyText1"/>
              <w:spacing w:after="240"/>
              <w:rPr>
                <w:rFonts w:ascii="Times New Roman" w:hAnsi="Times New Roman"/>
                <w:bCs/>
                <w:sz w:val="24"/>
                <w:szCs w:val="24"/>
              </w:rPr>
            </w:pPr>
            <w:r w:rsidRPr="00500637">
              <w:rPr>
                <w:rFonts w:ascii="Times New Roman" w:hAnsi="Times New Roman"/>
                <w:sz w:val="24"/>
              </w:rPr>
              <w:lastRenderedPageBreak/>
              <w:t>{0330;0070}</w:t>
            </w:r>
          </w:p>
        </w:tc>
        <w:tc>
          <w:tcPr>
            <w:tcW w:w="7450" w:type="dxa"/>
          </w:tcPr>
          <w:p w14:paraId="0211D136" w14:textId="747BD7FE" w:rsidR="001943A2" w:rsidRPr="00500637" w:rsidRDefault="001943A2" w:rsidP="000B66BC">
            <w:pPr>
              <w:pStyle w:val="BodyText1"/>
              <w:tabs>
                <w:tab w:val="left" w:pos="4755"/>
              </w:tabs>
              <w:spacing w:after="240" w:line="240" w:lineRule="auto"/>
              <w:rPr>
                <w:rFonts w:ascii="Times New Roman" w:hAnsi="Times New Roman"/>
                <w:color w:val="auto"/>
                <w:sz w:val="24"/>
                <w:szCs w:val="24"/>
              </w:rPr>
            </w:pPr>
            <w:r w:rsidRPr="00500637">
              <w:rPr>
                <w:rFonts w:ascii="Times New Roman" w:hAnsi="Times New Roman"/>
                <w:b/>
                <w:sz w:val="24"/>
              </w:rPr>
              <w:t>Förderdarlehen – Forderungen an lokale Gebietskörperschaften – Nominalbetrag/Nominalwert</w:t>
            </w:r>
          </w:p>
          <w:p w14:paraId="38BCF0DC" w14:textId="6D975688" w:rsidR="006918E9" w:rsidRPr="00500637" w:rsidRDefault="001943A2"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Nominalbetrag außerbilanzieller Posten im Zusammenhang mit dem nicht in Anspruch genommenen Teil der Förderdarlehen an lokale Gebietskörperschaften, wenn das Institut eine öffentliche Entwicklungsbank ist.</w:t>
            </w:r>
          </w:p>
          <w:p w14:paraId="4054A803" w14:textId="7D1F66F0" w:rsidR="001943A2" w:rsidRPr="00500637" w:rsidRDefault="001943A2" w:rsidP="000B66BC">
            <w:pPr>
              <w:pStyle w:val="BodyText1"/>
              <w:spacing w:after="240" w:line="240" w:lineRule="auto"/>
              <w:rPr>
                <w:rFonts w:ascii="Times New Roman" w:hAnsi="Times New Roman"/>
                <w:b/>
                <w:bCs/>
                <w:sz w:val="24"/>
                <w:szCs w:val="24"/>
              </w:rPr>
            </w:pPr>
            <w:r w:rsidRPr="00500637">
              <w:rPr>
                <w:rFonts w:ascii="Times New Roman" w:hAnsi="Times New Roman"/>
                <w:sz w:val="24"/>
              </w:rPr>
              <w:t>Nominalbeträge einer Einheit eines Instituts, das von einer zuständigen Behörde nach Artikel 429a Absatz 2 letzter Unterabsatz als öffentliche Entwicklungsbank behandelt wird, werden ebenfalls berücksichtigt.</w:t>
            </w:r>
          </w:p>
        </w:tc>
      </w:tr>
      <w:tr w:rsidR="00D126C3" w:rsidRPr="00500637" w14:paraId="7024E473" w14:textId="77777777" w:rsidTr="00500637">
        <w:tc>
          <w:tcPr>
            <w:tcW w:w="1588" w:type="dxa"/>
            <w:tcBorders>
              <w:top w:val="single" w:sz="4" w:space="0" w:color="auto"/>
              <w:left w:val="single" w:sz="4" w:space="0" w:color="auto"/>
              <w:bottom w:val="single" w:sz="4" w:space="0" w:color="auto"/>
              <w:right w:val="single" w:sz="4" w:space="0" w:color="auto"/>
            </w:tcBorders>
          </w:tcPr>
          <w:p w14:paraId="40ECBC43" w14:textId="4FD45966" w:rsidR="00D126C3" w:rsidRPr="00500637" w:rsidRDefault="00D126C3" w:rsidP="000B66BC">
            <w:pPr>
              <w:pStyle w:val="BodyText1"/>
              <w:spacing w:after="240"/>
              <w:rPr>
                <w:rFonts w:ascii="Times New Roman" w:hAnsi="Times New Roman"/>
                <w:bCs/>
                <w:sz w:val="24"/>
                <w:szCs w:val="24"/>
              </w:rPr>
            </w:pPr>
            <w:r w:rsidRPr="00500637">
              <w:rPr>
                <w:rFonts w:ascii="Times New Roman" w:hAnsi="Times New Roman"/>
                <w:sz w:val="24"/>
              </w:rPr>
              <w:t>{0340;0010}</w:t>
            </w:r>
          </w:p>
        </w:tc>
        <w:tc>
          <w:tcPr>
            <w:tcW w:w="7450" w:type="dxa"/>
            <w:tcBorders>
              <w:top w:val="single" w:sz="4" w:space="0" w:color="auto"/>
              <w:left w:val="single" w:sz="4" w:space="0" w:color="auto"/>
              <w:bottom w:val="single" w:sz="4" w:space="0" w:color="auto"/>
              <w:right w:val="single" w:sz="4" w:space="0" w:color="auto"/>
            </w:tcBorders>
          </w:tcPr>
          <w:p w14:paraId="5AA9403F" w14:textId="5A0EBB01" w:rsidR="00D126C3" w:rsidRPr="00500637" w:rsidRDefault="00D126C3" w:rsidP="000B66BC">
            <w:pPr>
              <w:pStyle w:val="BodyText1"/>
              <w:tabs>
                <w:tab w:val="left" w:pos="4755"/>
              </w:tabs>
              <w:spacing w:after="240" w:line="240" w:lineRule="auto"/>
              <w:rPr>
                <w:rFonts w:ascii="Times New Roman" w:hAnsi="Times New Roman"/>
                <w:b/>
                <w:bCs/>
                <w:sz w:val="24"/>
                <w:szCs w:val="24"/>
              </w:rPr>
            </w:pPr>
            <w:r w:rsidRPr="00500637">
              <w:rPr>
                <w:rFonts w:ascii="Times New Roman" w:hAnsi="Times New Roman"/>
                <w:b/>
                <w:sz w:val="24"/>
              </w:rPr>
              <w:t>Förderdarlehen – Forderungen an öffentliche Stellen – Bilanzwert</w:t>
            </w:r>
          </w:p>
          <w:p w14:paraId="01C18437" w14:textId="77777777" w:rsidR="006918E9" w:rsidRPr="00500637" w:rsidRDefault="00D126C3" w:rsidP="006918E9">
            <w:pPr>
              <w:pStyle w:val="BodyText1"/>
              <w:tabs>
                <w:tab w:val="left" w:pos="4755"/>
              </w:tabs>
              <w:spacing w:after="240" w:line="240" w:lineRule="auto"/>
              <w:rPr>
                <w:rFonts w:ascii="Times New Roman" w:hAnsi="Times New Roman"/>
                <w:bCs/>
                <w:sz w:val="24"/>
                <w:szCs w:val="24"/>
              </w:rPr>
            </w:pPr>
            <w:r w:rsidRPr="00500637">
              <w:rPr>
                <w:rFonts w:ascii="Times New Roman" w:hAnsi="Times New Roman"/>
                <w:sz w:val="24"/>
              </w:rPr>
              <w:t>Bilanzwert nach dem geltenden Rechnungslegungsrahmen von Aktiva, die Forderungen an öffentliche Stellen im Zusammenhang mit Förderdarlehen darstellen, wenn das Institut eine öffentliche Entwicklungsbank ist.</w:t>
            </w:r>
          </w:p>
          <w:p w14:paraId="271873F2" w14:textId="69D63A33" w:rsidR="00D126C3" w:rsidRPr="00500637" w:rsidRDefault="00D126C3" w:rsidP="006918E9">
            <w:pPr>
              <w:pStyle w:val="BodyText1"/>
              <w:tabs>
                <w:tab w:val="left" w:pos="4755"/>
              </w:tabs>
              <w:spacing w:after="240" w:line="240" w:lineRule="auto"/>
              <w:rPr>
                <w:rFonts w:ascii="Times New Roman" w:hAnsi="Times New Roman"/>
                <w:b/>
                <w:bCs/>
                <w:sz w:val="24"/>
                <w:szCs w:val="24"/>
              </w:rPr>
            </w:pPr>
            <w:r w:rsidRPr="00500637">
              <w:rPr>
                <w:rFonts w:ascii="Times New Roman" w:hAnsi="Times New Roman"/>
                <w:sz w:val="24"/>
              </w:rPr>
              <w:t>Die Bilanzwerte der Einheit eines Instituts, das von einer zuständigen Behörde nach Artikel 429a Absatz 2 letzter Unterabsatz als öffentliche Entwicklungsbank behandelt wird, werden ebenfalls berücksichtigt.</w:t>
            </w:r>
          </w:p>
        </w:tc>
      </w:tr>
      <w:tr w:rsidR="001943A2" w:rsidRPr="00500637" w14:paraId="5E7DDD36" w14:textId="77777777" w:rsidTr="00500637">
        <w:tc>
          <w:tcPr>
            <w:tcW w:w="1588" w:type="dxa"/>
          </w:tcPr>
          <w:p w14:paraId="525D124D" w14:textId="765B9FDB" w:rsidR="001943A2" w:rsidRPr="00500637" w:rsidRDefault="001943A2" w:rsidP="000B66BC">
            <w:pPr>
              <w:pStyle w:val="BodyText1"/>
              <w:spacing w:after="240"/>
              <w:rPr>
                <w:rFonts w:ascii="Times New Roman" w:hAnsi="Times New Roman"/>
                <w:bCs/>
                <w:sz w:val="24"/>
                <w:szCs w:val="24"/>
              </w:rPr>
            </w:pPr>
            <w:r w:rsidRPr="00500637">
              <w:rPr>
                <w:rFonts w:ascii="Times New Roman" w:hAnsi="Times New Roman"/>
                <w:sz w:val="24"/>
              </w:rPr>
              <w:t>{0340;0070}</w:t>
            </w:r>
          </w:p>
        </w:tc>
        <w:tc>
          <w:tcPr>
            <w:tcW w:w="7450" w:type="dxa"/>
          </w:tcPr>
          <w:p w14:paraId="6383FA4C" w14:textId="78CEFFA7" w:rsidR="001943A2" w:rsidRPr="00500637" w:rsidRDefault="001943A2" w:rsidP="000B66BC">
            <w:pPr>
              <w:pStyle w:val="BodyText1"/>
              <w:tabs>
                <w:tab w:val="left" w:pos="4755"/>
              </w:tabs>
              <w:spacing w:after="240" w:line="240" w:lineRule="auto"/>
              <w:rPr>
                <w:rFonts w:ascii="Times New Roman" w:hAnsi="Times New Roman"/>
                <w:color w:val="auto"/>
                <w:sz w:val="24"/>
                <w:szCs w:val="24"/>
              </w:rPr>
            </w:pPr>
            <w:r w:rsidRPr="00500637">
              <w:rPr>
                <w:rFonts w:ascii="Times New Roman" w:hAnsi="Times New Roman"/>
                <w:b/>
                <w:sz w:val="24"/>
              </w:rPr>
              <w:t>Förderdarlehen – Forderungen an öffentliche Stellen – Nominalbetrag/Nominalwert</w:t>
            </w:r>
          </w:p>
          <w:p w14:paraId="5C047141" w14:textId="77777777" w:rsidR="006918E9" w:rsidRPr="00500637" w:rsidRDefault="001943A2" w:rsidP="006918E9">
            <w:pPr>
              <w:pStyle w:val="BodyText1"/>
              <w:spacing w:after="240" w:line="240" w:lineRule="auto"/>
              <w:rPr>
                <w:rFonts w:ascii="Times New Roman" w:hAnsi="Times New Roman"/>
                <w:bCs/>
                <w:sz w:val="24"/>
                <w:szCs w:val="24"/>
              </w:rPr>
            </w:pPr>
            <w:r w:rsidRPr="00500637">
              <w:rPr>
                <w:rFonts w:ascii="Times New Roman" w:hAnsi="Times New Roman"/>
                <w:sz w:val="24"/>
              </w:rPr>
              <w:t>Der Nominalbetrag außerbilanzieller Posten im Zusammenhang mit dem nicht in Anspruch genommenen Teil der Förderdarlehen an öffentliche Stellen, wenn das Institut eine öffentliche Entwicklungsbank ist.</w:t>
            </w:r>
          </w:p>
          <w:p w14:paraId="28AF0C76" w14:textId="43B760BA" w:rsidR="001943A2" w:rsidRPr="00500637" w:rsidRDefault="001943A2" w:rsidP="006918E9">
            <w:pPr>
              <w:pStyle w:val="BodyText1"/>
              <w:spacing w:after="240" w:line="240" w:lineRule="auto"/>
              <w:rPr>
                <w:rFonts w:ascii="Times New Roman" w:hAnsi="Times New Roman"/>
                <w:b/>
                <w:bCs/>
                <w:sz w:val="24"/>
                <w:szCs w:val="24"/>
              </w:rPr>
            </w:pPr>
            <w:r w:rsidRPr="00500637">
              <w:rPr>
                <w:rFonts w:ascii="Times New Roman" w:hAnsi="Times New Roman"/>
                <w:sz w:val="24"/>
              </w:rPr>
              <w:t>Nominalbeträge einer Einheit eines Instituts, das von einer zuständigen Behörde nach Artikel 429a Absatz 2 letzter Unterabsatz als öffentliche Entwicklungsbank behandelt wird, werden ebenfalls berücksichtigt.</w:t>
            </w:r>
          </w:p>
        </w:tc>
      </w:tr>
      <w:tr w:rsidR="00462408" w:rsidRPr="00500637" w14:paraId="29DF5E7A" w14:textId="77777777" w:rsidTr="00500637">
        <w:tc>
          <w:tcPr>
            <w:tcW w:w="1588" w:type="dxa"/>
          </w:tcPr>
          <w:p w14:paraId="1D9C525C" w14:textId="680B64DF" w:rsidR="00462408" w:rsidRPr="00500637" w:rsidRDefault="00462408" w:rsidP="000B66BC">
            <w:pPr>
              <w:pStyle w:val="BodyText1"/>
              <w:spacing w:after="240"/>
              <w:rPr>
                <w:rFonts w:ascii="Times New Roman" w:hAnsi="Times New Roman"/>
                <w:bCs/>
                <w:sz w:val="24"/>
                <w:szCs w:val="24"/>
              </w:rPr>
            </w:pPr>
            <w:r w:rsidRPr="00500637">
              <w:rPr>
                <w:rFonts w:ascii="Times New Roman" w:hAnsi="Times New Roman"/>
                <w:sz w:val="24"/>
              </w:rPr>
              <w:t>{0350;0010}</w:t>
            </w:r>
          </w:p>
        </w:tc>
        <w:tc>
          <w:tcPr>
            <w:tcW w:w="7450" w:type="dxa"/>
          </w:tcPr>
          <w:p w14:paraId="3CAFC6DC" w14:textId="096127A3" w:rsidR="00462408" w:rsidRPr="00500637" w:rsidRDefault="00462408" w:rsidP="000B66BC">
            <w:pPr>
              <w:pStyle w:val="BodyText1"/>
              <w:tabs>
                <w:tab w:val="left" w:pos="4755"/>
              </w:tabs>
              <w:spacing w:after="240" w:line="240" w:lineRule="auto"/>
              <w:rPr>
                <w:rFonts w:ascii="Times New Roman" w:hAnsi="Times New Roman"/>
                <w:color w:val="auto"/>
                <w:sz w:val="24"/>
                <w:szCs w:val="24"/>
              </w:rPr>
            </w:pPr>
            <w:r w:rsidRPr="00500637">
              <w:rPr>
                <w:rFonts w:ascii="Times New Roman" w:hAnsi="Times New Roman"/>
                <w:b/>
                <w:sz w:val="24"/>
              </w:rPr>
              <w:t>Förderdarlehen – Forderungen an Nichtfinanzunternehmen – Bilanzwert</w:t>
            </w:r>
          </w:p>
          <w:p w14:paraId="38EC1D3F" w14:textId="77777777" w:rsidR="006918E9" w:rsidRPr="00500637" w:rsidRDefault="00462408" w:rsidP="006918E9">
            <w:pPr>
              <w:pStyle w:val="BodyText1"/>
              <w:spacing w:after="240" w:line="240" w:lineRule="auto"/>
              <w:rPr>
                <w:rFonts w:ascii="Times New Roman" w:hAnsi="Times New Roman"/>
                <w:bCs/>
                <w:sz w:val="24"/>
                <w:szCs w:val="24"/>
              </w:rPr>
            </w:pPr>
            <w:r w:rsidRPr="00500637">
              <w:rPr>
                <w:rFonts w:ascii="Times New Roman" w:hAnsi="Times New Roman"/>
                <w:sz w:val="24"/>
              </w:rPr>
              <w:t>Bilanzwert nach dem geltenden Rechnungslegungsrahmen von Aktiva, die Forderungen an Nichtfinanzunternehmen im Zusammenhang mit Förderdarlehen darstellen, wenn das Institut eine öffentliche Entwicklungsbank ist.</w:t>
            </w:r>
          </w:p>
          <w:p w14:paraId="6BF179ED" w14:textId="2C4CB2A0" w:rsidR="00462408" w:rsidRPr="00500637" w:rsidRDefault="00462408" w:rsidP="006918E9">
            <w:pPr>
              <w:pStyle w:val="BodyText1"/>
              <w:spacing w:after="240" w:line="240" w:lineRule="auto"/>
              <w:rPr>
                <w:rFonts w:ascii="Times New Roman" w:hAnsi="Times New Roman"/>
                <w:b/>
                <w:bCs/>
                <w:sz w:val="24"/>
                <w:szCs w:val="24"/>
              </w:rPr>
            </w:pPr>
            <w:r w:rsidRPr="00500637">
              <w:rPr>
                <w:rFonts w:ascii="Times New Roman" w:hAnsi="Times New Roman"/>
                <w:sz w:val="24"/>
              </w:rPr>
              <w:t>Die Bilanzwerte der Einheit eines Instituts, das von einer zuständigen Behörde nach Artikel 429a Absatz 2 letzter Unterabsatz als öffentliche Entwicklungsbank behandelt wird, werden ebenfalls berücksichtigt.</w:t>
            </w:r>
          </w:p>
        </w:tc>
      </w:tr>
      <w:tr w:rsidR="00A7136D" w:rsidRPr="00500637" w14:paraId="12870EEF" w14:textId="77777777" w:rsidTr="00500637">
        <w:tc>
          <w:tcPr>
            <w:tcW w:w="1588" w:type="dxa"/>
          </w:tcPr>
          <w:p w14:paraId="79383F04" w14:textId="29554F65" w:rsidR="00A7136D" w:rsidRPr="00500637" w:rsidRDefault="00A7136D" w:rsidP="000B66BC">
            <w:pPr>
              <w:pStyle w:val="BodyText1"/>
              <w:spacing w:after="240"/>
              <w:rPr>
                <w:rFonts w:ascii="Times New Roman" w:hAnsi="Times New Roman"/>
                <w:bCs/>
                <w:sz w:val="24"/>
                <w:szCs w:val="24"/>
              </w:rPr>
            </w:pPr>
            <w:r w:rsidRPr="00500637">
              <w:rPr>
                <w:rFonts w:ascii="Times New Roman" w:hAnsi="Times New Roman"/>
                <w:sz w:val="24"/>
              </w:rPr>
              <w:t>{0350;0070}</w:t>
            </w:r>
          </w:p>
        </w:tc>
        <w:tc>
          <w:tcPr>
            <w:tcW w:w="7450" w:type="dxa"/>
          </w:tcPr>
          <w:p w14:paraId="26540368" w14:textId="2C1D23F7" w:rsidR="00A7136D" w:rsidRPr="00500637" w:rsidRDefault="00A7136D" w:rsidP="000B66BC">
            <w:pPr>
              <w:pStyle w:val="BodyText1"/>
              <w:tabs>
                <w:tab w:val="left" w:pos="4755"/>
              </w:tabs>
              <w:spacing w:after="240" w:line="240" w:lineRule="auto"/>
              <w:rPr>
                <w:rFonts w:ascii="Times New Roman" w:hAnsi="Times New Roman"/>
                <w:color w:val="auto"/>
                <w:sz w:val="24"/>
                <w:szCs w:val="24"/>
              </w:rPr>
            </w:pPr>
            <w:r w:rsidRPr="00500637">
              <w:rPr>
                <w:rFonts w:ascii="Times New Roman" w:hAnsi="Times New Roman"/>
                <w:b/>
                <w:sz w:val="24"/>
              </w:rPr>
              <w:t>Förderdarlehen – Forderungen an Nichtfinanzunternehmen – Nominalbetrag/Nominalwert</w:t>
            </w:r>
          </w:p>
          <w:p w14:paraId="054BF407" w14:textId="212AEBBD" w:rsidR="00A7136D" w:rsidRPr="00500637" w:rsidRDefault="00A7136D" w:rsidP="000B66BC">
            <w:pPr>
              <w:pStyle w:val="BodyText1"/>
              <w:spacing w:after="240" w:line="240" w:lineRule="auto"/>
              <w:rPr>
                <w:rFonts w:ascii="Times New Roman" w:hAnsi="Times New Roman"/>
                <w:bCs/>
                <w:sz w:val="24"/>
                <w:szCs w:val="24"/>
              </w:rPr>
            </w:pPr>
            <w:r w:rsidRPr="00500637">
              <w:rPr>
                <w:rFonts w:ascii="Times New Roman" w:hAnsi="Times New Roman"/>
                <w:sz w:val="24"/>
              </w:rPr>
              <w:t xml:space="preserve">Der Nominalbetrag außerbilanzieller Posten im Zusammenhang mit dem nicht in Anspruch genommenen Teil der Förderdarlehen an </w:t>
            </w:r>
            <w:r w:rsidRPr="00500637">
              <w:rPr>
                <w:rFonts w:ascii="Times New Roman" w:hAnsi="Times New Roman"/>
                <w:sz w:val="24"/>
              </w:rPr>
              <w:lastRenderedPageBreak/>
              <w:t>Nichtfinanzunternehmen, wenn das Institut eine öffentliche Entwicklungsbank ist.</w:t>
            </w:r>
          </w:p>
          <w:p w14:paraId="41A92F44" w14:textId="7D39B959" w:rsidR="00A7136D" w:rsidRPr="00500637" w:rsidRDefault="00A7136D" w:rsidP="006918E9">
            <w:pPr>
              <w:pStyle w:val="BodyText1"/>
              <w:spacing w:after="240" w:line="240" w:lineRule="auto"/>
              <w:rPr>
                <w:rFonts w:ascii="Times New Roman" w:hAnsi="Times New Roman"/>
                <w:b/>
                <w:bCs/>
                <w:sz w:val="24"/>
                <w:szCs w:val="24"/>
              </w:rPr>
            </w:pPr>
            <w:r w:rsidRPr="00500637">
              <w:rPr>
                <w:rFonts w:ascii="Times New Roman" w:hAnsi="Times New Roman"/>
                <w:sz w:val="24"/>
              </w:rPr>
              <w:t>Nominalbeträge einer Einheit eines Instituts, das von einer zuständigen Behörde nach Artikel 429a Absatz 2 letzter Unterabsatz als öffentliche Entwicklungsbank behandelt wird, werden ebenfalls berücksichtigt.</w:t>
            </w:r>
          </w:p>
        </w:tc>
      </w:tr>
      <w:tr w:rsidR="00462408" w:rsidRPr="00500637" w14:paraId="1F6E7CB4" w14:textId="77777777" w:rsidTr="00500637">
        <w:tc>
          <w:tcPr>
            <w:tcW w:w="1588" w:type="dxa"/>
          </w:tcPr>
          <w:p w14:paraId="6254A862" w14:textId="004992BC" w:rsidR="00462408" w:rsidRPr="00500637" w:rsidRDefault="00462408" w:rsidP="000B66BC">
            <w:pPr>
              <w:pStyle w:val="BodyText1"/>
              <w:spacing w:after="240"/>
              <w:rPr>
                <w:rFonts w:ascii="Times New Roman" w:hAnsi="Times New Roman"/>
                <w:bCs/>
                <w:sz w:val="24"/>
                <w:szCs w:val="24"/>
              </w:rPr>
            </w:pPr>
            <w:r w:rsidRPr="00500637">
              <w:rPr>
                <w:rFonts w:ascii="Times New Roman" w:hAnsi="Times New Roman"/>
                <w:sz w:val="24"/>
              </w:rPr>
              <w:lastRenderedPageBreak/>
              <w:t>{0360;0010}</w:t>
            </w:r>
          </w:p>
        </w:tc>
        <w:tc>
          <w:tcPr>
            <w:tcW w:w="7450" w:type="dxa"/>
          </w:tcPr>
          <w:p w14:paraId="1C554FC7" w14:textId="1F3CBF52" w:rsidR="00462408" w:rsidRPr="00500637" w:rsidRDefault="00462408" w:rsidP="000B66BC">
            <w:pPr>
              <w:pStyle w:val="BodyText1"/>
              <w:tabs>
                <w:tab w:val="left" w:pos="4755"/>
              </w:tabs>
              <w:spacing w:after="240" w:line="240" w:lineRule="auto"/>
              <w:rPr>
                <w:rFonts w:ascii="Times New Roman" w:hAnsi="Times New Roman"/>
                <w:color w:val="auto"/>
                <w:sz w:val="24"/>
                <w:szCs w:val="24"/>
              </w:rPr>
            </w:pPr>
            <w:r w:rsidRPr="00500637">
              <w:rPr>
                <w:rFonts w:ascii="Times New Roman" w:hAnsi="Times New Roman"/>
                <w:b/>
                <w:sz w:val="24"/>
              </w:rPr>
              <w:t>Förderdarlehen – Forderungen an Haushalte – Bilanzwert</w:t>
            </w:r>
          </w:p>
          <w:p w14:paraId="55D67008" w14:textId="77777777" w:rsidR="006918E9" w:rsidRPr="00500637" w:rsidRDefault="00462408" w:rsidP="006918E9">
            <w:pPr>
              <w:pStyle w:val="BodyText1"/>
              <w:spacing w:after="240" w:line="240" w:lineRule="auto"/>
              <w:rPr>
                <w:rFonts w:ascii="Times New Roman" w:hAnsi="Times New Roman"/>
                <w:bCs/>
                <w:sz w:val="24"/>
                <w:szCs w:val="24"/>
              </w:rPr>
            </w:pPr>
            <w:r w:rsidRPr="00500637">
              <w:rPr>
                <w:rFonts w:ascii="Times New Roman" w:hAnsi="Times New Roman"/>
                <w:sz w:val="24"/>
              </w:rPr>
              <w:t>Bilanzwert nach dem geltenden Rechnungslegungsrahmen von Aktiva, die Forderungen an Haushalte im Zusammenhang mit Förderdarlehen darstellen, wenn das Institut eine öffentliche Entwicklungsbank ist.</w:t>
            </w:r>
          </w:p>
          <w:p w14:paraId="77B96BEE" w14:textId="794E8F25" w:rsidR="00462408" w:rsidRPr="00500637" w:rsidRDefault="00462408" w:rsidP="006918E9">
            <w:pPr>
              <w:pStyle w:val="BodyText1"/>
              <w:spacing w:after="240" w:line="240" w:lineRule="auto"/>
              <w:rPr>
                <w:rFonts w:ascii="Times New Roman" w:hAnsi="Times New Roman"/>
                <w:b/>
                <w:bCs/>
                <w:sz w:val="24"/>
                <w:szCs w:val="24"/>
              </w:rPr>
            </w:pPr>
            <w:r w:rsidRPr="00500637">
              <w:rPr>
                <w:rFonts w:ascii="Times New Roman" w:hAnsi="Times New Roman"/>
                <w:sz w:val="24"/>
              </w:rPr>
              <w:t>Die Bilanzwerte der Einheit eines Instituts, das von einer zuständigen Behörde nach Artikel 429a Absatz 2 letzter Unterabsatz als öffentliche Entwicklungsbank behandelt wird, werden ebenfalls berücksichtigt.</w:t>
            </w:r>
          </w:p>
        </w:tc>
      </w:tr>
      <w:tr w:rsidR="00D126C3" w:rsidRPr="00500637" w14:paraId="18F55D0D" w14:textId="77777777" w:rsidTr="00500637">
        <w:tc>
          <w:tcPr>
            <w:tcW w:w="1588" w:type="dxa"/>
          </w:tcPr>
          <w:p w14:paraId="6CB2C6F3" w14:textId="0D17F3B9" w:rsidR="00D126C3" w:rsidRPr="00500637" w:rsidRDefault="00D126C3" w:rsidP="000B66BC">
            <w:pPr>
              <w:pStyle w:val="BodyText1"/>
              <w:spacing w:after="240"/>
              <w:rPr>
                <w:rFonts w:ascii="Times New Roman" w:hAnsi="Times New Roman"/>
                <w:bCs/>
                <w:sz w:val="24"/>
                <w:szCs w:val="24"/>
              </w:rPr>
            </w:pPr>
            <w:r w:rsidRPr="00500637">
              <w:rPr>
                <w:rFonts w:ascii="Times New Roman" w:hAnsi="Times New Roman"/>
                <w:sz w:val="24"/>
              </w:rPr>
              <w:t>{0360;0070}</w:t>
            </w:r>
          </w:p>
        </w:tc>
        <w:tc>
          <w:tcPr>
            <w:tcW w:w="7450" w:type="dxa"/>
          </w:tcPr>
          <w:p w14:paraId="5FFB5CC5" w14:textId="0AFA9088" w:rsidR="00D126C3" w:rsidRPr="00500637" w:rsidRDefault="00D126C3" w:rsidP="000B66BC">
            <w:pPr>
              <w:pStyle w:val="BodyText1"/>
              <w:tabs>
                <w:tab w:val="left" w:pos="4755"/>
              </w:tabs>
              <w:spacing w:after="240" w:line="240" w:lineRule="auto"/>
              <w:rPr>
                <w:rFonts w:ascii="Times New Roman" w:hAnsi="Times New Roman"/>
                <w:color w:val="auto"/>
                <w:sz w:val="24"/>
                <w:szCs w:val="24"/>
              </w:rPr>
            </w:pPr>
            <w:r w:rsidRPr="00500637">
              <w:rPr>
                <w:rFonts w:ascii="Times New Roman" w:hAnsi="Times New Roman"/>
                <w:b/>
                <w:sz w:val="24"/>
              </w:rPr>
              <w:t>Förderdarlehen – Forderungen an Haushalte – Nominalbetrag/Nominalwert</w:t>
            </w:r>
          </w:p>
          <w:p w14:paraId="5C098B17" w14:textId="561EFEA4" w:rsidR="00D126C3" w:rsidRPr="00500637" w:rsidRDefault="00D126C3"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Nominalbetrag außerbilanzieller Posten im Zusammenhang mit dem nicht in Anspruch genommenen Teil der Förderdarlehen an Haushalte, wenn das Institut eine öffentliche Entwicklungsbank ist.</w:t>
            </w:r>
          </w:p>
          <w:p w14:paraId="635041B3" w14:textId="7B16BC5F" w:rsidR="00D126C3" w:rsidRPr="00500637" w:rsidRDefault="00D126C3" w:rsidP="006918E9">
            <w:pPr>
              <w:pStyle w:val="BodyText1"/>
              <w:spacing w:after="240" w:line="240" w:lineRule="auto"/>
              <w:rPr>
                <w:rFonts w:ascii="Times New Roman" w:hAnsi="Times New Roman"/>
                <w:b/>
                <w:bCs/>
                <w:sz w:val="24"/>
                <w:szCs w:val="24"/>
              </w:rPr>
            </w:pPr>
            <w:r w:rsidRPr="00500637">
              <w:rPr>
                <w:rFonts w:ascii="Times New Roman" w:hAnsi="Times New Roman"/>
                <w:sz w:val="24"/>
              </w:rPr>
              <w:t>Nominalbeträge einer Einheit eines Instituts, das von einer zuständigen Behörde nach Artikel 429a Absatz 2 letzter Unterabsatz als öffentliche Entwicklungsbank behandelt wird, werden ebenfalls berücksichtigt.</w:t>
            </w:r>
          </w:p>
        </w:tc>
      </w:tr>
      <w:tr w:rsidR="00462408" w:rsidRPr="00500637" w14:paraId="44E1C677" w14:textId="77777777" w:rsidTr="00500637">
        <w:tc>
          <w:tcPr>
            <w:tcW w:w="1588" w:type="dxa"/>
          </w:tcPr>
          <w:p w14:paraId="17FF7A37" w14:textId="4D384D9C" w:rsidR="00462408" w:rsidRPr="00500637" w:rsidRDefault="00462408" w:rsidP="000B66BC">
            <w:pPr>
              <w:pStyle w:val="BodyText1"/>
              <w:spacing w:after="240"/>
              <w:rPr>
                <w:rFonts w:ascii="Times New Roman" w:hAnsi="Times New Roman"/>
                <w:bCs/>
                <w:sz w:val="24"/>
                <w:szCs w:val="24"/>
              </w:rPr>
            </w:pPr>
            <w:r w:rsidRPr="00500637">
              <w:rPr>
                <w:rFonts w:ascii="Times New Roman" w:hAnsi="Times New Roman"/>
                <w:sz w:val="24"/>
              </w:rPr>
              <w:t>{0370;0010}</w:t>
            </w:r>
          </w:p>
        </w:tc>
        <w:tc>
          <w:tcPr>
            <w:tcW w:w="7450" w:type="dxa"/>
          </w:tcPr>
          <w:p w14:paraId="3F005630" w14:textId="77777777" w:rsidR="00462408" w:rsidRPr="00500637" w:rsidRDefault="00462408" w:rsidP="000B66BC">
            <w:pPr>
              <w:pStyle w:val="BodyText1"/>
              <w:tabs>
                <w:tab w:val="left" w:pos="4755"/>
              </w:tabs>
              <w:spacing w:after="240" w:line="240" w:lineRule="auto"/>
              <w:rPr>
                <w:rFonts w:ascii="Times New Roman" w:hAnsi="Times New Roman"/>
                <w:b/>
                <w:bCs/>
                <w:sz w:val="24"/>
                <w:szCs w:val="24"/>
              </w:rPr>
            </w:pPr>
            <w:r w:rsidRPr="00500637">
              <w:rPr>
                <w:rFonts w:ascii="Times New Roman" w:hAnsi="Times New Roman"/>
                <w:b/>
                <w:sz w:val="24"/>
              </w:rPr>
              <w:t>Förderdarlehen – Weitergabe – Bilanzwert</w:t>
            </w:r>
          </w:p>
          <w:p w14:paraId="77AE875C" w14:textId="77777777" w:rsidR="006918E9" w:rsidRPr="00500637" w:rsidRDefault="00462408" w:rsidP="006918E9">
            <w:pPr>
              <w:pStyle w:val="BodyText1"/>
              <w:spacing w:after="240" w:line="240" w:lineRule="auto"/>
              <w:rPr>
                <w:rFonts w:ascii="Times New Roman" w:hAnsi="Times New Roman"/>
                <w:color w:val="auto"/>
                <w:sz w:val="24"/>
                <w:szCs w:val="24"/>
              </w:rPr>
            </w:pPr>
            <w:r w:rsidRPr="00500637">
              <w:rPr>
                <w:rFonts w:ascii="Times New Roman" w:hAnsi="Times New Roman"/>
                <w:sz w:val="24"/>
              </w:rPr>
              <w:t>Bilanzwert nach dem geltenden Rechnungslegungsrahmen aus der Weitergabe von Förderdarlehen, sofern die Förderdarlehen nicht vom Institut selbst gewährt wurden, wenn das Institut eine öffentliche Entwicklungsbank ist.</w:t>
            </w:r>
          </w:p>
          <w:p w14:paraId="13D74794" w14:textId="2A0E0A51" w:rsidR="00462408" w:rsidRPr="00500637" w:rsidRDefault="00462408" w:rsidP="006918E9">
            <w:pPr>
              <w:pStyle w:val="BodyText1"/>
              <w:spacing w:after="240" w:line="240" w:lineRule="auto"/>
              <w:rPr>
                <w:rFonts w:ascii="Times New Roman" w:hAnsi="Times New Roman"/>
                <w:b/>
                <w:bCs/>
                <w:sz w:val="24"/>
                <w:szCs w:val="24"/>
              </w:rPr>
            </w:pPr>
            <w:r w:rsidRPr="00500637">
              <w:rPr>
                <w:rFonts w:ascii="Times New Roman" w:hAnsi="Times New Roman"/>
                <w:sz w:val="24"/>
              </w:rPr>
              <w:t>Die Bilanzwerte der Einheit eines Instituts, das von einer zuständigen Behörde nach Artikel 429a Absatz 2 letzter Unterabsatz als öffentliche Entwicklungsbank behandelt wird, werden ebenfalls berücksichtigt.</w:t>
            </w:r>
          </w:p>
        </w:tc>
      </w:tr>
      <w:tr w:rsidR="004A107B" w:rsidRPr="00500637" w14:paraId="09331359" w14:textId="77777777" w:rsidTr="00500637">
        <w:tc>
          <w:tcPr>
            <w:tcW w:w="1588" w:type="dxa"/>
          </w:tcPr>
          <w:p w14:paraId="073777C0" w14:textId="772CDEDA" w:rsidR="004A107B" w:rsidRPr="00500637" w:rsidRDefault="004A107B" w:rsidP="000B66BC">
            <w:pPr>
              <w:pStyle w:val="BodyText1"/>
              <w:spacing w:after="240"/>
              <w:rPr>
                <w:rFonts w:ascii="Times New Roman" w:hAnsi="Times New Roman"/>
                <w:bCs/>
                <w:sz w:val="24"/>
                <w:szCs w:val="24"/>
                <w:highlight w:val="yellow"/>
              </w:rPr>
            </w:pPr>
            <w:r w:rsidRPr="00500637">
              <w:rPr>
                <w:rFonts w:ascii="Times New Roman" w:hAnsi="Times New Roman"/>
                <w:sz w:val="24"/>
              </w:rPr>
              <w:t>{0370;0070}</w:t>
            </w:r>
          </w:p>
        </w:tc>
        <w:tc>
          <w:tcPr>
            <w:tcW w:w="7450" w:type="dxa"/>
          </w:tcPr>
          <w:p w14:paraId="0CA54233" w14:textId="2370225D" w:rsidR="004A107B" w:rsidRPr="00500637" w:rsidRDefault="004A107B" w:rsidP="000B66BC">
            <w:pPr>
              <w:pStyle w:val="BodyText1"/>
              <w:tabs>
                <w:tab w:val="left" w:pos="4755"/>
              </w:tabs>
              <w:spacing w:after="240" w:line="240" w:lineRule="auto"/>
              <w:rPr>
                <w:rFonts w:ascii="Times New Roman" w:hAnsi="Times New Roman"/>
                <w:b/>
                <w:bCs/>
                <w:sz w:val="24"/>
                <w:szCs w:val="24"/>
              </w:rPr>
            </w:pPr>
            <w:r w:rsidRPr="00500637">
              <w:rPr>
                <w:rFonts w:ascii="Times New Roman" w:hAnsi="Times New Roman"/>
                <w:b/>
                <w:sz w:val="24"/>
              </w:rPr>
              <w:t>Förderdarlehen – Weitergabe – Nominalbetrag/Nominalwert</w:t>
            </w:r>
          </w:p>
          <w:p w14:paraId="67DCF513" w14:textId="77777777" w:rsidR="006918E9" w:rsidRPr="00500637" w:rsidRDefault="004A107B" w:rsidP="006918E9">
            <w:pPr>
              <w:pStyle w:val="BodyText1"/>
              <w:spacing w:after="240" w:line="240" w:lineRule="auto"/>
              <w:rPr>
                <w:rFonts w:ascii="Times New Roman" w:hAnsi="Times New Roman"/>
                <w:color w:val="auto"/>
                <w:sz w:val="24"/>
                <w:szCs w:val="24"/>
              </w:rPr>
            </w:pPr>
            <w:r w:rsidRPr="00500637">
              <w:rPr>
                <w:rFonts w:ascii="Times New Roman" w:hAnsi="Times New Roman"/>
                <w:sz w:val="24"/>
              </w:rPr>
              <w:t>Nominalbetrag außerbilanzieller Posten im Zusammenhang mit dem nicht in Anspruch genommenen Teil aus der Weitergabe von Förderdarlehen, sofern die Förderdarlehen nicht vom Institut selbst gewährt wurden, wenn das Institut eine öffentliche Entwicklungsbank ist.</w:t>
            </w:r>
          </w:p>
          <w:p w14:paraId="75F9BF76" w14:textId="0F97AE35" w:rsidR="004A107B" w:rsidRPr="00500637" w:rsidRDefault="0033642B" w:rsidP="006918E9">
            <w:pPr>
              <w:pStyle w:val="BodyText1"/>
              <w:spacing w:after="240" w:line="240" w:lineRule="auto"/>
              <w:rPr>
                <w:rFonts w:ascii="Times New Roman" w:hAnsi="Times New Roman"/>
                <w:b/>
                <w:bCs/>
                <w:sz w:val="24"/>
                <w:szCs w:val="24"/>
              </w:rPr>
            </w:pPr>
            <w:r w:rsidRPr="00500637">
              <w:rPr>
                <w:rFonts w:ascii="Times New Roman" w:hAnsi="Times New Roman"/>
                <w:sz w:val="24"/>
              </w:rPr>
              <w:t>Nominalbeträge einer Einheit eines Instituts, das von einer zuständigen Behörde nach Artikel 429a Absatz 2 letzter Unterabsatz als öffentliche Entwicklungsbank behandelt wird, werden ebenfalls berücksichtigt.</w:t>
            </w:r>
          </w:p>
        </w:tc>
      </w:tr>
      <w:tr w:rsidR="00703CC2" w:rsidRPr="00500637" w14:paraId="5432666E" w14:textId="77777777" w:rsidTr="00500637">
        <w:tc>
          <w:tcPr>
            <w:tcW w:w="1588" w:type="dxa"/>
            <w:tcBorders>
              <w:top w:val="single" w:sz="4" w:space="0" w:color="auto"/>
              <w:left w:val="single" w:sz="4" w:space="0" w:color="auto"/>
              <w:bottom w:val="single" w:sz="4" w:space="0" w:color="auto"/>
              <w:right w:val="single" w:sz="4" w:space="0" w:color="auto"/>
            </w:tcBorders>
          </w:tcPr>
          <w:p w14:paraId="17AAFB29" w14:textId="23478B5E" w:rsidR="00703CC2" w:rsidRPr="00500637" w:rsidRDefault="007F3838" w:rsidP="000B66BC">
            <w:pPr>
              <w:pStyle w:val="BodyText1"/>
              <w:spacing w:after="240"/>
              <w:rPr>
                <w:rFonts w:ascii="Times New Roman" w:hAnsi="Times New Roman"/>
                <w:bCs/>
                <w:sz w:val="24"/>
                <w:szCs w:val="24"/>
              </w:rPr>
            </w:pPr>
            <w:r w:rsidRPr="00500637">
              <w:rPr>
                <w:rFonts w:ascii="Times New Roman" w:hAnsi="Times New Roman"/>
                <w:sz w:val="24"/>
              </w:rPr>
              <w:lastRenderedPageBreak/>
              <w:t>{0380;0010}</w:t>
            </w:r>
          </w:p>
        </w:tc>
        <w:tc>
          <w:tcPr>
            <w:tcW w:w="7450" w:type="dxa"/>
            <w:tcBorders>
              <w:top w:val="single" w:sz="4" w:space="0" w:color="auto"/>
              <w:left w:val="single" w:sz="4" w:space="0" w:color="auto"/>
              <w:bottom w:val="single" w:sz="4" w:space="0" w:color="auto"/>
              <w:right w:val="single" w:sz="4" w:space="0" w:color="auto"/>
            </w:tcBorders>
          </w:tcPr>
          <w:p w14:paraId="6B9DA2BC" w14:textId="0B7E2413" w:rsidR="00703CC2" w:rsidRPr="00500637" w:rsidRDefault="00703CC2" w:rsidP="000B66BC">
            <w:pPr>
              <w:pStyle w:val="BodyText1"/>
              <w:tabs>
                <w:tab w:val="left" w:pos="4755"/>
              </w:tabs>
              <w:spacing w:after="240" w:line="240" w:lineRule="auto"/>
              <w:rPr>
                <w:rFonts w:ascii="Times New Roman" w:hAnsi="Times New Roman"/>
                <w:b/>
                <w:bCs/>
                <w:sz w:val="24"/>
                <w:szCs w:val="24"/>
              </w:rPr>
            </w:pPr>
            <w:r w:rsidRPr="00500637">
              <w:rPr>
                <w:rFonts w:ascii="Times New Roman" w:hAnsi="Times New Roman"/>
                <w:b/>
                <w:sz w:val="24"/>
              </w:rPr>
              <w:t>Risikopositionen gegenüber Zentralbanken – Bilanzwert</w:t>
            </w:r>
          </w:p>
          <w:p w14:paraId="68FD6F4B" w14:textId="013AB044" w:rsidR="007F3838" w:rsidRPr="00500637" w:rsidRDefault="007F3838" w:rsidP="000B66BC">
            <w:pPr>
              <w:pStyle w:val="BodyText1"/>
              <w:tabs>
                <w:tab w:val="left" w:pos="4755"/>
              </w:tabs>
              <w:spacing w:after="240" w:line="240" w:lineRule="auto"/>
              <w:rPr>
                <w:rFonts w:ascii="Times New Roman" w:hAnsi="Times New Roman"/>
                <w:bCs/>
                <w:sz w:val="24"/>
                <w:szCs w:val="24"/>
              </w:rPr>
            </w:pPr>
            <w:r w:rsidRPr="00500637">
              <w:rPr>
                <w:rFonts w:ascii="Times New Roman" w:hAnsi="Times New Roman"/>
                <w:sz w:val="24"/>
              </w:rPr>
              <w:t>Die Institute melden gemäß dem geltenden Rechnungslegungsrahmen den Wert der folgenden Risikopositionen gegenüber der Zentralbank des Instituts: i) Münzen und Banknoten der gesetzlichen Währung im Rechtsraum der Zentralbank; ii) Aktiva in Form von Forderungen gegenüber der Zentralbank, einschließlich der bei der Zentralbank gehaltenen Reserven.</w:t>
            </w:r>
          </w:p>
          <w:p w14:paraId="6DEE1984" w14:textId="4388DF7E" w:rsidR="009F67E9" w:rsidRPr="00500637" w:rsidRDefault="007F3838" w:rsidP="000B66BC">
            <w:pPr>
              <w:pStyle w:val="BodyText1"/>
              <w:tabs>
                <w:tab w:val="left" w:pos="4755"/>
              </w:tabs>
              <w:spacing w:after="240" w:line="240" w:lineRule="auto"/>
              <w:rPr>
                <w:rFonts w:ascii="Times New Roman" w:hAnsi="Times New Roman"/>
                <w:bCs/>
                <w:sz w:val="24"/>
                <w:szCs w:val="24"/>
              </w:rPr>
            </w:pPr>
            <w:r w:rsidRPr="00500637">
              <w:rPr>
                <w:rFonts w:ascii="Times New Roman" w:hAnsi="Times New Roman"/>
                <w:sz w:val="24"/>
              </w:rPr>
              <w:t>Institute berücksichtigen nur Risikopositionen, die beide der folgenden Bedingungen erfüllen: a) sie lauten auf dieselbe Währung wie die vom Institut entgegengenommenen Einlagen; b) ihre Durchschnittslaufzeit ist nicht wesentlich höher als die Durchschnittslaufzeit der vom Institut entgegengenommenen Einlagen.</w:t>
            </w:r>
          </w:p>
          <w:p w14:paraId="1572123D" w14:textId="79750841" w:rsidR="007F3838" w:rsidRPr="00500637" w:rsidRDefault="009F67E9" w:rsidP="000B66BC">
            <w:pPr>
              <w:pStyle w:val="BodyText1"/>
              <w:spacing w:after="240" w:line="240" w:lineRule="auto"/>
              <w:rPr>
                <w:rFonts w:ascii="Times New Roman" w:hAnsi="Times New Roman"/>
                <w:b/>
                <w:bCs/>
                <w:sz w:val="24"/>
                <w:szCs w:val="24"/>
              </w:rPr>
            </w:pPr>
            <w:r w:rsidRPr="00500637">
              <w:rPr>
                <w:rFonts w:ascii="Times New Roman" w:hAnsi="Times New Roman"/>
                <w:sz w:val="24"/>
              </w:rPr>
              <w:t>Die Institute melden diese Risikopositionen unabhängig davon, ob sie von der Gesamtrisikopositionsmessgröße gemäß Artikel 429a Absätze 5 und 6 der Verordnung (EU) Nr. 575/2013 ausgeschlossen sind.</w:t>
            </w:r>
          </w:p>
        </w:tc>
      </w:tr>
      <w:tr w:rsidR="00086398" w:rsidRPr="00500637" w14:paraId="2FC50208" w14:textId="77777777" w:rsidTr="00500637">
        <w:tc>
          <w:tcPr>
            <w:tcW w:w="1588" w:type="dxa"/>
            <w:tcBorders>
              <w:top w:val="single" w:sz="4" w:space="0" w:color="auto"/>
              <w:left w:val="single" w:sz="4" w:space="0" w:color="auto"/>
              <w:bottom w:val="single" w:sz="4" w:space="0" w:color="auto"/>
              <w:right w:val="single" w:sz="4" w:space="0" w:color="auto"/>
            </w:tcBorders>
          </w:tcPr>
          <w:p w14:paraId="035C2019" w14:textId="77777777" w:rsidR="00086398" w:rsidRPr="00500637" w:rsidRDefault="00086398" w:rsidP="000B66BC">
            <w:pPr>
              <w:pStyle w:val="BodyText1"/>
              <w:spacing w:after="240"/>
              <w:rPr>
                <w:rFonts w:ascii="Times New Roman" w:hAnsi="Times New Roman"/>
                <w:bCs/>
                <w:sz w:val="24"/>
                <w:szCs w:val="24"/>
              </w:rPr>
            </w:pPr>
            <w:r w:rsidRPr="00500637">
              <w:rPr>
                <w:rFonts w:ascii="Times New Roman" w:hAnsi="Times New Roman"/>
                <w:sz w:val="24"/>
              </w:rPr>
              <w:t>{0390;0140}</w:t>
            </w:r>
          </w:p>
        </w:tc>
        <w:tc>
          <w:tcPr>
            <w:tcW w:w="7450" w:type="dxa"/>
            <w:tcBorders>
              <w:top w:val="single" w:sz="4" w:space="0" w:color="auto"/>
              <w:left w:val="single" w:sz="4" w:space="0" w:color="auto"/>
              <w:bottom w:val="single" w:sz="4" w:space="0" w:color="auto"/>
              <w:right w:val="single" w:sz="4" w:space="0" w:color="auto"/>
            </w:tcBorders>
          </w:tcPr>
          <w:p w14:paraId="61B3D8C3" w14:textId="1C344E74" w:rsidR="00DD51E7" w:rsidRPr="00500637" w:rsidRDefault="00DD51E7" w:rsidP="000B66BC">
            <w:pPr>
              <w:pStyle w:val="BodyText1"/>
              <w:tabs>
                <w:tab w:val="left" w:pos="4755"/>
              </w:tabs>
              <w:spacing w:after="240" w:line="240" w:lineRule="auto"/>
              <w:rPr>
                <w:rFonts w:ascii="Times New Roman" w:hAnsi="Times New Roman"/>
                <w:b/>
                <w:bCs/>
                <w:sz w:val="24"/>
                <w:szCs w:val="24"/>
              </w:rPr>
            </w:pPr>
            <w:r w:rsidRPr="00500637">
              <w:rPr>
                <w:rFonts w:ascii="Times New Roman" w:hAnsi="Times New Roman"/>
                <w:b/>
                <w:sz w:val="24"/>
              </w:rPr>
              <w:t>Für die Berechnung der angepassten Anforderung hinsichtlich der Verschuldungsquote nach Artikel 429a Absatz 7 CRR verwendeter Wert der Risikopositionen gegenüber Zentralbanken – Positionsbetrag der Verschuldungsquote</w:t>
            </w:r>
          </w:p>
          <w:p w14:paraId="0EDC2D5D" w14:textId="0F8FC5EF" w:rsidR="00DD51E7" w:rsidRPr="00500637" w:rsidRDefault="00DD51E7" w:rsidP="000B66BC">
            <w:pPr>
              <w:pStyle w:val="BodyText1"/>
              <w:tabs>
                <w:tab w:val="left" w:pos="4755"/>
              </w:tabs>
              <w:spacing w:after="240" w:line="240" w:lineRule="auto"/>
              <w:rPr>
                <w:rFonts w:ascii="Times New Roman" w:hAnsi="Times New Roman"/>
                <w:b/>
                <w:bCs/>
                <w:sz w:val="24"/>
                <w:szCs w:val="24"/>
              </w:rPr>
            </w:pPr>
            <w:r w:rsidRPr="00500637">
              <w:rPr>
                <w:rFonts w:ascii="Times New Roman" w:hAnsi="Times New Roman"/>
                <w:sz w:val="24"/>
              </w:rPr>
              <w:t>Der tagesdurchschnittliche Gesamtwert der Risikopositionen des Instituts gegenüber seiner Zentralbank, berechnet über die vollständige, dem in Artikel 429a Absatz 5 Buchstabe c der Verordnung (EU) Nr. 575/2013 genannten Datum unmittelbar vorangehende Mindestreserve-Erfüllungsperiode der Zentralbank, die für einen Ausschluss gemäß Artikel 429a Absatz 1 Buchstabe n der Verordnung (EU) Nr. 575/2013 infrage kommen.</w:t>
            </w:r>
          </w:p>
        </w:tc>
      </w:tr>
      <w:tr w:rsidR="00086398" w:rsidRPr="00500637" w14:paraId="49595092" w14:textId="77777777" w:rsidTr="00500637">
        <w:tc>
          <w:tcPr>
            <w:tcW w:w="1588" w:type="dxa"/>
            <w:tcBorders>
              <w:top w:val="single" w:sz="4" w:space="0" w:color="auto"/>
              <w:left w:val="single" w:sz="4" w:space="0" w:color="auto"/>
              <w:bottom w:val="single" w:sz="4" w:space="0" w:color="auto"/>
              <w:right w:val="single" w:sz="4" w:space="0" w:color="auto"/>
            </w:tcBorders>
          </w:tcPr>
          <w:p w14:paraId="33EBBE0E" w14:textId="77777777" w:rsidR="00086398" w:rsidRPr="00500637" w:rsidRDefault="00086398" w:rsidP="000B66BC">
            <w:pPr>
              <w:pStyle w:val="BodyText1"/>
              <w:spacing w:after="240"/>
              <w:rPr>
                <w:rFonts w:ascii="Times New Roman" w:hAnsi="Times New Roman"/>
                <w:bCs/>
                <w:sz w:val="24"/>
                <w:szCs w:val="24"/>
              </w:rPr>
            </w:pPr>
            <w:r w:rsidRPr="00500637">
              <w:rPr>
                <w:rFonts w:ascii="Times New Roman" w:hAnsi="Times New Roman"/>
                <w:sz w:val="24"/>
              </w:rPr>
              <w:t>{0400;0140}</w:t>
            </w:r>
          </w:p>
        </w:tc>
        <w:tc>
          <w:tcPr>
            <w:tcW w:w="7450" w:type="dxa"/>
            <w:tcBorders>
              <w:top w:val="single" w:sz="4" w:space="0" w:color="auto"/>
              <w:left w:val="single" w:sz="4" w:space="0" w:color="auto"/>
              <w:bottom w:val="single" w:sz="4" w:space="0" w:color="auto"/>
              <w:right w:val="single" w:sz="4" w:space="0" w:color="auto"/>
            </w:tcBorders>
          </w:tcPr>
          <w:p w14:paraId="78B454B7" w14:textId="0BDD4F96" w:rsidR="00DD51E7" w:rsidRPr="00500637" w:rsidRDefault="00DD51E7" w:rsidP="000B66BC">
            <w:pPr>
              <w:pStyle w:val="BodyText1"/>
              <w:tabs>
                <w:tab w:val="left" w:pos="4755"/>
              </w:tabs>
              <w:spacing w:after="240" w:line="240" w:lineRule="auto"/>
              <w:rPr>
                <w:rFonts w:ascii="Times New Roman" w:hAnsi="Times New Roman"/>
                <w:b/>
                <w:bCs/>
                <w:sz w:val="24"/>
                <w:szCs w:val="24"/>
              </w:rPr>
            </w:pPr>
            <w:r w:rsidRPr="00500637">
              <w:rPr>
                <w:rFonts w:ascii="Times New Roman" w:hAnsi="Times New Roman"/>
                <w:b/>
                <w:sz w:val="24"/>
              </w:rPr>
              <w:t>Für die Berechnung der angepassten Anforderung hinsichtlich der Verschuldungsquote nach Artikel 429a Absatz 7 CRR verwendete Risikopositionsmessgröße für die Verschuldungsquote – Positionsbetrag der Verschuldungsquote</w:t>
            </w:r>
          </w:p>
          <w:p w14:paraId="7F49B2B2" w14:textId="6908FD98" w:rsidR="000A486B" w:rsidRPr="00500637" w:rsidRDefault="00DD51E7" w:rsidP="006918E9">
            <w:pPr>
              <w:pStyle w:val="BodyText1"/>
              <w:tabs>
                <w:tab w:val="left" w:pos="4755"/>
              </w:tabs>
              <w:spacing w:after="240" w:line="240" w:lineRule="auto"/>
              <w:rPr>
                <w:rFonts w:ascii="Times New Roman" w:hAnsi="Times New Roman"/>
                <w:b/>
                <w:bCs/>
                <w:sz w:val="24"/>
                <w:szCs w:val="24"/>
              </w:rPr>
            </w:pPr>
            <w:r w:rsidRPr="00500637">
              <w:rPr>
                <w:rFonts w:ascii="Times New Roman" w:hAnsi="Times New Roman"/>
                <w:sz w:val="24"/>
              </w:rPr>
              <w:t>Die Gesamtrisikopositionsmessgröße gemäß Artikel 429 Absatz 4 der Verordnung (EU) Nr. 575/2013, einschließlich nach Artikel 429 Absatz 1 Buchstabe n der Verordnung (EU) Nr. 575/2013 ausgeschlossener Risikopositionen, zum in Artikel 429a Absatz 5 Buchstabe c der Verordnung (EU) Nr. 575/2013 genannten Datum.</w:t>
            </w:r>
          </w:p>
        </w:tc>
      </w:tr>
      <w:tr w:rsidR="000C01E8" w:rsidRPr="00500637" w14:paraId="2AF78942" w14:textId="77777777" w:rsidTr="00500637">
        <w:tc>
          <w:tcPr>
            <w:tcW w:w="1588" w:type="dxa"/>
            <w:tcBorders>
              <w:top w:val="single" w:sz="4" w:space="0" w:color="auto"/>
              <w:left w:val="single" w:sz="4" w:space="0" w:color="auto"/>
              <w:bottom w:val="single" w:sz="4" w:space="0" w:color="auto"/>
              <w:right w:val="single" w:sz="4" w:space="0" w:color="auto"/>
            </w:tcBorders>
          </w:tcPr>
          <w:p w14:paraId="09A1ECA9" w14:textId="5DFC5643" w:rsidR="000C01E8" w:rsidRPr="00500637" w:rsidRDefault="000C01E8" w:rsidP="000B66BC">
            <w:pPr>
              <w:pStyle w:val="BodyText1"/>
              <w:spacing w:after="240"/>
              <w:rPr>
                <w:rFonts w:ascii="Times New Roman" w:hAnsi="Times New Roman"/>
                <w:bCs/>
                <w:sz w:val="24"/>
                <w:szCs w:val="24"/>
              </w:rPr>
            </w:pPr>
            <w:r w:rsidRPr="00500637">
              <w:rPr>
                <w:rFonts w:ascii="Times New Roman" w:hAnsi="Times New Roman"/>
                <w:sz w:val="24"/>
              </w:rPr>
              <w:t>{0410;0010}</w:t>
            </w:r>
          </w:p>
        </w:tc>
        <w:tc>
          <w:tcPr>
            <w:tcW w:w="7450" w:type="dxa"/>
            <w:tcBorders>
              <w:top w:val="single" w:sz="4" w:space="0" w:color="auto"/>
              <w:left w:val="single" w:sz="4" w:space="0" w:color="auto"/>
              <w:bottom w:val="single" w:sz="4" w:space="0" w:color="auto"/>
              <w:right w:val="single" w:sz="4" w:space="0" w:color="auto"/>
            </w:tcBorders>
          </w:tcPr>
          <w:p w14:paraId="2400C592" w14:textId="77777777" w:rsidR="000C01E8" w:rsidRPr="00500637" w:rsidRDefault="000C01E8" w:rsidP="000B66BC">
            <w:pPr>
              <w:pStyle w:val="BodyText1"/>
              <w:tabs>
                <w:tab w:val="left" w:pos="4755"/>
              </w:tabs>
              <w:spacing w:after="240" w:line="240" w:lineRule="auto"/>
              <w:rPr>
                <w:rFonts w:ascii="Times New Roman" w:hAnsi="Times New Roman"/>
                <w:b/>
                <w:bCs/>
                <w:sz w:val="24"/>
                <w:szCs w:val="24"/>
              </w:rPr>
            </w:pPr>
            <w:r w:rsidRPr="00500637">
              <w:rPr>
                <w:rFonts w:ascii="Times New Roman" w:hAnsi="Times New Roman"/>
                <w:b/>
                <w:sz w:val="24"/>
              </w:rPr>
              <w:t xml:space="preserve">Gesamtaktiva </w:t>
            </w:r>
          </w:p>
          <w:p w14:paraId="6B941506" w14:textId="67257FB8" w:rsidR="00086398" w:rsidRPr="00500637" w:rsidRDefault="000C01E8" w:rsidP="000B66BC">
            <w:pPr>
              <w:pStyle w:val="BodyText1"/>
              <w:tabs>
                <w:tab w:val="left" w:pos="4755"/>
              </w:tabs>
              <w:spacing w:after="240" w:line="240" w:lineRule="auto"/>
              <w:rPr>
                <w:rFonts w:ascii="Times New Roman" w:hAnsi="Times New Roman"/>
                <w:bCs/>
                <w:sz w:val="24"/>
                <w:szCs w:val="24"/>
              </w:rPr>
            </w:pPr>
            <w:r w:rsidRPr="00500637">
              <w:rPr>
                <w:rFonts w:ascii="Times New Roman" w:hAnsi="Times New Roman"/>
                <w:sz w:val="24"/>
              </w:rPr>
              <w:t>Die Institute melden unter diesem Posten die Summe der Vermögenswerte nach Maßgabe des in den veröffentlichten Abschlüssen verwendeten Meldeumfangs.</w:t>
            </w:r>
          </w:p>
        </w:tc>
      </w:tr>
    </w:tbl>
    <w:p w14:paraId="03B5554A" w14:textId="77777777" w:rsidR="00462408" w:rsidRPr="00500637" w:rsidRDefault="00462408" w:rsidP="000B66BC">
      <w:pPr>
        <w:pStyle w:val="BodyText1"/>
        <w:spacing w:after="240"/>
        <w:rPr>
          <w:rFonts w:ascii="Times New Roman" w:hAnsi="Times New Roman"/>
          <w:b/>
          <w:sz w:val="24"/>
          <w:szCs w:val="24"/>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End w:id="58"/>
      <w:bookmarkEnd w:id="59"/>
      <w:bookmarkEnd w:id="60"/>
      <w:bookmarkEnd w:id="61"/>
      <w:bookmarkEnd w:id="62"/>
      <w:bookmarkEnd w:id="63"/>
      <w:bookmarkEnd w:id="64"/>
    </w:p>
    <w:p w14:paraId="5E95AFC7" w14:textId="71198216" w:rsidR="00217D1F" w:rsidRPr="00500637" w:rsidRDefault="005F4574" w:rsidP="000B66BC">
      <w:pPr>
        <w:pStyle w:val="BodyText1"/>
        <w:spacing w:after="240"/>
        <w:ind w:left="357" w:hanging="357"/>
        <w:outlineLvl w:val="1"/>
        <w:rPr>
          <w:rFonts w:ascii="Times New Roman" w:hAnsi="Times New Roman"/>
          <w:b/>
          <w:sz w:val="24"/>
          <w:szCs w:val="24"/>
        </w:rPr>
      </w:pPr>
      <w:bookmarkStart w:id="65" w:name="_Toc338669914"/>
      <w:bookmarkStart w:id="66" w:name="_Toc338669915"/>
      <w:bookmarkStart w:id="67" w:name="_Toc338669918"/>
      <w:bookmarkStart w:id="68" w:name="_Toc322687900"/>
      <w:bookmarkStart w:id="69" w:name="_Toc351048510"/>
      <w:bookmarkStart w:id="70" w:name="_Toc359414289"/>
      <w:bookmarkStart w:id="71" w:name="_Toc423089074"/>
      <w:bookmarkStart w:id="72" w:name="_Toc188886283"/>
      <w:bookmarkStart w:id="73" w:name="_Toc322533879"/>
      <w:bookmarkEnd w:id="57"/>
      <w:bookmarkEnd w:id="65"/>
      <w:bookmarkEnd w:id="66"/>
      <w:bookmarkEnd w:id="67"/>
      <w:r w:rsidRPr="00500637">
        <w:rPr>
          <w:rFonts w:ascii="Times New Roman" w:hAnsi="Times New Roman"/>
          <w:b/>
          <w:sz w:val="24"/>
        </w:rPr>
        <w:lastRenderedPageBreak/>
        <w:t>5.</w:t>
      </w:r>
      <w:r w:rsidRPr="00500637">
        <w:tab/>
      </w:r>
      <w:r w:rsidRPr="00500637">
        <w:rPr>
          <w:rFonts w:ascii="Times New Roman" w:hAnsi="Times New Roman"/>
          <w:b/>
          <w:sz w:val="24"/>
        </w:rPr>
        <w:t>C 43.00 – Alternative Aufgliederung der Bestandteile der Risikopositionsmessgröße für die Verschuldungsquote</w:t>
      </w:r>
      <w:bookmarkEnd w:id="68"/>
      <w:bookmarkEnd w:id="69"/>
      <w:bookmarkEnd w:id="70"/>
      <w:r w:rsidRPr="00500637">
        <w:rPr>
          <w:rFonts w:ascii="Times New Roman" w:hAnsi="Times New Roman"/>
          <w:b/>
          <w:sz w:val="24"/>
        </w:rPr>
        <w:t xml:space="preserve"> (LR4)</w:t>
      </w:r>
      <w:bookmarkEnd w:id="71"/>
      <w:bookmarkEnd w:id="72"/>
    </w:p>
    <w:p w14:paraId="28B96BA9" w14:textId="5AF52E0B" w:rsidR="004E437E" w:rsidRPr="00500637" w:rsidRDefault="00500508" w:rsidP="000B66BC">
      <w:pPr>
        <w:pStyle w:val="BodyText1"/>
        <w:spacing w:after="240"/>
        <w:ind w:left="720" w:hanging="360"/>
        <w:rPr>
          <w:rFonts w:ascii="Times New Roman" w:hAnsi="Times New Roman"/>
          <w:sz w:val="24"/>
          <w:szCs w:val="24"/>
        </w:rPr>
      </w:pPr>
      <w:r w:rsidRPr="00500637">
        <w:rPr>
          <w:rFonts w:ascii="Times New Roman" w:hAnsi="Times New Roman"/>
          <w:sz w:val="24"/>
        </w:rPr>
        <w:t>24.</w:t>
      </w:r>
      <w:r w:rsidRPr="00500637">
        <w:tab/>
      </w:r>
      <w:r w:rsidRPr="00500637">
        <w:rPr>
          <w:rFonts w:ascii="Times New Roman" w:hAnsi="Times New Roman"/>
          <w:sz w:val="24"/>
        </w:rPr>
        <w:t>Die Institute melden die Risikopositionswerte für die Verschuldungsquote in LR4 nach der Anwendung von Ausnahmen und Abzügen im Meldebogen LRCalc, d. h. die Posten mit negativem Vorzeichen gemäß der Vorzeichenkonvention nach Teil I Absatz 9 dieses Anhangs, ausgenommen Zeilen {0270;0010} {0280;0010}.</w:t>
      </w:r>
    </w:p>
    <w:p w14:paraId="69B9194E" w14:textId="636E268C" w:rsidR="00A54449" w:rsidRPr="00500637" w:rsidRDefault="00500508" w:rsidP="000B66BC">
      <w:pPr>
        <w:pStyle w:val="BodyText1"/>
        <w:spacing w:after="240" w:line="240" w:lineRule="auto"/>
        <w:ind w:left="720" w:hanging="360"/>
        <w:rPr>
          <w:rFonts w:ascii="Times New Roman" w:hAnsi="Times New Roman"/>
          <w:sz w:val="24"/>
          <w:szCs w:val="24"/>
        </w:rPr>
      </w:pPr>
      <w:r w:rsidRPr="00500637">
        <w:rPr>
          <w:rFonts w:ascii="Times New Roman" w:hAnsi="Times New Roman"/>
          <w:sz w:val="24"/>
        </w:rPr>
        <w:t>25.</w:t>
      </w:r>
      <w:r w:rsidRPr="00500637">
        <w:tab/>
      </w:r>
      <w:r w:rsidRPr="00500637">
        <w:rPr>
          <w:rFonts w:ascii="Times New Roman" w:hAnsi="Times New Roman"/>
          <w:sz w:val="24"/>
        </w:rPr>
        <w:t>Um eine Doppelzählung zu vermeiden, beachten die Institute die folgende Gleichung:</w:t>
      </w:r>
    </w:p>
    <w:p w14:paraId="6C63F05C" w14:textId="18F59633" w:rsidR="00F4754B" w:rsidRPr="00500637" w:rsidRDefault="00287E34" w:rsidP="000B66BC">
      <w:pPr>
        <w:pStyle w:val="BodyText1"/>
        <w:spacing w:after="240" w:line="240" w:lineRule="auto"/>
        <w:ind w:left="720" w:hanging="360"/>
        <w:rPr>
          <w:rFonts w:ascii="Times New Roman" w:hAnsi="Times New Roman"/>
          <w:sz w:val="24"/>
          <w:szCs w:val="24"/>
        </w:rPr>
      </w:pPr>
      <w:r w:rsidRPr="00500637">
        <w:rPr>
          <w:rFonts w:ascii="Times New Roman" w:hAnsi="Times New Roman"/>
          <w:sz w:val="24"/>
        </w:rPr>
        <w:t xml:space="preserve"> </w:t>
      </w:r>
      <w:r w:rsidRPr="00500637">
        <w:tab/>
      </w:r>
      <w:r w:rsidRPr="00500637">
        <w:rPr>
          <w:rFonts w:ascii="Times New Roman" w:hAnsi="Times New Roman"/>
          <w:sz w:val="24"/>
        </w:rPr>
        <w:t>Die Summe aller Zeilen von {0010;0010} bis {0269;0010} im Meldebogen LRCalc entspricht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208FDE2C" w:rsidR="00675587" w:rsidRPr="00500637" w:rsidRDefault="00143C6A" w:rsidP="000B66BC">
      <w:pPr>
        <w:pStyle w:val="BodyText1"/>
        <w:spacing w:after="240"/>
        <w:ind w:left="720" w:hanging="360"/>
        <w:rPr>
          <w:rFonts w:ascii="Times New Roman" w:hAnsi="Times New Roman"/>
          <w:sz w:val="24"/>
          <w:szCs w:val="24"/>
        </w:rPr>
      </w:pPr>
      <w:r w:rsidRPr="00500637">
        <w:rPr>
          <w:rFonts w:ascii="Times New Roman" w:hAnsi="Times New Roman"/>
          <w:sz w:val="24"/>
        </w:rPr>
        <w:t>26.</w:t>
      </w:r>
      <w:r w:rsidRPr="00500637">
        <w:tab/>
      </w:r>
      <w:r w:rsidRPr="00500637">
        <w:rPr>
          <w:rFonts w:ascii="Times New Roman" w:hAnsi="Times New Roman"/>
          <w:sz w:val="24"/>
        </w:rPr>
        <w:t xml:space="preserve">Um mit den Risikopositionswerten für die Verschuldungsquote in Einklang zu stehen, werden die risikogewichteten Positionsbeträge auch vollständig eingeführt gemeldet. Für die Zwecke dieses Meldebogens werden Anpassungen der Eigenmitteluntergrenze (Output-Floor) nicht berücksichtigt. </w:t>
      </w:r>
    </w:p>
    <w:p w14:paraId="794DC095" w14:textId="4A4B07F0" w:rsidR="003B1611" w:rsidRPr="00500637" w:rsidRDefault="003B1611" w:rsidP="000B66BC">
      <w:pPr>
        <w:pStyle w:val="BodyText1"/>
        <w:spacing w:after="240"/>
        <w:ind w:left="720" w:hanging="360"/>
        <w:rPr>
          <w:rFonts w:ascii="Times New Roman" w:hAnsi="Times New Roman"/>
          <w:sz w:val="24"/>
          <w:szCs w:val="24"/>
        </w:rPr>
      </w:pPr>
      <w:r w:rsidRPr="00500637">
        <w:rPr>
          <w:rFonts w:ascii="Times New Roman" w:hAnsi="Times New Roman"/>
          <w:sz w:val="24"/>
        </w:rPr>
        <w:t xml:space="preserve">27. Institute melden die Gegenpartei im Zusammenhang mit dem risikogewichteten Positionsbetrag (RWEA, risk-weighted exposure amount) nach Anwendung von Techniken zur Kreditrisikominderung (CRM) und Substitutionseffekten. Institute melden die Gegenpartei im Zusammenhang mit der Risikoposition für die Verschuldungsquote gemäß der ursprünglichen Gegenpartei, d. h. ohne Berücksichtigung von auf RWEA anwendbaren CRM oder Substitutionseffekten.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500637" w14:paraId="69CF6F62" w14:textId="77777777" w:rsidTr="000B66BC">
        <w:trPr>
          <w:trHeight w:val="297"/>
        </w:trPr>
        <w:tc>
          <w:tcPr>
            <w:tcW w:w="1559" w:type="dxa"/>
            <w:shd w:val="clear" w:color="auto" w:fill="D9D9D9" w:themeFill="background1" w:themeFillShade="D9"/>
          </w:tcPr>
          <w:p w14:paraId="5F424E32" w14:textId="77777777" w:rsidR="00F4754B" w:rsidRPr="00500637" w:rsidRDefault="00F4754B" w:rsidP="000B66BC">
            <w:pPr>
              <w:pStyle w:val="BodyText1"/>
              <w:spacing w:after="240"/>
              <w:rPr>
                <w:rFonts w:ascii="Times New Roman" w:hAnsi="Times New Roman"/>
                <w:b/>
                <w:bCs/>
                <w:i/>
                <w:sz w:val="24"/>
                <w:szCs w:val="24"/>
              </w:rPr>
            </w:pPr>
            <w:r w:rsidRPr="00500637">
              <w:rPr>
                <w:rFonts w:ascii="Times New Roman" w:hAnsi="Times New Roman"/>
                <w:b/>
                <w:sz w:val="24"/>
              </w:rPr>
              <w:t>Zeile und Spalte</w:t>
            </w:r>
          </w:p>
        </w:tc>
        <w:tc>
          <w:tcPr>
            <w:tcW w:w="7406" w:type="dxa"/>
            <w:shd w:val="clear" w:color="auto" w:fill="D9D9D9" w:themeFill="background1" w:themeFillShade="D9"/>
          </w:tcPr>
          <w:p w14:paraId="0DBEBFC4" w14:textId="77777777" w:rsidR="00F4754B" w:rsidRPr="00500637" w:rsidRDefault="00F4754B" w:rsidP="000B66BC">
            <w:pPr>
              <w:pStyle w:val="BodyText1"/>
              <w:spacing w:after="240"/>
              <w:rPr>
                <w:rFonts w:ascii="Times New Roman" w:hAnsi="Times New Roman"/>
                <w:b/>
                <w:bCs/>
                <w:i/>
                <w:sz w:val="24"/>
                <w:szCs w:val="24"/>
              </w:rPr>
            </w:pPr>
            <w:r w:rsidRPr="00500637">
              <w:rPr>
                <w:rFonts w:ascii="Times New Roman" w:hAnsi="Times New Roman"/>
                <w:b/>
                <w:sz w:val="24"/>
              </w:rPr>
              <w:t>Rechtsgrundlagen und Erläuterungen</w:t>
            </w:r>
          </w:p>
        </w:tc>
      </w:tr>
      <w:tr w:rsidR="002A54FF" w:rsidRPr="00500637" w14:paraId="7949D943" w14:textId="77777777" w:rsidTr="000B66BC">
        <w:trPr>
          <w:trHeight w:val="445"/>
        </w:trPr>
        <w:tc>
          <w:tcPr>
            <w:tcW w:w="1559" w:type="dxa"/>
            <w:shd w:val="clear" w:color="auto" w:fill="FFFFFF"/>
          </w:tcPr>
          <w:p w14:paraId="55F0F0BF" w14:textId="2E63969B"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{0010;0010}</w:t>
            </w:r>
          </w:p>
        </w:tc>
        <w:tc>
          <w:tcPr>
            <w:tcW w:w="7406" w:type="dxa"/>
            <w:shd w:val="clear" w:color="auto" w:fill="FFFFFF"/>
          </w:tcPr>
          <w:p w14:paraId="1750A9AE" w14:textId="2B686C42" w:rsidR="00F4754B" w:rsidRPr="00500637" w:rsidRDefault="00F4754B" w:rsidP="000B66BC">
            <w:pPr>
              <w:pStyle w:val="BodyText1"/>
              <w:spacing w:after="240" w:line="240" w:lineRule="auto"/>
              <w:rPr>
                <w:rFonts w:ascii="Times New Roman" w:hAnsi="Times New Roman"/>
                <w:b/>
                <w:sz w:val="24"/>
                <w:szCs w:val="24"/>
              </w:rPr>
            </w:pPr>
            <w:r w:rsidRPr="00500637">
              <w:rPr>
                <w:rFonts w:ascii="Times New Roman" w:hAnsi="Times New Roman"/>
                <w:b/>
                <w:sz w:val="24"/>
              </w:rPr>
              <w:t>Außerbilanzielle Posten – Risikopositionswert für die Verschuldungsquote</w:t>
            </w:r>
          </w:p>
          <w:p w14:paraId="158DBAF4" w14:textId="1A1A8F2F" w:rsidR="002509B1"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berechnet als Summe aus {LRCalc;0150;0010}, {LRCalc;0160;0010}, {LRCalc;0165;0010} {LRCalc;0170;0010} und {LRCalc;0180;0010} ohne die gemäß Artikel 429a Absatz 1 Buchstaben c und ca der Verordnung (EU) Nr. 575/2013 ausgenommenen jeweiligen gruppeninternen Risikopositionen (Einzelbasis).</w:t>
            </w:r>
          </w:p>
        </w:tc>
      </w:tr>
      <w:tr w:rsidR="002A54FF" w:rsidRPr="00500637" w14:paraId="5C714FF5" w14:textId="77777777" w:rsidTr="000B66BC">
        <w:trPr>
          <w:trHeight w:val="1179"/>
        </w:trPr>
        <w:tc>
          <w:tcPr>
            <w:tcW w:w="1559" w:type="dxa"/>
            <w:shd w:val="clear" w:color="auto" w:fill="FFFFFF"/>
          </w:tcPr>
          <w:p w14:paraId="2120C924" w14:textId="781A0373"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{0010;0020}</w:t>
            </w:r>
          </w:p>
        </w:tc>
        <w:tc>
          <w:tcPr>
            <w:tcW w:w="7406" w:type="dxa"/>
            <w:shd w:val="clear" w:color="auto" w:fill="FFFFFF"/>
          </w:tcPr>
          <w:p w14:paraId="01D12FD7" w14:textId="094E74CB" w:rsidR="00F4754B" w:rsidRPr="00500637" w:rsidRDefault="00F4754B" w:rsidP="000B66BC">
            <w:pPr>
              <w:pStyle w:val="BodyText1"/>
              <w:spacing w:after="240" w:line="240" w:lineRule="auto"/>
              <w:rPr>
                <w:rFonts w:ascii="Times New Roman" w:hAnsi="Times New Roman"/>
                <w:b/>
                <w:sz w:val="24"/>
                <w:szCs w:val="24"/>
              </w:rPr>
            </w:pPr>
            <w:r w:rsidRPr="00500637">
              <w:rPr>
                <w:rFonts w:ascii="Times New Roman" w:hAnsi="Times New Roman"/>
                <w:b/>
                <w:sz w:val="24"/>
              </w:rPr>
              <w:t>Außerbilanzielle Posten – RWEA</w:t>
            </w:r>
          </w:p>
          <w:p w14:paraId="672047D9" w14:textId="29F80B05" w:rsidR="002509B1" w:rsidRPr="00500637" w:rsidRDefault="00F4754B"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 xml:space="preserve">Der risikogewichtete Risikopositionsbetrag der außerbilanziellen Posten – ohne SFTs und Derivate – nach dem Standardansatz und dem IRB-Ansatz. Für Risikopositionen nach dem Standardansatz ermitteln die Institute den </w:t>
            </w:r>
            <w:r w:rsidRPr="00500637">
              <w:rPr>
                <w:rFonts w:ascii="Times New Roman" w:hAnsi="Times New Roman"/>
                <w:sz w:val="24"/>
              </w:rPr>
              <w:lastRenderedPageBreak/>
              <w:t>risikogewichteten Positionsbetrag gemäß Teil 2 Titel II Kapitel 3 der Verordnung (EU) Nr. 575/2013. Für Risikopositionen nach dem IRB-Ansatz ermitteln die Institute den risikogewichteten Positionsbetrag gemäß Teil 3 Titel II Kapitel 3 der Verordnung (EU) Nr. 575/2013.</w:t>
            </w:r>
          </w:p>
        </w:tc>
      </w:tr>
      <w:tr w:rsidR="002A54FF" w:rsidRPr="00500637" w14:paraId="3A2B982B" w14:textId="77777777" w:rsidTr="000B66BC">
        <w:trPr>
          <w:trHeight w:val="741"/>
        </w:trPr>
        <w:tc>
          <w:tcPr>
            <w:tcW w:w="1559" w:type="dxa"/>
            <w:shd w:val="clear" w:color="auto" w:fill="FFFFFF"/>
          </w:tcPr>
          <w:p w14:paraId="02155B13" w14:textId="2421AAB9"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lastRenderedPageBreak/>
              <w:t>{0020;0010}</w:t>
            </w:r>
          </w:p>
        </w:tc>
        <w:tc>
          <w:tcPr>
            <w:tcW w:w="7406" w:type="dxa"/>
            <w:shd w:val="clear" w:color="auto" w:fill="FFFFFF"/>
          </w:tcPr>
          <w:p w14:paraId="08539F0E" w14:textId="34DD4FEA" w:rsidR="00F4754B" w:rsidRPr="00500637" w:rsidRDefault="005E7B71"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davon: Handelsfinanzierung – Risikopositionswert für die Verschuldungsquote</w:t>
            </w:r>
          </w:p>
          <w:p w14:paraId="645ACACC" w14:textId="77777777" w:rsidR="00F21A85" w:rsidRPr="00500637" w:rsidRDefault="00F4754B" w:rsidP="00F21A85">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handelsfinanzierungsbezogene außerbilanzielle Posten.</w:t>
            </w:r>
          </w:p>
          <w:p w14:paraId="133382BF" w14:textId="754E9FF1" w:rsidR="002509B1" w:rsidRPr="00500637" w:rsidRDefault="00F4754B" w:rsidP="00F21A85">
            <w:pPr>
              <w:pStyle w:val="BodyText1"/>
              <w:spacing w:after="240" w:line="240" w:lineRule="auto"/>
              <w:rPr>
                <w:rFonts w:ascii="Times New Roman" w:hAnsi="Times New Roman"/>
                <w:bCs/>
                <w:sz w:val="24"/>
                <w:szCs w:val="24"/>
              </w:rPr>
            </w:pPr>
            <w:r w:rsidRPr="00500637">
              <w:rPr>
                <w:rFonts w:ascii="Times New Roman" w:hAnsi="Times New Roman"/>
                <w:sz w:val="24"/>
              </w:rPr>
              <w:t>Für die in LR4 zu meldenden Angaben beziehen sich die handelsfinanzierungsbezogenen außerbilanziellen Posten auf ausgegebene und bestätigte kurzfristige und sich selbst liquidierende Import- und Exportakkreditive und ähnliche Geschäfte.</w:t>
            </w:r>
          </w:p>
        </w:tc>
      </w:tr>
      <w:tr w:rsidR="002A54FF" w:rsidRPr="00500637" w14:paraId="76EF75CF" w14:textId="77777777" w:rsidTr="000B66BC">
        <w:trPr>
          <w:trHeight w:val="1038"/>
        </w:trPr>
        <w:tc>
          <w:tcPr>
            <w:tcW w:w="1559" w:type="dxa"/>
            <w:shd w:val="clear" w:color="auto" w:fill="FFFFFF"/>
          </w:tcPr>
          <w:p w14:paraId="35797C75" w14:textId="0565FF18"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{0020;0020}</w:t>
            </w:r>
          </w:p>
        </w:tc>
        <w:tc>
          <w:tcPr>
            <w:tcW w:w="7406" w:type="dxa"/>
            <w:shd w:val="clear" w:color="auto" w:fill="FFFFFF"/>
          </w:tcPr>
          <w:p w14:paraId="249BC5D0" w14:textId="48587F9F" w:rsidR="002509B1" w:rsidRPr="00500637" w:rsidRDefault="005E7B71"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davon: Handelsfinanzierung – RWEA</w:t>
            </w:r>
          </w:p>
          <w:p w14:paraId="6D7F09A8" w14:textId="77777777" w:rsidR="006918E9" w:rsidRPr="00500637" w:rsidRDefault="00F4754B" w:rsidP="006918E9">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Risikopositionswert der handelsfinanzierungsbezogenen außerbilanziellen Posten – ohne SFTs und Derivate.</w:t>
            </w:r>
          </w:p>
          <w:p w14:paraId="38C84AEF" w14:textId="78316124" w:rsidR="002509B1" w:rsidRPr="00500637" w:rsidRDefault="00F4754B" w:rsidP="00F21A85">
            <w:pPr>
              <w:pStyle w:val="BodyText1"/>
              <w:spacing w:after="240" w:line="240" w:lineRule="auto"/>
              <w:rPr>
                <w:rFonts w:ascii="Times New Roman" w:hAnsi="Times New Roman"/>
                <w:b/>
                <w:bCs/>
                <w:sz w:val="24"/>
                <w:szCs w:val="24"/>
                <w:u w:val="single"/>
              </w:rPr>
            </w:pPr>
            <w:r w:rsidRPr="00500637">
              <w:rPr>
                <w:rFonts w:ascii="Times New Roman" w:hAnsi="Times New Roman"/>
                <w:sz w:val="24"/>
              </w:rPr>
              <w:t>Für die in LR4 zu meldenden Angaben beziehen sich die handelsfinanzierungsbezogenen außerbilanziellen Posten auf ausgegebene und bestätigte kurzfristige und sich selbst liquidierende Import- und Exportakkreditive und ähnliche Geschäfte.</w:t>
            </w:r>
          </w:p>
        </w:tc>
      </w:tr>
      <w:tr w:rsidR="002A54FF" w:rsidRPr="00500637" w14:paraId="277256CF" w14:textId="77777777" w:rsidTr="000B66BC">
        <w:trPr>
          <w:trHeight w:val="1030"/>
        </w:trPr>
        <w:tc>
          <w:tcPr>
            <w:tcW w:w="1559" w:type="dxa"/>
            <w:shd w:val="clear" w:color="auto" w:fill="FFFFFF"/>
          </w:tcPr>
          <w:p w14:paraId="5B876EDF" w14:textId="3902F515"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{0030;0010}</w:t>
            </w:r>
          </w:p>
        </w:tc>
        <w:tc>
          <w:tcPr>
            <w:tcW w:w="7406" w:type="dxa"/>
            <w:shd w:val="clear" w:color="auto" w:fill="FFFFFF"/>
          </w:tcPr>
          <w:p w14:paraId="48F51CF2" w14:textId="4EB6A65B" w:rsidR="002509B1" w:rsidRPr="00500637" w:rsidRDefault="005E7B71"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davon: Im Rahmen eines öffentlichen Exportkreditversicherungssystems – Risikopositionswert für die Verschuldungsquote</w:t>
            </w:r>
          </w:p>
          <w:p w14:paraId="6B70A020" w14:textId="3C72A663" w:rsidR="001F28E7" w:rsidRPr="00500637" w:rsidRDefault="00F4754B" w:rsidP="000B66BC">
            <w:pPr>
              <w:pStyle w:val="BodyText1"/>
              <w:spacing w:after="240" w:line="240" w:lineRule="auto"/>
              <w:rPr>
                <w:rFonts w:ascii="Times New Roman" w:hAnsi="Times New Roman"/>
                <w:sz w:val="24"/>
                <w:szCs w:val="24"/>
              </w:rPr>
            </w:pPr>
            <w:r w:rsidRPr="00500637">
              <w:rPr>
                <w:rFonts w:ascii="Times New Roman" w:hAnsi="Times New Roman"/>
                <w:sz w:val="24"/>
              </w:rPr>
              <w:t>Der Risikopositionswert für die Verschuldungsquote in Bezug auf außerbilanzielle Posten, die die Handelsfinanzierung im Rahmen eines öffentlichen Exportkreditversicherungssystems betreffen.</w:t>
            </w:r>
          </w:p>
          <w:p w14:paraId="71BE2A86" w14:textId="52B3D7F7" w:rsidR="002509B1" w:rsidRPr="00500637" w:rsidRDefault="00F4754B"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Für die in LR4 zu meldenden Angaben bezieht sich der Begriff öffentliches Exportkreditversicherungssystem auf öffentliche Unterstützung, die vom Staat oder einer anderen Stelle, wie zum Beispiel einer Exportversicherungsagentur, in Form von, unter anderem, Direktkrediten/-finanzierungen, Refinanzierungen, Zinszuschüssen (wenn über die gesamte Laufzeit des Kredits ein Festzinssatz garantiert wird), Finanzierungen von Hilfsmaßnahmen (Kredite und Zuschüsse), Exportkreditversicherungen und -garantien zur Verfügung gestellt wird.</w:t>
            </w:r>
          </w:p>
        </w:tc>
      </w:tr>
    </w:tbl>
    <w:p w14:paraId="6F0906AF" w14:textId="77777777" w:rsidR="00500637" w:rsidRDefault="00500637">
      <w:r>
        <w:br w:type="page"/>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500637" w14:paraId="46968C9B" w14:textId="77777777" w:rsidTr="000B66BC">
        <w:trPr>
          <w:trHeight w:val="601"/>
        </w:trPr>
        <w:tc>
          <w:tcPr>
            <w:tcW w:w="1559" w:type="dxa"/>
            <w:shd w:val="clear" w:color="auto" w:fill="FFFFFF"/>
          </w:tcPr>
          <w:p w14:paraId="68790E0D" w14:textId="645A15F3"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lastRenderedPageBreak/>
              <w:t>{0030;0020}</w:t>
            </w:r>
          </w:p>
        </w:tc>
        <w:tc>
          <w:tcPr>
            <w:tcW w:w="7406" w:type="dxa"/>
            <w:shd w:val="clear" w:color="auto" w:fill="FFFFFF"/>
          </w:tcPr>
          <w:p w14:paraId="071CF42C" w14:textId="4BD5D1B3" w:rsidR="00F4754B" w:rsidRPr="00500637" w:rsidRDefault="005E7B71"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davon: Im Rahmen eines öffentlichen Exportkreditversicherungssystems – Risikogewichteter Positionsbetrag (RWEA)</w:t>
            </w:r>
          </w:p>
          <w:p w14:paraId="0E7BC811" w14:textId="6F1A953F" w:rsidR="001F28E7" w:rsidRPr="00500637" w:rsidRDefault="00F4754B" w:rsidP="000B66BC">
            <w:pPr>
              <w:pStyle w:val="BodyText1"/>
              <w:spacing w:after="240" w:line="240" w:lineRule="auto"/>
              <w:rPr>
                <w:rFonts w:ascii="Times New Roman" w:hAnsi="Times New Roman"/>
                <w:sz w:val="24"/>
                <w:szCs w:val="24"/>
              </w:rPr>
            </w:pPr>
            <w:r w:rsidRPr="00500637">
              <w:rPr>
                <w:rFonts w:ascii="Times New Roman" w:hAnsi="Times New Roman"/>
                <w:sz w:val="24"/>
              </w:rPr>
              <w:t>Der risikogewichtete Positionswert der außerbilanziellen Posten – ohne SFTs und Derivate –, die die Handelsfinanzierung im Rahmen eines öffentlichen Exportkreditversicherungssystems betreffen.</w:t>
            </w:r>
          </w:p>
          <w:p w14:paraId="2D3ADF55" w14:textId="478E84F7" w:rsidR="002509B1" w:rsidRPr="00500637" w:rsidRDefault="00F4754B"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Für die in LR4 zu meldenden Angaben bezieht sich der Begriff öffentliches Exportkreditversicherungssystem auf öffentliche Unterstützung, die vom Staat oder einer anderen Stelle, wie zum Beispiel einer Exportversicherungsagentur, in Form von, unter anderem, Direktkrediten/-finanzierungen, Refinanzierungen, Zinszuschüssen (wenn über die gesamte Laufzeit des Kredits ein Festzinssatz garantiert wird), Finanzierungen von Hilfsmaßnahmen (Kredite und Zuschüsse), Exportkreditversicherungen und -garantien zur Verfügung gestellt wird.</w:t>
            </w:r>
          </w:p>
        </w:tc>
      </w:tr>
      <w:tr w:rsidR="002A54FF" w:rsidRPr="00500637" w14:paraId="46D6302F" w14:textId="77777777" w:rsidTr="000B66BC">
        <w:trPr>
          <w:trHeight w:val="71"/>
        </w:trPr>
        <w:tc>
          <w:tcPr>
            <w:tcW w:w="1559" w:type="dxa"/>
            <w:shd w:val="clear" w:color="auto" w:fill="FFFFFF"/>
          </w:tcPr>
          <w:p w14:paraId="189CF026" w14:textId="3E532BFA"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{0040;0010}</w:t>
            </w:r>
          </w:p>
        </w:tc>
        <w:tc>
          <w:tcPr>
            <w:tcW w:w="7406" w:type="dxa"/>
            <w:shd w:val="clear" w:color="auto" w:fill="FFFFFF"/>
          </w:tcPr>
          <w:p w14:paraId="70B328B5" w14:textId="418FD16C" w:rsidR="002509B1"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Derivate und SFTs, die einer produktübergreifenden Nettingvereinbarung unterliegen – Risikopositionswert für die Verschuldungsquote</w:t>
            </w:r>
          </w:p>
          <w:p w14:paraId="04D3A7BA" w14:textId="2BCB7AFC" w:rsidR="002509B1" w:rsidRPr="00500637" w:rsidRDefault="00F4754B" w:rsidP="00F21A85">
            <w:pPr>
              <w:pStyle w:val="BodyText1"/>
              <w:spacing w:after="240" w:line="240" w:lineRule="auto"/>
              <w:rPr>
                <w:rFonts w:ascii="Times New Roman" w:hAnsi="Times New Roman"/>
                <w:b/>
                <w:bCs/>
                <w:sz w:val="24"/>
                <w:szCs w:val="24"/>
                <w:u w:val="single"/>
              </w:rPr>
            </w:pPr>
            <w:r w:rsidRPr="00500637">
              <w:rPr>
                <w:rFonts w:ascii="Times New Roman" w:hAnsi="Times New Roman"/>
                <w:sz w:val="24"/>
              </w:rPr>
              <w:t>Der Risikopositionswert für die Verschuldungsquote bei Derivaten und SFTs, falls diese Geschäfte einer produktübergreifenden Nettingvereinbarung im Sinne von Artikel 272 Nummer 25 der Verordnung (EU) Nr. 575/2013 unterliegen.</w:t>
            </w:r>
          </w:p>
        </w:tc>
      </w:tr>
      <w:tr w:rsidR="002A54FF" w:rsidRPr="00500637" w14:paraId="71AC64BB" w14:textId="77777777" w:rsidTr="000B66BC">
        <w:trPr>
          <w:trHeight w:val="71"/>
        </w:trPr>
        <w:tc>
          <w:tcPr>
            <w:tcW w:w="1559" w:type="dxa"/>
            <w:shd w:val="clear" w:color="auto" w:fill="FFFFFF"/>
          </w:tcPr>
          <w:p w14:paraId="22035BF5" w14:textId="02E9D935"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{0040;0020}</w:t>
            </w:r>
          </w:p>
        </w:tc>
        <w:tc>
          <w:tcPr>
            <w:tcW w:w="7406" w:type="dxa"/>
            <w:shd w:val="clear" w:color="auto" w:fill="FFFFFF"/>
          </w:tcPr>
          <w:p w14:paraId="6A93DC52" w14:textId="5A4C8705" w:rsidR="002509B1"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Derivate und SFTs, die einer produktübergreifenden Nettingvereinbarung unterliegen – Risikogewichteter Positionsbetrag (RWEA)</w:t>
            </w:r>
          </w:p>
          <w:p w14:paraId="2D88BC4B" w14:textId="20CFA414"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nach Teil 3 Titel II der Verordnung (EU) Nr. 575/2013 berechneten risikogewichteten Positionsbeträge in Bezug auf das Kreditrisiko und das Gegenparteiausfallrisiko für Derivate und SFTs, einschließlich der außerbilanziellen, falls diese Geschäfte einer produktübergreifenden Nettingvereinbarung im Sinne von Artikel 272 Nummer 25 der Verordnung (EU) Nr. 575/2013 unterliegen.</w:t>
            </w:r>
          </w:p>
        </w:tc>
      </w:tr>
      <w:tr w:rsidR="002A54FF" w:rsidRPr="00500637" w14:paraId="6FAD68FE" w14:textId="77777777" w:rsidTr="000B66BC">
        <w:trPr>
          <w:trHeight w:val="71"/>
        </w:trPr>
        <w:tc>
          <w:tcPr>
            <w:tcW w:w="1559" w:type="dxa"/>
            <w:shd w:val="clear" w:color="auto" w:fill="FFFFFF"/>
          </w:tcPr>
          <w:p w14:paraId="7DA151D1" w14:textId="1DC22948"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{0050;0010}</w:t>
            </w:r>
          </w:p>
        </w:tc>
        <w:tc>
          <w:tcPr>
            <w:tcW w:w="7406" w:type="dxa"/>
            <w:shd w:val="clear" w:color="auto" w:fill="FFFFFF"/>
          </w:tcPr>
          <w:p w14:paraId="37A53F91" w14:textId="1692A468" w:rsidR="002509B1"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Derivate, die keiner produktübergreifenden Nettingvereinbarung unterliegen – Risikopositionswert für die Verschuldungsquote</w:t>
            </w:r>
          </w:p>
          <w:p w14:paraId="48BC0234" w14:textId="58D66696" w:rsidR="002509B1"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sz w:val="24"/>
              </w:rPr>
              <w:t>Der Risikopositionswert für die Verschuldungsquote bei Derivaten, falls diese Geschäfte keiner produktübergreifenden Nettingvereinbarung im Sinne von Artikel 272 Nummer 25 der Verordnung (EU) Nr. 575/2013 unterliegen.</w:t>
            </w:r>
          </w:p>
        </w:tc>
      </w:tr>
      <w:tr w:rsidR="002A54FF" w:rsidRPr="00500637" w14:paraId="109BE50A" w14:textId="77777777" w:rsidTr="000B66BC">
        <w:trPr>
          <w:trHeight w:val="71"/>
        </w:trPr>
        <w:tc>
          <w:tcPr>
            <w:tcW w:w="1559" w:type="dxa"/>
            <w:shd w:val="clear" w:color="auto" w:fill="FFFFFF"/>
          </w:tcPr>
          <w:p w14:paraId="6AA1CBE3" w14:textId="7C7D5476"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{0050;0020}</w:t>
            </w:r>
          </w:p>
        </w:tc>
        <w:tc>
          <w:tcPr>
            <w:tcW w:w="7406" w:type="dxa"/>
            <w:shd w:val="clear" w:color="auto" w:fill="FFFFFF"/>
          </w:tcPr>
          <w:p w14:paraId="128CF8E8" w14:textId="0277DB7A" w:rsidR="002509B1"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Derivate, die keiner produktübergreifenden Nettingvereinbarung unterliegen – Risikogewichteter Positionsbetrag (RWEA)</w:t>
            </w:r>
          </w:p>
          <w:p w14:paraId="328E1A83" w14:textId="58F42996" w:rsidR="002509B1" w:rsidRPr="00500637" w:rsidRDefault="00F4754B" w:rsidP="00F21A85">
            <w:pPr>
              <w:pStyle w:val="BodyText1"/>
              <w:spacing w:after="240" w:line="240" w:lineRule="auto"/>
              <w:rPr>
                <w:rFonts w:ascii="Times New Roman" w:hAnsi="Times New Roman"/>
                <w:b/>
                <w:bCs/>
                <w:sz w:val="24"/>
                <w:szCs w:val="24"/>
              </w:rPr>
            </w:pPr>
            <w:r w:rsidRPr="00500637">
              <w:rPr>
                <w:rFonts w:ascii="Times New Roman" w:hAnsi="Times New Roman"/>
                <w:sz w:val="24"/>
              </w:rPr>
              <w:t xml:space="preserve">Die nach Teil 3 Titel II der Verordnung (EU) Nr. 575/2013 berechneten risikogewichteten Positionsbeträge in Bezug auf das Kreditrisiko und das </w:t>
            </w:r>
            <w:r w:rsidRPr="00500637">
              <w:rPr>
                <w:rFonts w:ascii="Times New Roman" w:hAnsi="Times New Roman"/>
                <w:sz w:val="24"/>
              </w:rPr>
              <w:lastRenderedPageBreak/>
              <w:t>Gegenparteiausfallrisiko für Derivate, einschließlich der außerbilanziellen, falls diese Geschäfte keiner produktübergreifenden Nettingvereinbarung im Sinne von Artikel 272 Nummer 25 der Verordnung (EU) Nr. 575/2013 unterliegen.</w:t>
            </w:r>
          </w:p>
        </w:tc>
      </w:tr>
      <w:tr w:rsidR="002A54FF" w:rsidRPr="00500637" w14:paraId="250886B1" w14:textId="77777777" w:rsidTr="000B66BC">
        <w:trPr>
          <w:trHeight w:val="71"/>
        </w:trPr>
        <w:tc>
          <w:tcPr>
            <w:tcW w:w="1559" w:type="dxa"/>
            <w:shd w:val="clear" w:color="auto" w:fill="FFFFFF"/>
          </w:tcPr>
          <w:p w14:paraId="47AE751E" w14:textId="7CC20598"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lastRenderedPageBreak/>
              <w:t>{0060;0010}</w:t>
            </w:r>
          </w:p>
        </w:tc>
        <w:tc>
          <w:tcPr>
            <w:tcW w:w="7406" w:type="dxa"/>
            <w:shd w:val="clear" w:color="auto" w:fill="FFFFFF"/>
          </w:tcPr>
          <w:p w14:paraId="62FDB809" w14:textId="5F25550B" w:rsidR="002509B1"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SFTs, die keiner produktübergreifenden Nettingvereinbarung unterliegen – Risikopositionswert für die Verschuldungsquote</w:t>
            </w:r>
          </w:p>
          <w:p w14:paraId="621A4651" w14:textId="29EC337D" w:rsidR="000A486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sz w:val="24"/>
              </w:rPr>
              <w:t>Der Risikopositionswert für die Verschuldungsquote bei SFTs, falls diese Geschäfte keiner produktübergreifenden Nettingvereinbarung im Sinne von Artikel 272 Nummer 25 der Verordnung (EU) Nr. 575/2013 unterliegen.</w:t>
            </w:r>
          </w:p>
        </w:tc>
      </w:tr>
      <w:tr w:rsidR="002A54FF" w:rsidRPr="00500637" w14:paraId="02CE5A4B" w14:textId="77777777" w:rsidTr="000B66BC">
        <w:trPr>
          <w:trHeight w:val="71"/>
        </w:trPr>
        <w:tc>
          <w:tcPr>
            <w:tcW w:w="1559" w:type="dxa"/>
            <w:shd w:val="clear" w:color="auto" w:fill="FFFFFF"/>
          </w:tcPr>
          <w:p w14:paraId="5323F20A" w14:textId="5C57C5D6"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{0060;0020}</w:t>
            </w:r>
          </w:p>
        </w:tc>
        <w:tc>
          <w:tcPr>
            <w:tcW w:w="7406" w:type="dxa"/>
            <w:shd w:val="clear" w:color="auto" w:fill="FFFFFF"/>
          </w:tcPr>
          <w:p w14:paraId="25095D40" w14:textId="2E4D9B74"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SFTs, die keiner produktübergreifenden Nettingvereinbarung unterliegen – Risikogewichteter Positionsbetrag (RWEA)</w:t>
            </w:r>
          </w:p>
          <w:p w14:paraId="0358DACB" w14:textId="7C980E23" w:rsidR="002509B1" w:rsidRPr="00500637" w:rsidRDefault="00F4754B" w:rsidP="00F21A85">
            <w:pPr>
              <w:pStyle w:val="BodyText1"/>
              <w:spacing w:after="240" w:line="240" w:lineRule="auto"/>
              <w:rPr>
                <w:rFonts w:ascii="Times New Roman" w:hAnsi="Times New Roman"/>
                <w:b/>
                <w:bCs/>
                <w:sz w:val="24"/>
                <w:szCs w:val="24"/>
              </w:rPr>
            </w:pPr>
            <w:r w:rsidRPr="00500637">
              <w:rPr>
                <w:rFonts w:ascii="Times New Roman" w:hAnsi="Times New Roman"/>
                <w:sz w:val="24"/>
              </w:rPr>
              <w:t>Die nach Teil 3 Titel II der Verordnung (EU) Nr. 575/2013 berechneten risikogewichteten Positionsbeträge in Bezug auf das Kreditrisiko und das Gegenparteiausfallrisiko für SFTs, einschließlich der außerbilanziellen, falls diese Geschäfte keiner produktübergreifenden Nettingvereinbarung im Sinne von Artikel 272 Nummer 25 der Verordnung (EU) Nr. 575/2013 unterliegen.</w:t>
            </w:r>
          </w:p>
        </w:tc>
      </w:tr>
      <w:tr w:rsidR="002A54FF" w:rsidRPr="00500637" w14:paraId="53E747C0" w14:textId="77777777" w:rsidTr="000B66BC">
        <w:trPr>
          <w:trHeight w:val="71"/>
        </w:trPr>
        <w:tc>
          <w:tcPr>
            <w:tcW w:w="1559" w:type="dxa"/>
            <w:shd w:val="clear" w:color="auto" w:fill="FFFFFF"/>
          </w:tcPr>
          <w:p w14:paraId="416A99BB" w14:textId="71684C56" w:rsidR="00465521" w:rsidRPr="00500637" w:rsidRDefault="00465521" w:rsidP="000B66BC">
            <w:pPr>
              <w:pStyle w:val="BodyText1"/>
              <w:spacing w:after="240"/>
              <w:rPr>
                <w:rFonts w:ascii="Times New Roman" w:hAnsi="Times New Roman"/>
                <w:bCs/>
                <w:sz w:val="24"/>
                <w:szCs w:val="24"/>
              </w:rPr>
            </w:pPr>
            <w:r w:rsidRPr="00500637">
              <w:rPr>
                <w:rFonts w:ascii="Times New Roman" w:hAnsi="Times New Roman"/>
                <w:sz w:val="24"/>
              </w:rPr>
              <w:t>{0065;0010}</w:t>
            </w:r>
          </w:p>
        </w:tc>
        <w:tc>
          <w:tcPr>
            <w:tcW w:w="7406" w:type="dxa"/>
            <w:shd w:val="clear" w:color="auto" w:fill="FFFFFF"/>
          </w:tcPr>
          <w:p w14:paraId="40B65940" w14:textId="26A29B28" w:rsidR="004968DF" w:rsidRPr="00500637" w:rsidRDefault="004968DF"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Positionsbeträge aus der zusätzlichen Behandlung für Kreditderivate – Risikopositionswert für die Verschuldungsquote</w:t>
            </w:r>
          </w:p>
          <w:p w14:paraId="1E879EE4" w14:textId="70635271" w:rsidR="00EC2C14" w:rsidRPr="00500637" w:rsidRDefault="000D3973" w:rsidP="000B66BC">
            <w:pPr>
              <w:pStyle w:val="BodyText1"/>
              <w:spacing w:after="240" w:line="240" w:lineRule="auto"/>
              <w:rPr>
                <w:rFonts w:ascii="Times New Roman" w:hAnsi="Times New Roman"/>
                <w:b/>
                <w:bCs/>
                <w:sz w:val="24"/>
                <w:szCs w:val="24"/>
              </w:rPr>
            </w:pPr>
            <w:r w:rsidRPr="00500637">
              <w:rPr>
                <w:rFonts w:ascii="Times New Roman" w:hAnsi="Times New Roman"/>
                <w:sz w:val="24"/>
              </w:rPr>
              <w:t>Entspricht der Differenz zwischen {LRCalc;0130;0010} und {LRCalc;0140;0010} ohne die gemäß Artikel 429a Absatz 1 Buchstabe c der Verordnung (EU) Nr. 575/2013 ausgenommenen jeweiligen gruppeninternen Risikopositionen (Einzelbasis).</w:t>
            </w:r>
          </w:p>
        </w:tc>
      </w:tr>
      <w:tr w:rsidR="002A54FF" w:rsidRPr="00500637" w14:paraId="07289AF9" w14:textId="77777777" w:rsidTr="000B66BC">
        <w:trPr>
          <w:trHeight w:val="71"/>
        </w:trPr>
        <w:tc>
          <w:tcPr>
            <w:tcW w:w="1559" w:type="dxa"/>
            <w:shd w:val="clear" w:color="auto" w:fill="FFFFFF"/>
          </w:tcPr>
          <w:p w14:paraId="6AB8700E" w14:textId="3A0BBEE5"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{0070;0010}</w:t>
            </w:r>
          </w:p>
        </w:tc>
        <w:tc>
          <w:tcPr>
            <w:tcW w:w="7406" w:type="dxa"/>
            <w:shd w:val="clear" w:color="auto" w:fill="FFFFFF"/>
          </w:tcPr>
          <w:p w14:paraId="330EEA74" w14:textId="3FC00B7E" w:rsidR="002509B1"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Andere dem Handelsbuch zugehörige Vermögenswerte – Risikopositionswert für die Verschuldungsquote</w:t>
            </w:r>
          </w:p>
          <w:p w14:paraId="1E037EEA" w14:textId="4585B1FF" w:rsidR="002509B1"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die in {LRCalc;0190;0010} ausgewiesenen Posten, ohne Positionen, die nicht dem Handelsbuch zuzurechnen sind.</w:t>
            </w:r>
          </w:p>
        </w:tc>
      </w:tr>
      <w:tr w:rsidR="002A54FF" w:rsidRPr="00500637" w14:paraId="57915034" w14:textId="77777777" w:rsidTr="000B66BC">
        <w:trPr>
          <w:trHeight w:val="71"/>
        </w:trPr>
        <w:tc>
          <w:tcPr>
            <w:tcW w:w="1559" w:type="dxa"/>
            <w:shd w:val="clear" w:color="auto" w:fill="FFFFFF"/>
          </w:tcPr>
          <w:p w14:paraId="3BCDEC45" w14:textId="088A2CCB"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{0070;0020}</w:t>
            </w:r>
          </w:p>
        </w:tc>
        <w:tc>
          <w:tcPr>
            <w:tcW w:w="7406" w:type="dxa"/>
            <w:shd w:val="clear" w:color="auto" w:fill="FFFFFF"/>
          </w:tcPr>
          <w:p w14:paraId="6FF1BCA1" w14:textId="350A5995" w:rsidR="002509B1"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Andere dem Handelsbuch zugehörige Vermögenswerte – Risikogewichteter Positionsbetrag (RWEA)</w:t>
            </w:r>
          </w:p>
          <w:p w14:paraId="17C0B94C" w14:textId="2D5EB176" w:rsidR="002509B1" w:rsidRPr="00500637" w:rsidRDefault="00F4754B"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Eigenmittelanforderungen multipliziert mit 12,5 in Bezug auf die Positionen, die Teil 3 Titel IV der Verordnung (EU) Nr. 575/2013 unterliegen.</w:t>
            </w:r>
          </w:p>
        </w:tc>
      </w:tr>
      <w:tr w:rsidR="002A54FF" w:rsidRPr="00500637" w14:paraId="30AD6972" w14:textId="77777777" w:rsidTr="000B66BC">
        <w:trPr>
          <w:trHeight w:val="71"/>
        </w:trPr>
        <w:tc>
          <w:tcPr>
            <w:tcW w:w="1559" w:type="dxa"/>
            <w:shd w:val="clear" w:color="auto" w:fill="FFFFFF"/>
          </w:tcPr>
          <w:p w14:paraId="7CBED28C" w14:textId="1FF40440"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{0080;0010}</w:t>
            </w:r>
          </w:p>
        </w:tc>
        <w:tc>
          <w:tcPr>
            <w:tcW w:w="7406" w:type="dxa"/>
            <w:shd w:val="clear" w:color="auto" w:fill="FFFFFF"/>
          </w:tcPr>
          <w:p w14:paraId="02FC2330" w14:textId="10761471" w:rsidR="002509B1"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Gedeckte Schuldverschreibungen – Risikopositionswert für die Verschuldungsquote – Risikopositionen nach dem Standardansatz</w:t>
            </w:r>
          </w:p>
          <w:p w14:paraId="7DABED3A" w14:textId="24CAD1D0" w:rsidR="002509B1"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 xml:space="preserve">Der Risikopositionswert für die Verschuldungsquote in Bezug auf Vermögenswerte, bei denen es sich um Risikopositionen nach dem </w:t>
            </w:r>
            <w:r w:rsidRPr="00500637">
              <w:rPr>
                <w:rFonts w:ascii="Times New Roman" w:hAnsi="Times New Roman"/>
                <w:sz w:val="24"/>
              </w:rPr>
              <w:lastRenderedPageBreak/>
              <w:t>Standardansatz in Form gedeckter Schuldverschreibungen im Sinne von Artikel 129 der Verordnung (EU) Nr. 575/2013 handelt.</w:t>
            </w:r>
          </w:p>
          <w:p w14:paraId="1426D45B" w14:textId="0DF44122" w:rsidR="00086A8A" w:rsidRPr="00500637" w:rsidRDefault="00086A8A"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melden die Beträge abzüglich der ausgefallenen Risikopositionen nach dem Standardansatz.</w:t>
            </w:r>
          </w:p>
        </w:tc>
      </w:tr>
      <w:tr w:rsidR="002A54FF" w:rsidRPr="00500637" w14:paraId="56ECC5B8" w14:textId="77777777" w:rsidTr="000B66BC">
        <w:trPr>
          <w:trHeight w:val="71"/>
        </w:trPr>
        <w:tc>
          <w:tcPr>
            <w:tcW w:w="1559" w:type="dxa"/>
            <w:shd w:val="clear" w:color="auto" w:fill="FFFFFF"/>
          </w:tcPr>
          <w:p w14:paraId="07B311B6" w14:textId="2F59A0E8"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lastRenderedPageBreak/>
              <w:t>{0080;0020}</w:t>
            </w:r>
          </w:p>
        </w:tc>
        <w:tc>
          <w:tcPr>
            <w:tcW w:w="7406" w:type="dxa"/>
            <w:shd w:val="clear" w:color="auto" w:fill="FFFFFF"/>
          </w:tcPr>
          <w:p w14:paraId="7BBB17AE" w14:textId="77777777"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Gedeckte Schuldverschreibungen – Risikopositionswert für die Verschuldungsquote – Risikopositionen nach dem IRB-Ansatz</w:t>
            </w:r>
          </w:p>
          <w:p w14:paraId="31EFC20D" w14:textId="13DFD927" w:rsidR="009C4E79"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Vermögenswerte, bei denen es sich um Risikopositionen nach dem IRB-Ansatz in Form gedeckter Schuldverschreibungen im Sinne von Artikel 161 Absatz 1 Buchstabe d der Verordnung (EU) Nr. 575/2013 handelt.</w:t>
            </w:r>
          </w:p>
          <w:p w14:paraId="69149D8B" w14:textId="5AF9D0AA" w:rsidR="002509B1" w:rsidRPr="00500637" w:rsidRDefault="009C4E79"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melden die Beträge abzüglich der ausgefallenen Risikopositionen nach dem IRB-Ansatz.</w:t>
            </w:r>
          </w:p>
        </w:tc>
      </w:tr>
      <w:tr w:rsidR="002A54FF" w:rsidRPr="00500637" w14:paraId="1CBCAE59" w14:textId="77777777" w:rsidTr="000B66BC">
        <w:trPr>
          <w:trHeight w:val="71"/>
        </w:trPr>
        <w:tc>
          <w:tcPr>
            <w:tcW w:w="1559" w:type="dxa"/>
            <w:shd w:val="clear" w:color="auto" w:fill="FFFFFF"/>
          </w:tcPr>
          <w:p w14:paraId="546A1715" w14:textId="2259578F"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{0080;0030}</w:t>
            </w:r>
          </w:p>
        </w:tc>
        <w:tc>
          <w:tcPr>
            <w:tcW w:w="7406" w:type="dxa"/>
            <w:shd w:val="clear" w:color="auto" w:fill="FFFFFF"/>
          </w:tcPr>
          <w:p w14:paraId="05046869" w14:textId="5880D72C"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Gedeckte Schuldverschreibungen – Risikogewichteter Positionsbetrag (RWEA) – Risikopositionen nach dem Standardansatz</w:t>
            </w:r>
          </w:p>
          <w:p w14:paraId="6C4B05A8" w14:textId="0D9A76AD" w:rsidR="00086A8A"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Positionsbetrag von Vermögenswerten, bei denen es sich um Risikopositionen nach dem Standardansatz in Form gedeckter Schuldverschreibungen nach Artikel 129 der Verordnung (EU) Nr. 575/2013 handelt.</w:t>
            </w:r>
          </w:p>
          <w:p w14:paraId="44B63283" w14:textId="34A33B6E" w:rsidR="00086A8A" w:rsidRPr="00500637"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Standardansatz.</w:t>
            </w:r>
          </w:p>
        </w:tc>
      </w:tr>
      <w:tr w:rsidR="002A54FF" w:rsidRPr="00500637" w14:paraId="49349ECB" w14:textId="77777777" w:rsidTr="000B66BC">
        <w:trPr>
          <w:trHeight w:val="71"/>
        </w:trPr>
        <w:tc>
          <w:tcPr>
            <w:tcW w:w="1559" w:type="dxa"/>
            <w:shd w:val="clear" w:color="auto" w:fill="FFFFFF"/>
          </w:tcPr>
          <w:p w14:paraId="0D794F3F" w14:textId="2F016AE6"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{0080;0040}</w:t>
            </w:r>
          </w:p>
        </w:tc>
        <w:tc>
          <w:tcPr>
            <w:tcW w:w="7406" w:type="dxa"/>
            <w:shd w:val="clear" w:color="auto" w:fill="FFFFFF"/>
          </w:tcPr>
          <w:p w14:paraId="513DAEE1" w14:textId="752BA960" w:rsidR="002509B1"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Gedeckte Schuldverschreibungen – Risikogewichteter Positionsbetrag (RWEA) – Risikopositionen nach dem IRB-Ansatz</w:t>
            </w:r>
          </w:p>
          <w:p w14:paraId="466ABC6A" w14:textId="79C78597"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Positionsbetrag von Vermögenswerten, bei denen es sich um Risikopositionen in Form gedeckter Schuldverschreibungen nach Artikel 161 Absatz 1 Buchstabe d der der Verordnung (EU) Nr. 575/2013 handelt.</w:t>
            </w:r>
          </w:p>
          <w:p w14:paraId="64310FB6" w14:textId="6BA49164" w:rsidR="009C4E79" w:rsidRPr="00500637" w:rsidRDefault="009C4E79"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melden die Beträge abzüglich der ausgefallenen Risikopositionen nach dem IRB-Ansatz.</w:t>
            </w:r>
          </w:p>
        </w:tc>
      </w:tr>
      <w:tr w:rsidR="002A54FF" w:rsidRPr="00500637" w14:paraId="00C56CBD" w14:textId="77777777" w:rsidTr="000B66BC">
        <w:trPr>
          <w:trHeight w:val="71"/>
        </w:trPr>
        <w:tc>
          <w:tcPr>
            <w:tcW w:w="1559" w:type="dxa"/>
            <w:shd w:val="clear" w:color="auto" w:fill="FFFFFF"/>
          </w:tcPr>
          <w:p w14:paraId="02BCBE3F" w14:textId="6D5D74E3"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{0090,0010}</w:t>
            </w:r>
          </w:p>
        </w:tc>
        <w:tc>
          <w:tcPr>
            <w:tcW w:w="7406" w:type="dxa"/>
            <w:shd w:val="clear" w:color="auto" w:fill="FFFFFF"/>
          </w:tcPr>
          <w:p w14:paraId="7C0C026C" w14:textId="236A8C03" w:rsidR="002509B1"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Risikopositionen, die wie Risikopositionen gegenüber Staaten behandelt werden – Risikopositionswert für die Verschuldungsquote – Risikopositionen nach dem Standardansatz</w:t>
            </w:r>
          </w:p>
          <w:p w14:paraId="0909B157" w14:textId="2673F018" w:rsidR="00086A8A"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Summe der Felder {0100,0010} bis {0130,0010}.</w:t>
            </w:r>
          </w:p>
          <w:p w14:paraId="144D9E7A" w14:textId="795F478B" w:rsidR="002509B1" w:rsidRPr="00500637" w:rsidRDefault="00086A8A" w:rsidP="000B66BC">
            <w:pPr>
              <w:pStyle w:val="BodyText1"/>
              <w:spacing w:after="240" w:line="240" w:lineRule="auto"/>
              <w:rPr>
                <w:rFonts w:ascii="Times New Roman" w:hAnsi="Times New Roman"/>
                <w:sz w:val="24"/>
                <w:szCs w:val="24"/>
              </w:rPr>
            </w:pPr>
            <w:r w:rsidRPr="00500637">
              <w:rPr>
                <w:rFonts w:ascii="Times New Roman" w:hAnsi="Times New Roman"/>
                <w:sz w:val="24"/>
              </w:rPr>
              <w:t>Die Institute melden die Beträge abzüglich der ausgefallenen Risikopositionen nach dem Standardansatz.</w:t>
            </w:r>
          </w:p>
        </w:tc>
      </w:tr>
      <w:tr w:rsidR="002A54FF" w:rsidRPr="00500637" w14:paraId="312BA98B" w14:textId="77777777" w:rsidTr="000B66BC">
        <w:trPr>
          <w:trHeight w:val="71"/>
        </w:trPr>
        <w:tc>
          <w:tcPr>
            <w:tcW w:w="1559" w:type="dxa"/>
            <w:shd w:val="clear" w:color="auto" w:fill="FFFFFF"/>
          </w:tcPr>
          <w:p w14:paraId="30E94DE7" w14:textId="72315A87"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lastRenderedPageBreak/>
              <w:t>{0090;0020}</w:t>
            </w:r>
          </w:p>
        </w:tc>
        <w:tc>
          <w:tcPr>
            <w:tcW w:w="7406" w:type="dxa"/>
            <w:shd w:val="clear" w:color="auto" w:fill="FFFFFF"/>
          </w:tcPr>
          <w:p w14:paraId="015E5616" w14:textId="77777777"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Risikopositionen, die wie Risikopositionen gegenüber Staaten behandelt werden – Risikopositionswert für die Verschuldungsquote – Risikopositionen nach dem IRB-Ansatz</w:t>
            </w:r>
          </w:p>
          <w:p w14:paraId="361C00EC" w14:textId="191A9CA8" w:rsidR="009C4E79"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Summe der Felder {0100,0020} bis {0130,0020}.</w:t>
            </w:r>
          </w:p>
          <w:p w14:paraId="4CE96745" w14:textId="2CF889E3" w:rsidR="002509B1" w:rsidRPr="00500637"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r w:rsidR="002A54FF" w:rsidRPr="00500637" w14:paraId="0C1D3372" w14:textId="77777777" w:rsidTr="000B66BC">
        <w:trPr>
          <w:trHeight w:val="71"/>
        </w:trPr>
        <w:tc>
          <w:tcPr>
            <w:tcW w:w="1559" w:type="dxa"/>
            <w:shd w:val="clear" w:color="auto" w:fill="FFFFFF"/>
          </w:tcPr>
          <w:p w14:paraId="73140D6A" w14:textId="181D4B94"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{0090;0030}</w:t>
            </w:r>
          </w:p>
        </w:tc>
        <w:tc>
          <w:tcPr>
            <w:tcW w:w="7406" w:type="dxa"/>
            <w:shd w:val="clear" w:color="auto" w:fill="FFFFFF"/>
          </w:tcPr>
          <w:p w14:paraId="63538621" w14:textId="36E91980"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Risikopositionen, die wie Risikopositionen gegenüber Staaten behandelt werden – Risikogewichteter Positionsbetrag (RWEA) – Risikopositionen nach dem Standardansatz</w:t>
            </w:r>
          </w:p>
          <w:p w14:paraId="2FE3A5A6" w14:textId="0A48A5C7" w:rsidR="00086A8A"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Summe der Felder {0100,0030} bis {0130,0030}.</w:t>
            </w:r>
          </w:p>
          <w:p w14:paraId="576656CF" w14:textId="7109E0FD" w:rsidR="002509B1" w:rsidRPr="00500637"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Standardansatz.</w:t>
            </w:r>
          </w:p>
        </w:tc>
      </w:tr>
      <w:tr w:rsidR="002A54FF" w:rsidRPr="00500637" w14:paraId="6675B4A2" w14:textId="77777777" w:rsidTr="000B66BC">
        <w:trPr>
          <w:trHeight w:val="71"/>
        </w:trPr>
        <w:tc>
          <w:tcPr>
            <w:tcW w:w="1559" w:type="dxa"/>
            <w:shd w:val="clear" w:color="auto" w:fill="FFFFFF"/>
          </w:tcPr>
          <w:p w14:paraId="574B53A3" w14:textId="5AEDFC5A"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{0090;0040}</w:t>
            </w:r>
          </w:p>
        </w:tc>
        <w:tc>
          <w:tcPr>
            <w:tcW w:w="7406" w:type="dxa"/>
            <w:shd w:val="clear" w:color="auto" w:fill="FFFFFF"/>
          </w:tcPr>
          <w:p w14:paraId="7FD46908" w14:textId="76F6E527"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Risikopositionen, die wie Risikopositionen gegenüber Staaten behandelt werden – Risikogewichteter Positionsbetrag (RWEA) – Risikopositionen nach dem IRB-Ansatz</w:t>
            </w:r>
          </w:p>
          <w:p w14:paraId="0EE39545" w14:textId="4A51FB51"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Summe der Felder {0100,0040} bis {0130,0040}.</w:t>
            </w:r>
          </w:p>
          <w:p w14:paraId="21E4ED70" w14:textId="10D77DF8" w:rsidR="002509B1" w:rsidRPr="00500637"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r w:rsidR="002A54FF" w:rsidRPr="00500637" w14:paraId="7DDC06EC" w14:textId="77777777" w:rsidTr="000B66BC">
        <w:trPr>
          <w:trHeight w:val="71"/>
        </w:trPr>
        <w:tc>
          <w:tcPr>
            <w:tcW w:w="1559" w:type="dxa"/>
            <w:shd w:val="clear" w:color="auto" w:fill="FFFFFF"/>
          </w:tcPr>
          <w:p w14:paraId="4C9F879D" w14:textId="3D24C7CE"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{0100;0010}</w:t>
            </w:r>
          </w:p>
        </w:tc>
        <w:tc>
          <w:tcPr>
            <w:tcW w:w="7406" w:type="dxa"/>
            <w:shd w:val="clear" w:color="auto" w:fill="FFFFFF"/>
          </w:tcPr>
          <w:p w14:paraId="1F2266EE" w14:textId="77777777" w:rsidR="00F4754B" w:rsidRPr="00500637" w:rsidRDefault="00F4754B" w:rsidP="000B66BC">
            <w:pPr>
              <w:pStyle w:val="BodyText1"/>
              <w:spacing w:after="240" w:line="240" w:lineRule="auto"/>
              <w:rPr>
                <w:rFonts w:ascii="Times New Roman" w:hAnsi="Times New Roman"/>
                <w:sz w:val="24"/>
                <w:szCs w:val="24"/>
              </w:rPr>
            </w:pPr>
            <w:r w:rsidRPr="00500637">
              <w:rPr>
                <w:rFonts w:ascii="Times New Roman" w:hAnsi="Times New Roman"/>
                <w:sz w:val="24"/>
              </w:rPr>
              <w:t>Staaten und Zentralbanken – Risikopositionswert für die Verschuldungsquote – Risikopositionen nach dem Standardansatz</w:t>
            </w:r>
          </w:p>
          <w:p w14:paraId="6613A997" w14:textId="765CDB47" w:rsidR="00086A8A"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Vermögenswerte, bei denen es sich um Risikopositionen nach dem Standardansatz gegenüber Staaten oder Zentralbanken im Sinne von Artikel 114 der Verordnung (EU) Nr. 575/2013 handelt.</w:t>
            </w:r>
          </w:p>
          <w:p w14:paraId="7F55138D" w14:textId="75576E6B" w:rsidR="002509B1" w:rsidRPr="00500637"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Standardansatz.</w:t>
            </w:r>
          </w:p>
        </w:tc>
      </w:tr>
      <w:tr w:rsidR="002A54FF" w:rsidRPr="00500637" w14:paraId="0B4E6569" w14:textId="77777777" w:rsidTr="000B66BC">
        <w:trPr>
          <w:trHeight w:val="71"/>
        </w:trPr>
        <w:tc>
          <w:tcPr>
            <w:tcW w:w="1559" w:type="dxa"/>
            <w:shd w:val="clear" w:color="auto" w:fill="FFFFFF"/>
          </w:tcPr>
          <w:p w14:paraId="7D0291ED" w14:textId="3AD06088"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{0100;0020}</w:t>
            </w:r>
          </w:p>
        </w:tc>
        <w:tc>
          <w:tcPr>
            <w:tcW w:w="7406" w:type="dxa"/>
            <w:shd w:val="clear" w:color="auto" w:fill="FFFFFF"/>
          </w:tcPr>
          <w:p w14:paraId="66A53D96" w14:textId="77777777" w:rsidR="00F4754B" w:rsidRPr="00500637" w:rsidRDefault="00F4754B" w:rsidP="000B66BC">
            <w:pPr>
              <w:pStyle w:val="BodyText1"/>
              <w:spacing w:after="240" w:line="240" w:lineRule="auto"/>
              <w:rPr>
                <w:rFonts w:ascii="Times New Roman" w:hAnsi="Times New Roman"/>
                <w:sz w:val="24"/>
                <w:szCs w:val="24"/>
              </w:rPr>
            </w:pPr>
            <w:r w:rsidRPr="00500637">
              <w:rPr>
                <w:rFonts w:ascii="Times New Roman" w:hAnsi="Times New Roman"/>
                <w:sz w:val="24"/>
              </w:rPr>
              <w:t>Staaten und Zentralbanken – Risikopositionswert für die Verschuldungsquote – Risikopositionen nach dem IRB-Ansatz</w:t>
            </w:r>
          </w:p>
          <w:p w14:paraId="517FD145" w14:textId="63552282"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Vermögenswerte, bei denen es sich um Risikopositionen nach dem IRB-Ansatz gegenüber Staaten oder Zentralbanken im Sinne von Artikel 147 Absatz 2 Buchstabe a der Verordnung (EU) Nr. 575/2013 handelt.</w:t>
            </w:r>
          </w:p>
          <w:p w14:paraId="0885AD1A" w14:textId="0035770A" w:rsidR="002509B1" w:rsidRPr="00500637" w:rsidRDefault="009C4E79"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melden die Beträge abzüglich der ausgefallenen Risikopositionen nach dem IRB-Ansatz.</w:t>
            </w:r>
          </w:p>
        </w:tc>
      </w:tr>
      <w:tr w:rsidR="002A54FF" w:rsidRPr="00500637" w14:paraId="73380BA6" w14:textId="77777777" w:rsidTr="000B66BC">
        <w:trPr>
          <w:trHeight w:val="71"/>
        </w:trPr>
        <w:tc>
          <w:tcPr>
            <w:tcW w:w="1559" w:type="dxa"/>
            <w:shd w:val="clear" w:color="auto" w:fill="FFFFFF"/>
          </w:tcPr>
          <w:p w14:paraId="59953201" w14:textId="4A0778FE"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lastRenderedPageBreak/>
              <w:t>{0100;0030}</w:t>
            </w:r>
          </w:p>
        </w:tc>
        <w:tc>
          <w:tcPr>
            <w:tcW w:w="7406" w:type="dxa"/>
            <w:shd w:val="clear" w:color="auto" w:fill="FFFFFF"/>
          </w:tcPr>
          <w:p w14:paraId="26718359" w14:textId="1E245CA7" w:rsidR="002509B1" w:rsidRPr="00500637" w:rsidRDefault="00F4754B" w:rsidP="000B66BC">
            <w:pPr>
              <w:pStyle w:val="BodyText1"/>
              <w:spacing w:after="240" w:line="240" w:lineRule="auto"/>
              <w:rPr>
                <w:rFonts w:ascii="Times New Roman" w:hAnsi="Times New Roman"/>
                <w:sz w:val="24"/>
                <w:szCs w:val="24"/>
              </w:rPr>
            </w:pPr>
            <w:r w:rsidRPr="00500637">
              <w:rPr>
                <w:rFonts w:ascii="Times New Roman" w:hAnsi="Times New Roman"/>
                <w:b/>
                <w:sz w:val="24"/>
              </w:rPr>
              <w:t>Staaten und Zentralbanken – Risikogewichteter Positionsbetrag (RWEA) – Risikopositionen nach dem Standardansatz</w:t>
            </w:r>
          </w:p>
          <w:p w14:paraId="1057171E" w14:textId="5419CED6" w:rsidR="00086A8A"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Positionsbetrag von Vermögenswerten, bei denen es sich um Risikopositionen nach dem Standardansatz gegenüber Zentralstaaten oder Zentralbanken im Sinne von Artikel 114 der Verordnung (EU) Nr. 575/2013 handelt.</w:t>
            </w:r>
          </w:p>
          <w:p w14:paraId="47506B7A" w14:textId="150E5BC3" w:rsidR="002509B1" w:rsidRPr="00500637"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Standardansatz.</w:t>
            </w:r>
          </w:p>
        </w:tc>
      </w:tr>
      <w:tr w:rsidR="002A54FF" w:rsidRPr="00500637" w14:paraId="4C792316" w14:textId="77777777" w:rsidTr="000B66BC">
        <w:trPr>
          <w:trHeight w:val="71"/>
        </w:trPr>
        <w:tc>
          <w:tcPr>
            <w:tcW w:w="1559" w:type="dxa"/>
            <w:shd w:val="clear" w:color="auto" w:fill="FFFFFF"/>
          </w:tcPr>
          <w:p w14:paraId="4823C176" w14:textId="2320977D"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{0100;0040}</w:t>
            </w:r>
          </w:p>
        </w:tc>
        <w:tc>
          <w:tcPr>
            <w:tcW w:w="7406" w:type="dxa"/>
            <w:shd w:val="clear" w:color="auto" w:fill="FFFFFF"/>
          </w:tcPr>
          <w:p w14:paraId="1EC1A3E9" w14:textId="34606682" w:rsidR="00F4754B" w:rsidRPr="00500637" w:rsidRDefault="00F4754B" w:rsidP="000B66BC">
            <w:pPr>
              <w:pStyle w:val="BodyText1"/>
              <w:spacing w:after="240" w:line="240" w:lineRule="auto"/>
              <w:rPr>
                <w:rFonts w:ascii="Times New Roman" w:hAnsi="Times New Roman"/>
                <w:sz w:val="24"/>
                <w:szCs w:val="24"/>
              </w:rPr>
            </w:pPr>
            <w:r w:rsidRPr="00500637">
              <w:rPr>
                <w:rFonts w:ascii="Times New Roman" w:hAnsi="Times New Roman"/>
                <w:b/>
                <w:sz w:val="24"/>
              </w:rPr>
              <w:t>Zentralstaaten und Zentralbanken – Risikogewichteter Positionsbetrag (RWEA) – Risikopositionen nach dem IRB-Ansatz</w:t>
            </w:r>
          </w:p>
          <w:p w14:paraId="47A75B9C" w14:textId="7D20BA03"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Positionsbetrag von Vermögenswerten, bei denen es sich um Risikopositionen nach dem IRB-Ansatz gegenüber Zentralstaaten oder Zentralbanken im Sinne von Artikel 147 Absatz 2 Buchstabe a der Verordnung (EU) Nr. 575/2013 handelt.</w:t>
            </w:r>
          </w:p>
          <w:p w14:paraId="58C303E4" w14:textId="75B02A12" w:rsidR="002509B1" w:rsidRPr="00500637"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r w:rsidR="002A54FF" w:rsidRPr="00500637" w14:paraId="7B8E2851" w14:textId="77777777" w:rsidTr="000B66BC">
        <w:trPr>
          <w:trHeight w:val="71"/>
        </w:trPr>
        <w:tc>
          <w:tcPr>
            <w:tcW w:w="1559" w:type="dxa"/>
            <w:shd w:val="clear" w:color="auto" w:fill="FFFFFF"/>
          </w:tcPr>
          <w:p w14:paraId="5E43D3FD" w14:textId="0F5E5E7C"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{0110;0010}</w:t>
            </w:r>
          </w:p>
        </w:tc>
        <w:tc>
          <w:tcPr>
            <w:tcW w:w="7406" w:type="dxa"/>
            <w:shd w:val="clear" w:color="auto" w:fill="FFFFFF"/>
          </w:tcPr>
          <w:p w14:paraId="0A9C6204" w14:textId="024ADD98" w:rsidR="002509B1"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Regionale und lokale Gebietskörperschaften, die wie Staaten behandelt werden – Risikopositionswert für die Verschuldungsquote – Risikopositionen nach dem Standardansatz</w:t>
            </w:r>
          </w:p>
          <w:p w14:paraId="5294E5EC" w14:textId="6B8CEFDC" w:rsidR="00086A8A"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Vermögenswerte, bei denen es sich um Risikopositionen nach dem Standardansatz gegenüber regionalen und lokalen Gebietskörperschaften handelt, die gemäß Artikel 115 Absätze 2 und 4 der Verordnung (EU) Nr. 575/2013 wie Risikopositionen gegenüber Staaten behandelt werden.</w:t>
            </w:r>
          </w:p>
          <w:p w14:paraId="42456706" w14:textId="2E28EB95" w:rsidR="002509B1" w:rsidRPr="00500637" w:rsidRDefault="00086A8A" w:rsidP="000B66BC">
            <w:pPr>
              <w:pStyle w:val="BodyText1"/>
              <w:spacing w:after="240" w:line="240" w:lineRule="auto"/>
              <w:rPr>
                <w:rFonts w:ascii="Times New Roman" w:hAnsi="Times New Roman"/>
                <w:sz w:val="24"/>
                <w:szCs w:val="24"/>
              </w:rPr>
            </w:pPr>
            <w:r w:rsidRPr="00500637">
              <w:rPr>
                <w:rFonts w:ascii="Times New Roman" w:hAnsi="Times New Roman"/>
                <w:sz w:val="24"/>
              </w:rPr>
              <w:t>Die Institute melden die Beträge abzüglich der ausgefallenen Risikopositionen nach dem Standardansatz.</w:t>
            </w:r>
          </w:p>
        </w:tc>
      </w:tr>
      <w:tr w:rsidR="002A54FF" w:rsidRPr="00500637" w14:paraId="1964D3AE" w14:textId="77777777" w:rsidTr="000B66BC">
        <w:trPr>
          <w:trHeight w:val="71"/>
        </w:trPr>
        <w:tc>
          <w:tcPr>
            <w:tcW w:w="1559" w:type="dxa"/>
            <w:shd w:val="clear" w:color="auto" w:fill="FFFFFF"/>
          </w:tcPr>
          <w:p w14:paraId="17ADB526" w14:textId="2E034212"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{0110;0020}</w:t>
            </w:r>
          </w:p>
        </w:tc>
        <w:tc>
          <w:tcPr>
            <w:tcW w:w="7406" w:type="dxa"/>
            <w:shd w:val="clear" w:color="auto" w:fill="FFFFFF"/>
          </w:tcPr>
          <w:p w14:paraId="7E0B20E2" w14:textId="77777777"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Regionale und lokale Gebietskörperschaften, die wie Staaten behandelt werden – Risikopositionswert für die Verschuldungsquote – Risikopositionen nach dem IRB-Ansatz</w:t>
            </w:r>
          </w:p>
          <w:p w14:paraId="02346C27" w14:textId="18DAC4FC" w:rsidR="002509B1" w:rsidRPr="00500637" w:rsidRDefault="00F4754B"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Der Risikopositionswert für die Verschuldungsquote in Bezug auf Vermögenswerte, bei denen es sich um Risikopositionen nach dem IRB-Ansatz gegenüber regionalen und lokalen Gebietskörperschaften gemäß Artikel 147 Absatz 3 Buchstabe a der Verordnung (EU) Nr. 575/2013 handelt.</w:t>
            </w:r>
          </w:p>
          <w:p w14:paraId="3496D48C" w14:textId="78A55785" w:rsidR="009C4E79" w:rsidRPr="00500637"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r w:rsidR="002A54FF" w:rsidRPr="00500637" w14:paraId="2038F08C" w14:textId="77777777" w:rsidTr="000B66BC">
        <w:trPr>
          <w:trHeight w:val="71"/>
        </w:trPr>
        <w:tc>
          <w:tcPr>
            <w:tcW w:w="1559" w:type="dxa"/>
            <w:shd w:val="clear" w:color="auto" w:fill="FFFFFF"/>
          </w:tcPr>
          <w:p w14:paraId="4C19855D" w14:textId="4D9B42F1"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lastRenderedPageBreak/>
              <w:t>{0110;0030}</w:t>
            </w:r>
          </w:p>
        </w:tc>
        <w:tc>
          <w:tcPr>
            <w:tcW w:w="7406" w:type="dxa"/>
            <w:shd w:val="clear" w:color="auto" w:fill="FFFFFF"/>
          </w:tcPr>
          <w:p w14:paraId="0A1E21BF" w14:textId="5863EAF2"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Regionale und lokale Gebietskörperschaften, die wie Staaten behandelt werden – Risikogewichteter Positionsbetrag (RWEA) – Risikopositionen nach dem Standardansatz</w:t>
            </w:r>
          </w:p>
          <w:p w14:paraId="38C283FD" w14:textId="1BC3A6FB" w:rsidR="00086A8A"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Positionsbetrag von Vermögenswerten, bei denen es sich um Risikopositionen nach dem Standardansatz gegenüber regionalen und lokalen Gebietskörperschaften handelt, die gemäß Artikel 115 Absätze 2 und 4 der Verordnung (EU) Nr. 575/2013 wie Risikopositionen gegenüber Staaten behandelt werden.</w:t>
            </w:r>
          </w:p>
          <w:p w14:paraId="6D7AEF3D" w14:textId="0D5AC65C" w:rsidR="002509B1" w:rsidRPr="00500637"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Standardansatz.</w:t>
            </w:r>
          </w:p>
        </w:tc>
      </w:tr>
      <w:tr w:rsidR="002A54FF" w:rsidRPr="00500637" w14:paraId="5BE41E62" w14:textId="77777777" w:rsidTr="000B66BC">
        <w:trPr>
          <w:trHeight w:val="71"/>
        </w:trPr>
        <w:tc>
          <w:tcPr>
            <w:tcW w:w="1559" w:type="dxa"/>
            <w:shd w:val="clear" w:color="auto" w:fill="FFFFFF"/>
          </w:tcPr>
          <w:p w14:paraId="4370E83A" w14:textId="1FE63232"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{0110;0040}</w:t>
            </w:r>
          </w:p>
        </w:tc>
        <w:tc>
          <w:tcPr>
            <w:tcW w:w="7406" w:type="dxa"/>
            <w:shd w:val="clear" w:color="auto" w:fill="FFFFFF"/>
          </w:tcPr>
          <w:p w14:paraId="0A1135F8" w14:textId="6E787456" w:rsidR="002509B1"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Regionale und lokale Gebietskörperschaften, die wie Staaten behandelt werden – Risikogewichteter Positionsbetrag (RWEA) – Risikopositionen nach dem IRB-Ansatz</w:t>
            </w:r>
          </w:p>
          <w:p w14:paraId="099D799F" w14:textId="3BE99DD6" w:rsidR="009C4E79"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Positionsbetrag von Vermögenswerten, bei denen es sich um Risikopositionen nach dem IRB-Ansatz gegenüber regionalen und lokalen Gebietskörperschaften gemäß Artikel 147 Absatz 3 Buchstabe a der Verordnung (EU) Nr. 575/2013 handelt.</w:t>
            </w:r>
          </w:p>
          <w:p w14:paraId="77DFB307" w14:textId="152C7BA5" w:rsidR="002509B1" w:rsidRPr="00500637"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r w:rsidR="002A54FF" w:rsidRPr="00500637" w14:paraId="4E6380BD" w14:textId="77777777" w:rsidTr="000B66BC">
        <w:trPr>
          <w:trHeight w:val="71"/>
        </w:trPr>
        <w:tc>
          <w:tcPr>
            <w:tcW w:w="1559" w:type="dxa"/>
            <w:shd w:val="clear" w:color="auto" w:fill="FFFFFF"/>
          </w:tcPr>
          <w:p w14:paraId="596E85C5" w14:textId="5E9760D8"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{0120;0010}</w:t>
            </w:r>
          </w:p>
        </w:tc>
        <w:tc>
          <w:tcPr>
            <w:tcW w:w="7406" w:type="dxa"/>
            <w:shd w:val="clear" w:color="auto" w:fill="FFFFFF"/>
          </w:tcPr>
          <w:p w14:paraId="4E16BD03" w14:textId="66901F1D" w:rsidR="002509B1" w:rsidRPr="00500637" w:rsidRDefault="00F4754B" w:rsidP="000B66BC">
            <w:pPr>
              <w:pStyle w:val="BodyText1"/>
              <w:spacing w:after="240" w:line="240" w:lineRule="auto"/>
              <w:rPr>
                <w:rFonts w:ascii="Times New Roman" w:hAnsi="Times New Roman"/>
                <w:b/>
                <w:sz w:val="24"/>
                <w:szCs w:val="24"/>
              </w:rPr>
            </w:pPr>
            <w:r w:rsidRPr="00500637">
              <w:rPr>
                <w:rFonts w:ascii="Times New Roman" w:hAnsi="Times New Roman"/>
                <w:b/>
                <w:sz w:val="24"/>
              </w:rPr>
              <w:t>Multilaterale Entwicklungsbanken und internationale Organisationen, die wie Staaten behandelt werden – Risikopositionswert für die Verschuldungsquote – Risikopositionen nach dem Standardansatz</w:t>
            </w:r>
          </w:p>
          <w:p w14:paraId="595E0D3B" w14:textId="0C58EC7E"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Vermögenswerte, bei denen es sich um Risikopositionen nach dem Standardansatz gegenüber multilateralen Entwicklungsbanken und internationalen Organisationen gemäß Artikel 117 Absatz 2 und Artikel 118 der Verordnung (EU) Nr. 575/2013 handelt.</w:t>
            </w:r>
          </w:p>
          <w:p w14:paraId="4013B069" w14:textId="0EB1BFF4" w:rsidR="002509B1" w:rsidRPr="00500637" w:rsidRDefault="00086A8A"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melden die Beträge abzüglich der ausgefallenen Risikopositionen nach dem Standardansatz.</w:t>
            </w:r>
          </w:p>
        </w:tc>
      </w:tr>
      <w:tr w:rsidR="002A54FF" w:rsidRPr="00500637" w14:paraId="26302257" w14:textId="77777777" w:rsidTr="000B66BC">
        <w:trPr>
          <w:trHeight w:val="71"/>
        </w:trPr>
        <w:tc>
          <w:tcPr>
            <w:tcW w:w="1559" w:type="dxa"/>
            <w:shd w:val="clear" w:color="auto" w:fill="FFFFFF"/>
          </w:tcPr>
          <w:p w14:paraId="5A4EAF45" w14:textId="12E4FA77"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{0120;0020}</w:t>
            </w:r>
          </w:p>
        </w:tc>
        <w:tc>
          <w:tcPr>
            <w:tcW w:w="7406" w:type="dxa"/>
            <w:shd w:val="clear" w:color="auto" w:fill="FFFFFF"/>
          </w:tcPr>
          <w:p w14:paraId="76A1CB53" w14:textId="541DA8FD" w:rsidR="002509B1" w:rsidRPr="00500637" w:rsidRDefault="00F4754B" w:rsidP="000B66BC">
            <w:pPr>
              <w:pStyle w:val="BodyText1"/>
              <w:spacing w:after="240" w:line="240" w:lineRule="auto"/>
              <w:rPr>
                <w:rFonts w:ascii="Times New Roman" w:hAnsi="Times New Roman"/>
                <w:b/>
                <w:sz w:val="24"/>
                <w:szCs w:val="24"/>
              </w:rPr>
            </w:pPr>
            <w:r w:rsidRPr="00500637">
              <w:rPr>
                <w:rFonts w:ascii="Times New Roman" w:hAnsi="Times New Roman"/>
                <w:b/>
                <w:sz w:val="24"/>
              </w:rPr>
              <w:t>Multilaterale Entwicklungsbanken und internationale Organisationen, die wie Staaten behandelt werden – Risikopositionswert für die Verschuldungsquote – Risikopositionen nach dem IRB-Ansatz</w:t>
            </w:r>
          </w:p>
          <w:p w14:paraId="3802319A" w14:textId="4A7557C5"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Vermögenswerte, bei denen es sich um Risikopositionen nach dem IRB-Ansatz gegenüber multilateralen Entwicklungsbanken und internationalen Organisationen gemäß Artikel 147 Absatz 3 Buchstaben b und c der Verordnung (EU) Nr. 575/2013 handelt.</w:t>
            </w:r>
          </w:p>
          <w:p w14:paraId="4070105A" w14:textId="4FC040B2" w:rsidR="002509B1" w:rsidRPr="00500637" w:rsidRDefault="009C4E79" w:rsidP="000B66BC">
            <w:pPr>
              <w:pStyle w:val="BodyText1"/>
              <w:spacing w:after="240" w:line="240" w:lineRule="auto"/>
              <w:rPr>
                <w:rFonts w:ascii="Times New Roman" w:hAnsi="Times New Roman"/>
                <w:bCs/>
                <w:sz w:val="24"/>
                <w:szCs w:val="24"/>
              </w:rPr>
            </w:pPr>
            <w:r w:rsidRPr="00500637">
              <w:rPr>
                <w:rFonts w:ascii="Times New Roman" w:hAnsi="Times New Roman"/>
                <w:sz w:val="24"/>
              </w:rPr>
              <w:lastRenderedPageBreak/>
              <w:t>Die Institute melden die Beträge abzüglich der ausgefallenen Risikopositionen nach dem IRB-Ansatz.</w:t>
            </w:r>
          </w:p>
        </w:tc>
      </w:tr>
      <w:tr w:rsidR="002A54FF" w:rsidRPr="00500637" w14:paraId="3B2553E8" w14:textId="77777777" w:rsidTr="000B66BC">
        <w:trPr>
          <w:trHeight w:val="71"/>
        </w:trPr>
        <w:tc>
          <w:tcPr>
            <w:tcW w:w="1559" w:type="dxa"/>
            <w:shd w:val="clear" w:color="auto" w:fill="FFFFFF"/>
          </w:tcPr>
          <w:p w14:paraId="1FA22EB0" w14:textId="05DF8D97"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lastRenderedPageBreak/>
              <w:t>{0120;0030}</w:t>
            </w:r>
          </w:p>
        </w:tc>
        <w:tc>
          <w:tcPr>
            <w:tcW w:w="7406" w:type="dxa"/>
            <w:shd w:val="clear" w:color="auto" w:fill="FFFFFF"/>
          </w:tcPr>
          <w:p w14:paraId="297278EC" w14:textId="1D7EC442" w:rsidR="002509B1" w:rsidRPr="00500637" w:rsidRDefault="00F4754B" w:rsidP="000B66BC">
            <w:pPr>
              <w:pStyle w:val="BodyText1"/>
              <w:spacing w:after="240" w:line="240" w:lineRule="auto"/>
              <w:rPr>
                <w:rFonts w:ascii="Times New Roman" w:hAnsi="Times New Roman"/>
                <w:b/>
                <w:sz w:val="24"/>
                <w:szCs w:val="24"/>
              </w:rPr>
            </w:pPr>
            <w:r w:rsidRPr="00500637">
              <w:rPr>
                <w:rFonts w:ascii="Times New Roman" w:hAnsi="Times New Roman"/>
                <w:b/>
                <w:sz w:val="24"/>
              </w:rPr>
              <w:t>Multilaterale Entwicklungsbanken und internationale Organisationen, die wie Staaten behandelt werden – Risikogewichteter Positionsbetrag (RWEA) – Risikopositionen nach dem Standardansatz</w:t>
            </w:r>
          </w:p>
          <w:p w14:paraId="37FB9B14" w14:textId="12B4EAAC" w:rsidR="00086A8A"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Positionsbetrag von Vermögenswerten, bei denen es sich um Risikopositionen nach dem Standardansatz gegenüber multilateralen Entwicklungsbanken und internationalen Organisationen gemäß Artikel 117 Absatz 2 und Artikel 118 der Verordnung (EU) Nr. 575/2013 handelt.</w:t>
            </w:r>
          </w:p>
          <w:p w14:paraId="21D9C9F4" w14:textId="49EA3C70" w:rsidR="002509B1" w:rsidRPr="00500637"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Standardansatz.</w:t>
            </w:r>
          </w:p>
        </w:tc>
      </w:tr>
      <w:tr w:rsidR="002A54FF" w:rsidRPr="00500637" w14:paraId="57DE532D" w14:textId="77777777" w:rsidTr="000B66BC">
        <w:trPr>
          <w:trHeight w:val="71"/>
        </w:trPr>
        <w:tc>
          <w:tcPr>
            <w:tcW w:w="1559" w:type="dxa"/>
            <w:shd w:val="clear" w:color="auto" w:fill="FFFFFF"/>
          </w:tcPr>
          <w:p w14:paraId="2210C2F3" w14:textId="0756556E"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{1020;0040}</w:t>
            </w:r>
          </w:p>
        </w:tc>
        <w:tc>
          <w:tcPr>
            <w:tcW w:w="7406" w:type="dxa"/>
            <w:shd w:val="clear" w:color="auto" w:fill="FFFFFF"/>
          </w:tcPr>
          <w:p w14:paraId="25AE3663" w14:textId="3A1D7E0A" w:rsidR="002509B1" w:rsidRPr="00500637" w:rsidRDefault="00F4754B" w:rsidP="000B66BC">
            <w:pPr>
              <w:pStyle w:val="BodyText1"/>
              <w:spacing w:after="240" w:line="240" w:lineRule="auto"/>
              <w:rPr>
                <w:rFonts w:ascii="Times New Roman" w:hAnsi="Times New Roman"/>
                <w:b/>
                <w:sz w:val="24"/>
                <w:szCs w:val="24"/>
              </w:rPr>
            </w:pPr>
            <w:r w:rsidRPr="00500637">
              <w:rPr>
                <w:rFonts w:ascii="Times New Roman" w:hAnsi="Times New Roman"/>
                <w:b/>
                <w:sz w:val="24"/>
              </w:rPr>
              <w:t>Multilaterale Entwicklungsbanken und internationale Organisationen, die wie Staaten behandelt werden – Risikogewichteter Positionsbetrag (RWEA) – Risikopositionen nach dem IRB-Ansatz</w:t>
            </w:r>
          </w:p>
          <w:p w14:paraId="0A7C504F" w14:textId="419B949D" w:rsidR="009C4E79"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Positionsbetrag von Vermögenswerten, bei denen es sich um Risikopositionen nach dem IRB-Ansatz gegenüber multilateralen Entwicklungsbanken und internationalen Organisationen gemäß Artikel 147 Absatz 3 Buchstaben b und c der Verordnung (EU) Nr. 575/2013 handelt.</w:t>
            </w:r>
          </w:p>
          <w:p w14:paraId="4B60B3CB" w14:textId="76329F3C" w:rsidR="002509B1" w:rsidRPr="00500637" w:rsidRDefault="009C4E79" w:rsidP="000B66BC">
            <w:pPr>
              <w:pStyle w:val="BodyText1"/>
              <w:spacing w:after="240" w:line="240" w:lineRule="auto"/>
              <w:rPr>
                <w:rFonts w:ascii="Times New Roman" w:hAnsi="Times New Roman"/>
                <w:b/>
                <w:bCs/>
                <w:sz w:val="24"/>
                <w:szCs w:val="24"/>
              </w:rPr>
            </w:pPr>
            <w:r w:rsidRPr="00500637">
              <w:rPr>
                <w:rFonts w:ascii="Times New Roman" w:hAnsi="Times New Roman"/>
                <w:sz w:val="24"/>
              </w:rPr>
              <w:t>Die Institute melden die Beträge abzüglich der ausgefallenen Risikopositionen nach dem IRB-Ansatz.</w:t>
            </w:r>
          </w:p>
        </w:tc>
      </w:tr>
      <w:tr w:rsidR="002A54FF" w:rsidRPr="00500637" w14:paraId="231E48A1" w14:textId="77777777" w:rsidTr="000B66BC">
        <w:trPr>
          <w:trHeight w:val="71"/>
        </w:trPr>
        <w:tc>
          <w:tcPr>
            <w:tcW w:w="1559" w:type="dxa"/>
            <w:shd w:val="clear" w:color="auto" w:fill="FFFFFF"/>
          </w:tcPr>
          <w:p w14:paraId="0729DCCA" w14:textId="1813ABC3"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{0130;0010}</w:t>
            </w:r>
          </w:p>
        </w:tc>
        <w:tc>
          <w:tcPr>
            <w:tcW w:w="7406" w:type="dxa"/>
            <w:shd w:val="clear" w:color="auto" w:fill="FFFFFF"/>
          </w:tcPr>
          <w:p w14:paraId="03377C61" w14:textId="0F13B636" w:rsidR="002509B1" w:rsidRPr="00500637" w:rsidRDefault="00F4754B" w:rsidP="000B66BC">
            <w:pPr>
              <w:pStyle w:val="BodyText1"/>
              <w:spacing w:after="240" w:line="240" w:lineRule="auto"/>
              <w:rPr>
                <w:rFonts w:ascii="Times New Roman" w:hAnsi="Times New Roman"/>
                <w:b/>
                <w:sz w:val="24"/>
                <w:szCs w:val="24"/>
              </w:rPr>
            </w:pPr>
            <w:r w:rsidRPr="00500637">
              <w:rPr>
                <w:rFonts w:ascii="Times New Roman" w:hAnsi="Times New Roman"/>
                <w:b/>
                <w:sz w:val="24"/>
              </w:rPr>
              <w:t>Öffentliche Stellen, die wie Staaten behandelt werden – Risikopositionswert für die Verschuldungsquote – Risikopositionen nach dem Standardansatz</w:t>
            </w:r>
          </w:p>
          <w:p w14:paraId="7D8203A3" w14:textId="08A1137F" w:rsidR="00086A8A"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Vermögenswerte, bei denen es sich um Risikopositionen nach dem Standardansatz gegenüber öffentlichen Stellen gemäß Artikel 116 Absatz 4 der Verordnung (EU) Nr. 575/2013 handelt.</w:t>
            </w:r>
          </w:p>
          <w:p w14:paraId="4AA47B62" w14:textId="393B657D" w:rsidR="002509B1" w:rsidRPr="00500637" w:rsidRDefault="00086A8A" w:rsidP="000B66BC">
            <w:pPr>
              <w:pStyle w:val="BodyText1"/>
              <w:spacing w:after="240" w:line="240" w:lineRule="auto"/>
              <w:rPr>
                <w:rFonts w:ascii="Times New Roman" w:hAnsi="Times New Roman"/>
                <w:b/>
                <w:bCs/>
                <w:sz w:val="24"/>
                <w:szCs w:val="24"/>
              </w:rPr>
            </w:pPr>
            <w:r w:rsidRPr="00500637">
              <w:rPr>
                <w:rFonts w:ascii="Times New Roman" w:hAnsi="Times New Roman"/>
                <w:sz w:val="24"/>
              </w:rPr>
              <w:t>Die Institute melden die Beträge abzüglich der ausgefallenen Risikopositionen nach dem Standardansatz.</w:t>
            </w:r>
          </w:p>
        </w:tc>
      </w:tr>
      <w:tr w:rsidR="002A54FF" w:rsidRPr="00500637" w14:paraId="3CE3539B" w14:textId="77777777" w:rsidTr="000B66BC">
        <w:trPr>
          <w:trHeight w:val="71"/>
        </w:trPr>
        <w:tc>
          <w:tcPr>
            <w:tcW w:w="1559" w:type="dxa"/>
            <w:shd w:val="clear" w:color="auto" w:fill="FFFFFF"/>
          </w:tcPr>
          <w:p w14:paraId="5BD4FCC9" w14:textId="4A185F04"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{0130;0020}</w:t>
            </w:r>
          </w:p>
        </w:tc>
        <w:tc>
          <w:tcPr>
            <w:tcW w:w="7406" w:type="dxa"/>
            <w:shd w:val="clear" w:color="auto" w:fill="FFFFFF"/>
          </w:tcPr>
          <w:p w14:paraId="3B63499B" w14:textId="36B14D4C" w:rsidR="002509B1" w:rsidRPr="00500637" w:rsidRDefault="00F4754B" w:rsidP="000B66BC">
            <w:pPr>
              <w:pStyle w:val="BodyText1"/>
              <w:spacing w:after="240" w:line="240" w:lineRule="auto"/>
              <w:rPr>
                <w:rFonts w:ascii="Times New Roman" w:hAnsi="Times New Roman"/>
                <w:b/>
                <w:sz w:val="24"/>
                <w:szCs w:val="24"/>
              </w:rPr>
            </w:pPr>
            <w:r w:rsidRPr="00500637">
              <w:rPr>
                <w:rFonts w:ascii="Times New Roman" w:hAnsi="Times New Roman"/>
                <w:b/>
                <w:sz w:val="24"/>
              </w:rPr>
              <w:t>Öffentliche Stellen, die wie Staaten behandelt werden – Risikopositionswert für die Verschuldungsquote – Risikopositionen nach dem IRB-Ansatz</w:t>
            </w:r>
          </w:p>
          <w:p w14:paraId="6B0B91A7" w14:textId="2675950D" w:rsidR="002509B1"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Risikopositionsbetrag für die Verschuldungsquote in Bezug auf Vermögenswerte, bei denen es sich um Risikopositionen nach dem IRB-Ansatz gegenüber öffentlichen Stellen gemäß Artikel 147 Absatz 3 Buchstabe a der Verordnung (EU) Nr. 575/2013 handelt.</w:t>
            </w:r>
          </w:p>
          <w:p w14:paraId="359554CF" w14:textId="52EF4F24" w:rsidR="009C4E79" w:rsidRPr="00500637" w:rsidRDefault="009C4E79" w:rsidP="000B66BC">
            <w:pPr>
              <w:pStyle w:val="BodyText1"/>
              <w:spacing w:after="240" w:line="240" w:lineRule="auto"/>
              <w:rPr>
                <w:rFonts w:ascii="Times New Roman" w:hAnsi="Times New Roman"/>
                <w:bCs/>
                <w:sz w:val="24"/>
                <w:szCs w:val="24"/>
              </w:rPr>
            </w:pPr>
            <w:r w:rsidRPr="00500637">
              <w:rPr>
                <w:rFonts w:ascii="Times New Roman" w:hAnsi="Times New Roman"/>
                <w:sz w:val="24"/>
              </w:rPr>
              <w:lastRenderedPageBreak/>
              <w:t>Die Institute melden die Beträge abzüglich der ausgefallenen Risikopositionen nach dem IRB-Ansatz.</w:t>
            </w:r>
          </w:p>
        </w:tc>
      </w:tr>
      <w:tr w:rsidR="002A54FF" w:rsidRPr="00500637" w14:paraId="66BBD644" w14:textId="77777777" w:rsidTr="000B66BC">
        <w:trPr>
          <w:trHeight w:val="71"/>
        </w:trPr>
        <w:tc>
          <w:tcPr>
            <w:tcW w:w="1559" w:type="dxa"/>
            <w:shd w:val="clear" w:color="auto" w:fill="FFFFFF"/>
          </w:tcPr>
          <w:p w14:paraId="780B22F1" w14:textId="38F11373"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lastRenderedPageBreak/>
              <w:t>{0130;0030}</w:t>
            </w:r>
          </w:p>
        </w:tc>
        <w:tc>
          <w:tcPr>
            <w:tcW w:w="7406" w:type="dxa"/>
            <w:shd w:val="clear" w:color="auto" w:fill="FFFFFF"/>
          </w:tcPr>
          <w:p w14:paraId="1DD3711A" w14:textId="41BC0A58" w:rsidR="002509B1" w:rsidRPr="00500637" w:rsidRDefault="00F4754B" w:rsidP="000B66BC">
            <w:pPr>
              <w:pStyle w:val="BodyText1"/>
              <w:spacing w:after="240" w:line="240" w:lineRule="auto"/>
              <w:rPr>
                <w:rFonts w:ascii="Times New Roman" w:hAnsi="Times New Roman"/>
                <w:b/>
                <w:sz w:val="24"/>
                <w:szCs w:val="24"/>
              </w:rPr>
            </w:pPr>
            <w:r w:rsidRPr="00500637">
              <w:rPr>
                <w:rFonts w:ascii="Times New Roman" w:hAnsi="Times New Roman"/>
                <w:b/>
                <w:sz w:val="24"/>
              </w:rPr>
              <w:t>Öffentliche Stellen, die wie Staaten behandelt werden – Risikogewichteter Positionsbetrag (RWEA) – Risikopositionen nach dem Standardansatz</w:t>
            </w:r>
          </w:p>
          <w:p w14:paraId="53A6C1B8" w14:textId="07E3EA1E"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Positionsbetrag von Vermögenswerten, bei denen es sich um Risikopositionen nach dem Standardansatz gegenüber öffentlichen Stellen gemäß Artikel 116 Absatz 4 der Verordnung (EU) Nr. 575/2013 handelt.</w:t>
            </w:r>
          </w:p>
          <w:p w14:paraId="432B1470" w14:textId="36FFD5BE" w:rsidR="002509B1" w:rsidRPr="00500637"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Standardansatz.</w:t>
            </w:r>
          </w:p>
        </w:tc>
      </w:tr>
      <w:tr w:rsidR="002A54FF" w:rsidRPr="00500637" w14:paraId="6BE8DD32" w14:textId="77777777" w:rsidTr="000B66BC">
        <w:trPr>
          <w:trHeight w:val="71"/>
        </w:trPr>
        <w:tc>
          <w:tcPr>
            <w:tcW w:w="1559" w:type="dxa"/>
            <w:shd w:val="clear" w:color="auto" w:fill="FFFFFF"/>
          </w:tcPr>
          <w:p w14:paraId="4F17D6C7" w14:textId="60A1BB8E"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{0130;0040}</w:t>
            </w:r>
          </w:p>
        </w:tc>
        <w:tc>
          <w:tcPr>
            <w:tcW w:w="7406" w:type="dxa"/>
            <w:shd w:val="clear" w:color="auto" w:fill="FFFFFF"/>
          </w:tcPr>
          <w:p w14:paraId="60977598" w14:textId="37A519F1" w:rsidR="00F4754B" w:rsidRPr="00500637" w:rsidRDefault="00F4754B" w:rsidP="000B66BC">
            <w:pPr>
              <w:pStyle w:val="BodyText1"/>
              <w:spacing w:after="240" w:line="240" w:lineRule="auto"/>
              <w:rPr>
                <w:rFonts w:ascii="Times New Roman" w:hAnsi="Times New Roman"/>
                <w:b/>
                <w:sz w:val="24"/>
                <w:szCs w:val="24"/>
              </w:rPr>
            </w:pPr>
            <w:r w:rsidRPr="00500637">
              <w:rPr>
                <w:rFonts w:ascii="Times New Roman" w:hAnsi="Times New Roman"/>
                <w:b/>
                <w:sz w:val="24"/>
              </w:rPr>
              <w:t>Öffentliche Stellen, die wie Staaten behandelt werden – Risikogewichteter Positionsbetrag (RWEA) – Risikopositionen nach dem IRB-Ansatz</w:t>
            </w:r>
          </w:p>
          <w:p w14:paraId="0EAECD4A" w14:textId="4D9944EF" w:rsidR="009C4E79"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Positionsbetrag von Vermögenswerten, bei denen es sich um Risikopositionen nach dem IRB-Ansatz gegenüber öffentlichen Stellen gemäß Artikel 147 Absatz 3 Buchstabe a der Verordnung (EU) Nr. 575/2013 handelt.</w:t>
            </w:r>
          </w:p>
          <w:p w14:paraId="05B42B2C" w14:textId="7B404A8B" w:rsidR="002509B1" w:rsidRPr="00500637"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r w:rsidR="002A54FF" w:rsidRPr="00500637" w14:paraId="35BDD4D3" w14:textId="77777777" w:rsidTr="000B66BC">
        <w:trPr>
          <w:trHeight w:val="71"/>
        </w:trPr>
        <w:tc>
          <w:tcPr>
            <w:tcW w:w="1559" w:type="dxa"/>
            <w:shd w:val="clear" w:color="auto" w:fill="FFFFFF"/>
          </w:tcPr>
          <w:p w14:paraId="5F7AB96E" w14:textId="4B2E7074"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{0140;0010}</w:t>
            </w:r>
          </w:p>
        </w:tc>
        <w:tc>
          <w:tcPr>
            <w:tcW w:w="7406" w:type="dxa"/>
            <w:shd w:val="clear" w:color="auto" w:fill="FFFFFF"/>
          </w:tcPr>
          <w:p w14:paraId="68676BE2" w14:textId="6C78BF9D" w:rsidR="002509B1"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Risikopositionen gegenüber regionalen Gebietskörperschaften, multilateralen Entwicklungsbanken, internationalen Organisationen und öffentlichen Stellen, die nicht wie Staaten behandelt werden – Risikopositionswert für die Verschuldungsquote – Risikopositionen nach dem Standardansatz</w:t>
            </w:r>
          </w:p>
          <w:p w14:paraId="16F7D104" w14:textId="442558D1" w:rsidR="00086A8A"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Summe der Felder {0150,0010} bis {0170,0010}.</w:t>
            </w:r>
          </w:p>
          <w:p w14:paraId="56668309" w14:textId="21D6A0F4" w:rsidR="002509B1" w:rsidRPr="00500637"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Standardansatz.</w:t>
            </w:r>
          </w:p>
        </w:tc>
      </w:tr>
      <w:tr w:rsidR="002A54FF" w:rsidRPr="00500637" w14:paraId="2401556C" w14:textId="77777777" w:rsidTr="000B66BC">
        <w:trPr>
          <w:trHeight w:val="71"/>
        </w:trPr>
        <w:tc>
          <w:tcPr>
            <w:tcW w:w="1559" w:type="dxa"/>
            <w:shd w:val="clear" w:color="auto" w:fill="FFFFFF"/>
          </w:tcPr>
          <w:p w14:paraId="4E9A7359" w14:textId="71A72E64"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{0140;0020}</w:t>
            </w:r>
          </w:p>
        </w:tc>
        <w:tc>
          <w:tcPr>
            <w:tcW w:w="7406" w:type="dxa"/>
            <w:shd w:val="clear" w:color="auto" w:fill="FFFFFF"/>
          </w:tcPr>
          <w:p w14:paraId="16480F3A" w14:textId="77777777"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Risikopositionen gegenüber regionalen Gebietskörperschaften, multilateralen Entwicklungsbanken, internationalen Organisationen und öffentlichen Stellen, die nicht wie Staaten behandelt werden – Risikopositionswert für die Verschuldungsquote – Risikopositionen nach dem IRB-Ansatz</w:t>
            </w:r>
          </w:p>
          <w:p w14:paraId="01EFE154" w14:textId="37156240"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Summe der Felder {0150,0020} bis {0170,0020}.</w:t>
            </w:r>
          </w:p>
          <w:p w14:paraId="4BA214B6" w14:textId="386C4F7E" w:rsidR="002509B1" w:rsidRPr="00500637"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r w:rsidR="002A54FF" w:rsidRPr="00500637" w14:paraId="32DCABED" w14:textId="77777777" w:rsidTr="000B66BC">
        <w:trPr>
          <w:trHeight w:val="71"/>
        </w:trPr>
        <w:tc>
          <w:tcPr>
            <w:tcW w:w="1559" w:type="dxa"/>
            <w:shd w:val="clear" w:color="auto" w:fill="FFFFFF"/>
          </w:tcPr>
          <w:p w14:paraId="6236D8C3" w14:textId="2D8D1C93"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lastRenderedPageBreak/>
              <w:t>{0140;0030}</w:t>
            </w:r>
          </w:p>
        </w:tc>
        <w:tc>
          <w:tcPr>
            <w:tcW w:w="7406" w:type="dxa"/>
            <w:shd w:val="clear" w:color="auto" w:fill="FFFFFF"/>
          </w:tcPr>
          <w:p w14:paraId="6D26AA72" w14:textId="198DF378"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Risikopositionen gegenüber regionalen Gebietskörperschaften, multilateralen Entwicklungsbanken, internationalen Organisationen und öffentlichen Stellen, die nicht wie Staaten behandelt werden – Risikogewichteter Positionsbetrag (RWEA) – Risikopositionen nach dem Standardansatz</w:t>
            </w:r>
          </w:p>
          <w:p w14:paraId="001A76CB" w14:textId="449CD518" w:rsidR="00086A8A"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Summe der Felder {0150,0030} bis {0170,0030}.</w:t>
            </w:r>
          </w:p>
          <w:p w14:paraId="0666DA98" w14:textId="42DCAEA8" w:rsidR="002509B1" w:rsidRPr="00500637"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Standardansatz.</w:t>
            </w:r>
          </w:p>
        </w:tc>
      </w:tr>
      <w:tr w:rsidR="002A54FF" w:rsidRPr="00500637" w14:paraId="19788CFC" w14:textId="77777777" w:rsidTr="000B66BC">
        <w:trPr>
          <w:trHeight w:val="71"/>
        </w:trPr>
        <w:tc>
          <w:tcPr>
            <w:tcW w:w="1559" w:type="dxa"/>
            <w:shd w:val="clear" w:color="auto" w:fill="FFFFFF"/>
          </w:tcPr>
          <w:p w14:paraId="56BC83A9" w14:textId="067E360C"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{0140;0040}</w:t>
            </w:r>
          </w:p>
        </w:tc>
        <w:tc>
          <w:tcPr>
            <w:tcW w:w="7406" w:type="dxa"/>
            <w:shd w:val="clear" w:color="auto" w:fill="FFFFFF"/>
          </w:tcPr>
          <w:p w14:paraId="28502CF8" w14:textId="27254544" w:rsidR="002509B1"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Risikopositionen gegenüber regionalen Gebietskörperschaften, multilateralen Entwicklungsbanken, internationalen Organisationen und öffentlichen Stellen, die nicht wie Staaten behandelt werden – Risikogewichteter Positionsbetrag (RWEA) – Risikopositionen nach dem IRB-Ansatz</w:t>
            </w:r>
          </w:p>
          <w:p w14:paraId="26D9E4F6" w14:textId="3F28B51E"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Summe der Felder {0150,0040} bis {0170,0040}.</w:t>
            </w:r>
          </w:p>
          <w:p w14:paraId="6B0E2A45" w14:textId="73754F98" w:rsidR="002509B1" w:rsidRPr="00500637" w:rsidRDefault="009C4E79"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melden die Beträge abzüglich der ausgefallenen Risikopositionen nach dem IRB-Ansatz.</w:t>
            </w:r>
          </w:p>
        </w:tc>
      </w:tr>
      <w:tr w:rsidR="002A54FF" w:rsidRPr="00500637" w14:paraId="7FF2685B" w14:textId="77777777" w:rsidTr="000B66BC">
        <w:trPr>
          <w:trHeight w:val="71"/>
        </w:trPr>
        <w:tc>
          <w:tcPr>
            <w:tcW w:w="1559" w:type="dxa"/>
            <w:shd w:val="clear" w:color="auto" w:fill="FFFFFF"/>
          </w:tcPr>
          <w:p w14:paraId="40C55306" w14:textId="22F05799"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{0150;0010}</w:t>
            </w:r>
          </w:p>
        </w:tc>
        <w:tc>
          <w:tcPr>
            <w:tcW w:w="7406" w:type="dxa"/>
            <w:shd w:val="clear" w:color="auto" w:fill="FFFFFF"/>
          </w:tcPr>
          <w:p w14:paraId="6E882A95" w14:textId="42A5BAAA" w:rsidR="002509B1"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Regionale und lokale Gebietskörperschaften, die nicht wie Staaten behandelt werden – Risikopositionswert für die Verschuldungsquote – Risikopositionen nach dem Standardansatz</w:t>
            </w:r>
          </w:p>
          <w:p w14:paraId="5997608A" w14:textId="0BF65BF8" w:rsidR="00086A8A"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Vermögenswerte, bei denen es sich um Risikopositionen nach dem Standardansatz gegenüber regionalen und lokalen Gebietskörperschaften handelt, die gemäß Artikel 115 Absätze 1, 3 und 5 der Verordnung (EU) Nr. 575/2013 nicht wie Risikopositionen gegenüber Staaten behandelt werden.</w:t>
            </w:r>
          </w:p>
          <w:p w14:paraId="2E409DCC" w14:textId="6CDA3B78" w:rsidR="002509B1" w:rsidRPr="00500637" w:rsidRDefault="00086A8A"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melden die Beträge abzüglich der ausgefallenen Risikopositionen nach dem Standardansatz.</w:t>
            </w:r>
          </w:p>
        </w:tc>
      </w:tr>
      <w:tr w:rsidR="002A54FF" w:rsidRPr="00500637" w14:paraId="1422BA43" w14:textId="77777777" w:rsidTr="000B66BC">
        <w:trPr>
          <w:trHeight w:val="71"/>
        </w:trPr>
        <w:tc>
          <w:tcPr>
            <w:tcW w:w="1559" w:type="dxa"/>
            <w:shd w:val="clear" w:color="auto" w:fill="FFFFFF"/>
          </w:tcPr>
          <w:p w14:paraId="119A75AE" w14:textId="3BC5962F"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{0150;0020}</w:t>
            </w:r>
          </w:p>
        </w:tc>
        <w:tc>
          <w:tcPr>
            <w:tcW w:w="7406" w:type="dxa"/>
            <w:shd w:val="clear" w:color="auto" w:fill="FFFFFF"/>
          </w:tcPr>
          <w:p w14:paraId="6DA1492F" w14:textId="77777777" w:rsidR="002509B1"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Regionale und lokale Gebietskörperschaften, die nicht wie Staaten behandelt werden – Risikopositionswert für die Verschuldungsquote – Risikopositionen nach dem IRB-Ansatz</w:t>
            </w:r>
          </w:p>
          <w:p w14:paraId="05330C07" w14:textId="0532F617" w:rsidR="002509B1"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Vermögenswerte, bei denen es sich um Risikopositionen nach dem IRB-Ansatz gegenüber regionalen und lokalen Gebietskörperschaften handelt, die nicht wie Risikopositionen gegenüber Staaten gemäß Artikel 147 Absatz 4 Buchstabe a der Verordnung (EU) Nr. 575/2013 behandelt werden.</w:t>
            </w:r>
          </w:p>
          <w:p w14:paraId="64866D79" w14:textId="278A91F6" w:rsidR="00F4754B" w:rsidRPr="00500637" w:rsidDel="00F559E6"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 xml:space="preserve">Die Institute melden die Beträge abzüglich der ausgefallenen Risikopositionen nach dem IRB-Ansatz. </w:t>
            </w:r>
          </w:p>
        </w:tc>
      </w:tr>
      <w:tr w:rsidR="002A54FF" w:rsidRPr="00500637" w14:paraId="49B34BA3" w14:textId="77777777" w:rsidTr="000B66BC">
        <w:trPr>
          <w:trHeight w:val="71"/>
        </w:trPr>
        <w:tc>
          <w:tcPr>
            <w:tcW w:w="1559" w:type="dxa"/>
            <w:shd w:val="clear" w:color="auto" w:fill="FFFFFF"/>
          </w:tcPr>
          <w:p w14:paraId="1350671F" w14:textId="6CF3F1D2"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lastRenderedPageBreak/>
              <w:t>{0150;0030}</w:t>
            </w:r>
          </w:p>
        </w:tc>
        <w:tc>
          <w:tcPr>
            <w:tcW w:w="7406" w:type="dxa"/>
            <w:shd w:val="clear" w:color="auto" w:fill="FFFFFF"/>
          </w:tcPr>
          <w:p w14:paraId="0E90CE61" w14:textId="6590FBE6"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 xml:space="preserve">Regionale und lokale Gebietskörperschaften, die nicht wie Staaten behandelt werden – Risikogewichteter Positionsbetrag (RWEA) – Risikopositionen nach dem Standardansatz </w:t>
            </w:r>
          </w:p>
          <w:p w14:paraId="0C1281BF" w14:textId="0F177E4A"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Positionsbetrag von Vermögenswerten, bei denen es sich um Risikopositionen nach dem Standardansatz gegenüber regionalen und lokalen Gebietskörperschaften handelt, die gemäß Artikel 115 Absätze 1, 3 und 5 der Verordnung (EU) Nr. 575/2013 nicht wie Risikopositionen gegenüber Staaten behandelt werden.</w:t>
            </w:r>
          </w:p>
          <w:p w14:paraId="594F13B1" w14:textId="615E6282" w:rsidR="002509B1" w:rsidRPr="00500637"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Standardansatz.</w:t>
            </w:r>
          </w:p>
        </w:tc>
      </w:tr>
      <w:tr w:rsidR="002A54FF" w:rsidRPr="00500637" w14:paraId="218100D8" w14:textId="77777777" w:rsidTr="000B66BC">
        <w:trPr>
          <w:trHeight w:val="71"/>
        </w:trPr>
        <w:tc>
          <w:tcPr>
            <w:tcW w:w="1559" w:type="dxa"/>
            <w:shd w:val="clear" w:color="auto" w:fill="FFFFFF"/>
          </w:tcPr>
          <w:p w14:paraId="7E6979FD" w14:textId="4EA4998C"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{0150;0040}</w:t>
            </w:r>
          </w:p>
        </w:tc>
        <w:tc>
          <w:tcPr>
            <w:tcW w:w="7406" w:type="dxa"/>
            <w:shd w:val="clear" w:color="auto" w:fill="FFFFFF"/>
          </w:tcPr>
          <w:p w14:paraId="2F79CD95" w14:textId="1BA3728B"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Regionale und lokale Gebietskörperschaften, die nicht wie Staaten behandelt werden – Risikogewichteter Positionsbetrag (RWEA) – Risikopositionen nach dem IRB-Ansatz</w:t>
            </w:r>
          </w:p>
          <w:p w14:paraId="51863919" w14:textId="13549DA0"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Positionsbetrag von Vermögenswerten, bei denen es sich um Risikopositionen nach dem IRB-Ansatz gegenüber regionalen und lokalen Gebietskörperschaften handelt, die nicht wie Risikopositionen gegenüber Staaten gemäß Artikel 147 Absatz 4 Buchstabe a der Verordnung (EU) Nr. 575/2013 behandelt werden.</w:t>
            </w:r>
          </w:p>
          <w:p w14:paraId="2CE67E1E" w14:textId="02F8044F" w:rsidR="002509B1" w:rsidRPr="00500637"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r w:rsidR="002A54FF" w:rsidRPr="00500637" w14:paraId="237E8E2D" w14:textId="77777777" w:rsidTr="000B66BC">
        <w:trPr>
          <w:trHeight w:val="71"/>
        </w:trPr>
        <w:tc>
          <w:tcPr>
            <w:tcW w:w="1559" w:type="dxa"/>
            <w:shd w:val="clear" w:color="auto" w:fill="FFFFFF"/>
          </w:tcPr>
          <w:p w14:paraId="6D0A1DEE" w14:textId="580C324A"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{0160;0010}</w:t>
            </w:r>
          </w:p>
        </w:tc>
        <w:tc>
          <w:tcPr>
            <w:tcW w:w="7406" w:type="dxa"/>
            <w:shd w:val="clear" w:color="auto" w:fill="FFFFFF"/>
          </w:tcPr>
          <w:p w14:paraId="382B2DE5" w14:textId="77777777"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Multilaterale Entwicklungsbanken, die nicht wie Staaten behandelt werden – Risikopositionswert für die Verschuldungsquote – Risikopositionen nach dem Standardansatz</w:t>
            </w:r>
          </w:p>
          <w:p w14:paraId="07928584" w14:textId="302FB434"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Vermögenswerte, bei denen es sich um Risikopositionen nach dem Standardansatz gegenüber multilateralen Entwicklungsbanken gemäß Artikel 117 Absätze 1 und 3 der Verordnung (EU) Nr. 575/2013 handelt.</w:t>
            </w:r>
          </w:p>
          <w:p w14:paraId="01E4041D" w14:textId="00B0727A" w:rsidR="002509B1" w:rsidRPr="00500637" w:rsidRDefault="00086A8A"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melden die Beträge abzüglich der ausgefallenen Risikopositionen nach dem Standardansatz.</w:t>
            </w:r>
          </w:p>
        </w:tc>
      </w:tr>
      <w:tr w:rsidR="002A54FF" w:rsidRPr="00500637" w14:paraId="62B19F9C" w14:textId="77777777" w:rsidTr="000B66BC">
        <w:trPr>
          <w:trHeight w:val="71"/>
        </w:trPr>
        <w:tc>
          <w:tcPr>
            <w:tcW w:w="1559" w:type="dxa"/>
            <w:shd w:val="clear" w:color="auto" w:fill="FFFFFF"/>
          </w:tcPr>
          <w:p w14:paraId="49210C52" w14:textId="06EBFC79"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{0160;0020}</w:t>
            </w:r>
          </w:p>
        </w:tc>
        <w:tc>
          <w:tcPr>
            <w:tcW w:w="7406" w:type="dxa"/>
            <w:shd w:val="clear" w:color="auto" w:fill="FFFFFF"/>
          </w:tcPr>
          <w:p w14:paraId="13E28A92" w14:textId="77777777" w:rsidR="00F4754B" w:rsidRPr="00500637" w:rsidRDefault="00F4754B" w:rsidP="000B66BC">
            <w:pPr>
              <w:pStyle w:val="BodyText1"/>
              <w:spacing w:after="240" w:line="240" w:lineRule="auto"/>
              <w:rPr>
                <w:rFonts w:ascii="Times New Roman" w:hAnsi="Times New Roman"/>
                <w:b/>
                <w:sz w:val="24"/>
                <w:szCs w:val="24"/>
              </w:rPr>
            </w:pPr>
            <w:r w:rsidRPr="00500637">
              <w:rPr>
                <w:rFonts w:ascii="Times New Roman" w:hAnsi="Times New Roman"/>
                <w:b/>
                <w:sz w:val="24"/>
              </w:rPr>
              <w:t>Multilaterale Entwicklungsbanken, die nicht wie Staaten behandelt werden – Risikopositionswert für die Verschuldungsquote – Risikopositionen nach dem IRB-Ansatz</w:t>
            </w:r>
          </w:p>
          <w:p w14:paraId="6D2C0352" w14:textId="312107C2" w:rsidR="002509B1"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Vermögenswerte, bei denen es sich um Risikopositionen nach dem IRB-Ansatz gegenüber multilateralen Entwicklungsbanken handelt, die nicht wie Risikopositionen gegenüber Staaten gemäß Artikel 147 Absatz 4 Buchstabe c der Verordnung (EU) Nr. 575/2013 behandelt werden.</w:t>
            </w:r>
          </w:p>
          <w:p w14:paraId="74CFCB27" w14:textId="063441C0" w:rsidR="009C4E79" w:rsidRPr="00500637" w:rsidDel="009A4B38"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lastRenderedPageBreak/>
              <w:t>Die Institute melden die Beträge abzüglich der ausgefallenen Risikopositionen nach dem IRB-Ansatz.</w:t>
            </w:r>
          </w:p>
        </w:tc>
      </w:tr>
      <w:tr w:rsidR="002A54FF" w:rsidRPr="00500637" w14:paraId="3B7489DB" w14:textId="77777777" w:rsidTr="000B66BC">
        <w:trPr>
          <w:trHeight w:val="71"/>
        </w:trPr>
        <w:tc>
          <w:tcPr>
            <w:tcW w:w="1559" w:type="dxa"/>
            <w:shd w:val="clear" w:color="auto" w:fill="FFFFFF"/>
          </w:tcPr>
          <w:p w14:paraId="53451B08" w14:textId="0717E11A"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lastRenderedPageBreak/>
              <w:t>{0160;0030}</w:t>
            </w:r>
          </w:p>
        </w:tc>
        <w:tc>
          <w:tcPr>
            <w:tcW w:w="7406" w:type="dxa"/>
            <w:shd w:val="clear" w:color="auto" w:fill="FFFFFF"/>
          </w:tcPr>
          <w:p w14:paraId="1D2AE94F" w14:textId="3A23504D"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Multilaterale Entwicklungsbanken, die nicht wie Staaten behandelt werden – Risikogewichteter Positionsbetrag (RWEA) – Risikopositionen nach dem Standardansatz</w:t>
            </w:r>
          </w:p>
          <w:p w14:paraId="4B127308" w14:textId="5B336149" w:rsidR="002509B1" w:rsidRPr="00500637" w:rsidRDefault="00F4754B"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Der risikogewichtete Positionsbetrag von Vermögenswerten, bei denen es sich um Risikopositionen nach dem Standardansatz gegenüber multilateralen Entwicklungsbanken gemäß Artikel 117 Absätze 1 und 3 der Verordnung (EU) Nr. 575/2013 handelt.</w:t>
            </w:r>
          </w:p>
          <w:p w14:paraId="6288F6E5" w14:textId="481F4915" w:rsidR="00086A8A" w:rsidRPr="00500637"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Standardansatz.</w:t>
            </w:r>
          </w:p>
        </w:tc>
      </w:tr>
      <w:tr w:rsidR="002A54FF" w:rsidRPr="00500637" w14:paraId="44D6EB6F" w14:textId="77777777" w:rsidTr="000B66BC">
        <w:trPr>
          <w:trHeight w:val="71"/>
        </w:trPr>
        <w:tc>
          <w:tcPr>
            <w:tcW w:w="1559" w:type="dxa"/>
            <w:shd w:val="clear" w:color="auto" w:fill="FFFFFF"/>
          </w:tcPr>
          <w:p w14:paraId="00D96829" w14:textId="555FD614"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{0160;0040}</w:t>
            </w:r>
          </w:p>
        </w:tc>
        <w:tc>
          <w:tcPr>
            <w:tcW w:w="7406" w:type="dxa"/>
            <w:shd w:val="clear" w:color="auto" w:fill="FFFFFF"/>
          </w:tcPr>
          <w:p w14:paraId="00619AFE" w14:textId="73438BF5" w:rsidR="002509B1"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Multilaterale Entwicklungsbanken, die nicht wie Staaten behandelt werden – Risikogewichteter Positionsbetrag (RWEA) – Risikopositionen nach dem IRB-Ansatz</w:t>
            </w:r>
          </w:p>
          <w:p w14:paraId="466ECD88" w14:textId="5D28161E" w:rsidR="009C4E79"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Positionsbetrag von Vermögenswerten, bei denen es sich um Risikopositionen nach dem IRB-Ansatz gegenüber multilateralen Entwicklungsbanken handelt, die nicht wie Risikopositionen gegenüber Staaten gemäß Artikel 147 Absatz 4 Buchstabe c der Verordnung (EU) Nr. 575/2013 behandelt werden.</w:t>
            </w:r>
          </w:p>
          <w:p w14:paraId="72DDDF92" w14:textId="6FAD844E" w:rsidR="002509B1" w:rsidRPr="00500637"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r w:rsidR="002A54FF" w:rsidRPr="00500637" w14:paraId="533E38AC" w14:textId="77777777" w:rsidTr="000B66BC">
        <w:trPr>
          <w:trHeight w:val="71"/>
        </w:trPr>
        <w:tc>
          <w:tcPr>
            <w:tcW w:w="1559" w:type="dxa"/>
            <w:shd w:val="clear" w:color="auto" w:fill="FFFFFF"/>
          </w:tcPr>
          <w:p w14:paraId="0412E3DC" w14:textId="71F1E571"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{0170;0010}</w:t>
            </w:r>
          </w:p>
        </w:tc>
        <w:tc>
          <w:tcPr>
            <w:tcW w:w="7406" w:type="dxa"/>
            <w:shd w:val="clear" w:color="auto" w:fill="FFFFFF"/>
          </w:tcPr>
          <w:p w14:paraId="63BC1CED" w14:textId="77777777"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Öffentliche Stellen, die nicht wie Staaten behandelt werden – Risikopositionswert für die Verschuldungsquote – Risikopositionen nach dem Standardansatz</w:t>
            </w:r>
          </w:p>
          <w:p w14:paraId="3FF6AAF1" w14:textId="65E56C9D"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Vermögenswerte, bei denen es sich um Risikopositionen nach dem Standardansatz gegenüber öffentlichen Stellen gemäß Artikel 116 Absätze 1, 2, 3 und 5 der Verordnung (EU) Nr. 575/2013 handelt.</w:t>
            </w:r>
          </w:p>
          <w:p w14:paraId="7DF5A169" w14:textId="79FB274E" w:rsidR="000A486B" w:rsidRPr="00500637" w:rsidRDefault="00086A8A" w:rsidP="000B66BC">
            <w:pPr>
              <w:pStyle w:val="BodyText1"/>
              <w:spacing w:after="240" w:line="240" w:lineRule="auto"/>
              <w:rPr>
                <w:rFonts w:ascii="Times New Roman" w:hAnsi="Times New Roman"/>
                <w:sz w:val="24"/>
                <w:szCs w:val="24"/>
              </w:rPr>
            </w:pPr>
            <w:r w:rsidRPr="00500637">
              <w:rPr>
                <w:rFonts w:ascii="Times New Roman" w:hAnsi="Times New Roman"/>
                <w:sz w:val="24"/>
              </w:rPr>
              <w:t>Die Institute melden die Beträge abzüglich der ausgefallenen Risikopositionen nach dem Standardansatz.</w:t>
            </w:r>
          </w:p>
        </w:tc>
      </w:tr>
      <w:tr w:rsidR="002A54FF" w:rsidRPr="00500637" w14:paraId="3A5C3310" w14:textId="77777777" w:rsidTr="000B66BC">
        <w:trPr>
          <w:trHeight w:val="71"/>
        </w:trPr>
        <w:tc>
          <w:tcPr>
            <w:tcW w:w="1559" w:type="dxa"/>
            <w:shd w:val="clear" w:color="auto" w:fill="FFFFFF"/>
          </w:tcPr>
          <w:p w14:paraId="1510FE52" w14:textId="0733B660"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{0170;0020}</w:t>
            </w:r>
          </w:p>
        </w:tc>
        <w:tc>
          <w:tcPr>
            <w:tcW w:w="7406" w:type="dxa"/>
            <w:shd w:val="clear" w:color="auto" w:fill="FFFFFF"/>
          </w:tcPr>
          <w:p w14:paraId="426AE44C" w14:textId="331FC92F" w:rsidR="002509B1" w:rsidRPr="00500637" w:rsidRDefault="00F4754B" w:rsidP="000B66BC">
            <w:pPr>
              <w:pStyle w:val="BodyText1"/>
              <w:spacing w:after="240" w:line="240" w:lineRule="auto"/>
              <w:rPr>
                <w:rFonts w:ascii="Times New Roman" w:hAnsi="Times New Roman"/>
                <w:b/>
                <w:sz w:val="24"/>
                <w:szCs w:val="24"/>
              </w:rPr>
            </w:pPr>
            <w:r w:rsidRPr="00500637">
              <w:rPr>
                <w:rFonts w:ascii="Times New Roman" w:hAnsi="Times New Roman"/>
                <w:b/>
                <w:sz w:val="24"/>
              </w:rPr>
              <w:t>Öffentliche Stellen, die nicht wie Staaten behandelt werden – Risikopositionswert für die Verschuldungsquote – Risikopositionen nach dem IRB-Ansatz</w:t>
            </w:r>
          </w:p>
          <w:p w14:paraId="19C4FD72" w14:textId="2D84BC92"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Vermögenswerte, bei denen es sich um unter Artikel 147 Absatz 4 Buchstabe b der Verordnung (EU) Nr. 575/2013 fallende Risikopositionen nach dem IRB-Ansatz gegenüber öffentlichen Stellen, die nicht wie Staaten behandelt werden, handelt.</w:t>
            </w:r>
          </w:p>
          <w:p w14:paraId="21D9C4B6" w14:textId="738536C0" w:rsidR="009C4E79" w:rsidRPr="00500637" w:rsidDel="00973F19"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lastRenderedPageBreak/>
              <w:t>Die Institute melden die Beträge abzüglich der ausgefallenen Risikopositionen nach dem IRB-Ansatz.</w:t>
            </w:r>
          </w:p>
        </w:tc>
      </w:tr>
      <w:tr w:rsidR="002A54FF" w:rsidRPr="00500637" w14:paraId="1BE427F7" w14:textId="77777777" w:rsidTr="000B66BC">
        <w:trPr>
          <w:trHeight w:val="71"/>
        </w:trPr>
        <w:tc>
          <w:tcPr>
            <w:tcW w:w="1559" w:type="dxa"/>
            <w:shd w:val="clear" w:color="auto" w:fill="FFFFFF"/>
          </w:tcPr>
          <w:p w14:paraId="7E1FC872" w14:textId="1CF85BB7"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lastRenderedPageBreak/>
              <w:t>{0170;0030}</w:t>
            </w:r>
          </w:p>
        </w:tc>
        <w:tc>
          <w:tcPr>
            <w:tcW w:w="7406" w:type="dxa"/>
            <w:shd w:val="clear" w:color="auto" w:fill="FFFFFF"/>
          </w:tcPr>
          <w:p w14:paraId="2459C33D" w14:textId="7EE34236"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Öffentliche Stellen, die nicht wie Staaten behandelt werden – Risikogewichteter Positionsbetrag (RWEA) – Risikopositionen nach dem Standardansatz</w:t>
            </w:r>
          </w:p>
          <w:p w14:paraId="7ED0D977" w14:textId="5842F857"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Positionsbetrag von Vermögenswerten, bei denen es sich um Risikopositionen nach dem Standardansatz gegenüber öffentlichen Stellen gemäß Artikel 116 Absätze 1, 2, 3 und 5 der Verordnung (EU) Nr. 575/2013 handelt.</w:t>
            </w:r>
          </w:p>
          <w:p w14:paraId="2E4EB0DF" w14:textId="03959371" w:rsidR="002509B1" w:rsidRPr="00500637"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Standardansatz.</w:t>
            </w:r>
          </w:p>
        </w:tc>
      </w:tr>
      <w:tr w:rsidR="002A54FF" w:rsidRPr="00500637" w14:paraId="6C878C4C" w14:textId="77777777" w:rsidTr="000B66BC">
        <w:trPr>
          <w:trHeight w:val="71"/>
        </w:trPr>
        <w:tc>
          <w:tcPr>
            <w:tcW w:w="1559" w:type="dxa"/>
            <w:shd w:val="clear" w:color="auto" w:fill="FFFFFF"/>
          </w:tcPr>
          <w:p w14:paraId="1ADDF71D" w14:textId="4FD509A0"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{0170;0040}</w:t>
            </w:r>
          </w:p>
        </w:tc>
        <w:tc>
          <w:tcPr>
            <w:tcW w:w="7406" w:type="dxa"/>
            <w:shd w:val="clear" w:color="auto" w:fill="FFFFFF"/>
          </w:tcPr>
          <w:p w14:paraId="505DD8D8" w14:textId="3ADF1093"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Öffentliche Stellen, die nicht wie Staaten behandelt werden – Risikogewichteter Positionsbetrag (RWEA) – Risikopositionen nach dem IRB-Ansatz</w:t>
            </w:r>
          </w:p>
          <w:p w14:paraId="3B167735" w14:textId="1C3E1080"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Positionsbetrag von Vermögenswerten, bei denen es sich um unter Artikel 147 Absatz 4 Buchstabe b der Verordnung (EU) Nr. 575/2013 fallende Risikopositionen nach dem IRB-Ansatz gegenüber öffentlichen Stellen, die nicht wie Staaten behandelt werden, handelt.</w:t>
            </w:r>
          </w:p>
          <w:p w14:paraId="786F9A83" w14:textId="4738A295" w:rsidR="009C4E79" w:rsidRPr="00500637"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r w:rsidR="002A54FF" w:rsidRPr="00500637" w14:paraId="4C6FA863" w14:textId="77777777" w:rsidTr="000B66BC">
        <w:trPr>
          <w:trHeight w:val="71"/>
        </w:trPr>
        <w:tc>
          <w:tcPr>
            <w:tcW w:w="1559" w:type="dxa"/>
            <w:shd w:val="clear" w:color="auto" w:fill="FFFFFF"/>
          </w:tcPr>
          <w:p w14:paraId="271E316D" w14:textId="22F0A69D"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{0180;0010}</w:t>
            </w:r>
          </w:p>
        </w:tc>
        <w:tc>
          <w:tcPr>
            <w:tcW w:w="7406" w:type="dxa"/>
            <w:shd w:val="clear" w:color="auto" w:fill="FFFFFF"/>
          </w:tcPr>
          <w:p w14:paraId="4C5AF924" w14:textId="77777777" w:rsidR="00F4754B" w:rsidRPr="00500637" w:rsidRDefault="00F4754B" w:rsidP="000B66BC">
            <w:pPr>
              <w:pStyle w:val="BodyText1"/>
              <w:spacing w:after="240" w:line="240" w:lineRule="auto"/>
              <w:rPr>
                <w:rFonts w:ascii="Times New Roman" w:hAnsi="Times New Roman"/>
                <w:b/>
                <w:sz w:val="24"/>
                <w:szCs w:val="24"/>
              </w:rPr>
            </w:pPr>
            <w:r w:rsidRPr="00500637">
              <w:rPr>
                <w:rFonts w:ascii="Times New Roman" w:hAnsi="Times New Roman"/>
                <w:b/>
                <w:sz w:val="24"/>
              </w:rPr>
              <w:t>Institute – Risikopositionswert für die Verschuldungsquote – Risikopositionen nach dem Standardansatz</w:t>
            </w:r>
          </w:p>
          <w:p w14:paraId="285DE0DE" w14:textId="140BD1C0" w:rsidR="00086A8A"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Vermögenswerte, bei denen es sich um Risikopositionen nach dem Standardansatz gegenüber Instituten gemäß Artikel 119 bis 121 der Verordnung (EU) Nr. 575/2013 handelt.</w:t>
            </w:r>
          </w:p>
          <w:p w14:paraId="718668CE" w14:textId="4B228AF6" w:rsidR="002509B1" w:rsidRPr="00500637" w:rsidRDefault="00086A8A"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melden die Beträge abzüglich der ausgefallenen Risikopositionen nach dem Standardansatz.</w:t>
            </w:r>
          </w:p>
        </w:tc>
      </w:tr>
      <w:tr w:rsidR="002A54FF" w:rsidRPr="00500637" w14:paraId="7F4516FE" w14:textId="77777777" w:rsidTr="000B66BC">
        <w:trPr>
          <w:trHeight w:val="71"/>
        </w:trPr>
        <w:tc>
          <w:tcPr>
            <w:tcW w:w="1559" w:type="dxa"/>
            <w:shd w:val="clear" w:color="auto" w:fill="FFFFFF"/>
          </w:tcPr>
          <w:p w14:paraId="729BBA0D" w14:textId="3387B1D2"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{0180;0020}</w:t>
            </w:r>
          </w:p>
        </w:tc>
        <w:tc>
          <w:tcPr>
            <w:tcW w:w="7406" w:type="dxa"/>
            <w:shd w:val="clear" w:color="auto" w:fill="FFFFFF"/>
          </w:tcPr>
          <w:p w14:paraId="5B3D67A0" w14:textId="77777777"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b/>
                <w:sz w:val="24"/>
              </w:rPr>
              <w:t>Institute – Risikopositionswert für die Verschuldungsquote – Risikopositionen nach dem IRB-Ansatz</w:t>
            </w:r>
          </w:p>
          <w:p w14:paraId="50027CF2" w14:textId="5920E641" w:rsidR="002509B1" w:rsidRPr="00500637" w:rsidRDefault="00F4754B"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Der Risikopositionswert für die Verschuldungsquote in Bezug auf Vermögenswerte, bei denen es sich um Risikopositionen nach dem IRB-Ansatz gegenüber Instituten gemäß Artikel 147 Absatz 2 Buchstabe b der Verordnung (EU) Nr. 575/2013 handelt und bei denen es sich nicht um Risikopositionen in Form gedeckter Schuldverschreibungen gemäß Artikel 161 Absatz 1 Buchstabe d der Verordnung (EU) Nr. 575/2013 handelt und die nicht unter Artikel 147 Absatz 4 Buchstabe c der Verordnung (EU) Nr. 575/2013 fallen.</w:t>
            </w:r>
          </w:p>
          <w:p w14:paraId="74D3DFFE" w14:textId="50B07F0A" w:rsidR="009C4E79" w:rsidRPr="00500637"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lastRenderedPageBreak/>
              <w:t>Die Institute melden die Beträge abzüglich der ausgefallenen Risikopositionen nach dem IRB-Ansatz.</w:t>
            </w:r>
          </w:p>
        </w:tc>
      </w:tr>
      <w:tr w:rsidR="002A54FF" w:rsidRPr="00500637" w14:paraId="63DBCD42" w14:textId="77777777" w:rsidTr="000B66BC">
        <w:trPr>
          <w:trHeight w:val="71"/>
        </w:trPr>
        <w:tc>
          <w:tcPr>
            <w:tcW w:w="1559" w:type="dxa"/>
            <w:shd w:val="clear" w:color="auto" w:fill="FFFFFF"/>
          </w:tcPr>
          <w:p w14:paraId="18901B11" w14:textId="0DF0567F"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lastRenderedPageBreak/>
              <w:t>{0180;0030}</w:t>
            </w:r>
          </w:p>
        </w:tc>
        <w:tc>
          <w:tcPr>
            <w:tcW w:w="7406" w:type="dxa"/>
            <w:shd w:val="clear" w:color="auto" w:fill="FFFFFF"/>
          </w:tcPr>
          <w:p w14:paraId="6B6B1A57" w14:textId="58330F91"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Institute – Risikogewichteter Positionsbetrag (RWEA) – Risikopositionen nach dem Standardansatz</w:t>
            </w:r>
          </w:p>
          <w:p w14:paraId="7CE29C3B" w14:textId="5E2E21C8" w:rsidR="00086A8A"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Positionsbetrag von Vermögenswerten, bei denen es sich um Risikopositionen nach dem Standardansatz gegenüber Instituten gemäß den Artikeln 119 bis 121 der Verordnung (EU) Nr. 575/2013 handelt.</w:t>
            </w:r>
          </w:p>
          <w:p w14:paraId="6FA68F7E" w14:textId="7949A67B" w:rsidR="002509B1" w:rsidRPr="00500637"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Standardansatz.</w:t>
            </w:r>
          </w:p>
        </w:tc>
      </w:tr>
      <w:tr w:rsidR="002A54FF" w:rsidRPr="00500637" w14:paraId="1EFD30DA" w14:textId="77777777" w:rsidTr="000B66BC">
        <w:trPr>
          <w:trHeight w:val="71"/>
        </w:trPr>
        <w:tc>
          <w:tcPr>
            <w:tcW w:w="1559" w:type="dxa"/>
            <w:shd w:val="clear" w:color="auto" w:fill="FFFFFF"/>
          </w:tcPr>
          <w:p w14:paraId="025E39D1" w14:textId="03E4A4D2"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{0180;0040}</w:t>
            </w:r>
          </w:p>
        </w:tc>
        <w:tc>
          <w:tcPr>
            <w:tcW w:w="7406" w:type="dxa"/>
            <w:shd w:val="clear" w:color="auto" w:fill="FFFFFF"/>
          </w:tcPr>
          <w:p w14:paraId="73DCBC6C" w14:textId="7593C5D5"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Institute – Risikogewichteter Positionsbetrag (RWEA) – Risikopositionen nach dem IRB-Ansatz</w:t>
            </w:r>
          </w:p>
          <w:p w14:paraId="5E814575" w14:textId="18C95566" w:rsidR="009C4E79"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Positionsbetrag von Vermögenswerten, bei denen es sich um Risikopositionen nach dem IRB-Ansatz gegenüber Instituten gemäß Artikel 147 Absatz 2 Buchstabe b der Verordnung (EU) Nr. 575/2013 handelt und bei denen es sich nicht um Risikopositionen in Form gedeckter Schuldverschreibungen gemäß Artikel 161 Absatz 1 Buchstabe d der Verordnung (EU) Nr. 575/2013 handelt und die nicht unter Artikel 147 Absatz 4 Buchstabe c der Verordnung (EU) Nr. 575/2013 fallen.</w:t>
            </w:r>
          </w:p>
          <w:p w14:paraId="1830B0D9" w14:textId="127A9738" w:rsidR="002509B1" w:rsidRPr="00500637"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r w:rsidR="002A54FF" w:rsidRPr="00500637" w14:paraId="3B7F5DF8" w14:textId="77777777" w:rsidTr="000B66BC">
        <w:trPr>
          <w:trHeight w:val="71"/>
        </w:trPr>
        <w:tc>
          <w:tcPr>
            <w:tcW w:w="1559" w:type="dxa"/>
            <w:shd w:val="clear" w:color="auto" w:fill="FFFFFF"/>
          </w:tcPr>
          <w:p w14:paraId="7247E1A0" w14:textId="091D4A6A"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{0190;0010}</w:t>
            </w:r>
          </w:p>
        </w:tc>
        <w:tc>
          <w:tcPr>
            <w:tcW w:w="7406" w:type="dxa"/>
            <w:shd w:val="clear" w:color="auto" w:fill="FFFFFF"/>
          </w:tcPr>
          <w:p w14:paraId="1DB57456" w14:textId="01AD74E9" w:rsidR="002509B1"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Durch Grundpfandrechte an Immobilien besicherte und ADC-Risikopositionen – Risikopositionswert für die Verschuldungsquote – Risikopositionen nach dem Standardansatz</w:t>
            </w:r>
          </w:p>
          <w:p w14:paraId="17D67F5E" w14:textId="7EDDE2D9" w:rsidR="00086A8A"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Vermögenswerte, bei denen es sich um durch Grundpfandrechte an Immobilien besicherte Risikopositionen nach dem Standardansatz und ADC-Risikopositionen gemäß Artikel 124 und Artikel 126a der Verordnung (EU) Nr. 575/2013 handelt.</w:t>
            </w:r>
          </w:p>
          <w:p w14:paraId="4640B57D" w14:textId="7B28B7DF" w:rsidR="000A486B" w:rsidRPr="00500637"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Standardansatz.</w:t>
            </w:r>
          </w:p>
        </w:tc>
      </w:tr>
      <w:tr w:rsidR="002A54FF" w:rsidRPr="00500637" w14:paraId="56FBD004" w14:textId="77777777" w:rsidTr="000B66BC">
        <w:trPr>
          <w:trHeight w:val="71"/>
        </w:trPr>
        <w:tc>
          <w:tcPr>
            <w:tcW w:w="1559" w:type="dxa"/>
            <w:shd w:val="clear" w:color="auto" w:fill="FFFFFF"/>
          </w:tcPr>
          <w:p w14:paraId="2044B99B" w14:textId="7BA570D9"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{0190;0020}</w:t>
            </w:r>
          </w:p>
        </w:tc>
        <w:tc>
          <w:tcPr>
            <w:tcW w:w="7406" w:type="dxa"/>
            <w:shd w:val="clear" w:color="auto" w:fill="FFFFFF"/>
          </w:tcPr>
          <w:p w14:paraId="65802FBC" w14:textId="3578B747" w:rsidR="002509B1"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Durch Grundpfandrechte an Immobilien besicherte Risikopositionen und ADC-Risikopositionen – Risikopositionswert für die Verschuldungsquote – Risikopositionen nach dem IRB-Ansatz</w:t>
            </w:r>
          </w:p>
          <w:p w14:paraId="61A2701B" w14:textId="449442F8" w:rsidR="001E1518"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 xml:space="preserve">Der Risikopositionswert für die Verschuldungsquote in Bezug auf Vermögenswerte, bei denen es sich um Risikopositionen nach dem IRB-Ansatz gegenüber Unternehmen gemäß Artikel 147 Absatz 2 Buchstabe c oder um Risikopositionen aus dem Mengengeschäft gemäß Artikel 147 </w:t>
            </w:r>
            <w:r w:rsidRPr="00500637">
              <w:rPr>
                <w:rFonts w:ascii="Times New Roman" w:hAnsi="Times New Roman"/>
                <w:sz w:val="24"/>
              </w:rPr>
              <w:lastRenderedPageBreak/>
              <w:t>Absatz 2 Buchstabe d Ziffer ii der Verordnung (EU) Nr. 575/2013 handelt, falls diese gemäß Artikel 199 Absatz 1 Buchstabe a der Verordnung (EU) Nr. 575/2013 durch Grundpfandrechte an Immobilien besicherte Risikopositionen und ADC-Risikopositionen sind.</w:t>
            </w:r>
          </w:p>
          <w:p w14:paraId="1A4EAAD1" w14:textId="25F5CC11" w:rsidR="009C4E79" w:rsidRPr="00500637" w:rsidRDefault="009C4E79"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melden die Beträge abzüglich der ausgefallenen Risikopositionen nach dem IRB-Ansatz.</w:t>
            </w:r>
          </w:p>
        </w:tc>
      </w:tr>
      <w:tr w:rsidR="002A54FF" w:rsidRPr="00500637" w14:paraId="502C4EF4" w14:textId="77777777" w:rsidTr="000B66BC">
        <w:trPr>
          <w:trHeight w:val="71"/>
        </w:trPr>
        <w:tc>
          <w:tcPr>
            <w:tcW w:w="1559" w:type="dxa"/>
            <w:shd w:val="clear" w:color="auto" w:fill="FFFFFF"/>
          </w:tcPr>
          <w:p w14:paraId="15681D38" w14:textId="06E026C3"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lastRenderedPageBreak/>
              <w:t>{0190;0030}</w:t>
            </w:r>
          </w:p>
        </w:tc>
        <w:tc>
          <w:tcPr>
            <w:tcW w:w="7406" w:type="dxa"/>
            <w:shd w:val="clear" w:color="auto" w:fill="FFFFFF"/>
          </w:tcPr>
          <w:p w14:paraId="660D9FEE" w14:textId="6E11FD18" w:rsidR="002509B1"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Durch Grundpfandrechte an Immobilien besicherte Risikopositionen und ADC-Risikopositionen – Risikogewichteter Positionsbetrag (RWEA) – Risikopositionen nach dem Standardansatz</w:t>
            </w:r>
          </w:p>
          <w:p w14:paraId="7FD54199" w14:textId="06D9ED87" w:rsidR="002509B1" w:rsidRPr="00500637" w:rsidRDefault="00F4754B"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Der risikogewichtete Positionsbetrag von Vermögenswerten, bei denen es sich um durch Grundpfandrechte an Immobilien besicherte Risikopositionen nach dem Standardansatz und ADC-Risikopositionen gemäß Artikel 124 und Artikel 126a der Verordnung (EU) Nr. 575/2013 handelt.</w:t>
            </w:r>
          </w:p>
          <w:p w14:paraId="19AB0004" w14:textId="5017684F" w:rsidR="00086A8A" w:rsidRPr="00500637"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Standardansatz.</w:t>
            </w:r>
          </w:p>
        </w:tc>
      </w:tr>
      <w:tr w:rsidR="002A54FF" w:rsidRPr="00500637" w14:paraId="523C1CD0" w14:textId="77777777" w:rsidTr="000B66BC">
        <w:trPr>
          <w:trHeight w:val="71"/>
        </w:trPr>
        <w:tc>
          <w:tcPr>
            <w:tcW w:w="1559" w:type="dxa"/>
            <w:shd w:val="clear" w:color="auto" w:fill="FFFFFF"/>
          </w:tcPr>
          <w:p w14:paraId="4EDDB4A4" w14:textId="1F5C8592"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{0190;0040}</w:t>
            </w:r>
          </w:p>
        </w:tc>
        <w:tc>
          <w:tcPr>
            <w:tcW w:w="7406" w:type="dxa"/>
            <w:shd w:val="clear" w:color="auto" w:fill="FFFFFF"/>
          </w:tcPr>
          <w:p w14:paraId="2A67D4CA" w14:textId="3E88AF47" w:rsidR="00F4754B" w:rsidRPr="00500637" w:rsidRDefault="00F4754B" w:rsidP="000B66BC">
            <w:pPr>
              <w:pStyle w:val="BodyText1"/>
              <w:tabs>
                <w:tab w:val="left" w:pos="6382"/>
              </w:tabs>
              <w:spacing w:after="240" w:line="240" w:lineRule="auto"/>
              <w:rPr>
                <w:rFonts w:ascii="Times New Roman" w:hAnsi="Times New Roman"/>
                <w:b/>
                <w:bCs/>
                <w:sz w:val="24"/>
                <w:szCs w:val="24"/>
              </w:rPr>
            </w:pPr>
            <w:r w:rsidRPr="00500637">
              <w:rPr>
                <w:rFonts w:ascii="Times New Roman" w:hAnsi="Times New Roman"/>
                <w:b/>
                <w:sz w:val="24"/>
              </w:rPr>
              <w:t>Durch Grundpfandrechte an Immobilien besicherte Risikopositionen und ADC-Risikopositionen – Risikogewichteter Positionsbetrag (RWEA) – Risikopositionen nach dem IRB-Ansatz</w:t>
            </w:r>
            <w:r w:rsidRPr="00500637">
              <w:tab/>
            </w:r>
          </w:p>
          <w:p w14:paraId="7586DF94" w14:textId="718ACA78" w:rsidR="009C4E79" w:rsidRPr="00500637" w:rsidRDefault="00F4754B"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Der risikogewichtete Positionsbetrag von Vermögenswerten, bei denen es sich um Risikopositionen nach dem IRB-Ansatz gegenüber Unternehmen gemäß Artikel 147 Absatz 2 Buchstabe c oder um Risikopositionen aus dem Mengengeschäft gemäß Artikel 147 Absatz 2 Buchstabe d Ziffer ii der Verordnung (EU) Nr. 575/2013 handelt, falls diese Risikopositionen durch Grundpfandrechte an Immobilien gemäß Artikel 199 Absatz 1 Buchstabe a der Verordnung (EU) Nr. 575/2013 besichert sind. Die Institute melden die Beträge abzüglich der ausgefallenen Risikopositionen nach dem IRB-Ansatz.</w:t>
            </w:r>
          </w:p>
        </w:tc>
      </w:tr>
      <w:tr w:rsidR="002A54FF" w:rsidRPr="00500637" w14:paraId="79F6725D" w14:textId="77777777" w:rsidTr="000B66BC">
        <w:trPr>
          <w:trHeight w:val="71"/>
        </w:trPr>
        <w:tc>
          <w:tcPr>
            <w:tcW w:w="1559" w:type="dxa"/>
            <w:shd w:val="clear" w:color="auto" w:fill="FFFFFF"/>
          </w:tcPr>
          <w:p w14:paraId="672A2EB4" w14:textId="70F516D1"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{0200;0010}</w:t>
            </w:r>
          </w:p>
        </w:tc>
        <w:tc>
          <w:tcPr>
            <w:tcW w:w="7406" w:type="dxa"/>
            <w:shd w:val="clear" w:color="auto" w:fill="FFFFFF"/>
          </w:tcPr>
          <w:p w14:paraId="584E92BF" w14:textId="77777777" w:rsidR="00F4754B" w:rsidRPr="00500637" w:rsidRDefault="00920DD9"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davon: Durch Grundpfandrechte an Wohnimmobilien besichert – Risikopositionswert für die Verschuldungsquote – Risikopositionen nach dem Standardansatz</w:t>
            </w:r>
          </w:p>
          <w:p w14:paraId="6D68CB80" w14:textId="74864D02" w:rsidR="00086A8A"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Vermögenswerte, bei denen es sich um vollständig durch Grundpfandrechte an Wohnimmobilien besicherte Risikopositionen nach dem Standardansatz gemäß Artikel 125 der Verordnung (EU) Nr. 575/2013 handelt.</w:t>
            </w:r>
          </w:p>
          <w:p w14:paraId="76AD85E4" w14:textId="268C492C" w:rsidR="002509B1" w:rsidRPr="00500637" w:rsidRDefault="00086A8A"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melden die Beträge abzüglich der ausgefallenen Risikopositionen nach dem Standardansatz.</w:t>
            </w:r>
          </w:p>
        </w:tc>
      </w:tr>
      <w:tr w:rsidR="002A54FF" w:rsidRPr="00500637" w14:paraId="29B94991" w14:textId="77777777" w:rsidTr="000B66BC">
        <w:trPr>
          <w:trHeight w:val="71"/>
        </w:trPr>
        <w:tc>
          <w:tcPr>
            <w:tcW w:w="1559" w:type="dxa"/>
            <w:shd w:val="clear" w:color="auto" w:fill="FFFFFF"/>
          </w:tcPr>
          <w:p w14:paraId="7E8E4168" w14:textId="098FD087"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lastRenderedPageBreak/>
              <w:t>{0200;0020}</w:t>
            </w:r>
          </w:p>
        </w:tc>
        <w:tc>
          <w:tcPr>
            <w:tcW w:w="7406" w:type="dxa"/>
            <w:shd w:val="clear" w:color="auto" w:fill="FFFFFF"/>
          </w:tcPr>
          <w:p w14:paraId="32703B14" w14:textId="77777777" w:rsidR="00F4754B" w:rsidRPr="00500637" w:rsidRDefault="00920DD9" w:rsidP="000B66BC">
            <w:pPr>
              <w:pStyle w:val="BodyText1"/>
              <w:spacing w:after="240" w:line="240" w:lineRule="auto"/>
              <w:rPr>
                <w:rFonts w:ascii="Times New Roman" w:hAnsi="Times New Roman"/>
                <w:b/>
                <w:sz w:val="24"/>
                <w:szCs w:val="24"/>
              </w:rPr>
            </w:pPr>
            <w:r w:rsidRPr="00500637">
              <w:rPr>
                <w:rFonts w:ascii="Times New Roman" w:hAnsi="Times New Roman"/>
                <w:b/>
                <w:sz w:val="24"/>
              </w:rPr>
              <w:t>davon: Durch Grundpfandrechte an Wohnimmobilien besichert – Risikopositionswert für die Verschuldungsquote – Risikopositionen nach dem IRB-Ansatz</w:t>
            </w:r>
          </w:p>
          <w:p w14:paraId="225F5A50" w14:textId="002E067D" w:rsidR="009C4E79"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Vermögenswerte, bei denen es sich um Risikopositionen nach dem IRB-Ansatz gegenüber Unternehmen gemäß Artikel 147 Absatz 2 Buchstabe c oder um Risikopositionen aus dem Mengengeschäft gemäß Artikel 147 Absatz 2 Buchstabe d Ziffer ii der Verordnung (EU) Nr. 575/2013 handelt, falls diese Risikopositionen durch Grundpfandrechte an Wohnimmobilien gemäß Artikel 199 Absatz 1 Buchstabe a der Verordnung (EU) Nr. 575/2013 besichert sind.</w:t>
            </w:r>
          </w:p>
          <w:p w14:paraId="3F187E7D" w14:textId="2026D8AC" w:rsidR="004B064A" w:rsidRPr="00500637" w:rsidDel="003A59D6"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r w:rsidR="002A54FF" w:rsidRPr="00500637" w14:paraId="14374F64" w14:textId="77777777" w:rsidTr="000B66BC">
        <w:trPr>
          <w:trHeight w:val="71"/>
        </w:trPr>
        <w:tc>
          <w:tcPr>
            <w:tcW w:w="1559" w:type="dxa"/>
            <w:shd w:val="clear" w:color="auto" w:fill="FFFFFF"/>
          </w:tcPr>
          <w:p w14:paraId="44481671" w14:textId="49318961"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{0200;0030}</w:t>
            </w:r>
          </w:p>
        </w:tc>
        <w:tc>
          <w:tcPr>
            <w:tcW w:w="7406" w:type="dxa"/>
            <w:shd w:val="clear" w:color="auto" w:fill="FFFFFF"/>
          </w:tcPr>
          <w:p w14:paraId="1C91D3EE" w14:textId="0C703C50" w:rsidR="00F4754B" w:rsidRPr="00500637" w:rsidRDefault="00920DD9"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davon: Durch Grundpfandrechte an Wohnimmobilien besichert – Risikogewichteter Positionsbetrag (RWEA) – Risikopositionen nach dem Standardansatz</w:t>
            </w:r>
          </w:p>
          <w:p w14:paraId="2432C156" w14:textId="00BB8CEE" w:rsidR="00086A8A"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Positionsbetrag von Vermögenswerten, bei denen es sich um vollständig durch Grundpfandrechte an Wohnimmobilien besicherte Risikopositionen nach dem Standardansatz gemäß Artikel 125 der Verordnung (EU) Nr. 575/2013 handelt.</w:t>
            </w:r>
          </w:p>
          <w:p w14:paraId="26D9FFCE" w14:textId="4577953E" w:rsidR="002509B1" w:rsidRPr="00500637"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Standardansatz.</w:t>
            </w:r>
          </w:p>
        </w:tc>
      </w:tr>
      <w:tr w:rsidR="002A54FF" w:rsidRPr="00500637" w14:paraId="0D3A4E36" w14:textId="77777777" w:rsidTr="000B66BC">
        <w:trPr>
          <w:trHeight w:val="71"/>
        </w:trPr>
        <w:tc>
          <w:tcPr>
            <w:tcW w:w="1559" w:type="dxa"/>
            <w:shd w:val="clear" w:color="auto" w:fill="FFFFFF"/>
          </w:tcPr>
          <w:p w14:paraId="28ED62BB" w14:textId="034112B8"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{0200;0040}</w:t>
            </w:r>
          </w:p>
        </w:tc>
        <w:tc>
          <w:tcPr>
            <w:tcW w:w="7406" w:type="dxa"/>
            <w:shd w:val="clear" w:color="auto" w:fill="FFFFFF"/>
          </w:tcPr>
          <w:p w14:paraId="35F16AA3" w14:textId="7277D856" w:rsidR="00F4754B" w:rsidRPr="00500637" w:rsidRDefault="00920DD9"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davon: Durch Grundpfandrechte an Wohnimmobilien besichert – Risikogewichteter Positionsbetrag (RWEA) – Risikopositionen nach dem IRB-Ansatz</w:t>
            </w:r>
          </w:p>
          <w:p w14:paraId="17020383" w14:textId="27BD45C5" w:rsidR="009C4E79"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Positionsbetrag von Vermögenswerten, bei denen es sich um Risikopositionen nach dem IRB-Ansatz gegenüber Unternehmen gemäß Artikel 147 Absatz 2 Buchstabe c oder um Risikopositionen aus dem Mengengeschäft gemäß Artikel 147 Absatz 2 Buchstabe d Ziffer ii der Verordnung (EU) Nr. 575/2013 handelt, falls diese Risikopositionen durch Grundpfandrechte an Wohnimmobilien gemäß Artikel 199 Absatz 1 Buchstabe a der Verordnung (EU) Nr. 575/2013 besichert sind.</w:t>
            </w:r>
          </w:p>
          <w:p w14:paraId="434D72CF" w14:textId="69DE627D" w:rsidR="004250C0" w:rsidRPr="00500637"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r w:rsidR="002A54FF" w:rsidRPr="00500637" w14:paraId="18D713C4" w14:textId="77777777" w:rsidTr="000B66BC">
        <w:trPr>
          <w:trHeight w:val="71"/>
        </w:trPr>
        <w:tc>
          <w:tcPr>
            <w:tcW w:w="1559" w:type="dxa"/>
            <w:shd w:val="clear" w:color="auto" w:fill="FFFFFF"/>
          </w:tcPr>
          <w:p w14:paraId="10D72D62" w14:textId="3E23070F"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{0210;0010}</w:t>
            </w:r>
          </w:p>
        </w:tc>
        <w:tc>
          <w:tcPr>
            <w:tcW w:w="7406" w:type="dxa"/>
            <w:shd w:val="clear" w:color="auto" w:fill="FFFFFF"/>
          </w:tcPr>
          <w:p w14:paraId="29F4D22F" w14:textId="0AFB67CF"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Risikopositionen aus dem Mengengeschäft – Risikopositionswert für die Verschuldungsquote – Risikopositionen nach dem Standardansatz</w:t>
            </w:r>
          </w:p>
          <w:p w14:paraId="1C50F3CF" w14:textId="232A5189" w:rsidR="00086A8A"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 xml:space="preserve">Der Risikopositionswert für die Verschuldungsquote in Bezug auf Vermögenswerte, bei denen es sich um Risikopositionen aus dem </w:t>
            </w:r>
            <w:r w:rsidRPr="00500637">
              <w:rPr>
                <w:rFonts w:ascii="Times New Roman" w:hAnsi="Times New Roman"/>
                <w:sz w:val="24"/>
              </w:rPr>
              <w:lastRenderedPageBreak/>
              <w:t>Mengengeschäft nach dem Standardansatz gemäß Artikel 123 der Verordnung (EU) Nr. 575/2013 handelt.</w:t>
            </w:r>
          </w:p>
          <w:p w14:paraId="467BDCEC" w14:textId="6EA2353B" w:rsidR="002509B1" w:rsidRPr="00500637" w:rsidRDefault="00086A8A"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melden die Beträge abzüglich der ausgefallenen Risikopositionen nach dem Standardansatz.</w:t>
            </w:r>
          </w:p>
        </w:tc>
      </w:tr>
      <w:tr w:rsidR="002A54FF" w:rsidRPr="00500637" w14:paraId="29E5C489" w14:textId="77777777" w:rsidTr="000B66BC">
        <w:trPr>
          <w:trHeight w:val="71"/>
        </w:trPr>
        <w:tc>
          <w:tcPr>
            <w:tcW w:w="1559" w:type="dxa"/>
            <w:shd w:val="clear" w:color="auto" w:fill="FFFFFF"/>
          </w:tcPr>
          <w:p w14:paraId="0E1E0B5E" w14:textId="70EE57D3"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lastRenderedPageBreak/>
              <w:t>{0210;0020}</w:t>
            </w:r>
          </w:p>
        </w:tc>
        <w:tc>
          <w:tcPr>
            <w:tcW w:w="7406" w:type="dxa"/>
            <w:shd w:val="clear" w:color="auto" w:fill="FFFFFF"/>
          </w:tcPr>
          <w:p w14:paraId="31A6BB5D" w14:textId="22D5A816"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Risikopositionen aus dem Mengengeschäft – Risikopositionswert für die Verschuldungsquote – Risikopositionen nach dem IRB-Ansatz</w:t>
            </w:r>
          </w:p>
          <w:p w14:paraId="2F48B2D6" w14:textId="33692B94" w:rsidR="009C4E79"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Vermögenswerte, bei denen es sich um Risikopositionen aus dem Mengengeschäft nach dem IRB-Ansatz gemäß Artikel 147 Absatz 2 Buchstabe d Ziffern i, iii und iv der Verordnung (EU) Nr. 575/2013 handelt, falls diese Risikopositionen nicht durch Grundpfandrechte an Immobilien gemäß Artikel 199 Absatz 1 Buchstabe a der Verordnung (EU) Nr. 575/2013 besichert sind.</w:t>
            </w:r>
          </w:p>
          <w:p w14:paraId="3E24EEB1" w14:textId="56A3B7C1" w:rsidR="002509B1" w:rsidRPr="00500637" w:rsidRDefault="009C4E79"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melden die Beträge abzüglich der ausgefallenen Risikopositionen nach dem IRB-Ansatz.</w:t>
            </w:r>
          </w:p>
        </w:tc>
      </w:tr>
      <w:tr w:rsidR="002A54FF" w:rsidRPr="00500637" w14:paraId="2494CE48" w14:textId="77777777" w:rsidTr="000B66BC">
        <w:trPr>
          <w:trHeight w:val="71"/>
        </w:trPr>
        <w:tc>
          <w:tcPr>
            <w:tcW w:w="1559" w:type="dxa"/>
            <w:shd w:val="clear" w:color="auto" w:fill="FFFFFF"/>
          </w:tcPr>
          <w:p w14:paraId="6EB17324" w14:textId="46932817"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{0210;0030}</w:t>
            </w:r>
          </w:p>
        </w:tc>
        <w:tc>
          <w:tcPr>
            <w:tcW w:w="7406" w:type="dxa"/>
            <w:shd w:val="clear" w:color="auto" w:fill="FFFFFF"/>
          </w:tcPr>
          <w:p w14:paraId="289B0ED6" w14:textId="3F634A78"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Risikopositionen aus dem Mengengeschäft – Risikogewichteter Positionsbetrag (RWEA) – Risikopositionen nach dem Standardansatz</w:t>
            </w:r>
          </w:p>
          <w:p w14:paraId="078B0D1B" w14:textId="64B99A17" w:rsidR="00086A8A"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Positionsbetrag von Vermögenswerten, bei denen es sich um Risikopositionen aus dem Mengengeschäft nach dem Standardansatz gemäß Artikel 123 der Verordnung (EU) Nr. 575/2013 handelt.</w:t>
            </w:r>
          </w:p>
          <w:p w14:paraId="32C0AC0A" w14:textId="1D4C9F45" w:rsidR="002509B1" w:rsidRPr="00500637"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Standardansatz.</w:t>
            </w:r>
          </w:p>
        </w:tc>
      </w:tr>
      <w:tr w:rsidR="002A54FF" w:rsidRPr="00500637" w14:paraId="076433D7" w14:textId="77777777" w:rsidTr="000B66BC">
        <w:trPr>
          <w:trHeight w:val="71"/>
        </w:trPr>
        <w:tc>
          <w:tcPr>
            <w:tcW w:w="1559" w:type="dxa"/>
            <w:shd w:val="clear" w:color="auto" w:fill="FFFFFF"/>
          </w:tcPr>
          <w:p w14:paraId="7BBA610A" w14:textId="7E09D9E4"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{0210;0040}</w:t>
            </w:r>
          </w:p>
        </w:tc>
        <w:tc>
          <w:tcPr>
            <w:tcW w:w="7406" w:type="dxa"/>
            <w:shd w:val="clear" w:color="auto" w:fill="FFFFFF"/>
          </w:tcPr>
          <w:p w14:paraId="3829C860" w14:textId="1B4CBE35"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Risikopositionen aus dem Mengengeschäft – Risikogewichteter Positionsbetrag (RWEA) – Risikopositionen nach dem IRB-Ansatz</w:t>
            </w:r>
          </w:p>
          <w:p w14:paraId="270C61EF" w14:textId="63E1319E"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Positionsbetrag von Vermögenswerten, bei denen es sich um Risikopositionen aus dem Mengengeschäft nach dem IRB-Ansatz gemäß Artikel 147 Absatz 2 Buchstabe d Ziffern i, iii und iv der Verordnung (EU) Nr. 575/2013 handelt, falls diese Risikopositionen nicht durch Grundpfandrechte an Immobilien gemäß Artikel 199 Absatz 1 Buchstabe a der Verordnung (EU) Nr. 575/2013 besichert sind.</w:t>
            </w:r>
          </w:p>
          <w:p w14:paraId="46460615" w14:textId="10D30752" w:rsidR="009C4E79" w:rsidRPr="00500637"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r w:rsidR="002A54FF" w:rsidRPr="00500637" w14:paraId="0AAA69A4" w14:textId="77777777" w:rsidTr="000B66BC">
        <w:trPr>
          <w:trHeight w:val="71"/>
        </w:trPr>
        <w:tc>
          <w:tcPr>
            <w:tcW w:w="1559" w:type="dxa"/>
            <w:shd w:val="clear" w:color="auto" w:fill="FFFFFF"/>
          </w:tcPr>
          <w:p w14:paraId="2A257B46" w14:textId="42862C04"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{0220;0010}</w:t>
            </w:r>
          </w:p>
        </w:tc>
        <w:tc>
          <w:tcPr>
            <w:tcW w:w="7406" w:type="dxa"/>
            <w:shd w:val="clear" w:color="auto" w:fill="FFFFFF"/>
          </w:tcPr>
          <w:p w14:paraId="7AF700CC" w14:textId="77777777" w:rsidR="00F4754B" w:rsidRPr="00500637" w:rsidRDefault="00920DD9" w:rsidP="000B66BC">
            <w:pPr>
              <w:pStyle w:val="BodyText1"/>
              <w:spacing w:after="240" w:line="240" w:lineRule="auto"/>
              <w:rPr>
                <w:rFonts w:ascii="Times New Roman" w:hAnsi="Times New Roman"/>
                <w:b/>
                <w:sz w:val="24"/>
                <w:szCs w:val="24"/>
              </w:rPr>
            </w:pPr>
            <w:r w:rsidRPr="00500637">
              <w:rPr>
                <w:rFonts w:ascii="Times New Roman" w:hAnsi="Times New Roman"/>
                <w:b/>
                <w:sz w:val="24"/>
              </w:rPr>
              <w:t>davon: Risikopositionen aus dem Mengengeschäft (KMU) – Risikopositionswert für die Verschuldungsquote – Risikopositionen nach dem Standardansatz</w:t>
            </w:r>
          </w:p>
          <w:p w14:paraId="30054418" w14:textId="51396120" w:rsidR="00BB5324"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 xml:space="preserve">Der Risikopositionswert für die Verschuldungsquote in Bezug auf Vermögenswerte, bei denen es sich um Risikopositionen aus dem </w:t>
            </w:r>
            <w:r w:rsidRPr="00500637">
              <w:rPr>
                <w:rFonts w:ascii="Times New Roman" w:hAnsi="Times New Roman"/>
                <w:sz w:val="24"/>
              </w:rPr>
              <w:lastRenderedPageBreak/>
              <w:t>Mengengeschäft nach dem Standardansatz gegenüber kleinen und mittleren Unternehmen gemäß Artikel 123 der Verordnung (EU) Nr. 575/2013 handelt.</w:t>
            </w:r>
          </w:p>
          <w:p w14:paraId="55120FDB" w14:textId="214FE397" w:rsidR="004B653A" w:rsidRPr="00500637" w:rsidRDefault="004B653A" w:rsidP="000B66BC">
            <w:pPr>
              <w:pStyle w:val="BodyText1"/>
              <w:spacing w:after="240" w:line="240" w:lineRule="auto"/>
              <w:rPr>
                <w:rFonts w:ascii="Times New Roman" w:hAnsi="Times New Roman"/>
                <w:bCs/>
                <w:sz w:val="24"/>
                <w:szCs w:val="24"/>
              </w:rPr>
            </w:pPr>
            <w:r w:rsidRPr="00500637">
              <w:rPr>
                <w:rFonts w:ascii="Times New Roman" w:hAnsi="Times New Roman"/>
                <w:sz w:val="24"/>
              </w:rPr>
              <w:t>Für dieses Feld verwenden Institute die Definition von „kleinen und mittleren Unternehmen“ gemäß Artikel 501 Absatz 2 Buchstabe b der Verordnung (EU) Nr. 575/2013.</w:t>
            </w:r>
          </w:p>
          <w:p w14:paraId="4231C6F4" w14:textId="7E0CACE5" w:rsidR="002509B1" w:rsidRPr="00500637" w:rsidRDefault="00086A8A" w:rsidP="000B66BC">
            <w:pPr>
              <w:pStyle w:val="BodyText1"/>
              <w:spacing w:after="240" w:line="240" w:lineRule="auto"/>
              <w:rPr>
                <w:rFonts w:ascii="Times New Roman" w:hAnsi="Times New Roman"/>
                <w:b/>
                <w:bCs/>
                <w:sz w:val="24"/>
                <w:szCs w:val="24"/>
              </w:rPr>
            </w:pPr>
            <w:r w:rsidRPr="00500637">
              <w:rPr>
                <w:rFonts w:ascii="Times New Roman" w:hAnsi="Times New Roman"/>
                <w:sz w:val="24"/>
              </w:rPr>
              <w:t>Die Institute melden die Beträge abzüglich der ausgefallenen Risikopositionen nach dem Standardansatz.</w:t>
            </w:r>
          </w:p>
        </w:tc>
      </w:tr>
      <w:tr w:rsidR="002A54FF" w:rsidRPr="00500637" w14:paraId="7C0D9518" w14:textId="77777777" w:rsidTr="000B66BC">
        <w:trPr>
          <w:trHeight w:val="71"/>
        </w:trPr>
        <w:tc>
          <w:tcPr>
            <w:tcW w:w="1559" w:type="dxa"/>
            <w:shd w:val="clear" w:color="auto" w:fill="FFFFFF"/>
          </w:tcPr>
          <w:p w14:paraId="46A37ABD" w14:textId="2C88404B"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lastRenderedPageBreak/>
              <w:t>{0220;0020}</w:t>
            </w:r>
          </w:p>
        </w:tc>
        <w:tc>
          <w:tcPr>
            <w:tcW w:w="7406" w:type="dxa"/>
            <w:shd w:val="clear" w:color="auto" w:fill="FFFFFF"/>
          </w:tcPr>
          <w:p w14:paraId="08A88D6A" w14:textId="77777777" w:rsidR="00F4754B" w:rsidRPr="00500637" w:rsidRDefault="00920DD9"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davon: Risikopositionen aus dem Mengengeschäft (KMU) – Risikopositionswert für die Verschuldungsquote – Risikopositionen nach dem IRB-Ansatz</w:t>
            </w:r>
          </w:p>
          <w:p w14:paraId="781E0C73" w14:textId="533752F7"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Vermögenswerte, bei denen es sich um Risikopositionen nach dem IRB-Ansatz gegenüber Unternehmen gemäß Artikel 147 Absatz 2 Buchstabe d Ziffern i, iii und iv der Verordnung (EU) Nr. 575/2013 handelt, falls diese Risikopositionen gegenüber kleinen und mittleren Unternehmen bestehen und nicht durch Grundpfandrechte an Immobilien gemäß Artikel 199 Absatz 1 Buchstabe a der Verordnung (EU) Nr. 575/2013 besichert sind.</w:t>
            </w:r>
          </w:p>
          <w:p w14:paraId="33D07FA1" w14:textId="0C76B163" w:rsidR="004B653A" w:rsidRPr="00500637" w:rsidRDefault="004B653A" w:rsidP="000B66BC">
            <w:pPr>
              <w:pStyle w:val="BodyText1"/>
              <w:spacing w:after="240" w:line="240" w:lineRule="auto"/>
              <w:rPr>
                <w:rFonts w:ascii="Times New Roman" w:hAnsi="Times New Roman"/>
                <w:bCs/>
                <w:sz w:val="24"/>
                <w:szCs w:val="24"/>
              </w:rPr>
            </w:pPr>
            <w:r w:rsidRPr="00500637">
              <w:rPr>
                <w:rFonts w:ascii="Times New Roman" w:hAnsi="Times New Roman"/>
                <w:sz w:val="24"/>
              </w:rPr>
              <w:t>Für dieses Feld verwenden Institute die Definition von „kleinen und mittleren Unternehmen“ gemäß Artikel 501 Absatz 2 Buchstabe b der Verordnung (EU) Nr. 575/2013.</w:t>
            </w:r>
          </w:p>
          <w:p w14:paraId="04884D64" w14:textId="407FECC5" w:rsidR="002509B1" w:rsidRPr="00500637" w:rsidDel="00EC6E42"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r w:rsidR="002A54FF" w:rsidRPr="00500637" w14:paraId="7A8F06D1" w14:textId="77777777" w:rsidTr="000B66BC">
        <w:trPr>
          <w:trHeight w:val="71"/>
        </w:trPr>
        <w:tc>
          <w:tcPr>
            <w:tcW w:w="1559" w:type="dxa"/>
            <w:shd w:val="clear" w:color="auto" w:fill="FFFFFF"/>
          </w:tcPr>
          <w:p w14:paraId="301DBA86" w14:textId="0C22B553"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{0220;0030}</w:t>
            </w:r>
          </w:p>
        </w:tc>
        <w:tc>
          <w:tcPr>
            <w:tcW w:w="7406" w:type="dxa"/>
            <w:shd w:val="clear" w:color="auto" w:fill="FFFFFF"/>
          </w:tcPr>
          <w:p w14:paraId="54B8F22A" w14:textId="1D4B13D9" w:rsidR="002509B1" w:rsidRPr="00500637" w:rsidRDefault="00920DD9"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davon: Risikopositionen aus dem Mengengeschäft (KMU) – Risikogewichteter Positionsbetrag (RWEA) – Risikopositionen nach dem Standardansatz</w:t>
            </w:r>
          </w:p>
          <w:p w14:paraId="6A3FD743" w14:textId="06AB1830" w:rsidR="00BB5324"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Positionsbetrag von Vermögenswerten, bei denen es sich um Risikopositionen aus dem Mengengeschäft nach dem Standardansatz gegenüber kleinen und mittleren Unternehmen gemäß Artikel 123 der Verordnung (EU) Nr. 575/2013 handelt.</w:t>
            </w:r>
          </w:p>
          <w:p w14:paraId="550AD4D7" w14:textId="6CCB9C03" w:rsidR="00086A8A" w:rsidRPr="00500637" w:rsidRDefault="004B653A" w:rsidP="000B66BC">
            <w:pPr>
              <w:pStyle w:val="BodyText1"/>
              <w:spacing w:after="240" w:line="240" w:lineRule="auto"/>
              <w:rPr>
                <w:rFonts w:ascii="Times New Roman" w:hAnsi="Times New Roman"/>
                <w:bCs/>
                <w:sz w:val="24"/>
                <w:szCs w:val="24"/>
              </w:rPr>
            </w:pPr>
            <w:r w:rsidRPr="00500637">
              <w:rPr>
                <w:rFonts w:ascii="Times New Roman" w:hAnsi="Times New Roman"/>
                <w:sz w:val="24"/>
              </w:rPr>
              <w:t>Für dieses Feld verwenden Institute die Definition von „kleinen und mittleren Unternehmen“ gemäß Artikel 501 Absatz 2 Buchstabe b der Verordnung (EU) Nr. 575/2013.</w:t>
            </w:r>
          </w:p>
          <w:p w14:paraId="1B6B32F8" w14:textId="14F01D19" w:rsidR="002509B1" w:rsidRPr="00500637"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Standardansatz.</w:t>
            </w:r>
          </w:p>
        </w:tc>
      </w:tr>
    </w:tbl>
    <w:p w14:paraId="1C555E2E" w14:textId="77777777" w:rsidR="00AF4551" w:rsidRDefault="00AF4551">
      <w:r>
        <w:br w:type="page"/>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500637" w14:paraId="0291C492" w14:textId="77777777" w:rsidTr="000B66BC">
        <w:trPr>
          <w:trHeight w:val="71"/>
        </w:trPr>
        <w:tc>
          <w:tcPr>
            <w:tcW w:w="1559" w:type="dxa"/>
            <w:shd w:val="clear" w:color="auto" w:fill="FFFFFF"/>
          </w:tcPr>
          <w:p w14:paraId="5C057F01" w14:textId="69D7F16A"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lastRenderedPageBreak/>
              <w:t>{0220;0040}</w:t>
            </w:r>
          </w:p>
        </w:tc>
        <w:tc>
          <w:tcPr>
            <w:tcW w:w="7406" w:type="dxa"/>
            <w:shd w:val="clear" w:color="auto" w:fill="FFFFFF"/>
          </w:tcPr>
          <w:p w14:paraId="59E62599" w14:textId="6893B06F" w:rsidR="00F4754B" w:rsidRPr="00500637" w:rsidRDefault="00920DD9"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davon: Risikopositionen aus dem Mengengeschäft (KMU) – Risikogewichteter Positionsbetrag (RWEA) – Risikopositionen nach dem IRB-Ansatz</w:t>
            </w:r>
          </w:p>
          <w:p w14:paraId="4092922E" w14:textId="4FF18F2A" w:rsidR="00BB5324"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Positionsbetrag von Vermögenswerten, bei denen es sich um Risikopositionen nach dem IRB-Ansatz gegenüber Unternehmen gemäß Artikel 147 Absatz 2 Buchstabe d Ziffern i, iii und iv der Verordnung (EU) Nr. 575/2013 handelt, falls diese Risikopositionen gegenüber kleinen und mittleren Unternehmen bestehen und nicht durch Grundpfandrechte an Immobilien gemäß Artikel 199 Absatz 1 Buchstabe a der Verordnung (EU) Nr. 575/2013 besichert sind.</w:t>
            </w:r>
          </w:p>
          <w:p w14:paraId="51FEC3D4" w14:textId="010E27FC" w:rsidR="004B653A" w:rsidRPr="00500637" w:rsidRDefault="004B653A" w:rsidP="000B66BC">
            <w:pPr>
              <w:pStyle w:val="BodyText1"/>
              <w:spacing w:after="240" w:line="240" w:lineRule="auto"/>
              <w:rPr>
                <w:rFonts w:ascii="Times New Roman" w:hAnsi="Times New Roman"/>
                <w:bCs/>
                <w:sz w:val="24"/>
                <w:szCs w:val="24"/>
              </w:rPr>
            </w:pPr>
            <w:r w:rsidRPr="00500637">
              <w:rPr>
                <w:rFonts w:ascii="Times New Roman" w:hAnsi="Times New Roman"/>
                <w:sz w:val="24"/>
              </w:rPr>
              <w:t>Für dieses Feld verwenden Institute die Definition von „kleinen und mittleren Unternehmen“ gemäß Artikel 501 Absatz 2 Buchstabe b der Verordnung (EU) Nr. 575/2013.</w:t>
            </w:r>
          </w:p>
          <w:p w14:paraId="15449195" w14:textId="06E7A313" w:rsidR="009C4E79" w:rsidRPr="00500637"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r w:rsidR="002A54FF" w:rsidRPr="00500637" w14:paraId="22E0911F" w14:textId="77777777" w:rsidTr="000B66BC">
        <w:trPr>
          <w:trHeight w:val="71"/>
        </w:trPr>
        <w:tc>
          <w:tcPr>
            <w:tcW w:w="1559" w:type="dxa"/>
            <w:shd w:val="clear" w:color="auto" w:fill="FFFFFF"/>
          </w:tcPr>
          <w:p w14:paraId="2D2EB46F" w14:textId="6C0287C1"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{0230;0010}</w:t>
            </w:r>
          </w:p>
        </w:tc>
        <w:tc>
          <w:tcPr>
            <w:tcW w:w="7406" w:type="dxa"/>
            <w:shd w:val="clear" w:color="auto" w:fill="FFFFFF"/>
          </w:tcPr>
          <w:p w14:paraId="73CCE449" w14:textId="775C5A74"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Unternehmen – Risikopositionswert für die Verschuldungsquote – Risikopositionen nach dem Standardansatz</w:t>
            </w:r>
          </w:p>
          <w:p w14:paraId="4918C822" w14:textId="3B8F07B4" w:rsidR="00F4754B" w:rsidRPr="00500637" w:rsidRDefault="00F4754B" w:rsidP="000B66BC">
            <w:pPr>
              <w:pStyle w:val="BodyText1"/>
              <w:spacing w:after="240" w:line="240" w:lineRule="auto"/>
              <w:rPr>
                <w:rFonts w:ascii="Times New Roman" w:hAnsi="Times New Roman"/>
                <w:sz w:val="24"/>
                <w:szCs w:val="24"/>
              </w:rPr>
            </w:pPr>
            <w:r w:rsidRPr="00500637">
              <w:rPr>
                <w:rFonts w:ascii="Times New Roman" w:hAnsi="Times New Roman"/>
                <w:sz w:val="24"/>
              </w:rPr>
              <w:t>Summe der Felder {0240,0010} und {0250,0010}.</w:t>
            </w:r>
          </w:p>
          <w:p w14:paraId="0E0CFA07" w14:textId="6CB7CDAF" w:rsidR="002509B1" w:rsidRPr="00500637"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Standardansatz.</w:t>
            </w:r>
          </w:p>
        </w:tc>
      </w:tr>
      <w:tr w:rsidR="002A54FF" w:rsidRPr="00500637" w14:paraId="12DD0BFF" w14:textId="77777777" w:rsidTr="000B66BC">
        <w:trPr>
          <w:trHeight w:val="71"/>
        </w:trPr>
        <w:tc>
          <w:tcPr>
            <w:tcW w:w="1559" w:type="dxa"/>
            <w:shd w:val="clear" w:color="auto" w:fill="FFFFFF"/>
          </w:tcPr>
          <w:p w14:paraId="1C2C1D0B" w14:textId="454CE528"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{0230;0020}</w:t>
            </w:r>
          </w:p>
        </w:tc>
        <w:tc>
          <w:tcPr>
            <w:tcW w:w="7406" w:type="dxa"/>
            <w:shd w:val="clear" w:color="auto" w:fill="FFFFFF"/>
          </w:tcPr>
          <w:p w14:paraId="6362ED1C" w14:textId="48ECB6BB"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Unternehmen – Risikopositionswert für die Verschuldungsquote – Risikopositionen nach dem IRB-Ansatz</w:t>
            </w:r>
          </w:p>
          <w:p w14:paraId="3219ACC2" w14:textId="4FF4B098" w:rsidR="009C4E79"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Summe der Felder {0240,0020} und {0250,0020}.</w:t>
            </w:r>
          </w:p>
          <w:p w14:paraId="4E2F97BD" w14:textId="057F742F" w:rsidR="002509B1" w:rsidRPr="00500637"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r w:rsidR="002A54FF" w:rsidRPr="00500637" w14:paraId="1AA657CC" w14:textId="77777777" w:rsidTr="000B66BC">
        <w:trPr>
          <w:trHeight w:val="71"/>
        </w:trPr>
        <w:tc>
          <w:tcPr>
            <w:tcW w:w="1559" w:type="dxa"/>
            <w:shd w:val="clear" w:color="auto" w:fill="FFFFFF"/>
          </w:tcPr>
          <w:p w14:paraId="4522036A" w14:textId="1BC453BF"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{0230;0030}</w:t>
            </w:r>
          </w:p>
        </w:tc>
        <w:tc>
          <w:tcPr>
            <w:tcW w:w="7406" w:type="dxa"/>
            <w:shd w:val="clear" w:color="auto" w:fill="FFFFFF"/>
          </w:tcPr>
          <w:p w14:paraId="44E9C1D0" w14:textId="47E57827"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Unternehmen – Risikogewichteter Positionsbetrag (RWEA) – Risikopositionen nach dem Standardansatz</w:t>
            </w:r>
          </w:p>
          <w:p w14:paraId="327E6857" w14:textId="7197BBC3"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Summe der Felder {0240,0030} und {0250,0030}.</w:t>
            </w:r>
          </w:p>
          <w:p w14:paraId="730ED24A" w14:textId="291AC1EA" w:rsidR="002509B1" w:rsidRPr="00500637"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Standardansatz.</w:t>
            </w:r>
          </w:p>
        </w:tc>
      </w:tr>
      <w:tr w:rsidR="002A54FF" w:rsidRPr="00500637" w14:paraId="0C1B4712" w14:textId="77777777" w:rsidTr="000B66BC">
        <w:trPr>
          <w:trHeight w:val="71"/>
        </w:trPr>
        <w:tc>
          <w:tcPr>
            <w:tcW w:w="1559" w:type="dxa"/>
            <w:shd w:val="clear" w:color="auto" w:fill="FFFFFF"/>
          </w:tcPr>
          <w:p w14:paraId="7A82EAC6" w14:textId="7CFA6BC1"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{0230;0040}</w:t>
            </w:r>
          </w:p>
        </w:tc>
        <w:tc>
          <w:tcPr>
            <w:tcW w:w="7406" w:type="dxa"/>
            <w:shd w:val="clear" w:color="auto" w:fill="FFFFFF"/>
          </w:tcPr>
          <w:p w14:paraId="0B759A94" w14:textId="0A1DE6FC"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Unternehmen – Risikogewichteter Positionsbetrag (RWEA) – Risikopositionen nach dem IRB-Ansatz</w:t>
            </w:r>
          </w:p>
          <w:p w14:paraId="1D494120" w14:textId="6A9832C6" w:rsidR="009C4E79"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Summe der Felder {0240,0040} und {0250,0040}.</w:t>
            </w:r>
          </w:p>
          <w:p w14:paraId="1F4A9AA4" w14:textId="53069870" w:rsidR="002509B1" w:rsidRPr="00500637"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r w:rsidR="002A54FF" w:rsidRPr="00500637" w14:paraId="5D9FF2D4" w14:textId="77777777" w:rsidTr="000B66BC">
        <w:trPr>
          <w:trHeight w:val="71"/>
        </w:trPr>
        <w:tc>
          <w:tcPr>
            <w:tcW w:w="1559" w:type="dxa"/>
            <w:shd w:val="clear" w:color="auto" w:fill="FFFFFF"/>
          </w:tcPr>
          <w:p w14:paraId="0D822794" w14:textId="69E077EE"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lastRenderedPageBreak/>
              <w:t>{0240;0010}</w:t>
            </w:r>
          </w:p>
        </w:tc>
        <w:tc>
          <w:tcPr>
            <w:tcW w:w="7406" w:type="dxa"/>
            <w:shd w:val="clear" w:color="auto" w:fill="FFFFFF"/>
          </w:tcPr>
          <w:p w14:paraId="6E90DECA" w14:textId="3F12F294" w:rsidR="002509B1"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Finanzunternehmen – Risikopositionswert für die Verschuldungsquote – Risikopositionen nach dem Standardansatz</w:t>
            </w:r>
          </w:p>
          <w:p w14:paraId="7CAB4F9A" w14:textId="1720AD57" w:rsidR="008A5C87"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Vermögenswerte, bei denen es sich um Risikopositionen nach dem Standardansatz gegenüber Finanzunternehmen gemäß Artikel 122 der Verordnung (EU) Nr. 575/2013 handelt.</w:t>
            </w:r>
          </w:p>
          <w:p w14:paraId="48ACEE9F" w14:textId="5BA69E53" w:rsidR="00086A8A"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 xml:space="preserve">Für die in LR4 zu meldenden Angaben bedeutet der Begriff Finanzunternehmen beaufsichtigte und nicht beaufsichtigte Unternehmen, mit Ausnahme der in {0180;0010} genannten Institute, deren Haupttätigkeit darin besteht, Beteiligungen zu erwerben oder eines oder mehrere der in Anhang I der Richtlinie 2013/36/EU aufgelisteten Geschäfte zu betreiben, sowie die in Artikel 4 Absatz 1 Nummer 27 der Verordnung (EU) Nr. 575/2013 definierten Unternehmen, mit Ausnahme der in {0180;0010} genannten Institute. </w:t>
            </w:r>
          </w:p>
          <w:p w14:paraId="34C751F5" w14:textId="603A8953" w:rsidR="002509B1" w:rsidRPr="00500637"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Standardansatz.</w:t>
            </w:r>
          </w:p>
        </w:tc>
      </w:tr>
      <w:tr w:rsidR="002A54FF" w:rsidRPr="00500637" w14:paraId="3897B4FD" w14:textId="77777777" w:rsidTr="000B66BC">
        <w:trPr>
          <w:trHeight w:val="71"/>
        </w:trPr>
        <w:tc>
          <w:tcPr>
            <w:tcW w:w="1559" w:type="dxa"/>
            <w:shd w:val="clear" w:color="auto" w:fill="FFFFFF"/>
          </w:tcPr>
          <w:p w14:paraId="5C338C26" w14:textId="03E777A5"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{0240;0020}</w:t>
            </w:r>
          </w:p>
        </w:tc>
        <w:tc>
          <w:tcPr>
            <w:tcW w:w="7406" w:type="dxa"/>
            <w:shd w:val="clear" w:color="auto" w:fill="FFFFFF"/>
          </w:tcPr>
          <w:p w14:paraId="4094858A" w14:textId="77777777"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Finanzunternehmen – Risikopositionswert für die Verschuldungsquote – Risikopositionen nach dem IRB-Ansatz</w:t>
            </w:r>
          </w:p>
          <w:p w14:paraId="058EB000" w14:textId="0F13A073" w:rsidR="008A5C87"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Vermögenswerte, bei denen es sich um Risikopositionen nach dem IRB-Ansatz gegenüber Finanzunternehmen gemäß Artikel 147 Absatz 2 Buchstabe c der Verordnung (EU) Nr. 575/2013 handelt, falls diese Risikopositionen nicht durch Grundpfandrechte an Immobilien gemäß Artikel 199 Absatz 1 Buchstabe a der Verordnung (EU) Nr. 575/2013 besichert sind.</w:t>
            </w:r>
          </w:p>
          <w:p w14:paraId="07B8C8CE" w14:textId="7EFF1698"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 xml:space="preserve">Für die in LR4 zu meldenden Angaben bedeutet der Begriff Finanzunternehmen beaufsichtigte und nicht beaufsichtigte Unternehmen, mit Ausnahme der in {0180;0010} genannten Institute, deren Haupttätigkeit darin besteht, Beteiligungen zu erwerben oder eines oder mehrere der in Anhang I der Richtlinie 2013/36/EU aufgelisteten Geschäfte zu betreiben, sowie die in Artikel 4 Absatz 1 Nummer 27 der Verordnung (EU) Nr. 575/2013 definierten Unternehmen, mit Ausnahme der in {0180;0010} genannten Institute. </w:t>
            </w:r>
          </w:p>
          <w:p w14:paraId="51655C6D" w14:textId="31474CF4" w:rsidR="009C4E79" w:rsidRPr="00500637"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r w:rsidR="002A54FF" w:rsidRPr="00500637" w14:paraId="7E381EEB" w14:textId="77777777" w:rsidTr="000B66BC">
        <w:trPr>
          <w:trHeight w:val="71"/>
        </w:trPr>
        <w:tc>
          <w:tcPr>
            <w:tcW w:w="1559" w:type="dxa"/>
            <w:shd w:val="clear" w:color="auto" w:fill="FFFFFF"/>
          </w:tcPr>
          <w:p w14:paraId="2F071D43" w14:textId="5D1456FE"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{0240;0030}</w:t>
            </w:r>
          </w:p>
        </w:tc>
        <w:tc>
          <w:tcPr>
            <w:tcW w:w="7406" w:type="dxa"/>
            <w:shd w:val="clear" w:color="auto" w:fill="FFFFFF"/>
          </w:tcPr>
          <w:p w14:paraId="3EFA5487" w14:textId="705A4662"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Finanzunternehmen – Risikogewichteter Positionsbetrag (RWEA) – Risikopositionen nach dem Standardansatz</w:t>
            </w:r>
          </w:p>
          <w:p w14:paraId="08FF6980" w14:textId="1B12B59D" w:rsidR="008A5C87"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 xml:space="preserve">Der risikogewichtete Positionsbetrag von Vermögenswerten, bei denen es sich um Risikopositionen nach dem Standardansatz gegenüber </w:t>
            </w:r>
            <w:r w:rsidRPr="00500637">
              <w:rPr>
                <w:rFonts w:ascii="Times New Roman" w:hAnsi="Times New Roman"/>
                <w:sz w:val="24"/>
              </w:rPr>
              <w:lastRenderedPageBreak/>
              <w:t>Finanzunternehmen gemäß Artikel 122 der Verordnung (EU) Nr. 575/2013 handelt.</w:t>
            </w:r>
          </w:p>
          <w:p w14:paraId="4DE325F6" w14:textId="37CE0D32"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 xml:space="preserve">Für die in LR4 zu meldenden Angaben bedeutet der Begriff Finanzunternehmen beaufsichtigte und nicht beaufsichtigte Unternehmen, mit Ausnahme der in {0180;0010} genannten Institute, deren Haupttätigkeit darin besteht, Beteiligungen zu erwerben oder eines oder mehrere der in Anhang I der Richtlinie 2013/36/EU aufgelisteten Geschäfte zu betreiben, sowie die in Artikel 4 Absatz 1 Nummer 27 der Verordnung (EU) Nr. 575/2013 definierten Unternehmen, mit Ausnahme der in {0180;0010} genannten Institute. </w:t>
            </w:r>
          </w:p>
          <w:p w14:paraId="6B38D45F" w14:textId="591397CC" w:rsidR="002509B1" w:rsidRPr="00500637"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Standardansatz.</w:t>
            </w:r>
          </w:p>
        </w:tc>
      </w:tr>
      <w:tr w:rsidR="002A54FF" w:rsidRPr="00500637" w14:paraId="7E13A8B7" w14:textId="77777777" w:rsidTr="000B66BC">
        <w:trPr>
          <w:trHeight w:val="71"/>
        </w:trPr>
        <w:tc>
          <w:tcPr>
            <w:tcW w:w="1559" w:type="dxa"/>
            <w:shd w:val="clear" w:color="auto" w:fill="FFFFFF"/>
          </w:tcPr>
          <w:p w14:paraId="4A07187A" w14:textId="59A5E646"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lastRenderedPageBreak/>
              <w:t>{0240;0040}</w:t>
            </w:r>
          </w:p>
        </w:tc>
        <w:tc>
          <w:tcPr>
            <w:tcW w:w="7406" w:type="dxa"/>
            <w:shd w:val="clear" w:color="auto" w:fill="FFFFFF"/>
          </w:tcPr>
          <w:p w14:paraId="0D42EAF2" w14:textId="4C7FF3CE"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Finanzunternehmen – Risikogewichteter Positionsbetrag (RWEA) – Risikopositionen nach dem IRB-Ansatz</w:t>
            </w:r>
          </w:p>
          <w:p w14:paraId="2E63CDE0" w14:textId="17E55BEE" w:rsidR="008A5C87"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Positionsbetrag von Vermögenswerten, bei denen es sich um Risikopositionen nach dem IRB-Ansatz gegenüber Finanzunternehmen gemäß Artikel 147 Absatz 2 Buchstabe c der Verordnung (EU) Nr. 575/2013 handelt, falls diese Risikopositionen nicht durch Grundpfandrechte an Immobilien gemäß Artikel 199 Absatz 1 Buchstabe a der Verordnung (EU) Nr. 575/2013 besichert sind.</w:t>
            </w:r>
          </w:p>
          <w:p w14:paraId="717CB3D1" w14:textId="55046D16" w:rsidR="009C4E79"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Für die in LR4 zu meldenden Angaben bedeutet der Begriff Finanzunternehmen beaufsichtigte und nicht beaufsichtigte Unternehmen, mit Ausnahme der in {0180;0010} genannten Institute, deren Haupttätigkeit darin besteht, Beteiligungen zu erwerben oder eines oder mehrere der in Anhang I der Richtlinie 2013/36/EU aufgelisteten Geschäfte zu betreiben, sowie die in Artikel 4 Absatz 1 Nummer 27 der Verordnung (EU) Nr. 575/2013 definierten Unternehmen, mit Ausnahme der in {0180;0010} genannten Institute.</w:t>
            </w:r>
          </w:p>
          <w:p w14:paraId="46CE9414" w14:textId="0957AC2F" w:rsidR="002509B1" w:rsidRPr="00500637"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r w:rsidR="002A54FF" w:rsidRPr="00500637" w14:paraId="1D9775DE" w14:textId="77777777" w:rsidTr="000B66BC">
        <w:trPr>
          <w:trHeight w:val="71"/>
        </w:trPr>
        <w:tc>
          <w:tcPr>
            <w:tcW w:w="1559" w:type="dxa"/>
            <w:shd w:val="clear" w:color="auto" w:fill="FFFFFF"/>
          </w:tcPr>
          <w:p w14:paraId="533C726F" w14:textId="47DF85C9"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{0250;0010}</w:t>
            </w:r>
          </w:p>
        </w:tc>
        <w:tc>
          <w:tcPr>
            <w:tcW w:w="7406" w:type="dxa"/>
            <w:shd w:val="clear" w:color="auto" w:fill="FFFFFF"/>
          </w:tcPr>
          <w:p w14:paraId="50FEF333" w14:textId="081F5C0C" w:rsidR="00F4754B" w:rsidRPr="00500637" w:rsidRDefault="00CD1DA1"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Nichtfinanzunternehmen – Risikopositionswert für die Verschuldungsquote – Risikopositionen nach dem Standardansatz</w:t>
            </w:r>
          </w:p>
          <w:p w14:paraId="79750DB3" w14:textId="25D9C49A" w:rsidR="00FA71D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Vermögenswerte, bei denen es sich um Risikopositionen nach dem Standardansatz gegenüber Nichtfinanzunternehmen gemäß Artikel 122 der Verordnung (EU) Nr. 575/2013 handelt.</w:t>
            </w:r>
          </w:p>
          <w:p w14:paraId="1A9B7F32" w14:textId="42798EB9"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Summe der Felder {0260,0010} und {0270,0010}.</w:t>
            </w:r>
          </w:p>
          <w:p w14:paraId="69CDF75C" w14:textId="4C652EE4" w:rsidR="002509B1" w:rsidRPr="00500637"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Standardansatz.</w:t>
            </w:r>
          </w:p>
        </w:tc>
      </w:tr>
      <w:tr w:rsidR="002A54FF" w:rsidRPr="00500637" w14:paraId="47291240" w14:textId="77777777" w:rsidTr="000B66BC">
        <w:trPr>
          <w:trHeight w:val="71"/>
        </w:trPr>
        <w:tc>
          <w:tcPr>
            <w:tcW w:w="1559" w:type="dxa"/>
            <w:shd w:val="clear" w:color="auto" w:fill="FFFFFF"/>
          </w:tcPr>
          <w:p w14:paraId="56917946" w14:textId="5C766701"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lastRenderedPageBreak/>
              <w:t>{0250;0020}</w:t>
            </w:r>
          </w:p>
        </w:tc>
        <w:tc>
          <w:tcPr>
            <w:tcW w:w="7406" w:type="dxa"/>
            <w:shd w:val="clear" w:color="auto" w:fill="FFFFFF"/>
          </w:tcPr>
          <w:p w14:paraId="25E6520A" w14:textId="3CB20ED1" w:rsidR="00F4754B" w:rsidRPr="00500637" w:rsidRDefault="00CD1DA1"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Nichtfinanzunternehmen – Risikopositionswert für die Verschuldungsquote – Risikopositionen nach dem IRB-Ansatz</w:t>
            </w:r>
          </w:p>
          <w:p w14:paraId="1615C090" w14:textId="04C77CB2" w:rsidR="00BE6AC4"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Vermögenswerte, bei denen es sich um Risikopositionen nach dem IRB-Ansatz gegenüber Nichtfinanzunternehmen gemäß Artikel 147 Absatz 2 Buchstabe c der Verordnung (EU) Nr. 575/2013 handelt, falls diese Risikopositionen nicht durch Grundpfandrechte an Immobilien gemäß Artikel 199 Absatz 1 Buchstabe a der Verordnung (EU) Nr. 575/2013 besichert sind.</w:t>
            </w:r>
          </w:p>
          <w:p w14:paraId="5B891D71" w14:textId="425CD8A7"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Summe der Felder {0260,0020} und {0270,0020}.</w:t>
            </w:r>
          </w:p>
          <w:p w14:paraId="4A94BD25" w14:textId="7EF0446C" w:rsidR="009C4E79" w:rsidRPr="00500637"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r w:rsidR="002A54FF" w:rsidRPr="00500637" w14:paraId="1569EBB2" w14:textId="77777777" w:rsidTr="000B66BC">
        <w:trPr>
          <w:trHeight w:val="71"/>
        </w:trPr>
        <w:tc>
          <w:tcPr>
            <w:tcW w:w="1559" w:type="dxa"/>
            <w:shd w:val="clear" w:color="auto" w:fill="FFFFFF"/>
          </w:tcPr>
          <w:p w14:paraId="0DAE0AFA" w14:textId="313B4AD3"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{0250;0030}</w:t>
            </w:r>
          </w:p>
        </w:tc>
        <w:tc>
          <w:tcPr>
            <w:tcW w:w="7406" w:type="dxa"/>
            <w:shd w:val="clear" w:color="auto" w:fill="FFFFFF"/>
          </w:tcPr>
          <w:p w14:paraId="68E7D79C" w14:textId="33D6CD05" w:rsidR="00F4754B" w:rsidRPr="00500637" w:rsidRDefault="00CD1DA1"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Nichtfinanzunternehmen – Risikogewichteter Positionsbetrag (RWEA) – Risikopositionen nach dem Standardansatz</w:t>
            </w:r>
          </w:p>
          <w:p w14:paraId="49E48609" w14:textId="74077D5F"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Positionsbetrag von Vermögenswerten, bei denen es sich um Risikopositionen nach dem Standardansatz gegenüber Nichtfinanzunternehmen gemäß Artikel 122 der Verordnung (EU) Nr. 575/2013 handelt.</w:t>
            </w:r>
          </w:p>
          <w:p w14:paraId="11F55E3D" w14:textId="2D4C4F8A" w:rsidR="00086A8A"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Summe der Felder {0260,0030} und {0270,0030}.</w:t>
            </w:r>
          </w:p>
          <w:p w14:paraId="153E6308" w14:textId="63943BB8" w:rsidR="002509B1" w:rsidRPr="00500637" w:rsidDel="00504CFF"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Standardansatz.</w:t>
            </w:r>
          </w:p>
        </w:tc>
      </w:tr>
      <w:tr w:rsidR="002A54FF" w:rsidRPr="00500637" w14:paraId="727F0C04" w14:textId="77777777" w:rsidTr="000B66BC">
        <w:trPr>
          <w:trHeight w:val="71"/>
        </w:trPr>
        <w:tc>
          <w:tcPr>
            <w:tcW w:w="1559" w:type="dxa"/>
            <w:shd w:val="clear" w:color="auto" w:fill="FFFFFF"/>
          </w:tcPr>
          <w:p w14:paraId="1B83D193" w14:textId="50708684"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{0250;0040}</w:t>
            </w:r>
          </w:p>
        </w:tc>
        <w:tc>
          <w:tcPr>
            <w:tcW w:w="7406" w:type="dxa"/>
            <w:shd w:val="clear" w:color="auto" w:fill="FFFFFF"/>
          </w:tcPr>
          <w:p w14:paraId="2B0BB9F0" w14:textId="041EA5D1" w:rsidR="00F4754B" w:rsidRPr="00500637" w:rsidRDefault="00CD1DA1"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Nichtfinanzunternehmen – Risikogewichteter Positionsbetrag (RWEA) – Risikopositionen nach dem IRB-Ansatz</w:t>
            </w:r>
          </w:p>
          <w:p w14:paraId="4DD9CC03" w14:textId="609E2BFE" w:rsidR="00FA71D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Positionsbetrag von Vermögenswerten, bei denen es sich um Risikopositionen nach dem IRB-Ansatz gegenüber Nichtfinanzunternehmen gemäß Artikel 147 Absatz 2 Buchstabe c der Verordnung (EU) Nr. 575/2013 handelt, falls diese Risikopositionen nicht durch Grundpfandrechte an Immobilien gemäß Artikel 199 Absatz 1 Buchstabe a der Verordnung (EU) Nr. 575/2013 besichert sind.</w:t>
            </w:r>
          </w:p>
          <w:p w14:paraId="072F6C8B" w14:textId="7E5B0C7D" w:rsidR="009C4E79"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Summe der Felder {0260,0040} und {0270,0040}.</w:t>
            </w:r>
          </w:p>
          <w:p w14:paraId="2B36DB12" w14:textId="48954611" w:rsidR="002509B1" w:rsidRPr="00500637" w:rsidDel="00504CFF"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r w:rsidR="002A54FF" w:rsidRPr="00500637" w14:paraId="49E58870" w14:textId="77777777" w:rsidTr="000B66BC">
        <w:trPr>
          <w:trHeight w:val="71"/>
        </w:trPr>
        <w:tc>
          <w:tcPr>
            <w:tcW w:w="1559" w:type="dxa"/>
            <w:shd w:val="clear" w:color="auto" w:fill="FFFFFF"/>
          </w:tcPr>
          <w:p w14:paraId="0EFCE46D" w14:textId="44349019"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{0260;0010}</w:t>
            </w:r>
          </w:p>
        </w:tc>
        <w:tc>
          <w:tcPr>
            <w:tcW w:w="7406" w:type="dxa"/>
            <w:shd w:val="clear" w:color="auto" w:fill="FFFFFF"/>
          </w:tcPr>
          <w:p w14:paraId="16D3DD87" w14:textId="77777777" w:rsidR="00F4754B" w:rsidRPr="00500637" w:rsidRDefault="00F4754B" w:rsidP="000B66BC">
            <w:pPr>
              <w:pStyle w:val="BodyText1"/>
              <w:spacing w:after="240" w:line="240" w:lineRule="auto"/>
              <w:rPr>
                <w:rFonts w:ascii="Times New Roman" w:hAnsi="Times New Roman"/>
                <w:b/>
                <w:sz w:val="24"/>
                <w:szCs w:val="24"/>
              </w:rPr>
            </w:pPr>
            <w:r w:rsidRPr="00500637">
              <w:rPr>
                <w:rFonts w:ascii="Times New Roman" w:hAnsi="Times New Roman"/>
                <w:b/>
                <w:sz w:val="24"/>
              </w:rPr>
              <w:t>Risikopositionen gegenüber KMU – Risikopositionswert für die Verschuldungsquote – Risikopositionen nach dem Standardansatz</w:t>
            </w:r>
          </w:p>
          <w:p w14:paraId="1237A324" w14:textId="2F0A86F1"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 xml:space="preserve">Der Risikopositionswert für die Verschuldungsquote in Bezug auf Vermögenswerte, bei denen es sich um Risikopositionen nach dem Standardansatz gegenüber Unternehmen in Form von kleinen und mittleren </w:t>
            </w:r>
            <w:r w:rsidRPr="00500637">
              <w:rPr>
                <w:rFonts w:ascii="Times New Roman" w:hAnsi="Times New Roman"/>
                <w:sz w:val="24"/>
              </w:rPr>
              <w:lastRenderedPageBreak/>
              <w:t>Unternehmen gemäß Artikel 122 der Verordnung (EU) Nr. 575/2013 handelt.</w:t>
            </w:r>
          </w:p>
          <w:p w14:paraId="5E29251B" w14:textId="41E792F5" w:rsidR="00086A8A" w:rsidRPr="00500637" w:rsidRDefault="004F39F5" w:rsidP="000B66BC">
            <w:pPr>
              <w:pStyle w:val="BodyText1"/>
              <w:spacing w:after="240" w:line="240" w:lineRule="auto"/>
              <w:rPr>
                <w:rFonts w:ascii="Times New Roman" w:hAnsi="Times New Roman"/>
                <w:bCs/>
                <w:sz w:val="24"/>
                <w:szCs w:val="24"/>
              </w:rPr>
            </w:pPr>
            <w:r w:rsidRPr="00500637">
              <w:rPr>
                <w:rFonts w:ascii="Times New Roman" w:hAnsi="Times New Roman"/>
                <w:sz w:val="24"/>
              </w:rPr>
              <w:t>Für dieses Feld verwenden Institute die Definition von „kleinen und mittleren Unternehmen“ gemäß Artikel 501 Absatz 2 Buchstabe b der Verordnung (EU) Nr. 575/2013.</w:t>
            </w:r>
          </w:p>
          <w:p w14:paraId="5FAEA464" w14:textId="7B77BBC5" w:rsidR="002509B1" w:rsidRPr="00500637" w:rsidRDefault="00086A8A"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melden die Beträge abzüglich der ausgefallenen Risikopositionen nach dem Standardansatz.</w:t>
            </w:r>
          </w:p>
        </w:tc>
      </w:tr>
      <w:tr w:rsidR="002A54FF" w:rsidRPr="00500637" w14:paraId="13131DF5" w14:textId="77777777" w:rsidTr="000B66BC">
        <w:trPr>
          <w:trHeight w:val="71"/>
        </w:trPr>
        <w:tc>
          <w:tcPr>
            <w:tcW w:w="1559" w:type="dxa"/>
            <w:shd w:val="clear" w:color="auto" w:fill="FFFFFF"/>
          </w:tcPr>
          <w:p w14:paraId="05B0110D" w14:textId="74C0B697"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lastRenderedPageBreak/>
              <w:t>{0260;0020}</w:t>
            </w:r>
          </w:p>
        </w:tc>
        <w:tc>
          <w:tcPr>
            <w:tcW w:w="7406" w:type="dxa"/>
            <w:shd w:val="clear" w:color="auto" w:fill="FFFFFF"/>
          </w:tcPr>
          <w:p w14:paraId="4E8AC377" w14:textId="77777777"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Risikopositionen gegenüber KMU – Risikopositionswert für die Verschuldungsquote – Risikopositionen nach dem IRB-Ansatz</w:t>
            </w:r>
          </w:p>
          <w:p w14:paraId="16526905" w14:textId="7BC27B48" w:rsidR="00FA71D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Vermögenswerte, bei denen es sich um Risikopositionen nach dem IRB-Ansatz gegenüber Unternehmen gemäß Artikel 147 Absatz 2 Buchstabe c der Verordnung (EU) Nr. 575/2013 handelt, falls diese Risikopositionen gegenüber kleinen und mittleren Unternehmen bestehen und nicht durch Grundpfandrechte an Immobilien gemäß Artikel 199 Absatz 1 Buchstabe a der Verordnung (EU) Nr. 575/2013 besichert sind.</w:t>
            </w:r>
          </w:p>
          <w:p w14:paraId="729394D8" w14:textId="6F0084BF" w:rsidR="002509B1" w:rsidRPr="00500637" w:rsidRDefault="004F39F5"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Für dieses Feld verwenden Institute die Definition von „kleinen und mittleren Unternehmen“ gemäß Artikel 501 Absatz 2 Buchstabe b der Verordnung (EU) Nr. 575/2013.</w:t>
            </w:r>
          </w:p>
          <w:p w14:paraId="542463BD" w14:textId="165C2619" w:rsidR="009C4E79" w:rsidRPr="00500637" w:rsidDel="00504CFF"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r w:rsidR="002A54FF" w:rsidRPr="00500637" w14:paraId="50044CAE" w14:textId="77777777" w:rsidTr="000B66BC">
        <w:trPr>
          <w:trHeight w:val="71"/>
        </w:trPr>
        <w:tc>
          <w:tcPr>
            <w:tcW w:w="1559" w:type="dxa"/>
            <w:shd w:val="clear" w:color="auto" w:fill="FFFFFF"/>
          </w:tcPr>
          <w:p w14:paraId="5F7100BE" w14:textId="2ACB4AD4"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{0260;0030}</w:t>
            </w:r>
          </w:p>
        </w:tc>
        <w:tc>
          <w:tcPr>
            <w:tcW w:w="7406" w:type="dxa"/>
            <w:shd w:val="clear" w:color="auto" w:fill="FFFFFF"/>
          </w:tcPr>
          <w:p w14:paraId="0D365078" w14:textId="540263EE"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Risikopositionen gegenüber KMU – Risikogewichteter Positionsbetrag (RWEA) – Risikopositionen nach dem Standardansatz</w:t>
            </w:r>
          </w:p>
          <w:p w14:paraId="47967B81" w14:textId="01F17C84" w:rsidR="00FA71D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Positionsbetrag von Vermögenswerten, bei denen es sich um Risikopositionen nach dem Standardansatz gegenüber Unternehmen in Form von kleinen und mittleren Unternehmen gemäß Artikel 122 der Verordnung (EU) Nr. 575/2013 handelt.</w:t>
            </w:r>
          </w:p>
          <w:p w14:paraId="4E35047C" w14:textId="28428170" w:rsidR="00086A8A" w:rsidRPr="00500637" w:rsidRDefault="004F39F5" w:rsidP="000B66BC">
            <w:pPr>
              <w:pStyle w:val="BodyText1"/>
              <w:spacing w:after="240" w:line="240" w:lineRule="auto"/>
              <w:rPr>
                <w:rFonts w:ascii="Times New Roman" w:hAnsi="Times New Roman"/>
                <w:bCs/>
                <w:sz w:val="24"/>
                <w:szCs w:val="24"/>
              </w:rPr>
            </w:pPr>
            <w:r w:rsidRPr="00500637">
              <w:rPr>
                <w:rFonts w:ascii="Times New Roman" w:hAnsi="Times New Roman"/>
                <w:sz w:val="24"/>
              </w:rPr>
              <w:t>Für dieses Feld verwenden Institute die Definition von „kleinen und mittleren Unternehmen“ gemäß Artikel 501 Absatz 2 Buchstabe b der Verordnung (EU) Nr. 575/2013.</w:t>
            </w:r>
          </w:p>
          <w:p w14:paraId="2B25463D" w14:textId="56CC7FBB" w:rsidR="002509B1" w:rsidRPr="00500637"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Standardansatz.</w:t>
            </w:r>
          </w:p>
        </w:tc>
      </w:tr>
      <w:tr w:rsidR="002A54FF" w:rsidRPr="00500637" w14:paraId="3DB0057C" w14:textId="77777777" w:rsidTr="000B66BC">
        <w:trPr>
          <w:trHeight w:val="71"/>
        </w:trPr>
        <w:tc>
          <w:tcPr>
            <w:tcW w:w="1559" w:type="dxa"/>
            <w:shd w:val="clear" w:color="auto" w:fill="FFFFFF"/>
          </w:tcPr>
          <w:p w14:paraId="4FFE83BB" w14:textId="4650F9FB"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{0260;0040}</w:t>
            </w:r>
          </w:p>
        </w:tc>
        <w:tc>
          <w:tcPr>
            <w:tcW w:w="7406" w:type="dxa"/>
            <w:shd w:val="clear" w:color="auto" w:fill="FFFFFF"/>
          </w:tcPr>
          <w:p w14:paraId="72107293" w14:textId="2B92F95D"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Risikopositionen gegenüber KMU – Risikogewichteter Positionsbetrag (RWEA) – Risikopositionen nach dem IRB-Ansatz</w:t>
            </w:r>
          </w:p>
          <w:p w14:paraId="61D071ED" w14:textId="4B1E17FE" w:rsidR="00FA71D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 xml:space="preserve">Der risikogewichtete Positionsbetrag von Vermögenswerten, bei denen es sich um Risikopositionen nach dem IRB-Ansatz gegenüber Unternehmen gemäß Artikel 147 Absatz 2 Buchstabe c der Verordnung (EU) Nr. 575/2013 handelt, falls diese Risikopositionen gegenüber kleinen und </w:t>
            </w:r>
            <w:r w:rsidRPr="00500637">
              <w:rPr>
                <w:rFonts w:ascii="Times New Roman" w:hAnsi="Times New Roman"/>
                <w:sz w:val="24"/>
              </w:rPr>
              <w:lastRenderedPageBreak/>
              <w:t>mittleren Unternehmen bestehen und nicht durch Grundpfandrechte an Immobilien gemäß Artikel 199 Absatz 1 Buchstabe a der Verordnung (EU) Nr. 575/2013 besichert sind.</w:t>
            </w:r>
          </w:p>
          <w:p w14:paraId="14AF8756" w14:textId="5C8B38D3" w:rsidR="004F39F5" w:rsidRPr="00500637" w:rsidRDefault="004F39F5" w:rsidP="000B66BC">
            <w:pPr>
              <w:pStyle w:val="BodyText1"/>
              <w:spacing w:after="240" w:line="240" w:lineRule="auto"/>
              <w:rPr>
                <w:rFonts w:ascii="Times New Roman" w:hAnsi="Times New Roman"/>
                <w:bCs/>
                <w:sz w:val="24"/>
                <w:szCs w:val="24"/>
              </w:rPr>
            </w:pPr>
            <w:r w:rsidRPr="00500637">
              <w:rPr>
                <w:rFonts w:ascii="Times New Roman" w:hAnsi="Times New Roman"/>
                <w:sz w:val="24"/>
              </w:rPr>
              <w:t>Für dieses Feld verwenden Institute die Definition von „kleinen und mittleren Unternehmen“ gemäß Artikel 501 Absatz 2 Buchstabe b der Verordnung (EU) Nr. 575/2013.</w:t>
            </w:r>
          </w:p>
          <w:p w14:paraId="0EF08F24" w14:textId="18E4DC92" w:rsidR="002509B1" w:rsidRPr="00500637"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r w:rsidR="002A54FF" w:rsidRPr="00500637" w14:paraId="447B232E" w14:textId="77777777" w:rsidTr="000B66BC">
        <w:trPr>
          <w:trHeight w:val="71"/>
        </w:trPr>
        <w:tc>
          <w:tcPr>
            <w:tcW w:w="1559" w:type="dxa"/>
            <w:shd w:val="clear" w:color="auto" w:fill="FFFFFF"/>
          </w:tcPr>
          <w:p w14:paraId="24CF42BC" w14:textId="0762963E"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lastRenderedPageBreak/>
              <w:t>{0270;0010}</w:t>
            </w:r>
          </w:p>
        </w:tc>
        <w:tc>
          <w:tcPr>
            <w:tcW w:w="7406" w:type="dxa"/>
            <w:shd w:val="clear" w:color="auto" w:fill="FFFFFF"/>
          </w:tcPr>
          <w:p w14:paraId="368904F3" w14:textId="1EEE993E" w:rsidR="002509B1" w:rsidRPr="00500637" w:rsidRDefault="00BE6AC4" w:rsidP="000B66BC">
            <w:pPr>
              <w:pStyle w:val="BodyText1"/>
              <w:spacing w:after="240" w:line="240" w:lineRule="auto"/>
              <w:rPr>
                <w:rFonts w:ascii="Times New Roman" w:hAnsi="Times New Roman"/>
                <w:b/>
                <w:sz w:val="24"/>
                <w:szCs w:val="24"/>
              </w:rPr>
            </w:pPr>
            <w:r w:rsidRPr="00500637">
              <w:rPr>
                <w:rFonts w:ascii="Times New Roman" w:hAnsi="Times New Roman"/>
                <w:b/>
                <w:sz w:val="24"/>
              </w:rPr>
              <w:t>Risikopositionen gegenüber Unternehmen, bei denen es sich nicht um KMU handelt – Risikopositionswert für die Verschuldungsquote – Risikopositionen nach dem Standardansatz</w:t>
            </w:r>
          </w:p>
          <w:p w14:paraId="41FBC40B" w14:textId="640FD06A" w:rsidR="00086A8A"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Vermögenswerte, bei denen es sich um Risikopositionen nach dem Standardansatz gegenüber Unternehmen gemäß Artikel 122 der Verordnung (EU) Nr. 575/2013 handelt, und die nicht in {0230;0040} und {0250;0040} ausgewiesen werden.</w:t>
            </w:r>
          </w:p>
          <w:p w14:paraId="01FC3B49" w14:textId="5139686F" w:rsidR="002509B1" w:rsidRPr="00500637"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Standardansatz.</w:t>
            </w:r>
          </w:p>
        </w:tc>
      </w:tr>
      <w:tr w:rsidR="002A54FF" w:rsidRPr="00500637" w14:paraId="7B64328B" w14:textId="77777777" w:rsidTr="000B66BC">
        <w:trPr>
          <w:trHeight w:val="71"/>
        </w:trPr>
        <w:tc>
          <w:tcPr>
            <w:tcW w:w="1559" w:type="dxa"/>
            <w:shd w:val="clear" w:color="auto" w:fill="FFFFFF"/>
          </w:tcPr>
          <w:p w14:paraId="43017660" w14:textId="3B06C10A"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{0270;0020}</w:t>
            </w:r>
          </w:p>
        </w:tc>
        <w:tc>
          <w:tcPr>
            <w:tcW w:w="7406" w:type="dxa"/>
            <w:shd w:val="clear" w:color="auto" w:fill="FFFFFF"/>
          </w:tcPr>
          <w:p w14:paraId="2A27297A" w14:textId="77777777" w:rsidR="00F4754B" w:rsidRPr="00500637" w:rsidRDefault="00BE6AC4"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Risikopositionen gegenüber Unternehmen, bei denen es sich nicht um KMU handelt – Risikopositionswert für die Verschuldungsquote – Risikopositionen nach dem IRB-Ansatz</w:t>
            </w:r>
          </w:p>
          <w:p w14:paraId="585E711E" w14:textId="28E7DBEA" w:rsidR="009C4E79" w:rsidRPr="00500637" w:rsidRDefault="00F4754B"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Der Risikopositionswert für die Verschuldungsquote von Vermögenswerten, bei denen es sich um Risikopositionen nach dem IRB-Ansatz gegenüber Unternehmen gemäß Artikel 147 Absatz 2 Buchstabe c der Verordnung (EU) Nr. 575/2013 handelt, falls diese Risikopositionen nicht durch Grundpfandrechte an Immobilien gemäß Artikel 199 Absatz 1 Buchstabe a der Verordnung (EU) Nr. 575/2013 besichert sind, und nicht in {0230;0040} und {0250;0040} ausgewiesen werden.</w:t>
            </w:r>
          </w:p>
          <w:p w14:paraId="714190FD" w14:textId="58141E55" w:rsidR="009C4E79" w:rsidRPr="00500637"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r w:rsidR="002A54FF" w:rsidRPr="00500637" w14:paraId="44BE393C" w14:textId="77777777" w:rsidTr="000B66BC">
        <w:trPr>
          <w:trHeight w:val="71"/>
        </w:trPr>
        <w:tc>
          <w:tcPr>
            <w:tcW w:w="1559" w:type="dxa"/>
            <w:shd w:val="clear" w:color="auto" w:fill="FFFFFF"/>
          </w:tcPr>
          <w:p w14:paraId="4DF3E96B" w14:textId="78C7DD34"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{0270;0030}</w:t>
            </w:r>
          </w:p>
        </w:tc>
        <w:tc>
          <w:tcPr>
            <w:tcW w:w="7406" w:type="dxa"/>
            <w:shd w:val="clear" w:color="auto" w:fill="FFFFFF"/>
          </w:tcPr>
          <w:p w14:paraId="214E8F81" w14:textId="267DF9F2" w:rsidR="00F4754B" w:rsidRPr="00500637" w:rsidRDefault="00BE6AC4"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Risikopositionen gegenüber Unternehmen, bei denen es sich nicht um KMU handelt – Risikogewichteter Positionsbetrag (RWEA) – Risikopositionen nach dem Standardansatz</w:t>
            </w:r>
          </w:p>
          <w:p w14:paraId="10BEA73F" w14:textId="61EC6DDB" w:rsidR="00086A8A"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Positionsbetrag von Vermögenswerten, bei denen es sich um Risikopositionen nach dem Standardansatz gegenüber Unternehmen gemäß Artikel 122 der Verordnung (EU) Nr. 575/2013 handelt, und die nicht in {0230;0040} und {0250;0040} ausgewiesen werden.</w:t>
            </w:r>
          </w:p>
          <w:p w14:paraId="3BF86EC4" w14:textId="255E5CDC" w:rsidR="002509B1" w:rsidRPr="00500637"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lastRenderedPageBreak/>
              <w:t>Die Institute melden die Beträge abzüglich der ausgefallenen Risikopositionen nach dem Standardansatz.</w:t>
            </w:r>
          </w:p>
        </w:tc>
      </w:tr>
      <w:tr w:rsidR="002A54FF" w:rsidRPr="00500637" w14:paraId="4284B6D9" w14:textId="77777777" w:rsidTr="000B66BC">
        <w:trPr>
          <w:trHeight w:val="71"/>
        </w:trPr>
        <w:tc>
          <w:tcPr>
            <w:tcW w:w="1559" w:type="dxa"/>
            <w:shd w:val="clear" w:color="auto" w:fill="FFFFFF"/>
          </w:tcPr>
          <w:p w14:paraId="50A67914" w14:textId="4063927D"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lastRenderedPageBreak/>
              <w:t>{0270;0040}</w:t>
            </w:r>
          </w:p>
        </w:tc>
        <w:tc>
          <w:tcPr>
            <w:tcW w:w="7406" w:type="dxa"/>
            <w:shd w:val="clear" w:color="auto" w:fill="FFFFFF"/>
          </w:tcPr>
          <w:p w14:paraId="4D405A64" w14:textId="301D30BA" w:rsidR="002509B1" w:rsidRPr="00500637" w:rsidRDefault="00BE6AC4"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Risikopositionen gegenüber Unternehmen, bei denen es sich nicht um KMU handelt – Risikogewichteter Positionsbetrag (RWEA) – Risikopositionen nach dem IRB-Ansatz</w:t>
            </w:r>
          </w:p>
          <w:p w14:paraId="66C72176" w14:textId="085A3EC0" w:rsidR="002509B1" w:rsidRPr="00500637" w:rsidRDefault="00F4754B"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Der risikogewichtete Positionsbetrag von Vermögenswerten, bei denen es sich um Risikopositionen nach dem IRB-Ansatz gegenüber Unternehmen gemäß Artikel 147 Absatz 2 Buchstabe c der Verordnung (EU) Nr. 575/2013 handelt, falls diese Risikopositionen nicht durch Grundpfandrechte an Immobilien gemäß Artikel 199 Absatz 1 Buchstabe a der Verordnung (EU) Nr. 575/2013 besichert sind, und nicht in {0230;0040} und {0250;0040} ausgewiesen werden.</w:t>
            </w:r>
          </w:p>
          <w:p w14:paraId="56E24BD9" w14:textId="23040902" w:rsidR="009C4E79" w:rsidRPr="00500637"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r w:rsidR="002A54FF" w:rsidRPr="00500637" w14:paraId="4078E02E" w14:textId="77777777" w:rsidTr="000B66BC">
        <w:trPr>
          <w:trHeight w:val="71"/>
        </w:trPr>
        <w:tc>
          <w:tcPr>
            <w:tcW w:w="1559" w:type="dxa"/>
            <w:shd w:val="clear" w:color="auto" w:fill="FFFFFF"/>
          </w:tcPr>
          <w:p w14:paraId="78678416" w14:textId="11F0757A"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{0280;0010}</w:t>
            </w:r>
          </w:p>
        </w:tc>
        <w:tc>
          <w:tcPr>
            <w:tcW w:w="7406" w:type="dxa"/>
            <w:shd w:val="clear" w:color="auto" w:fill="FFFFFF"/>
          </w:tcPr>
          <w:p w14:paraId="3643375B" w14:textId="77777777"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Ausgefallene Positionen – Risikopositionswert für die Verschuldungsquote – Risikopositionen nach dem Standardansatz</w:t>
            </w:r>
          </w:p>
          <w:p w14:paraId="19F3FE8B" w14:textId="09260466" w:rsidR="002509B1" w:rsidRPr="00500637" w:rsidRDefault="00FC5086"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melden den Risikopositionswert für die Verschuldungsquote in Bezug auf Vermögenswerte, bei denen es sich um ausgefallene Risikopositionen nach dem Standardansatz handelt, und die somit unter Artikel 127 der Verordnung (EU) Nr. 575/2013 fallen.</w:t>
            </w:r>
          </w:p>
        </w:tc>
      </w:tr>
      <w:tr w:rsidR="002A54FF" w:rsidRPr="00500637" w14:paraId="6208DB18" w14:textId="77777777" w:rsidTr="000B66BC">
        <w:trPr>
          <w:trHeight w:val="71"/>
        </w:trPr>
        <w:tc>
          <w:tcPr>
            <w:tcW w:w="1559" w:type="dxa"/>
            <w:shd w:val="clear" w:color="auto" w:fill="FFFFFF"/>
          </w:tcPr>
          <w:p w14:paraId="783D1BB3" w14:textId="6E8DA484"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{0280;0020}</w:t>
            </w:r>
          </w:p>
        </w:tc>
        <w:tc>
          <w:tcPr>
            <w:tcW w:w="7406" w:type="dxa"/>
            <w:shd w:val="clear" w:color="auto" w:fill="FFFFFF"/>
          </w:tcPr>
          <w:p w14:paraId="5B5C9DCF" w14:textId="77777777"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Ausgefallene Positionen – Risikopositionswert für die Verschuldungsquote – Risikopositionen nach dem IRB-Ansatz</w:t>
            </w:r>
          </w:p>
          <w:p w14:paraId="35C502CA" w14:textId="59584DDE" w:rsidR="002509B1" w:rsidRPr="00500637" w:rsidRDefault="00FC5086" w:rsidP="000B66BC">
            <w:pPr>
              <w:pStyle w:val="BodyText1"/>
              <w:spacing w:after="240" w:line="240" w:lineRule="auto"/>
              <w:rPr>
                <w:rFonts w:ascii="Times New Roman" w:hAnsi="Times New Roman"/>
                <w:bCs/>
                <w:sz w:val="24"/>
                <w:szCs w:val="24"/>
              </w:rPr>
            </w:pPr>
            <w:r w:rsidRPr="00500637">
              <w:rPr>
                <w:rFonts w:ascii="Times New Roman" w:hAnsi="Times New Roman"/>
                <w:sz w:val="24"/>
              </w:rPr>
              <w:t>Institute melden den Risikopositionswert für die Verschuldungsquote von Vermögenswerten, die in die in Artikel 147 Absatz 2 der Verordnung (EU) Nr. 575/2013 aufgeführten Forderungsklassen eingeordnet werden, falls es zu einem Ausfall gemäß Artikel 178 der Verordnung (EU) Nr. 575/2013 gekommen ist.</w:t>
            </w:r>
          </w:p>
        </w:tc>
      </w:tr>
      <w:tr w:rsidR="002A54FF" w:rsidRPr="00500637" w14:paraId="3AD252C0" w14:textId="77777777" w:rsidTr="000B66BC">
        <w:trPr>
          <w:trHeight w:val="71"/>
        </w:trPr>
        <w:tc>
          <w:tcPr>
            <w:tcW w:w="1559" w:type="dxa"/>
            <w:shd w:val="clear" w:color="auto" w:fill="FFFFFF"/>
          </w:tcPr>
          <w:p w14:paraId="08CA0E26" w14:textId="78C5E6F9"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{0280;0030}</w:t>
            </w:r>
          </w:p>
        </w:tc>
        <w:tc>
          <w:tcPr>
            <w:tcW w:w="7406" w:type="dxa"/>
            <w:shd w:val="clear" w:color="auto" w:fill="FFFFFF"/>
          </w:tcPr>
          <w:p w14:paraId="327CD6C9" w14:textId="16A698EF" w:rsidR="002509B1"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Ausgefallene Positionen – Risikogewichteter Positionsbetrag (RWEA) – Risikopositionen nach dem Standardansatz</w:t>
            </w:r>
          </w:p>
          <w:p w14:paraId="4ECD736F" w14:textId="2BB025BA" w:rsidR="002509B1" w:rsidRPr="00500637" w:rsidRDefault="00FC5086"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den risikogewichteten Positionsbetrag in Bezug auf Vermögenswerte, bei denen es sich um ausgefallene Risikopositionen handelt, und die somit unter Artikel 127 der Verordnung (EU) Nr. 575/2013 fallen.</w:t>
            </w:r>
          </w:p>
        </w:tc>
      </w:tr>
      <w:tr w:rsidR="002A54FF" w:rsidRPr="00500637" w14:paraId="1E9BD77A" w14:textId="77777777" w:rsidTr="000B66BC">
        <w:trPr>
          <w:trHeight w:val="71"/>
        </w:trPr>
        <w:tc>
          <w:tcPr>
            <w:tcW w:w="1559" w:type="dxa"/>
            <w:shd w:val="clear" w:color="auto" w:fill="FFFFFF"/>
          </w:tcPr>
          <w:p w14:paraId="31BD5908" w14:textId="24179E5F"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{0280;0040}</w:t>
            </w:r>
          </w:p>
        </w:tc>
        <w:tc>
          <w:tcPr>
            <w:tcW w:w="7406" w:type="dxa"/>
            <w:shd w:val="clear" w:color="auto" w:fill="FFFFFF"/>
          </w:tcPr>
          <w:p w14:paraId="480D541C" w14:textId="39237169"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Ausgefallene Positionen – Risikogewichteter Positionsbetrag (RWEA) – Risikopositionen nach dem IRB-Ansatz</w:t>
            </w:r>
          </w:p>
          <w:p w14:paraId="5EF9576D" w14:textId="73F3DE3E" w:rsidR="002509B1" w:rsidRPr="00500637" w:rsidRDefault="00FC5086"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 xml:space="preserve">Institute melden den risikogewichteten Positionsbetrag von Vermögenswerten, die in die in Artikel 147 Absatz 2 der Verordnung (EU) Nr. 575/2013 aufgeführten Forderungsklassen eingeordnet werden, falls es </w:t>
            </w:r>
            <w:r w:rsidRPr="00500637">
              <w:rPr>
                <w:rFonts w:ascii="Times New Roman" w:hAnsi="Times New Roman"/>
                <w:sz w:val="24"/>
              </w:rPr>
              <w:lastRenderedPageBreak/>
              <w:t>zu einem Ausfall gemäß Artikel 178 der Verordnung (EU) Nr. 575/2013 gekommen ist.</w:t>
            </w:r>
          </w:p>
        </w:tc>
      </w:tr>
      <w:tr w:rsidR="002A54FF" w:rsidRPr="00500637" w14:paraId="3AEBEAE6" w14:textId="77777777" w:rsidTr="000B66BC">
        <w:trPr>
          <w:trHeight w:val="71"/>
        </w:trPr>
        <w:tc>
          <w:tcPr>
            <w:tcW w:w="1559" w:type="dxa"/>
            <w:shd w:val="clear" w:color="auto" w:fill="FFFFFF"/>
          </w:tcPr>
          <w:p w14:paraId="5BA625DB" w14:textId="374E40DE"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lastRenderedPageBreak/>
              <w:t>{0290;0010}</w:t>
            </w:r>
          </w:p>
          <w:p w14:paraId="100727CA" w14:textId="77777777" w:rsidR="00F4754B" w:rsidRPr="00500637"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Andere Risikopositionen – Risikopositionswert für die Verschuldungsquote – Risikopositionen nach dem Standardansatz</w:t>
            </w:r>
          </w:p>
          <w:p w14:paraId="59E2187D" w14:textId="6DA1DF91"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Vermögenswerte, die in die in Artikel 112 Buchstaben k, m, n, o, p und q der Verordnung (EU) Nr. 575/2013 aufgeführten Forderungsklassen eingeordnet werden.</w:t>
            </w:r>
          </w:p>
          <w:p w14:paraId="243415E4" w14:textId="6BDA1162" w:rsidR="002509B1" w:rsidRPr="00500637" w:rsidRDefault="00482670"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melden hier von den Eigenmitteln abgezogene Vermögenswerte (z. B. immaterielle Vermögenswerte), die nicht anders eingeordnet werden können, auch wenn eine solche Einordnung für die Bestimmung der risikobasierten Eigenmittelanforderungen in den Spalten {*;0030} und {*;0040} nicht erforderlich ist.</w:t>
            </w:r>
          </w:p>
          <w:p w14:paraId="7B7E64BF" w14:textId="27D9DDDB" w:rsidR="00086A8A" w:rsidRPr="00500637" w:rsidRDefault="00086A8A"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melden die Beträge abzüglich der ausgefallenen Risikopositionen nach dem Standardansatz.</w:t>
            </w:r>
          </w:p>
        </w:tc>
      </w:tr>
      <w:tr w:rsidR="002A54FF" w:rsidRPr="00500637" w14:paraId="72E20088" w14:textId="77777777" w:rsidTr="000B66BC">
        <w:trPr>
          <w:trHeight w:val="71"/>
        </w:trPr>
        <w:tc>
          <w:tcPr>
            <w:tcW w:w="1559" w:type="dxa"/>
            <w:shd w:val="clear" w:color="auto" w:fill="FFFFFF"/>
          </w:tcPr>
          <w:p w14:paraId="079F489C" w14:textId="033B0F9E"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{0290;0020}</w:t>
            </w:r>
          </w:p>
        </w:tc>
        <w:tc>
          <w:tcPr>
            <w:tcW w:w="7406" w:type="dxa"/>
            <w:shd w:val="clear" w:color="auto" w:fill="FFFFFF"/>
          </w:tcPr>
          <w:p w14:paraId="04B12DFD" w14:textId="7640F749"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Andere Risikopositionen – Risikopositionswert für die Verschuldungsquote – Risikopositionen nach dem IRB-Ansatz</w:t>
            </w:r>
          </w:p>
          <w:p w14:paraId="509BE205" w14:textId="760A9F01" w:rsidR="00482670"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Risikopositionsbetrag für die Verschuldungsquote in Bezug auf Vermögenswerte, die in die in Artikel 147 Absatz 2 Buchstaben e, e1, f und g der Verordnung (EU) Nr. 575/2013 aufgeführten Forderungsklassen eingeordnet werden.</w:t>
            </w:r>
          </w:p>
          <w:p w14:paraId="71F126DD" w14:textId="4375AAF5" w:rsidR="00BB388D" w:rsidRPr="00500637" w:rsidRDefault="00482670"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melden hier von den Eigenmitteln abgezogene Vermögenswerte (z. B. immaterielle Vermögenswerte), die nicht anders eingeordnet werden können, auch wenn eine solche Einordnung für die Bestimmung der risikobasierten Eigenmittelanforderungen in den Spalten {*;0030} und {*;0040} nicht erforderlich ist.</w:t>
            </w:r>
          </w:p>
          <w:p w14:paraId="2C772C0F" w14:textId="142C485B" w:rsidR="002509B1" w:rsidRPr="00500637" w:rsidRDefault="00BB388D"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r w:rsidR="002A54FF" w:rsidRPr="00500637" w14:paraId="6B7AB21E" w14:textId="77777777" w:rsidTr="000B66BC">
        <w:trPr>
          <w:trHeight w:val="71"/>
        </w:trPr>
        <w:tc>
          <w:tcPr>
            <w:tcW w:w="1559" w:type="dxa"/>
            <w:shd w:val="clear" w:color="auto" w:fill="FFFFFF"/>
          </w:tcPr>
          <w:p w14:paraId="633B4D60" w14:textId="1DECF162"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{0290;0030}</w:t>
            </w:r>
          </w:p>
        </w:tc>
        <w:tc>
          <w:tcPr>
            <w:tcW w:w="7406" w:type="dxa"/>
            <w:shd w:val="clear" w:color="auto" w:fill="FFFFFF"/>
          </w:tcPr>
          <w:p w14:paraId="75145255" w14:textId="3F615415"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b/>
                <w:sz w:val="24"/>
              </w:rPr>
              <w:t>Andere Risikopositionen – Risikogewichteter Positionsbetrag (RWEA) – Risikopositionen nach dem Standardansatz</w:t>
            </w:r>
          </w:p>
          <w:p w14:paraId="61F5D6CA" w14:textId="1082E7C5"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Risikopositionswert von Vermögenswerten, die in die in Artikel 112 Buchstaben k, m, n, o, p und q der Verordnung (EU) Nr. 575/2013 aufgeführten Forderungsklassen eingeordnet werden.</w:t>
            </w:r>
          </w:p>
          <w:p w14:paraId="1A7DE9B0" w14:textId="1E7127C7" w:rsidR="002509B1" w:rsidRPr="00500637"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Standardansatz.</w:t>
            </w:r>
          </w:p>
        </w:tc>
      </w:tr>
    </w:tbl>
    <w:p w14:paraId="42CFD65B" w14:textId="77777777" w:rsidR="00AF4551" w:rsidRDefault="00AF4551">
      <w:r>
        <w:br w:type="page"/>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500637" w14:paraId="7C5A4860" w14:textId="77777777" w:rsidTr="000B66BC">
        <w:trPr>
          <w:trHeight w:val="71"/>
        </w:trPr>
        <w:tc>
          <w:tcPr>
            <w:tcW w:w="1559" w:type="dxa"/>
            <w:shd w:val="clear" w:color="auto" w:fill="FFFFFF"/>
          </w:tcPr>
          <w:p w14:paraId="5D10170B" w14:textId="120AC90E"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lastRenderedPageBreak/>
              <w:t>{0290;0040}</w:t>
            </w:r>
          </w:p>
        </w:tc>
        <w:tc>
          <w:tcPr>
            <w:tcW w:w="7406" w:type="dxa"/>
            <w:shd w:val="clear" w:color="auto" w:fill="FFFFFF"/>
          </w:tcPr>
          <w:p w14:paraId="4D50DB6F" w14:textId="42326087"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b/>
                <w:sz w:val="24"/>
              </w:rPr>
              <w:t>Andere Risikopositionen – Risikogewichteter Positionsbetrag (RWEA) – Risikopositionen nach dem IRB-Ansatz</w:t>
            </w:r>
          </w:p>
          <w:p w14:paraId="047D3368" w14:textId="09023488" w:rsidR="00BB388D"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Positionswert von Vermögenswerten, die in die in Artikel 147 Absatz 2 Buchstaben e, e1, f und g der Verordnung (EU) Nr. 575/2013 aufgeführten Forderungsklassen eingeordnet werden.</w:t>
            </w:r>
          </w:p>
          <w:p w14:paraId="2891CC60" w14:textId="54E32862" w:rsidR="002509B1" w:rsidRPr="00500637" w:rsidRDefault="00BB388D"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r w:rsidR="002A54FF" w:rsidRPr="00500637" w14:paraId="1F3D2776" w14:textId="77777777" w:rsidTr="000B66BC">
        <w:trPr>
          <w:trHeight w:val="71"/>
        </w:trPr>
        <w:tc>
          <w:tcPr>
            <w:tcW w:w="1559" w:type="dxa"/>
            <w:shd w:val="clear" w:color="auto" w:fill="FFFFFF"/>
          </w:tcPr>
          <w:p w14:paraId="2E979259" w14:textId="01C67E6D"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{0300;0010}</w:t>
            </w:r>
          </w:p>
        </w:tc>
        <w:tc>
          <w:tcPr>
            <w:tcW w:w="7406" w:type="dxa"/>
            <w:shd w:val="clear" w:color="auto" w:fill="FFFFFF"/>
          </w:tcPr>
          <w:p w14:paraId="3D18A2F9" w14:textId="29912885" w:rsidR="002509B1" w:rsidRPr="00500637" w:rsidRDefault="005A052D"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davon: Verbriefungs-Risikopositionen – Risikopositionswert für die Verschuldungsquote – Risikopositionen nach dem Standardansatz</w:t>
            </w:r>
          </w:p>
          <w:p w14:paraId="7530F6A8" w14:textId="34A5EF38"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Vermögenswerte, bei denen es sich um Verbriefungs-Risikopositionen nach dem Standardansatz gemäß Artikel 112 Buchstabe m der Verordnung (EU) Nr. 575/2013 handelt.</w:t>
            </w:r>
          </w:p>
          <w:p w14:paraId="2DE0AC42" w14:textId="77A211EB" w:rsidR="009C4E79" w:rsidRPr="00500637" w:rsidRDefault="00086A8A"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melden die Beträge abzüglich der ausgefallenen Risikopositionen nach dem Standardansatz.</w:t>
            </w:r>
          </w:p>
        </w:tc>
      </w:tr>
      <w:tr w:rsidR="002A54FF" w:rsidRPr="00500637" w14:paraId="54158C66" w14:textId="77777777" w:rsidTr="000B66BC">
        <w:trPr>
          <w:trHeight w:val="71"/>
        </w:trPr>
        <w:tc>
          <w:tcPr>
            <w:tcW w:w="1559" w:type="dxa"/>
            <w:shd w:val="clear" w:color="auto" w:fill="FFFFFF"/>
          </w:tcPr>
          <w:p w14:paraId="081F9849" w14:textId="6C8F2355"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{0300;0020}</w:t>
            </w:r>
          </w:p>
        </w:tc>
        <w:tc>
          <w:tcPr>
            <w:tcW w:w="7406" w:type="dxa"/>
            <w:shd w:val="clear" w:color="auto" w:fill="FFFFFF"/>
          </w:tcPr>
          <w:p w14:paraId="12C4E302" w14:textId="1F965943" w:rsidR="002509B1" w:rsidRPr="00500637" w:rsidRDefault="005A052D"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davon: Verbriefungs-Risikopositionen – Risikopositionswert für die Verschuldungsquote – Risikopositionen nach dem IRB-Ansatz</w:t>
            </w:r>
          </w:p>
          <w:p w14:paraId="52AFEF6A" w14:textId="5CD6F874" w:rsidR="009C4E79"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Vermögenswerte, bei denen es sich um Verbriefungs-Risikopositionen nach dem IRB-Ansatz gemäß Artikel 147 Absatz 2 Buchstabe f der Verordnung (EU) Nr. 575/2013 handelt.</w:t>
            </w:r>
          </w:p>
          <w:p w14:paraId="5A4CEC64" w14:textId="084E95CE" w:rsidR="002509B1" w:rsidRPr="00500637" w:rsidDel="00B9734C" w:rsidRDefault="009C4E79"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melden die Beträge abzüglich der ausgefallenen Risikopositionen nach dem IRB-Ansatz.</w:t>
            </w:r>
          </w:p>
        </w:tc>
      </w:tr>
      <w:tr w:rsidR="002A54FF" w:rsidRPr="00500637" w14:paraId="2D8DCA0F" w14:textId="77777777" w:rsidTr="000B66BC">
        <w:trPr>
          <w:trHeight w:val="71"/>
        </w:trPr>
        <w:tc>
          <w:tcPr>
            <w:tcW w:w="1559" w:type="dxa"/>
            <w:shd w:val="clear" w:color="auto" w:fill="FFFFFF"/>
          </w:tcPr>
          <w:p w14:paraId="59B7F740" w14:textId="00300309"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{0300;0030}</w:t>
            </w:r>
          </w:p>
        </w:tc>
        <w:tc>
          <w:tcPr>
            <w:tcW w:w="7406" w:type="dxa"/>
            <w:shd w:val="clear" w:color="auto" w:fill="FFFFFF"/>
          </w:tcPr>
          <w:p w14:paraId="0195360F" w14:textId="4CF13008" w:rsidR="00F4754B" w:rsidRPr="00500637" w:rsidRDefault="005A052D"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davon: Verbriefungs-Risikopositionen – Risikogewichteter Positionsbetrag (RWEA) – Risikopositionen nach dem Standardansatz</w:t>
            </w:r>
          </w:p>
          <w:p w14:paraId="583F2964" w14:textId="3E06746D"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Risikopositionsbetrag von Vermögenswerten, bei denen es sich um Verbriefungs-Risikopositionen nach dem Standardansatz gemäß Artikel 112 Buchstabe m der Verordnung (EU) Nr. 575/2013 handelt.</w:t>
            </w:r>
          </w:p>
          <w:p w14:paraId="34AEB620" w14:textId="279486FE" w:rsidR="002509B1" w:rsidRPr="00500637"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Standardansatz.</w:t>
            </w:r>
          </w:p>
        </w:tc>
      </w:tr>
      <w:tr w:rsidR="002A54FF" w:rsidRPr="00500637" w14:paraId="4AF9EC67" w14:textId="77777777" w:rsidTr="000B66BC">
        <w:trPr>
          <w:trHeight w:val="71"/>
        </w:trPr>
        <w:tc>
          <w:tcPr>
            <w:tcW w:w="1559" w:type="dxa"/>
            <w:shd w:val="clear" w:color="auto" w:fill="FFFFFF"/>
          </w:tcPr>
          <w:p w14:paraId="338D7286" w14:textId="4155BC0C"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{0300;0040}</w:t>
            </w:r>
          </w:p>
        </w:tc>
        <w:tc>
          <w:tcPr>
            <w:tcW w:w="7406" w:type="dxa"/>
            <w:shd w:val="clear" w:color="auto" w:fill="FFFFFF"/>
          </w:tcPr>
          <w:p w14:paraId="546F46AF" w14:textId="111BE038" w:rsidR="00F4754B" w:rsidRPr="00500637" w:rsidRDefault="005A052D"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davon: Verbriefungs-Risikopositionen – Risikogewichteter Positionsbetrag (RWEA) – Risikopositionen nach dem IRB-Ansatz</w:t>
            </w:r>
          </w:p>
          <w:p w14:paraId="745FCC52" w14:textId="18AD3DDC"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Positionsbetrag von Vermögenswerten, bei denen es sich um Verbriefungs-Risikopositionen nach dem IRB-Ansatz gemäß Artikel 147 Absatz 2 Buchstabe f der Verordnung (EU) Nr. 575/2013 handelt.</w:t>
            </w:r>
          </w:p>
          <w:p w14:paraId="6DCC2024" w14:textId="3E5BF347" w:rsidR="009C4E79" w:rsidRPr="00500637"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lastRenderedPageBreak/>
              <w:t>Die Institute melden die Beträge abzüglich der ausgefallenen Risikopositionen nach dem IRB-Ansatz.</w:t>
            </w:r>
          </w:p>
        </w:tc>
      </w:tr>
      <w:tr w:rsidR="002A54FF" w:rsidRPr="00500637" w14:paraId="19980126" w14:textId="77777777" w:rsidTr="000B66BC">
        <w:trPr>
          <w:trHeight w:val="71"/>
        </w:trPr>
        <w:tc>
          <w:tcPr>
            <w:tcW w:w="1559" w:type="dxa"/>
            <w:shd w:val="clear" w:color="auto" w:fill="FFFFFF"/>
          </w:tcPr>
          <w:p w14:paraId="70EF17D6" w14:textId="2BA73667"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lastRenderedPageBreak/>
              <w:t>{0310;0010}</w:t>
            </w:r>
          </w:p>
        </w:tc>
        <w:tc>
          <w:tcPr>
            <w:tcW w:w="7406" w:type="dxa"/>
            <w:shd w:val="clear" w:color="auto" w:fill="FFFFFF"/>
          </w:tcPr>
          <w:p w14:paraId="1F726694" w14:textId="75DDDC08"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Handelsfinanzierung (Zusatzinformationen) – Risikopositionswert für die Verschuldungsquote – Risikopositionen nach dem Standardansatz</w:t>
            </w:r>
          </w:p>
          <w:p w14:paraId="40329EE0" w14:textId="6890CB13" w:rsidR="002509B1"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in Bezug auf Bilanzposten, die die Kreditvergabe an Ex- oder Importeure von Waren oder Dienstleistungen über Import- und Exportkredite und ähnliche Geschäfte betreffen.</w:t>
            </w:r>
          </w:p>
          <w:p w14:paraId="07887909" w14:textId="376C2A24" w:rsidR="00086A8A" w:rsidRPr="00500637" w:rsidRDefault="00086A8A"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melden die Beträge abzüglich der ausgefallenen Risikopositionen nach dem Standardansatz.</w:t>
            </w:r>
          </w:p>
        </w:tc>
      </w:tr>
      <w:tr w:rsidR="002A54FF" w:rsidRPr="00500637" w14:paraId="7849841B" w14:textId="77777777" w:rsidTr="000B66BC">
        <w:trPr>
          <w:trHeight w:val="71"/>
        </w:trPr>
        <w:tc>
          <w:tcPr>
            <w:tcW w:w="1559" w:type="dxa"/>
            <w:shd w:val="clear" w:color="auto" w:fill="FFFFFF"/>
          </w:tcPr>
          <w:p w14:paraId="7770CF17" w14:textId="209AA225"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{0310;0020}</w:t>
            </w:r>
          </w:p>
        </w:tc>
        <w:tc>
          <w:tcPr>
            <w:tcW w:w="7406" w:type="dxa"/>
            <w:shd w:val="clear" w:color="auto" w:fill="FFFFFF"/>
          </w:tcPr>
          <w:p w14:paraId="3DC59FB7" w14:textId="38AD74CC"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Handelsfinanzierung (Zusatzinformationen) – Risikopositionswert für die Verschuldungsquote – Risikopositionen nach dem IRB-Ansatz</w:t>
            </w:r>
          </w:p>
          <w:p w14:paraId="0A442979" w14:textId="3B301CAB" w:rsidR="00BE6AC4"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Risikopositionsbetrag für die Verschuldungsquote in Bezug auf Bilanzposten, die die Kreditvergabe an Ex- oder Importeure von Waren oder Dienstleistungen über Import- und Exportkredite und ähnliche Geschäfte betreffen.</w:t>
            </w:r>
          </w:p>
          <w:p w14:paraId="009892EF" w14:textId="4CD440BB" w:rsidR="009C4E79" w:rsidRPr="00500637" w:rsidRDefault="009C4E79"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melden die Beträge abzüglich der ausgefallenen Risikopositionen nach dem IRB-Ansatz.</w:t>
            </w:r>
          </w:p>
        </w:tc>
      </w:tr>
      <w:tr w:rsidR="002A54FF" w:rsidRPr="00500637" w14:paraId="0944BE23" w14:textId="77777777" w:rsidTr="000B66BC">
        <w:trPr>
          <w:trHeight w:val="71"/>
        </w:trPr>
        <w:tc>
          <w:tcPr>
            <w:tcW w:w="1559" w:type="dxa"/>
            <w:shd w:val="clear" w:color="auto" w:fill="FFFFFF"/>
          </w:tcPr>
          <w:p w14:paraId="375E033C" w14:textId="2994690F"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{0310;0030}</w:t>
            </w:r>
          </w:p>
        </w:tc>
        <w:tc>
          <w:tcPr>
            <w:tcW w:w="7406" w:type="dxa"/>
            <w:shd w:val="clear" w:color="auto" w:fill="FFFFFF"/>
          </w:tcPr>
          <w:p w14:paraId="2CAEEABE" w14:textId="362B2A0C"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Handelsfinanzierung (Zusatzinformationen) – Risikogewichteter Positionsbetrag (RWEA) – Risikopositionen nach dem Standardansatz</w:t>
            </w:r>
          </w:p>
          <w:p w14:paraId="08DFF23E" w14:textId="3FC89434" w:rsidR="00086A8A"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Positionswert von Bilanzposten, die die Kreditvergabe an Ex- oder Importeure von Waren oder Dienstleistungen über Import- und Exportkredite und ähnliche Geschäfte betreffen.</w:t>
            </w:r>
          </w:p>
          <w:p w14:paraId="1392FEC6" w14:textId="0CEA5EB1" w:rsidR="002509B1" w:rsidRPr="00500637"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Standardansatz.</w:t>
            </w:r>
          </w:p>
        </w:tc>
      </w:tr>
      <w:tr w:rsidR="002A54FF" w:rsidRPr="00500637" w14:paraId="2EAEC41E" w14:textId="77777777" w:rsidTr="000B66BC">
        <w:trPr>
          <w:trHeight w:val="71"/>
        </w:trPr>
        <w:tc>
          <w:tcPr>
            <w:tcW w:w="1559" w:type="dxa"/>
            <w:shd w:val="clear" w:color="auto" w:fill="FFFFFF"/>
          </w:tcPr>
          <w:p w14:paraId="2D3EEDC7" w14:textId="50ACD0A0"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{0310;0040}</w:t>
            </w:r>
          </w:p>
        </w:tc>
        <w:tc>
          <w:tcPr>
            <w:tcW w:w="7406" w:type="dxa"/>
            <w:shd w:val="clear" w:color="auto" w:fill="FFFFFF"/>
          </w:tcPr>
          <w:p w14:paraId="6234B372" w14:textId="0FE9A0F4"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Handelsfinanzierung (Zusatzinformationen) – Risikogewichteter Positionsbetrag (RWEA) – Risikopositionen nach dem IRB-Ansatz</w:t>
            </w:r>
          </w:p>
          <w:p w14:paraId="7C41D05F" w14:textId="163F70F0"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risikogewichtete Positionsbetrag von Bilanzposten, die die Kreditvergabe an Ex- oder Importeure von Waren oder Dienstleistungen über Import- und Exportkredite und ähnliche Geschäfte betreffen.</w:t>
            </w:r>
          </w:p>
          <w:p w14:paraId="69D1BF8F" w14:textId="1ADC695A" w:rsidR="009C4E79" w:rsidRPr="00500637"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bl>
    <w:p w14:paraId="74C1DFF0" w14:textId="77777777" w:rsidR="00AF4551" w:rsidRDefault="00AF4551">
      <w:r>
        <w:br w:type="page"/>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500637" w14:paraId="0F47267B" w14:textId="77777777" w:rsidTr="000B66BC">
        <w:trPr>
          <w:trHeight w:val="71"/>
        </w:trPr>
        <w:tc>
          <w:tcPr>
            <w:tcW w:w="1559" w:type="dxa"/>
            <w:shd w:val="clear" w:color="auto" w:fill="FFFFFF"/>
          </w:tcPr>
          <w:p w14:paraId="01A66D59" w14:textId="3A5F4AB5"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lastRenderedPageBreak/>
              <w:t>{0320;0010}</w:t>
            </w:r>
          </w:p>
        </w:tc>
        <w:tc>
          <w:tcPr>
            <w:tcW w:w="7406" w:type="dxa"/>
            <w:shd w:val="clear" w:color="auto" w:fill="FFFFFF"/>
          </w:tcPr>
          <w:p w14:paraId="68BD9684" w14:textId="77777777" w:rsidR="00F4754B" w:rsidRPr="00500637" w:rsidRDefault="005A052D"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davon: Im Rahmen eines öffentlichen Exportkreditversicherungssystems – Risikopositionswert für die Verschuldungsquote – Risikopositionen nach dem Standardansatz</w:t>
            </w:r>
          </w:p>
          <w:p w14:paraId="77C2AA79" w14:textId="008650ED" w:rsidR="00FC5086"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Der Risikopositionswert für die Verschuldungsquote bei Bilanzposten, die die Handelsfinanzierung im Rahmen eines öffentlichen Exportkreditversicherungssystems betreffen.</w:t>
            </w:r>
          </w:p>
          <w:p w14:paraId="724169CB" w14:textId="4B72375C" w:rsidR="00F4754B" w:rsidRPr="00500637" w:rsidRDefault="00C90B14" w:rsidP="000B66BC">
            <w:pPr>
              <w:pStyle w:val="BodyText1"/>
              <w:spacing w:after="240" w:line="240" w:lineRule="auto"/>
              <w:rPr>
                <w:rFonts w:ascii="Times New Roman" w:hAnsi="Times New Roman"/>
                <w:sz w:val="24"/>
                <w:szCs w:val="24"/>
              </w:rPr>
            </w:pPr>
            <w:r w:rsidRPr="00500637">
              <w:rPr>
                <w:rFonts w:ascii="Times New Roman" w:hAnsi="Times New Roman"/>
                <w:sz w:val="24"/>
              </w:rPr>
              <w:t xml:space="preserve">Für die in LR4 zu meldenden Angaben bezieht sich der Begriff öffentliches Exportkreditversicherungssystem auf öffentliche Unterstützung, die vom Staat oder einer anderen Stelle, wie zum Beispiel einer Exportversicherungsagentur, in Form von, unter anderem, Direktkrediten/-finanzierungen, Refinanzierungen, Zinszuschüssen (wenn über die gesamte Laufzeit des Kredits ein Festzinssatz garantiert wird), Finanzierungen von Hilfsmaßnahmen (Kredite und Zuschüsse), Exportkreditversicherungen und -garantien zur Verfügung gestellt wird. </w:t>
            </w:r>
          </w:p>
          <w:p w14:paraId="6749A4E0" w14:textId="3BDB38AA" w:rsidR="002509B1" w:rsidRPr="00500637" w:rsidRDefault="00086A8A" w:rsidP="000B66BC">
            <w:pPr>
              <w:pStyle w:val="BodyText1"/>
              <w:spacing w:after="240" w:line="240" w:lineRule="auto"/>
              <w:rPr>
                <w:rFonts w:ascii="Times New Roman" w:hAnsi="Times New Roman"/>
                <w:bCs/>
                <w:sz w:val="24"/>
                <w:szCs w:val="24"/>
              </w:rPr>
            </w:pPr>
            <w:r w:rsidRPr="00500637">
              <w:rPr>
                <w:rFonts w:ascii="Times New Roman" w:hAnsi="Times New Roman"/>
                <w:sz w:val="24"/>
              </w:rPr>
              <w:t>Die Institute melden die Beträge abzüglich der ausgefallenen Risikopositionen nach dem Standardansatz.</w:t>
            </w:r>
          </w:p>
        </w:tc>
      </w:tr>
      <w:tr w:rsidR="002A54FF" w:rsidRPr="00500637" w14:paraId="324D0C14" w14:textId="77777777" w:rsidTr="000B66BC">
        <w:trPr>
          <w:trHeight w:val="71"/>
        </w:trPr>
        <w:tc>
          <w:tcPr>
            <w:tcW w:w="1559" w:type="dxa"/>
            <w:shd w:val="clear" w:color="auto" w:fill="FFFFFF"/>
          </w:tcPr>
          <w:p w14:paraId="379BEEE3" w14:textId="251ACAEF"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{0320;0020}</w:t>
            </w:r>
          </w:p>
        </w:tc>
        <w:tc>
          <w:tcPr>
            <w:tcW w:w="7406" w:type="dxa"/>
            <w:shd w:val="clear" w:color="auto" w:fill="FFFFFF"/>
          </w:tcPr>
          <w:p w14:paraId="487C59EC" w14:textId="64199DCF" w:rsidR="002509B1" w:rsidRPr="00500637" w:rsidRDefault="005A052D"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davon: Im Rahmen eines öffentlichen Exportkreditversicherungssystems – Risikopositionswert für die Verschuldungsquote – Risikopositionen nach dem IRB-Ansatz</w:t>
            </w:r>
          </w:p>
          <w:p w14:paraId="28C477A6" w14:textId="45C80184" w:rsidR="00FC5086"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 xml:space="preserve">Der Risikopositionsbetrag für die Verschuldungsquote bei Bilanzposten, die die Handelsfinanzierung im Rahmen eines öffentlichen Exportkreditversicherungssystems betreffen. </w:t>
            </w:r>
          </w:p>
          <w:p w14:paraId="453591E6" w14:textId="24EEED56" w:rsidR="009C4E79" w:rsidRPr="00500637" w:rsidRDefault="00C90B14" w:rsidP="000B66BC">
            <w:pPr>
              <w:pStyle w:val="BodyText1"/>
              <w:spacing w:after="240" w:line="240" w:lineRule="auto"/>
              <w:rPr>
                <w:rFonts w:ascii="Times New Roman" w:hAnsi="Times New Roman"/>
                <w:sz w:val="24"/>
                <w:szCs w:val="24"/>
              </w:rPr>
            </w:pPr>
            <w:r w:rsidRPr="00500637">
              <w:rPr>
                <w:rFonts w:ascii="Times New Roman" w:hAnsi="Times New Roman"/>
                <w:sz w:val="24"/>
              </w:rPr>
              <w:t>Für die in LR4 zu meldenden Angaben bezieht sich der Begriff öffentliches Exportkreditversicherungssystem auf öffentliche Unterstützung, die vom Staat oder einer anderen Stelle, wie zum Beispiel einer Exportversicherungsagentur, in Form von, unter anderem, Direktkrediten/-finanzierungen, Refinanzierungen, Zinszuschüssen (wenn über die gesamte Laufzeit des Kredits ein Festzinssatz garantiert wird), Finanzierungen von Hilfsmaßnahmen (Kredite und Zuschüsse), Exportkreditversicherungen und -garantien zur Verfügung gestellt wird.</w:t>
            </w:r>
          </w:p>
          <w:p w14:paraId="121B09A0" w14:textId="7D13C18C" w:rsidR="002509B1" w:rsidRPr="00500637" w:rsidDel="00600AB1"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r w:rsidR="002A54FF" w:rsidRPr="00500637" w14:paraId="5958CABD" w14:textId="77777777" w:rsidTr="000B66BC">
        <w:trPr>
          <w:trHeight w:val="71"/>
        </w:trPr>
        <w:tc>
          <w:tcPr>
            <w:tcW w:w="1559" w:type="dxa"/>
            <w:shd w:val="clear" w:color="auto" w:fill="FFFFFF"/>
          </w:tcPr>
          <w:p w14:paraId="50D523A5" w14:textId="2D5719F5"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t>{0320;0030}</w:t>
            </w:r>
          </w:p>
        </w:tc>
        <w:tc>
          <w:tcPr>
            <w:tcW w:w="7406" w:type="dxa"/>
            <w:shd w:val="clear" w:color="auto" w:fill="FFFFFF"/>
          </w:tcPr>
          <w:p w14:paraId="1BC55C9E" w14:textId="018B97B0" w:rsidR="00F4754B" w:rsidRPr="00500637" w:rsidRDefault="005A052D"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davon: Im Rahmen eines öffentlichen Exportkreditversicherungssystems – Risikogewichteter Positionsbetrag (RWEA) – Risikopositionen nach dem Standardansatz</w:t>
            </w:r>
          </w:p>
          <w:p w14:paraId="5BDA0B92" w14:textId="79F518BC" w:rsidR="005E0E4A"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 xml:space="preserve">Der risikogewichtete Positionswert der Bilanzposten, die die Handelsfinanzierung im Rahmen eines öffentlichen Exportkreditversicherungssystems betreffen. </w:t>
            </w:r>
          </w:p>
          <w:p w14:paraId="04A05DE3" w14:textId="09DF700B" w:rsidR="00F4754B" w:rsidRPr="00500637" w:rsidRDefault="00C90B14" w:rsidP="000B66BC">
            <w:pPr>
              <w:pStyle w:val="BodyText1"/>
              <w:spacing w:after="240" w:line="240" w:lineRule="auto"/>
              <w:rPr>
                <w:rFonts w:ascii="Times New Roman" w:hAnsi="Times New Roman"/>
                <w:sz w:val="24"/>
                <w:szCs w:val="24"/>
              </w:rPr>
            </w:pPr>
            <w:r w:rsidRPr="00500637">
              <w:rPr>
                <w:rFonts w:ascii="Times New Roman" w:hAnsi="Times New Roman"/>
                <w:sz w:val="24"/>
              </w:rPr>
              <w:t xml:space="preserve">Für die in LR4 zu meldenden Angaben bezieht sich der Begriff öffentliches Exportkreditversicherungssystem auf öffentliche Unterstützung, die vom </w:t>
            </w:r>
            <w:r w:rsidRPr="00500637">
              <w:rPr>
                <w:rFonts w:ascii="Times New Roman" w:hAnsi="Times New Roman"/>
                <w:sz w:val="24"/>
              </w:rPr>
              <w:lastRenderedPageBreak/>
              <w:t xml:space="preserve">Staat oder einer anderen Stelle, wie zum Beispiel einer Exportversicherungsagentur, in Form von, unter anderem, Direktkrediten/-finanzierungen, Refinanzierungen, Zinszuschüssen (wenn über die gesamte Laufzeit des Kredits ein Festzinssatz garantiert wird), Finanzierungen von Hilfsmaßnahmen (Kredite und Zuschüsse), Exportkreditversicherungen und -garantien zur Verfügung gestellt wird. </w:t>
            </w:r>
          </w:p>
          <w:p w14:paraId="4F35ADC9" w14:textId="4AC2CE52" w:rsidR="002509B1" w:rsidRPr="00500637" w:rsidRDefault="00086A8A"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Standardansatz.</w:t>
            </w:r>
          </w:p>
        </w:tc>
      </w:tr>
      <w:tr w:rsidR="002A54FF" w:rsidRPr="00500637" w14:paraId="50DFFA63" w14:textId="77777777" w:rsidTr="000B66BC">
        <w:trPr>
          <w:trHeight w:val="71"/>
        </w:trPr>
        <w:tc>
          <w:tcPr>
            <w:tcW w:w="1559" w:type="dxa"/>
            <w:shd w:val="clear" w:color="auto" w:fill="FFFFFF"/>
          </w:tcPr>
          <w:p w14:paraId="3E66A2E1" w14:textId="52C5C768" w:rsidR="00F4754B" w:rsidRPr="00500637" w:rsidRDefault="00F4754B" w:rsidP="000B66BC">
            <w:pPr>
              <w:pStyle w:val="BodyText1"/>
              <w:spacing w:after="240"/>
              <w:rPr>
                <w:rFonts w:ascii="Times New Roman" w:hAnsi="Times New Roman"/>
                <w:sz w:val="24"/>
                <w:szCs w:val="24"/>
              </w:rPr>
            </w:pPr>
            <w:r w:rsidRPr="00500637">
              <w:rPr>
                <w:rFonts w:ascii="Times New Roman" w:hAnsi="Times New Roman"/>
                <w:sz w:val="24"/>
              </w:rPr>
              <w:lastRenderedPageBreak/>
              <w:t>{0320;0040}</w:t>
            </w:r>
          </w:p>
        </w:tc>
        <w:tc>
          <w:tcPr>
            <w:tcW w:w="7406" w:type="dxa"/>
            <w:shd w:val="clear" w:color="auto" w:fill="FFFFFF"/>
          </w:tcPr>
          <w:p w14:paraId="02837300" w14:textId="087FB5C1" w:rsidR="00F4754B" w:rsidRPr="00500637" w:rsidRDefault="005A052D"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davon: Im Rahmen eines öffentlichen Exportkreditversicherungssystems – Risikogewichteter Positionsbetrag (RWEA) – Risikopositionen nach dem IRB-Ansatz</w:t>
            </w:r>
          </w:p>
          <w:p w14:paraId="7E51B295" w14:textId="2E71FA87" w:rsidR="005E0E4A"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 xml:space="preserve">Der risikogewichtete Positionsbetrag der Bilanzposten, die die Handelsfinanzierung im Rahmen eines öffentlichen Exportkreditversicherungssystems betreffen. </w:t>
            </w:r>
          </w:p>
          <w:p w14:paraId="22173B42" w14:textId="69585F6C" w:rsidR="009C4E79" w:rsidRPr="00500637" w:rsidRDefault="00C90B14" w:rsidP="000B66BC">
            <w:pPr>
              <w:pStyle w:val="BodyText1"/>
              <w:spacing w:after="240" w:line="240" w:lineRule="auto"/>
              <w:rPr>
                <w:rFonts w:ascii="Times New Roman" w:hAnsi="Times New Roman"/>
                <w:sz w:val="24"/>
                <w:szCs w:val="24"/>
              </w:rPr>
            </w:pPr>
            <w:r w:rsidRPr="00500637">
              <w:rPr>
                <w:rFonts w:ascii="Times New Roman" w:hAnsi="Times New Roman"/>
                <w:sz w:val="24"/>
              </w:rPr>
              <w:t xml:space="preserve">Für die in LR4 zu meldenden Angaben bezieht sich der Begriff öffentliches Exportkreditversicherungssystem auf öffentliche Unterstützung, die vom Staat oder einer anderen Stelle, wie zum Beispiel einer Exportversicherungsagentur, in Form von, unter anderem, Direktkrediten/-finanzierungen, Refinanzierungen, Zinszuschüssen (wenn über die gesamte Laufzeit des Kredits ein Festzinssatz garantiert wird), Finanzierungen von Hilfsmaßnahmen (Kredite und Zuschüsse), Exportkreditversicherungen und -garantien zur Verfügung gestellt wird. </w:t>
            </w:r>
          </w:p>
          <w:p w14:paraId="16D3A7FB" w14:textId="65A4E59B" w:rsidR="002509B1" w:rsidRPr="00500637" w:rsidRDefault="009C4E79" w:rsidP="000B66BC">
            <w:pPr>
              <w:pStyle w:val="BodyText1"/>
              <w:spacing w:after="240" w:line="240" w:lineRule="auto"/>
              <w:rPr>
                <w:rFonts w:ascii="Times New Roman" w:hAnsi="Times New Roman"/>
                <w:b/>
                <w:bCs/>
                <w:sz w:val="24"/>
                <w:szCs w:val="24"/>
                <w:u w:val="single"/>
              </w:rPr>
            </w:pPr>
            <w:r w:rsidRPr="00500637">
              <w:rPr>
                <w:rFonts w:ascii="Times New Roman" w:hAnsi="Times New Roman"/>
                <w:sz w:val="24"/>
              </w:rPr>
              <w:t>Die Institute melden die Beträge abzüglich der ausgefallenen Risikopositionen nach dem IRB-Ansatz.</w:t>
            </w:r>
          </w:p>
        </w:tc>
      </w:tr>
    </w:tbl>
    <w:p w14:paraId="6F5938BB" w14:textId="71A3874E" w:rsidR="004C0459" w:rsidRPr="00500637" w:rsidRDefault="004C0459" w:rsidP="000B66BC">
      <w:pPr>
        <w:pStyle w:val="BodyText1"/>
        <w:spacing w:after="240"/>
        <w:ind w:left="720"/>
        <w:rPr>
          <w:rFonts w:ascii="Times New Roman" w:hAnsi="Times New Roman"/>
          <w:b/>
          <w:sz w:val="24"/>
          <w:szCs w:val="24"/>
        </w:rPr>
      </w:pPr>
      <w:bookmarkStart w:id="74" w:name="_Toc351048511"/>
      <w:bookmarkStart w:id="75" w:name="_Toc359414290"/>
      <w:bookmarkStart w:id="76" w:name="_Toc423089075"/>
      <w:bookmarkEnd w:id="73"/>
    </w:p>
    <w:p w14:paraId="3B957644" w14:textId="7AA08C09" w:rsidR="00217D1F" w:rsidRPr="00500637" w:rsidRDefault="005F4574" w:rsidP="000B66BC">
      <w:pPr>
        <w:pStyle w:val="BodyText1"/>
        <w:spacing w:after="240"/>
        <w:ind w:left="357" w:hanging="357"/>
        <w:outlineLvl w:val="1"/>
        <w:rPr>
          <w:rFonts w:ascii="Times New Roman" w:hAnsi="Times New Roman"/>
          <w:b/>
          <w:sz w:val="24"/>
          <w:szCs w:val="24"/>
        </w:rPr>
      </w:pPr>
      <w:bookmarkStart w:id="77" w:name="_Toc188886284"/>
      <w:r w:rsidRPr="00500637">
        <w:rPr>
          <w:rFonts w:ascii="Times New Roman" w:hAnsi="Times New Roman"/>
          <w:b/>
          <w:sz w:val="24"/>
        </w:rPr>
        <w:t>6.</w:t>
      </w:r>
      <w:r w:rsidRPr="00500637">
        <w:tab/>
      </w:r>
      <w:r w:rsidRPr="00500637">
        <w:rPr>
          <w:rFonts w:ascii="Times New Roman" w:hAnsi="Times New Roman"/>
          <w:b/>
          <w:sz w:val="24"/>
        </w:rPr>
        <w:t>C 44.00 – Allgemeine Angaben</w:t>
      </w:r>
      <w:bookmarkEnd w:id="74"/>
      <w:bookmarkEnd w:id="75"/>
      <w:r w:rsidRPr="00500637">
        <w:rPr>
          <w:rFonts w:ascii="Times New Roman" w:hAnsi="Times New Roman"/>
          <w:b/>
          <w:sz w:val="24"/>
        </w:rPr>
        <w:t xml:space="preserve"> (LR5)</w:t>
      </w:r>
      <w:bookmarkEnd w:id="76"/>
      <w:bookmarkEnd w:id="77"/>
    </w:p>
    <w:p w14:paraId="0762DA75" w14:textId="1CF4EE9B" w:rsidR="00F4754B" w:rsidRPr="00500637" w:rsidRDefault="00143C6A" w:rsidP="000B66BC">
      <w:pPr>
        <w:pStyle w:val="BodyText1"/>
        <w:spacing w:after="240" w:line="240" w:lineRule="auto"/>
        <w:ind w:left="720" w:hanging="360"/>
        <w:rPr>
          <w:rFonts w:ascii="Times New Roman" w:hAnsi="Times New Roman"/>
          <w:sz w:val="24"/>
          <w:szCs w:val="24"/>
        </w:rPr>
      </w:pPr>
      <w:r w:rsidRPr="00500637">
        <w:rPr>
          <w:rFonts w:ascii="Times New Roman" w:hAnsi="Times New Roman"/>
          <w:sz w:val="24"/>
        </w:rPr>
        <w:t>28.</w:t>
      </w:r>
      <w:r w:rsidRPr="00500637">
        <w:tab/>
      </w:r>
      <w:r w:rsidRPr="00500637">
        <w:rPr>
          <w:rFonts w:ascii="Times New Roman" w:hAnsi="Times New Roman"/>
          <w:sz w:val="24"/>
        </w:rPr>
        <w:t>Hier werden zusätzliche Angaben erhoben, um die Tätigkeiten des Instituts und die von diesem gewählten aufsichtlichen Optionen kategorisieren zu können.</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500637" w14:paraId="01020A4D" w14:textId="77777777" w:rsidTr="000B66BC">
        <w:tc>
          <w:tcPr>
            <w:tcW w:w="1730" w:type="dxa"/>
            <w:shd w:val="clear" w:color="auto" w:fill="D9D9D9" w:themeFill="background1" w:themeFillShade="D9"/>
          </w:tcPr>
          <w:p w14:paraId="609E7AEC" w14:textId="77777777" w:rsidR="00F4754B" w:rsidRPr="00500637" w:rsidRDefault="00F4754B" w:rsidP="000B66BC">
            <w:pPr>
              <w:pStyle w:val="BodyText1"/>
              <w:spacing w:after="240"/>
              <w:rPr>
                <w:rFonts w:ascii="Times New Roman" w:hAnsi="Times New Roman"/>
                <w:b/>
                <w:sz w:val="24"/>
                <w:szCs w:val="24"/>
              </w:rPr>
            </w:pPr>
            <w:r w:rsidRPr="00500637">
              <w:rPr>
                <w:rFonts w:ascii="Times New Roman" w:hAnsi="Times New Roman"/>
                <w:b/>
                <w:sz w:val="24"/>
              </w:rPr>
              <w:t xml:space="preserve">Zeile und Spalte </w:t>
            </w:r>
          </w:p>
          <w:p w14:paraId="3ADE932A" w14:textId="77777777" w:rsidR="00F4754B" w:rsidRPr="00500637" w:rsidRDefault="00F4754B" w:rsidP="000B66BC">
            <w:pPr>
              <w:pStyle w:val="BodyText1"/>
              <w:spacing w:after="240"/>
              <w:rPr>
                <w:rFonts w:ascii="Times New Roman" w:hAnsi="Times New Roman"/>
                <w:b/>
                <w:bCs/>
                <w:sz w:val="24"/>
                <w:szCs w:val="24"/>
              </w:rPr>
            </w:pPr>
          </w:p>
        </w:tc>
        <w:tc>
          <w:tcPr>
            <w:tcW w:w="7308" w:type="dxa"/>
            <w:shd w:val="clear" w:color="auto" w:fill="D9D9D9" w:themeFill="background1" w:themeFillShade="D9"/>
          </w:tcPr>
          <w:p w14:paraId="07C08D86" w14:textId="77777777" w:rsidR="00F4754B" w:rsidRPr="00500637" w:rsidRDefault="00F4754B" w:rsidP="000B66BC">
            <w:pPr>
              <w:pStyle w:val="BodyText1"/>
              <w:spacing w:after="240"/>
              <w:rPr>
                <w:rFonts w:ascii="Times New Roman" w:hAnsi="Times New Roman"/>
                <w:b/>
                <w:bCs/>
                <w:sz w:val="24"/>
                <w:szCs w:val="24"/>
              </w:rPr>
            </w:pPr>
            <w:r w:rsidRPr="00500637">
              <w:rPr>
                <w:rFonts w:ascii="Times New Roman" w:hAnsi="Times New Roman"/>
                <w:b/>
                <w:sz w:val="24"/>
              </w:rPr>
              <w:t>Erläuterungen</w:t>
            </w:r>
          </w:p>
        </w:tc>
      </w:tr>
      <w:tr w:rsidR="00F4754B" w:rsidRPr="00500637" w14:paraId="55A6FD39" w14:textId="77777777" w:rsidTr="000B66BC">
        <w:tc>
          <w:tcPr>
            <w:tcW w:w="1730" w:type="dxa"/>
          </w:tcPr>
          <w:p w14:paraId="4651DD6D" w14:textId="2C8898E2"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{0010;0010}</w:t>
            </w:r>
          </w:p>
        </w:tc>
        <w:tc>
          <w:tcPr>
            <w:tcW w:w="7308" w:type="dxa"/>
          </w:tcPr>
          <w:p w14:paraId="4DA873F1" w14:textId="77777777"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Unternehmensstruktur des Instituts</w:t>
            </w:r>
          </w:p>
          <w:p w14:paraId="64CCC795" w14:textId="77777777"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Hier hat das Institut anzugeben, welcher der nachstehend genannten Kategorien es zuzuordnen ist:</w:t>
            </w:r>
          </w:p>
          <w:p w14:paraId="1F1192E5" w14:textId="77777777" w:rsidR="00F4754B" w:rsidRPr="00500637" w:rsidRDefault="00500508" w:rsidP="000B66BC">
            <w:pPr>
              <w:pStyle w:val="BodyText1"/>
              <w:spacing w:after="240" w:line="240" w:lineRule="auto"/>
              <w:ind w:left="360" w:hanging="360"/>
              <w:rPr>
                <w:rFonts w:ascii="Times New Roman" w:hAnsi="Times New Roman"/>
                <w:bCs/>
                <w:sz w:val="24"/>
                <w:szCs w:val="24"/>
              </w:rPr>
            </w:pPr>
            <w:r w:rsidRPr="00500637">
              <w:rPr>
                <w:rFonts w:ascii="Times New Roman" w:hAnsi="Times New Roman"/>
                <w:sz w:val="24"/>
              </w:rPr>
              <w:t>–</w:t>
            </w:r>
            <w:r w:rsidRPr="00500637">
              <w:tab/>
            </w:r>
            <w:r w:rsidRPr="00500637">
              <w:rPr>
                <w:rFonts w:ascii="Times New Roman" w:hAnsi="Times New Roman"/>
                <w:sz w:val="24"/>
              </w:rPr>
              <w:t>Aktiengesellschaft</w:t>
            </w:r>
          </w:p>
          <w:p w14:paraId="003D2706" w14:textId="77777777" w:rsidR="00F4754B" w:rsidRPr="00500637" w:rsidRDefault="00500508" w:rsidP="000B66BC">
            <w:pPr>
              <w:pStyle w:val="BodyText1"/>
              <w:spacing w:after="240" w:line="240" w:lineRule="auto"/>
              <w:ind w:left="360" w:hanging="360"/>
              <w:rPr>
                <w:rFonts w:ascii="Times New Roman" w:hAnsi="Times New Roman"/>
                <w:bCs/>
                <w:sz w:val="24"/>
                <w:szCs w:val="24"/>
              </w:rPr>
            </w:pPr>
            <w:r w:rsidRPr="00500637">
              <w:rPr>
                <w:rFonts w:ascii="Times New Roman" w:hAnsi="Times New Roman"/>
                <w:sz w:val="24"/>
              </w:rPr>
              <w:lastRenderedPageBreak/>
              <w:t>–</w:t>
            </w:r>
            <w:r w:rsidRPr="00500637">
              <w:tab/>
            </w:r>
            <w:r w:rsidRPr="00500637">
              <w:rPr>
                <w:rFonts w:ascii="Times New Roman" w:hAnsi="Times New Roman"/>
                <w:sz w:val="24"/>
              </w:rPr>
              <w:t>Gegenseitigkeitsgesellschaft/Genossenschaft</w:t>
            </w:r>
          </w:p>
          <w:p w14:paraId="6192BE9A" w14:textId="31FF6E20" w:rsidR="00BE6AC4" w:rsidRPr="00500637" w:rsidRDefault="00500508" w:rsidP="000B66BC">
            <w:pPr>
              <w:pStyle w:val="BodyText1"/>
              <w:spacing w:after="240" w:line="240" w:lineRule="auto"/>
              <w:ind w:left="360" w:hanging="360"/>
              <w:rPr>
                <w:rFonts w:ascii="Times New Roman" w:hAnsi="Times New Roman"/>
                <w:bCs/>
                <w:sz w:val="24"/>
                <w:szCs w:val="24"/>
              </w:rPr>
            </w:pPr>
            <w:r w:rsidRPr="00500637">
              <w:rPr>
                <w:rFonts w:ascii="Times New Roman" w:hAnsi="Times New Roman"/>
                <w:sz w:val="24"/>
              </w:rPr>
              <w:t>–</w:t>
            </w:r>
            <w:r w:rsidRPr="00500637">
              <w:tab/>
            </w:r>
            <w:r w:rsidRPr="00500637">
              <w:rPr>
                <w:rFonts w:ascii="Times New Roman" w:hAnsi="Times New Roman"/>
                <w:sz w:val="24"/>
              </w:rPr>
              <w:t>Gesellschaft mit einer anderen Rechtsform als der Aktiengesellschaft</w:t>
            </w:r>
          </w:p>
        </w:tc>
      </w:tr>
      <w:tr w:rsidR="00F4754B" w:rsidRPr="00500637" w14:paraId="0E805489" w14:textId="77777777" w:rsidTr="000B66BC">
        <w:tc>
          <w:tcPr>
            <w:tcW w:w="1730" w:type="dxa"/>
          </w:tcPr>
          <w:p w14:paraId="024D6767" w14:textId="451206B8"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lastRenderedPageBreak/>
              <w:t>{0020;0010}</w:t>
            </w:r>
          </w:p>
        </w:tc>
        <w:tc>
          <w:tcPr>
            <w:tcW w:w="7308" w:type="dxa"/>
          </w:tcPr>
          <w:p w14:paraId="6E8478E9" w14:textId="77777777"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Behandlung von Derivaten</w:t>
            </w:r>
          </w:p>
          <w:p w14:paraId="32814C5E" w14:textId="77777777"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Hier hat das Institut anzugeben, nach welchen der unten angegebenen Kategorien aufsichtlicher Regeln es Derivate behandelt:</w:t>
            </w:r>
          </w:p>
          <w:p w14:paraId="255B888B" w14:textId="0A6301B4" w:rsidR="00B04A5F" w:rsidRPr="00500637" w:rsidRDefault="00B04A5F" w:rsidP="000B66BC">
            <w:pPr>
              <w:pStyle w:val="BodyText1"/>
              <w:spacing w:after="240" w:line="240" w:lineRule="auto"/>
              <w:rPr>
                <w:rFonts w:ascii="Times New Roman" w:hAnsi="Times New Roman"/>
                <w:bCs/>
                <w:sz w:val="24"/>
                <w:szCs w:val="24"/>
              </w:rPr>
            </w:pPr>
            <w:r w:rsidRPr="00500637">
              <w:rPr>
                <w:rFonts w:ascii="Times New Roman" w:hAnsi="Times New Roman"/>
                <w:sz w:val="24"/>
              </w:rPr>
              <w:t>– Standardansatz für das Gegenparteiausfallrisiko (SA-CCR)</w:t>
            </w:r>
          </w:p>
          <w:p w14:paraId="43920088" w14:textId="66D48971" w:rsidR="00B04A5F" w:rsidRPr="00500637" w:rsidRDefault="00B04A5F" w:rsidP="000B66BC">
            <w:pPr>
              <w:pStyle w:val="BodyText1"/>
              <w:spacing w:after="240" w:line="240" w:lineRule="auto"/>
              <w:rPr>
                <w:rFonts w:ascii="Times New Roman" w:hAnsi="Times New Roman"/>
                <w:bCs/>
                <w:sz w:val="24"/>
                <w:szCs w:val="24"/>
              </w:rPr>
            </w:pPr>
            <w:r w:rsidRPr="00500637">
              <w:rPr>
                <w:rFonts w:ascii="Times New Roman" w:hAnsi="Times New Roman"/>
                <w:sz w:val="24"/>
              </w:rPr>
              <w:t>– Vereinfachter Standardansatz für das Gegenparteiausfallrisiko</w:t>
            </w:r>
          </w:p>
          <w:p w14:paraId="7A9DB046" w14:textId="7690E86C" w:rsidR="00BE6AC4" w:rsidRPr="00500637" w:rsidRDefault="00500508" w:rsidP="000B66BC">
            <w:pPr>
              <w:pStyle w:val="BodyText1"/>
              <w:spacing w:after="240" w:line="240" w:lineRule="auto"/>
              <w:ind w:left="360" w:hanging="360"/>
              <w:rPr>
                <w:rFonts w:ascii="Times New Roman" w:hAnsi="Times New Roman"/>
                <w:bCs/>
                <w:sz w:val="24"/>
                <w:szCs w:val="24"/>
              </w:rPr>
            </w:pPr>
            <w:r w:rsidRPr="00500637">
              <w:rPr>
                <w:rFonts w:ascii="Times New Roman" w:hAnsi="Times New Roman"/>
                <w:sz w:val="24"/>
              </w:rPr>
              <w:t>–</w:t>
            </w:r>
            <w:r w:rsidRPr="00500637">
              <w:tab/>
            </w:r>
            <w:r w:rsidRPr="00500637">
              <w:rPr>
                <w:rFonts w:ascii="Times New Roman" w:hAnsi="Times New Roman"/>
                <w:sz w:val="24"/>
              </w:rPr>
              <w:t>Ursprungsrisikomethode</w:t>
            </w:r>
          </w:p>
        </w:tc>
      </w:tr>
      <w:tr w:rsidR="00F4754B" w:rsidRPr="00500637" w14:paraId="0E0C8448" w14:textId="77777777" w:rsidTr="000B66BC">
        <w:tc>
          <w:tcPr>
            <w:tcW w:w="1730" w:type="dxa"/>
          </w:tcPr>
          <w:p w14:paraId="6C37BCD8" w14:textId="7BBC71D1" w:rsidR="00F4754B" w:rsidRPr="00500637" w:rsidRDefault="00F4754B" w:rsidP="000B66BC">
            <w:pPr>
              <w:pStyle w:val="BodyText1"/>
              <w:spacing w:after="240"/>
              <w:rPr>
                <w:rFonts w:ascii="Times New Roman" w:hAnsi="Times New Roman"/>
                <w:bCs/>
                <w:sz w:val="24"/>
                <w:szCs w:val="24"/>
              </w:rPr>
            </w:pPr>
            <w:r w:rsidRPr="00500637">
              <w:rPr>
                <w:rFonts w:ascii="Times New Roman" w:hAnsi="Times New Roman"/>
                <w:sz w:val="24"/>
              </w:rPr>
              <w:t>{0040;0010}</w:t>
            </w:r>
          </w:p>
        </w:tc>
        <w:tc>
          <w:tcPr>
            <w:tcW w:w="7308" w:type="dxa"/>
          </w:tcPr>
          <w:p w14:paraId="3154A9B3" w14:textId="77777777" w:rsidR="00F4754B" w:rsidRPr="00500637" w:rsidRDefault="00F4754B"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Art des Instituts</w:t>
            </w:r>
          </w:p>
          <w:p w14:paraId="2C15E916" w14:textId="77777777" w:rsidR="00F4754B" w:rsidRPr="00500637" w:rsidRDefault="00F4754B" w:rsidP="000B66BC">
            <w:pPr>
              <w:pStyle w:val="BodyText1"/>
              <w:spacing w:after="240" w:line="240" w:lineRule="auto"/>
              <w:rPr>
                <w:rFonts w:ascii="Times New Roman" w:hAnsi="Times New Roman"/>
                <w:bCs/>
                <w:sz w:val="24"/>
                <w:szCs w:val="24"/>
              </w:rPr>
            </w:pPr>
            <w:r w:rsidRPr="00500637">
              <w:rPr>
                <w:rFonts w:ascii="Times New Roman" w:hAnsi="Times New Roman"/>
                <w:sz w:val="24"/>
              </w:rPr>
              <w:t>Hier hat das Institut anzugeben, welcher der nachstehend genannten Kategorien es zuzuordnen ist:</w:t>
            </w:r>
          </w:p>
          <w:p w14:paraId="5F9BB21A" w14:textId="77777777" w:rsidR="00F4754B" w:rsidRPr="00500637" w:rsidRDefault="00500508" w:rsidP="000B66BC">
            <w:pPr>
              <w:pStyle w:val="BodyText1"/>
              <w:spacing w:after="240" w:line="240" w:lineRule="auto"/>
              <w:ind w:left="360" w:hanging="360"/>
              <w:rPr>
                <w:rFonts w:ascii="Times New Roman" w:hAnsi="Times New Roman"/>
                <w:bCs/>
                <w:sz w:val="24"/>
                <w:szCs w:val="24"/>
              </w:rPr>
            </w:pPr>
            <w:r w:rsidRPr="00500637">
              <w:rPr>
                <w:rFonts w:ascii="Times New Roman" w:hAnsi="Times New Roman"/>
                <w:sz w:val="24"/>
              </w:rPr>
              <w:t>–</w:t>
            </w:r>
            <w:r w:rsidRPr="00500637">
              <w:tab/>
            </w:r>
            <w:r w:rsidRPr="00500637">
              <w:rPr>
                <w:rFonts w:ascii="Times New Roman" w:hAnsi="Times New Roman"/>
                <w:sz w:val="24"/>
              </w:rPr>
              <w:t>Universalbank (Retailgeschäft, Firmenkundengeschäft und Investmentbanking)</w:t>
            </w:r>
          </w:p>
          <w:p w14:paraId="730C89BA" w14:textId="77777777" w:rsidR="00F4754B" w:rsidRPr="00500637" w:rsidRDefault="00500508" w:rsidP="000B66BC">
            <w:pPr>
              <w:pStyle w:val="BodyText1"/>
              <w:spacing w:after="240" w:line="240" w:lineRule="auto"/>
              <w:ind w:left="360" w:hanging="360"/>
              <w:rPr>
                <w:rFonts w:ascii="Times New Roman" w:hAnsi="Times New Roman"/>
                <w:bCs/>
                <w:sz w:val="24"/>
                <w:szCs w:val="24"/>
              </w:rPr>
            </w:pPr>
            <w:r w:rsidRPr="00500637">
              <w:rPr>
                <w:rFonts w:ascii="Times New Roman" w:hAnsi="Times New Roman"/>
                <w:sz w:val="24"/>
              </w:rPr>
              <w:t>–</w:t>
            </w:r>
            <w:r w:rsidRPr="00500637">
              <w:tab/>
            </w:r>
            <w:r w:rsidRPr="00500637">
              <w:rPr>
                <w:rFonts w:ascii="Times New Roman" w:hAnsi="Times New Roman"/>
                <w:sz w:val="24"/>
              </w:rPr>
              <w:t>Retailbank/Geschäftsbank</w:t>
            </w:r>
          </w:p>
          <w:p w14:paraId="430C8F32" w14:textId="77777777" w:rsidR="00F4754B" w:rsidRPr="00500637" w:rsidRDefault="00500508" w:rsidP="000B66BC">
            <w:pPr>
              <w:pStyle w:val="BodyText1"/>
              <w:spacing w:after="240" w:line="240" w:lineRule="auto"/>
              <w:ind w:left="360" w:hanging="360"/>
              <w:rPr>
                <w:rFonts w:ascii="Times New Roman" w:hAnsi="Times New Roman"/>
                <w:bCs/>
                <w:sz w:val="24"/>
                <w:szCs w:val="24"/>
              </w:rPr>
            </w:pPr>
            <w:r w:rsidRPr="00500637">
              <w:rPr>
                <w:rFonts w:ascii="Times New Roman" w:hAnsi="Times New Roman"/>
                <w:sz w:val="24"/>
              </w:rPr>
              <w:t>–</w:t>
            </w:r>
            <w:r w:rsidRPr="00500637">
              <w:tab/>
            </w:r>
            <w:r w:rsidRPr="00500637">
              <w:rPr>
                <w:rFonts w:ascii="Times New Roman" w:hAnsi="Times New Roman"/>
                <w:sz w:val="24"/>
              </w:rPr>
              <w:t>Investmentbank</w:t>
            </w:r>
          </w:p>
          <w:p w14:paraId="53DE36EC" w14:textId="5929A7F1" w:rsidR="00875832" w:rsidRPr="00500637" w:rsidRDefault="00500508" w:rsidP="000B66BC">
            <w:pPr>
              <w:pStyle w:val="BodyText1"/>
              <w:spacing w:after="240" w:line="240" w:lineRule="auto"/>
              <w:ind w:left="360" w:hanging="360"/>
              <w:rPr>
                <w:rFonts w:ascii="Times New Roman" w:hAnsi="Times New Roman"/>
                <w:bCs/>
                <w:sz w:val="24"/>
                <w:szCs w:val="24"/>
              </w:rPr>
            </w:pPr>
            <w:r w:rsidRPr="00500637">
              <w:rPr>
                <w:rFonts w:ascii="Times New Roman" w:hAnsi="Times New Roman"/>
                <w:sz w:val="24"/>
              </w:rPr>
              <w:t>–</w:t>
            </w:r>
            <w:r w:rsidRPr="00500637">
              <w:tab/>
            </w:r>
            <w:r w:rsidRPr="00500637">
              <w:rPr>
                <w:rFonts w:ascii="Times New Roman" w:hAnsi="Times New Roman"/>
                <w:sz w:val="24"/>
              </w:rPr>
              <w:t>spezialisierter Kreditgeber</w:t>
            </w:r>
          </w:p>
          <w:p w14:paraId="5E1BA609" w14:textId="44448138" w:rsidR="005D66B3" w:rsidRPr="00500637" w:rsidRDefault="00546848" w:rsidP="000B66BC">
            <w:pPr>
              <w:pStyle w:val="BodyText1"/>
              <w:spacing w:after="240" w:line="240" w:lineRule="auto"/>
              <w:ind w:left="360" w:hanging="360"/>
              <w:rPr>
                <w:rFonts w:ascii="Times New Roman" w:hAnsi="Times New Roman"/>
                <w:color w:val="auto"/>
                <w:sz w:val="24"/>
                <w:szCs w:val="24"/>
              </w:rPr>
            </w:pPr>
            <w:r w:rsidRPr="00500637">
              <w:rPr>
                <w:rFonts w:ascii="Times New Roman" w:hAnsi="Times New Roman"/>
                <w:sz w:val="24"/>
              </w:rPr>
              <w:t>– </w:t>
            </w:r>
            <w:r w:rsidR="00C71770" w:rsidRPr="00500637">
              <w:rPr>
                <w:rFonts w:ascii="Times New Roman" w:hAnsi="Times New Roman"/>
                <w:sz w:val="24"/>
              </w:rPr>
              <w:t xml:space="preserve">   </w:t>
            </w:r>
            <w:r w:rsidRPr="00500637">
              <w:rPr>
                <w:rFonts w:ascii="Times New Roman" w:hAnsi="Times New Roman"/>
                <w:sz w:val="24"/>
              </w:rPr>
              <w:t>öffentliche Entwicklungsbank</w:t>
            </w:r>
          </w:p>
          <w:p w14:paraId="55C552F6" w14:textId="725A2101" w:rsidR="00BE6AC4" w:rsidRPr="00500637" w:rsidRDefault="00875832" w:rsidP="000B66BC">
            <w:pPr>
              <w:pStyle w:val="BodyText1"/>
              <w:spacing w:after="240" w:line="240" w:lineRule="auto"/>
              <w:ind w:left="360" w:hanging="360"/>
              <w:rPr>
                <w:rFonts w:ascii="Times New Roman" w:hAnsi="Times New Roman"/>
                <w:bCs/>
                <w:sz w:val="24"/>
                <w:szCs w:val="24"/>
              </w:rPr>
            </w:pPr>
            <w:r w:rsidRPr="00500637">
              <w:rPr>
                <w:rFonts w:ascii="Times New Roman" w:hAnsi="Times New Roman"/>
                <w:sz w:val="24"/>
              </w:rPr>
              <w:t>–</w:t>
            </w:r>
            <w:r w:rsidRPr="00500637">
              <w:tab/>
            </w:r>
            <w:r w:rsidRPr="00500637">
              <w:rPr>
                <w:rFonts w:ascii="Times New Roman" w:hAnsi="Times New Roman"/>
                <w:sz w:val="24"/>
              </w:rPr>
              <w:t>anderes Geschäftsmodell</w:t>
            </w:r>
          </w:p>
        </w:tc>
      </w:tr>
      <w:tr w:rsidR="006316AD" w:rsidRPr="00500637" w14:paraId="46E27CC1" w14:textId="77777777" w:rsidTr="000B66BC">
        <w:tc>
          <w:tcPr>
            <w:tcW w:w="1730" w:type="dxa"/>
          </w:tcPr>
          <w:p w14:paraId="113B7AA0" w14:textId="48CFB31B" w:rsidR="006316AD" w:rsidRPr="00500637" w:rsidRDefault="006316AD" w:rsidP="000B66BC">
            <w:pPr>
              <w:pStyle w:val="BodyText1"/>
              <w:spacing w:after="240"/>
              <w:rPr>
                <w:rFonts w:ascii="Times New Roman" w:hAnsi="Times New Roman"/>
                <w:bCs/>
                <w:sz w:val="24"/>
                <w:szCs w:val="24"/>
              </w:rPr>
            </w:pPr>
            <w:r w:rsidRPr="00500637">
              <w:rPr>
                <w:rFonts w:ascii="Times New Roman" w:hAnsi="Times New Roman"/>
                <w:sz w:val="24"/>
              </w:rPr>
              <w:t>{0070;0010}</w:t>
            </w:r>
          </w:p>
        </w:tc>
        <w:tc>
          <w:tcPr>
            <w:tcW w:w="7308" w:type="dxa"/>
          </w:tcPr>
          <w:p w14:paraId="31DC1601" w14:textId="77777777" w:rsidR="006316AD" w:rsidRPr="00500637" w:rsidRDefault="006316AD"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Institute mit einer öffentlichen Entwicklungseinheit</w:t>
            </w:r>
          </w:p>
          <w:p w14:paraId="6D39363C" w14:textId="06B12418" w:rsidR="006316AD" w:rsidRPr="00500637" w:rsidRDefault="006316AD" w:rsidP="000B66BC">
            <w:pPr>
              <w:pStyle w:val="BodyText1"/>
              <w:spacing w:after="240" w:line="240" w:lineRule="auto"/>
              <w:rPr>
                <w:rFonts w:ascii="Times New Roman" w:hAnsi="Times New Roman"/>
                <w:bCs/>
                <w:sz w:val="24"/>
                <w:szCs w:val="24"/>
              </w:rPr>
            </w:pPr>
            <w:r w:rsidRPr="00500637">
              <w:rPr>
                <w:rFonts w:ascii="Times New Roman" w:hAnsi="Times New Roman"/>
                <w:sz w:val="24"/>
              </w:rPr>
              <w:t>Institute, bei denen es sich nicht um öffentliche Entwicklungsbanken handelt, geben an, ob sie über eine öffentliche Entwicklungseinheit verfügen.</w:t>
            </w:r>
          </w:p>
        </w:tc>
      </w:tr>
      <w:tr w:rsidR="003A13D1" w:rsidRPr="00500637" w14:paraId="2CDC3E13" w14:textId="77777777" w:rsidTr="000B66BC">
        <w:tc>
          <w:tcPr>
            <w:tcW w:w="1730" w:type="dxa"/>
          </w:tcPr>
          <w:p w14:paraId="79D8D3BF" w14:textId="5989EBFA" w:rsidR="003A13D1" w:rsidRPr="00500637" w:rsidRDefault="003A13D1" w:rsidP="000B66BC">
            <w:pPr>
              <w:pStyle w:val="BodyText1"/>
              <w:spacing w:after="240"/>
              <w:rPr>
                <w:rFonts w:ascii="Times New Roman" w:hAnsi="Times New Roman"/>
                <w:bCs/>
                <w:sz w:val="24"/>
                <w:szCs w:val="24"/>
              </w:rPr>
            </w:pPr>
            <w:r w:rsidRPr="00500637">
              <w:rPr>
                <w:rFonts w:ascii="Times New Roman" w:hAnsi="Times New Roman"/>
                <w:sz w:val="24"/>
              </w:rPr>
              <w:t>{0080;0010},</w:t>
            </w:r>
          </w:p>
          <w:p w14:paraId="0E404C36" w14:textId="3C546BDB" w:rsidR="003A13D1" w:rsidRPr="00500637" w:rsidRDefault="003A13D1" w:rsidP="000B66BC">
            <w:pPr>
              <w:pStyle w:val="BodyText1"/>
              <w:spacing w:after="240"/>
              <w:rPr>
                <w:rFonts w:ascii="Times New Roman" w:hAnsi="Times New Roman"/>
                <w:bCs/>
                <w:sz w:val="24"/>
                <w:szCs w:val="24"/>
              </w:rPr>
            </w:pPr>
            <w:r w:rsidRPr="00500637">
              <w:rPr>
                <w:rFonts w:ascii="Times New Roman" w:hAnsi="Times New Roman"/>
                <w:sz w:val="24"/>
              </w:rPr>
              <w:t>{00090;0010},</w:t>
            </w:r>
          </w:p>
          <w:p w14:paraId="53B876FA" w14:textId="06E5D9AE" w:rsidR="003A13D1" w:rsidRPr="00500637" w:rsidRDefault="003A13D1" w:rsidP="000B66BC">
            <w:pPr>
              <w:pStyle w:val="BodyText1"/>
              <w:spacing w:after="240"/>
              <w:rPr>
                <w:rFonts w:ascii="Times New Roman" w:hAnsi="Times New Roman"/>
                <w:bCs/>
                <w:sz w:val="24"/>
                <w:szCs w:val="24"/>
              </w:rPr>
            </w:pPr>
            <w:r w:rsidRPr="00500637">
              <w:rPr>
                <w:rFonts w:ascii="Times New Roman" w:hAnsi="Times New Roman"/>
                <w:sz w:val="24"/>
              </w:rPr>
              <w:t>{0100;0010}</w:t>
            </w:r>
          </w:p>
        </w:tc>
        <w:tc>
          <w:tcPr>
            <w:tcW w:w="7308" w:type="dxa"/>
          </w:tcPr>
          <w:p w14:paraId="66B939F9" w14:textId="6084E1B7" w:rsidR="003A13D1" w:rsidRPr="00500637" w:rsidRDefault="003A13D1"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Stelle, die eine Garantie für die öffentliche Entwicklungsbank/ Einheit gemäß Artikel 429a Absatz 2 Buchstabe d CRR gewährt: Zentralstaat, regionale oder lokale Gebietskörperschaften</w:t>
            </w:r>
          </w:p>
          <w:p w14:paraId="5D4C6A0E" w14:textId="404D2BB3" w:rsidR="00092325" w:rsidRPr="00500637" w:rsidRDefault="00092325" w:rsidP="000B66BC">
            <w:pPr>
              <w:pStyle w:val="BodyText1"/>
              <w:spacing w:after="240" w:line="240" w:lineRule="auto"/>
              <w:rPr>
                <w:rFonts w:ascii="Times New Roman" w:hAnsi="Times New Roman"/>
                <w:bCs/>
                <w:sz w:val="24"/>
                <w:szCs w:val="24"/>
              </w:rPr>
            </w:pPr>
            <w:r w:rsidRPr="00500637">
              <w:rPr>
                <w:rFonts w:ascii="Times New Roman" w:hAnsi="Times New Roman"/>
                <w:sz w:val="24"/>
              </w:rPr>
              <w:t>Institute, bei denen es sich entweder um eine öffentliche Entwicklungsbank handelt oder die über eine öffentliche Entwicklungseinheit verfügen, melden, ob ein Zentralstaat, eine regionale oder eine lokale Gebietskörperschaft ihnen eine Garantie gewährt.</w:t>
            </w:r>
          </w:p>
          <w:p w14:paraId="493FBA55" w14:textId="6B923AA1" w:rsidR="003B054D" w:rsidRPr="00500637" w:rsidRDefault="00092325" w:rsidP="000B66BC">
            <w:pPr>
              <w:pStyle w:val="BodyText1"/>
              <w:spacing w:after="240" w:line="240" w:lineRule="auto"/>
              <w:rPr>
                <w:rFonts w:ascii="Times New Roman" w:hAnsi="Times New Roman"/>
                <w:b/>
                <w:bCs/>
                <w:sz w:val="24"/>
                <w:szCs w:val="24"/>
              </w:rPr>
            </w:pPr>
            <w:r w:rsidRPr="00500637">
              <w:rPr>
                <w:rFonts w:ascii="Times New Roman" w:hAnsi="Times New Roman"/>
                <w:sz w:val="24"/>
              </w:rPr>
              <w:t>Die Institute geben in der der/den Art(en) des Sicherungsgebers entsprechenden Zeile „TRUE“ an, ansonsten „FALSE“.</w:t>
            </w:r>
          </w:p>
        </w:tc>
      </w:tr>
      <w:tr w:rsidR="00872B4A" w:rsidRPr="00500637" w14:paraId="7B661A02" w14:textId="77777777" w:rsidTr="000B66BC">
        <w:tc>
          <w:tcPr>
            <w:tcW w:w="1730" w:type="dxa"/>
          </w:tcPr>
          <w:p w14:paraId="184627A9" w14:textId="01E80B34" w:rsidR="00872B4A" w:rsidRPr="00500637" w:rsidRDefault="008551A7" w:rsidP="000B66BC">
            <w:pPr>
              <w:pStyle w:val="BodyText1"/>
              <w:spacing w:after="240"/>
              <w:rPr>
                <w:rFonts w:ascii="Times New Roman" w:hAnsi="Times New Roman"/>
                <w:bCs/>
                <w:sz w:val="24"/>
                <w:szCs w:val="24"/>
              </w:rPr>
            </w:pPr>
            <w:r w:rsidRPr="00500637">
              <w:rPr>
                <w:rFonts w:ascii="Times New Roman" w:hAnsi="Times New Roman"/>
                <w:sz w:val="24"/>
              </w:rPr>
              <w:lastRenderedPageBreak/>
              <w:t>{0080;0010}</w:t>
            </w:r>
          </w:p>
        </w:tc>
        <w:tc>
          <w:tcPr>
            <w:tcW w:w="7308" w:type="dxa"/>
          </w:tcPr>
          <w:p w14:paraId="763F7485" w14:textId="7D0968A1" w:rsidR="00B04A5F" w:rsidRPr="00500637" w:rsidRDefault="00B132DC"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Garantie des Zentralstaats für die öffentliche Entwicklungsbank/ die entsprechende Einheit</w:t>
            </w:r>
          </w:p>
        </w:tc>
      </w:tr>
      <w:tr w:rsidR="00B132DC" w:rsidRPr="00500637" w14:paraId="355B1E3D" w14:textId="77777777" w:rsidTr="000B66BC">
        <w:tc>
          <w:tcPr>
            <w:tcW w:w="1730" w:type="dxa"/>
          </w:tcPr>
          <w:p w14:paraId="1700BD22" w14:textId="1957DAF2" w:rsidR="00B132DC" w:rsidRPr="00500637" w:rsidRDefault="003A13D1" w:rsidP="000B66BC">
            <w:pPr>
              <w:pStyle w:val="BodyText1"/>
              <w:spacing w:after="240"/>
              <w:rPr>
                <w:rFonts w:ascii="Times New Roman" w:hAnsi="Times New Roman"/>
                <w:bCs/>
                <w:sz w:val="24"/>
                <w:szCs w:val="24"/>
              </w:rPr>
            </w:pPr>
            <w:r w:rsidRPr="00500637">
              <w:rPr>
                <w:rFonts w:ascii="Times New Roman" w:hAnsi="Times New Roman"/>
                <w:sz w:val="24"/>
              </w:rPr>
              <w:t>{0090;0010}</w:t>
            </w:r>
          </w:p>
        </w:tc>
        <w:tc>
          <w:tcPr>
            <w:tcW w:w="7308" w:type="dxa"/>
          </w:tcPr>
          <w:p w14:paraId="12648551" w14:textId="723AC193" w:rsidR="00B132DC" w:rsidRPr="00500637" w:rsidRDefault="000A5B0A"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Garantie einer regionalen Gebietskörperschaft für die öffentliche Entwicklungsbank/ die entsprechende Einheit</w:t>
            </w:r>
          </w:p>
        </w:tc>
      </w:tr>
      <w:tr w:rsidR="00B132DC" w:rsidRPr="00500637" w14:paraId="261210F5" w14:textId="77777777" w:rsidTr="000B66BC">
        <w:tc>
          <w:tcPr>
            <w:tcW w:w="1730" w:type="dxa"/>
          </w:tcPr>
          <w:p w14:paraId="03A3CB47" w14:textId="5C79DC97" w:rsidR="00B132DC" w:rsidRPr="00500637" w:rsidRDefault="003A13D1" w:rsidP="000B66BC">
            <w:pPr>
              <w:pStyle w:val="BodyText1"/>
              <w:spacing w:after="240"/>
              <w:rPr>
                <w:rFonts w:ascii="Times New Roman" w:hAnsi="Times New Roman"/>
                <w:bCs/>
                <w:sz w:val="24"/>
                <w:szCs w:val="24"/>
              </w:rPr>
            </w:pPr>
            <w:r w:rsidRPr="00500637">
              <w:rPr>
                <w:rFonts w:ascii="Times New Roman" w:hAnsi="Times New Roman"/>
                <w:sz w:val="24"/>
              </w:rPr>
              <w:t>{0100;0010}</w:t>
            </w:r>
          </w:p>
        </w:tc>
        <w:tc>
          <w:tcPr>
            <w:tcW w:w="7308" w:type="dxa"/>
          </w:tcPr>
          <w:p w14:paraId="3DBA105A" w14:textId="07763F33" w:rsidR="00B132DC" w:rsidRPr="00500637" w:rsidRDefault="004D70D0"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Garantie einer lokalen Behörde für die öffentliche Entwicklungsbank/ die entsprechende Einheit</w:t>
            </w:r>
          </w:p>
        </w:tc>
      </w:tr>
      <w:tr w:rsidR="003B054D" w:rsidRPr="00500637" w14:paraId="34258127" w14:textId="77777777" w:rsidTr="000B66BC">
        <w:tc>
          <w:tcPr>
            <w:tcW w:w="1730" w:type="dxa"/>
          </w:tcPr>
          <w:p w14:paraId="35F9E1F6" w14:textId="4B3A5235" w:rsidR="003B054D" w:rsidRPr="00500637" w:rsidRDefault="00F966CA" w:rsidP="000B66BC">
            <w:pPr>
              <w:pStyle w:val="BodyText1"/>
              <w:spacing w:after="240"/>
              <w:rPr>
                <w:rFonts w:ascii="Times New Roman" w:hAnsi="Times New Roman"/>
                <w:bCs/>
                <w:sz w:val="24"/>
                <w:szCs w:val="24"/>
              </w:rPr>
            </w:pPr>
            <w:r w:rsidRPr="00500637">
              <w:rPr>
                <w:rFonts w:ascii="Times New Roman" w:hAnsi="Times New Roman"/>
                <w:sz w:val="24"/>
              </w:rPr>
              <w:t>{0110;0010};</w:t>
            </w:r>
          </w:p>
          <w:p w14:paraId="4E5E6B84" w14:textId="41699235" w:rsidR="00F966CA" w:rsidRPr="00500637" w:rsidRDefault="00F966CA" w:rsidP="000B66BC">
            <w:pPr>
              <w:pStyle w:val="BodyText1"/>
              <w:spacing w:after="240"/>
              <w:rPr>
                <w:rFonts w:ascii="Times New Roman" w:hAnsi="Times New Roman"/>
                <w:bCs/>
                <w:sz w:val="24"/>
                <w:szCs w:val="24"/>
              </w:rPr>
            </w:pPr>
            <w:r w:rsidRPr="00500637">
              <w:rPr>
                <w:rFonts w:ascii="Times New Roman" w:hAnsi="Times New Roman"/>
                <w:sz w:val="24"/>
              </w:rPr>
              <w:t>{0120;0010};</w:t>
            </w:r>
          </w:p>
          <w:p w14:paraId="174F75EE" w14:textId="42C2EAF1" w:rsidR="00F966CA" w:rsidRPr="00500637" w:rsidRDefault="00F966CA" w:rsidP="000B66BC">
            <w:pPr>
              <w:pStyle w:val="BodyText1"/>
              <w:spacing w:after="240"/>
              <w:rPr>
                <w:rFonts w:ascii="Times New Roman" w:hAnsi="Times New Roman"/>
                <w:bCs/>
                <w:sz w:val="24"/>
                <w:szCs w:val="24"/>
              </w:rPr>
            </w:pPr>
            <w:r w:rsidRPr="00500637">
              <w:rPr>
                <w:rFonts w:ascii="Times New Roman" w:hAnsi="Times New Roman"/>
                <w:sz w:val="24"/>
              </w:rPr>
              <w:t>{0130;0010}</w:t>
            </w:r>
          </w:p>
        </w:tc>
        <w:tc>
          <w:tcPr>
            <w:tcW w:w="7308" w:type="dxa"/>
          </w:tcPr>
          <w:p w14:paraId="5E6BF02B" w14:textId="2863BEEC" w:rsidR="003B054D" w:rsidRPr="00500637" w:rsidRDefault="003B054D"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Art der gewährten Garantie gemäß Artikel 429a Absatz 2 Buchstabe d CRR</w:t>
            </w:r>
          </w:p>
          <w:p w14:paraId="6AD424FF" w14:textId="63E03310" w:rsidR="003B054D" w:rsidRPr="00500637" w:rsidRDefault="003B054D" w:rsidP="000B66BC">
            <w:pPr>
              <w:pStyle w:val="BodyText1"/>
              <w:spacing w:after="240" w:line="240" w:lineRule="auto"/>
              <w:rPr>
                <w:rFonts w:ascii="Times New Roman" w:hAnsi="Times New Roman"/>
                <w:b/>
                <w:bCs/>
                <w:sz w:val="24"/>
                <w:szCs w:val="24"/>
              </w:rPr>
            </w:pPr>
            <w:r w:rsidRPr="00500637">
              <w:rPr>
                <w:rFonts w:ascii="Times New Roman" w:hAnsi="Times New Roman"/>
                <w:sz w:val="24"/>
              </w:rPr>
              <w:t>Institute, bei denen es sich entweder um eine öffentliche Entwicklungsbank handelt oder die über eine öffentliche Entwicklungseinheit verfügen, melden die Art der ihnen gewährten Garantie.</w:t>
            </w:r>
          </w:p>
          <w:p w14:paraId="70381FB6" w14:textId="2B13E154" w:rsidR="003B054D" w:rsidRPr="00500637" w:rsidRDefault="003B054D" w:rsidP="000B66BC">
            <w:pPr>
              <w:pStyle w:val="BodyText1"/>
              <w:spacing w:after="240" w:line="240" w:lineRule="auto"/>
              <w:rPr>
                <w:rFonts w:ascii="Times New Roman" w:hAnsi="Times New Roman"/>
                <w:b/>
                <w:bCs/>
                <w:sz w:val="24"/>
                <w:szCs w:val="24"/>
              </w:rPr>
            </w:pPr>
            <w:r w:rsidRPr="00500637">
              <w:rPr>
                <w:rFonts w:ascii="Times New Roman" w:hAnsi="Times New Roman"/>
                <w:sz w:val="24"/>
              </w:rPr>
              <w:t>Die Institute geben in der der/den Art(en) der Sicherung entsprechenden Zeile „TRUE“ an, ansonsten „FALSE“.</w:t>
            </w:r>
          </w:p>
        </w:tc>
      </w:tr>
      <w:tr w:rsidR="004D70D0" w:rsidRPr="00500637" w14:paraId="049655D5" w14:textId="77777777" w:rsidTr="000B66BC">
        <w:tc>
          <w:tcPr>
            <w:tcW w:w="1730" w:type="dxa"/>
          </w:tcPr>
          <w:p w14:paraId="1DD88EB6" w14:textId="02D4AA7C" w:rsidR="004D70D0" w:rsidRPr="00500637" w:rsidRDefault="00F966CA" w:rsidP="000B66BC">
            <w:pPr>
              <w:pStyle w:val="BodyText1"/>
              <w:spacing w:after="240"/>
              <w:rPr>
                <w:rFonts w:ascii="Times New Roman" w:hAnsi="Times New Roman"/>
                <w:bCs/>
                <w:sz w:val="24"/>
                <w:szCs w:val="24"/>
              </w:rPr>
            </w:pPr>
            <w:r w:rsidRPr="00500637">
              <w:rPr>
                <w:rFonts w:ascii="Times New Roman" w:hAnsi="Times New Roman"/>
                <w:sz w:val="24"/>
              </w:rPr>
              <w:t>{0110;0010}</w:t>
            </w:r>
          </w:p>
        </w:tc>
        <w:tc>
          <w:tcPr>
            <w:tcW w:w="7308" w:type="dxa"/>
          </w:tcPr>
          <w:p w14:paraId="29D5A7E2" w14:textId="34B8184D" w:rsidR="004D70D0" w:rsidRPr="00500637" w:rsidRDefault="004D70D0"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Verpflichtung zur Sicherung der Existenzfähigkeit des Kreditinstituts</w:t>
            </w:r>
          </w:p>
        </w:tc>
      </w:tr>
      <w:tr w:rsidR="004D70D0" w:rsidRPr="00500637" w14:paraId="4796D2E1" w14:textId="77777777" w:rsidTr="000B66BC">
        <w:tc>
          <w:tcPr>
            <w:tcW w:w="1730" w:type="dxa"/>
          </w:tcPr>
          <w:p w14:paraId="16677FDC" w14:textId="37E0FCCD" w:rsidR="004D70D0" w:rsidRPr="00500637" w:rsidRDefault="00F966CA" w:rsidP="000B66BC">
            <w:pPr>
              <w:pStyle w:val="BodyText1"/>
              <w:spacing w:after="240"/>
              <w:rPr>
                <w:rFonts w:ascii="Times New Roman" w:hAnsi="Times New Roman"/>
                <w:bCs/>
                <w:sz w:val="24"/>
                <w:szCs w:val="24"/>
              </w:rPr>
            </w:pPr>
            <w:r w:rsidRPr="00500637">
              <w:rPr>
                <w:rFonts w:ascii="Times New Roman" w:hAnsi="Times New Roman"/>
                <w:sz w:val="24"/>
              </w:rPr>
              <w:t>{0120;0010}</w:t>
            </w:r>
          </w:p>
        </w:tc>
        <w:tc>
          <w:tcPr>
            <w:tcW w:w="7308" w:type="dxa"/>
          </w:tcPr>
          <w:p w14:paraId="01E19ED4" w14:textId="2C530F26" w:rsidR="00F966CA" w:rsidRPr="00500637" w:rsidRDefault="004D70D0"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Direkte Garantie der Eigenmittelanforderungen, Refinanzierungsanforderungen oder der gewährten Förderdarlehen des Kreditinstituts</w:t>
            </w:r>
          </w:p>
        </w:tc>
      </w:tr>
      <w:tr w:rsidR="004D70D0" w:rsidRPr="00500637" w14:paraId="5FD34A30" w14:textId="77777777" w:rsidTr="000B66BC">
        <w:tc>
          <w:tcPr>
            <w:tcW w:w="1730" w:type="dxa"/>
          </w:tcPr>
          <w:p w14:paraId="0024CD7F" w14:textId="224F79CB" w:rsidR="004D70D0" w:rsidRPr="00500637" w:rsidRDefault="00F966CA" w:rsidP="000B66BC">
            <w:pPr>
              <w:pStyle w:val="BodyText1"/>
              <w:spacing w:after="240"/>
              <w:rPr>
                <w:rFonts w:ascii="Times New Roman" w:hAnsi="Times New Roman"/>
                <w:bCs/>
                <w:sz w:val="24"/>
                <w:szCs w:val="24"/>
              </w:rPr>
            </w:pPr>
            <w:r w:rsidRPr="00500637">
              <w:rPr>
                <w:rFonts w:ascii="Times New Roman" w:hAnsi="Times New Roman"/>
                <w:sz w:val="24"/>
              </w:rPr>
              <w:t>{0130;0010}</w:t>
            </w:r>
          </w:p>
        </w:tc>
        <w:tc>
          <w:tcPr>
            <w:tcW w:w="7308" w:type="dxa"/>
          </w:tcPr>
          <w:p w14:paraId="6809ECEE" w14:textId="15891213" w:rsidR="002C169A" w:rsidRPr="00500637" w:rsidRDefault="004D70D0" w:rsidP="000B66BC">
            <w:pPr>
              <w:pStyle w:val="BodyText1"/>
              <w:spacing w:after="240" w:line="240" w:lineRule="auto"/>
              <w:rPr>
                <w:rFonts w:ascii="Times New Roman" w:hAnsi="Times New Roman"/>
                <w:b/>
                <w:bCs/>
                <w:sz w:val="24"/>
                <w:szCs w:val="24"/>
              </w:rPr>
            </w:pPr>
            <w:r w:rsidRPr="00500637">
              <w:rPr>
                <w:rFonts w:ascii="Times New Roman" w:hAnsi="Times New Roman"/>
                <w:b/>
                <w:sz w:val="24"/>
              </w:rPr>
              <w:t>Indirekte Garantie der Eigenmittelanforderungen, Refinanzierungsanforderungen oder der gewährten Förderdarlehen des Kreditinstituts</w:t>
            </w:r>
          </w:p>
        </w:tc>
      </w:tr>
    </w:tbl>
    <w:p w14:paraId="47D20A93" w14:textId="77777777" w:rsidR="00565261" w:rsidRPr="00500637" w:rsidRDefault="00565261" w:rsidP="000B66BC">
      <w:pPr>
        <w:pStyle w:val="BodyText1"/>
        <w:spacing w:after="240"/>
        <w:ind w:left="567"/>
        <w:rPr>
          <w:rFonts w:ascii="Times New Roman" w:hAnsi="Times New Roman"/>
          <w:sz w:val="24"/>
          <w:szCs w:val="24"/>
        </w:rPr>
      </w:pPr>
    </w:p>
    <w:p w14:paraId="0E59FFDF" w14:textId="35DCDD76" w:rsidR="00700DB7" w:rsidRPr="00500637" w:rsidRDefault="005F4574" w:rsidP="000B66BC">
      <w:pPr>
        <w:pStyle w:val="BodyText1"/>
        <w:spacing w:after="240"/>
        <w:ind w:left="357" w:hanging="357"/>
        <w:outlineLvl w:val="1"/>
        <w:rPr>
          <w:rFonts w:ascii="Times New Roman" w:hAnsi="Times New Roman"/>
          <w:b/>
          <w:sz w:val="24"/>
          <w:szCs w:val="24"/>
        </w:rPr>
      </w:pPr>
      <w:bookmarkStart w:id="78" w:name="_Toc188886285"/>
      <w:r w:rsidRPr="00500637">
        <w:rPr>
          <w:rFonts w:ascii="Times New Roman" w:hAnsi="Times New Roman"/>
          <w:b/>
          <w:sz w:val="24"/>
        </w:rPr>
        <w:t>7.</w:t>
      </w:r>
      <w:r w:rsidRPr="00500637">
        <w:tab/>
      </w:r>
      <w:r w:rsidRPr="00500637">
        <w:rPr>
          <w:rFonts w:ascii="Times New Roman" w:hAnsi="Times New Roman"/>
          <w:b/>
          <w:sz w:val="24"/>
        </w:rPr>
        <w:t>C 48.00 – Volatilität der Verschuldungsquote (LR6)</w:t>
      </w:r>
      <w:bookmarkEnd w:id="78"/>
    </w:p>
    <w:p w14:paraId="4D3787F1" w14:textId="2C3256EB" w:rsidR="00700DB7" w:rsidRPr="00500637" w:rsidRDefault="00143C6A" w:rsidP="000B66BC">
      <w:pPr>
        <w:pStyle w:val="BodyText1"/>
        <w:spacing w:after="240" w:line="240" w:lineRule="auto"/>
        <w:ind w:left="720" w:hanging="360"/>
        <w:rPr>
          <w:rFonts w:ascii="Times New Roman" w:hAnsi="Times New Roman"/>
          <w:sz w:val="24"/>
          <w:szCs w:val="24"/>
        </w:rPr>
      </w:pPr>
      <w:r w:rsidRPr="00500637">
        <w:rPr>
          <w:rFonts w:ascii="Times New Roman" w:hAnsi="Times New Roman"/>
          <w:sz w:val="24"/>
        </w:rPr>
        <w:t>29.</w:t>
      </w:r>
      <w:r w:rsidRPr="00500637">
        <w:tab/>
      </w:r>
      <w:r w:rsidRPr="00500637">
        <w:rPr>
          <w:rFonts w:ascii="Times New Roman" w:hAnsi="Times New Roman"/>
          <w:sz w:val="24"/>
        </w:rPr>
        <w:t xml:space="preserve">Es werden Informationen gesammelt, um die Volatilität der Verschuldungsquote zu überwachen. Diese Informationen werden lediglich von großen Instituten ausgewiesen. </w:t>
      </w:r>
    </w:p>
    <w:p w14:paraId="16B16093" w14:textId="5ABFB2E9" w:rsidR="000472E7" w:rsidRPr="00500637" w:rsidRDefault="005F4574" w:rsidP="000B66BC">
      <w:pPr>
        <w:pStyle w:val="BodyText1"/>
        <w:spacing w:after="240"/>
        <w:ind w:left="357" w:hanging="357"/>
        <w:outlineLvl w:val="1"/>
        <w:rPr>
          <w:rFonts w:ascii="Times New Roman" w:hAnsi="Times New Roman"/>
          <w:b/>
          <w:sz w:val="24"/>
          <w:szCs w:val="24"/>
        </w:rPr>
      </w:pPr>
      <w:bookmarkStart w:id="79" w:name="_Toc188886286"/>
      <w:r w:rsidRPr="00500637">
        <w:rPr>
          <w:rFonts w:ascii="Times New Roman" w:hAnsi="Times New Roman"/>
          <w:b/>
          <w:sz w:val="24"/>
        </w:rPr>
        <w:t>8.</w:t>
      </w:r>
      <w:r w:rsidRPr="00500637">
        <w:tab/>
      </w:r>
      <w:r w:rsidRPr="00500637">
        <w:rPr>
          <w:rFonts w:ascii="Times New Roman" w:hAnsi="Times New Roman"/>
          <w:b/>
          <w:sz w:val="24"/>
        </w:rPr>
        <w:t>C 48.01 – Volatilität der Verschuldungsquote: Mittelwert für den Berichtszeitraum</w:t>
      </w:r>
      <w:bookmarkEnd w:id="79"/>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500637"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500637" w:rsidRDefault="001D7541" w:rsidP="000B66BC">
            <w:pPr>
              <w:pStyle w:val="BodyText1"/>
              <w:spacing w:after="240"/>
              <w:rPr>
                <w:rFonts w:ascii="Times New Roman" w:hAnsi="Times New Roman"/>
                <w:b/>
                <w:bCs/>
                <w:sz w:val="24"/>
                <w:szCs w:val="24"/>
              </w:rPr>
            </w:pPr>
            <w:r w:rsidRPr="00500637">
              <w:rPr>
                <w:rFonts w:ascii="Times New Roman" w:hAnsi="Times New Roman"/>
                <w:b/>
                <w:sz w:val="24"/>
              </w:rPr>
              <w:t xml:space="preserve">Zeile und Spalte </w:t>
            </w:r>
          </w:p>
          <w:p w14:paraId="188CF35D" w14:textId="77777777" w:rsidR="001D7541" w:rsidRPr="00500637" w:rsidRDefault="001D7541" w:rsidP="000B66BC">
            <w:pPr>
              <w:pStyle w:val="BodyText1"/>
              <w:spacing w:after="240"/>
              <w:rPr>
                <w:rFonts w:ascii="Times New Roman" w:hAnsi="Times New Roman"/>
                <w:bCs/>
                <w:sz w:val="24"/>
                <w:szCs w:val="24"/>
              </w:rPr>
            </w:pP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500637" w:rsidRDefault="00697380" w:rsidP="000B66BC">
            <w:pPr>
              <w:pStyle w:val="BodyText1"/>
              <w:spacing w:after="240" w:line="240" w:lineRule="auto"/>
              <w:rPr>
                <w:rFonts w:ascii="Times New Roman" w:hAnsi="Times New Roman"/>
                <w:b/>
                <w:color w:val="auto"/>
                <w:sz w:val="24"/>
                <w:szCs w:val="24"/>
              </w:rPr>
            </w:pPr>
            <w:r w:rsidRPr="00500637">
              <w:rPr>
                <w:rFonts w:ascii="Times New Roman" w:hAnsi="Times New Roman"/>
                <w:b/>
                <w:sz w:val="24"/>
              </w:rPr>
              <w:t>Erläuterungen</w:t>
            </w:r>
          </w:p>
        </w:tc>
      </w:tr>
      <w:tr w:rsidR="001D7541" w:rsidRPr="00500637"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500637" w:rsidRDefault="001D7541" w:rsidP="000B66BC">
            <w:pPr>
              <w:pStyle w:val="BodyText1"/>
              <w:spacing w:after="240"/>
              <w:rPr>
                <w:rFonts w:ascii="Times New Roman" w:hAnsi="Times New Roman"/>
                <w:bCs/>
                <w:sz w:val="24"/>
                <w:szCs w:val="24"/>
              </w:rPr>
            </w:pPr>
            <w:r w:rsidRPr="00500637">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500637" w:rsidRDefault="001D7541"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Mittelwert für den Berichtszeitraum – SFTs: Risikopositionswert</w:t>
            </w:r>
          </w:p>
          <w:p w14:paraId="27CD001D" w14:textId="4B020038" w:rsidR="001D7541" w:rsidRPr="00500637" w:rsidRDefault="005E0E4A" w:rsidP="000B66BC">
            <w:pPr>
              <w:pStyle w:val="BodyText1"/>
              <w:spacing w:after="240" w:line="240" w:lineRule="auto"/>
              <w:rPr>
                <w:rFonts w:ascii="Times New Roman" w:hAnsi="Times New Roman"/>
                <w:color w:val="auto"/>
                <w:sz w:val="24"/>
                <w:szCs w:val="24"/>
                <w:u w:val="single"/>
              </w:rPr>
            </w:pPr>
            <w:r w:rsidRPr="00500637">
              <w:rPr>
                <w:rFonts w:ascii="Times New Roman" w:hAnsi="Times New Roman"/>
                <w:color w:val="auto"/>
                <w:sz w:val="24"/>
              </w:rPr>
              <w:t xml:space="preserve">Die Institute melden für das Berichtsquartal das Mittel der täglichen Werte für den Risikopositionswert der SFT ohne den aus kundengeclearten </w:t>
            </w:r>
            <w:r w:rsidRPr="00500637">
              <w:rPr>
                <w:rFonts w:ascii="Times New Roman" w:hAnsi="Times New Roman"/>
                <w:color w:val="auto"/>
                <w:sz w:val="24"/>
              </w:rPr>
              <w:lastRenderedPageBreak/>
              <w:t>Handelsrisikopositionen ausgeschlossenen ZGP-Teil gemäß den Zeilen 0010 und 0050 von Meldebogen C 47.00.</w:t>
            </w:r>
          </w:p>
        </w:tc>
      </w:tr>
      <w:tr w:rsidR="001D7541" w:rsidRPr="00500637"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500637" w:rsidRDefault="001D7541" w:rsidP="000B66BC">
            <w:pPr>
              <w:pStyle w:val="BodyText1"/>
              <w:spacing w:after="240"/>
              <w:rPr>
                <w:rFonts w:ascii="Times New Roman" w:hAnsi="Times New Roman"/>
                <w:bCs/>
                <w:sz w:val="24"/>
                <w:szCs w:val="24"/>
              </w:rPr>
            </w:pPr>
            <w:r w:rsidRPr="00500637">
              <w:rPr>
                <w:rFonts w:ascii="Times New Roman" w:hAnsi="Times New Roman"/>
                <w:sz w:val="24"/>
              </w:rPr>
              <w:lastRenderedPageBreak/>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500637" w:rsidRDefault="001D7541"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 xml:space="preserve">Mittelwert für den Berichtszeitraum – Bereinigung um als Verkauf von SFTs verbuchte Geschäfte </w:t>
            </w:r>
          </w:p>
          <w:p w14:paraId="53B119C8" w14:textId="5C8C9F92" w:rsidR="001D7541" w:rsidRPr="00500637" w:rsidRDefault="005E0E4A" w:rsidP="000B66BC">
            <w:pPr>
              <w:pStyle w:val="BodyText1"/>
              <w:spacing w:after="240" w:line="240" w:lineRule="auto"/>
              <w:rPr>
                <w:rFonts w:ascii="Times New Roman" w:hAnsi="Times New Roman"/>
                <w:color w:val="auto"/>
                <w:sz w:val="24"/>
                <w:szCs w:val="24"/>
                <w:u w:val="single"/>
              </w:rPr>
            </w:pPr>
            <w:r w:rsidRPr="00500637">
              <w:rPr>
                <w:rFonts w:ascii="Times New Roman" w:hAnsi="Times New Roman"/>
                <w:sz w:val="24"/>
              </w:rPr>
              <w:t>Die Institute melden für das Berichtsquartal das Mittel der täglichen Werte für die Bereinigung um als Verkauf von SFTs verbuchte Geschäfte gemäß Zeile 0230 von Meldebogen C 47.00.</w:t>
            </w:r>
          </w:p>
        </w:tc>
      </w:tr>
    </w:tbl>
    <w:p w14:paraId="74866056" w14:textId="69DED7CA" w:rsidR="000472E7" w:rsidRPr="00500637" w:rsidRDefault="000472E7" w:rsidP="000B66BC">
      <w:pPr>
        <w:pStyle w:val="BodyText1"/>
        <w:spacing w:after="240"/>
        <w:ind w:left="567"/>
        <w:rPr>
          <w:rFonts w:ascii="Times New Roman" w:hAnsi="Times New Roman"/>
          <w:sz w:val="24"/>
          <w:szCs w:val="24"/>
        </w:rPr>
      </w:pPr>
    </w:p>
    <w:p w14:paraId="622AB7C1" w14:textId="0B8B7A60" w:rsidR="001D7541" w:rsidRPr="00500637" w:rsidRDefault="005F4574" w:rsidP="000B66BC">
      <w:pPr>
        <w:pStyle w:val="BodyText1"/>
        <w:spacing w:after="240"/>
        <w:ind w:left="357" w:hanging="357"/>
        <w:outlineLvl w:val="1"/>
        <w:rPr>
          <w:rFonts w:ascii="Times New Roman" w:hAnsi="Times New Roman"/>
          <w:b/>
          <w:sz w:val="24"/>
          <w:szCs w:val="24"/>
        </w:rPr>
      </w:pPr>
      <w:bookmarkStart w:id="80" w:name="_Toc188886287"/>
      <w:r w:rsidRPr="00500637">
        <w:rPr>
          <w:rFonts w:ascii="Times New Roman" w:hAnsi="Times New Roman"/>
          <w:b/>
          <w:sz w:val="24"/>
        </w:rPr>
        <w:t>9.</w:t>
      </w:r>
      <w:r w:rsidRPr="00500637">
        <w:tab/>
      </w:r>
      <w:r w:rsidRPr="00500637">
        <w:rPr>
          <w:rFonts w:ascii="Times New Roman" w:hAnsi="Times New Roman"/>
          <w:b/>
          <w:sz w:val="24"/>
        </w:rPr>
        <w:t>C 48.02 – Volatilität der Verschuldungsquote: tägliche Werte im Berichtszeitraum</w:t>
      </w:r>
      <w:bookmarkEnd w:id="80"/>
    </w:p>
    <w:p w14:paraId="1BD85257" w14:textId="38D419A9" w:rsidR="001D7541" w:rsidRPr="00500637" w:rsidRDefault="00FA475C" w:rsidP="000B66BC">
      <w:pPr>
        <w:pStyle w:val="BodyText1"/>
        <w:spacing w:after="240" w:line="240" w:lineRule="auto"/>
        <w:ind w:left="720" w:hanging="360"/>
        <w:rPr>
          <w:rFonts w:ascii="Times New Roman" w:hAnsi="Times New Roman"/>
          <w:sz w:val="24"/>
          <w:szCs w:val="24"/>
        </w:rPr>
      </w:pPr>
      <w:r w:rsidRPr="00500637">
        <w:rPr>
          <w:rFonts w:ascii="Times New Roman" w:hAnsi="Times New Roman"/>
          <w:sz w:val="24"/>
        </w:rPr>
        <w:t>30.</w:t>
      </w:r>
      <w:r w:rsidRPr="00500637">
        <w:tab/>
      </w:r>
      <w:r w:rsidRPr="00500637">
        <w:rPr>
          <w:rFonts w:ascii="Times New Roman" w:hAnsi="Times New Roman"/>
          <w:sz w:val="24"/>
        </w:rPr>
        <w:t xml:space="preserve">Es werden die Tageswerte über das Quartal ausgewiesen.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500637"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500637" w:rsidRDefault="001D7541" w:rsidP="000B66BC">
            <w:pPr>
              <w:pStyle w:val="BodyText1"/>
              <w:spacing w:after="240"/>
              <w:rPr>
                <w:rFonts w:ascii="Times New Roman" w:hAnsi="Times New Roman"/>
                <w:b/>
                <w:bCs/>
                <w:sz w:val="24"/>
                <w:szCs w:val="24"/>
              </w:rPr>
            </w:pPr>
            <w:r w:rsidRPr="00500637">
              <w:rPr>
                <w:rFonts w:ascii="Times New Roman" w:hAnsi="Times New Roman"/>
                <w:b/>
                <w:sz w:val="24"/>
              </w:rPr>
              <w:t xml:space="preserve">Zeile und Spalte </w:t>
            </w:r>
          </w:p>
          <w:p w14:paraId="4A69CF68" w14:textId="77777777" w:rsidR="001D7541" w:rsidRPr="00500637" w:rsidRDefault="001D7541" w:rsidP="000B66BC">
            <w:pPr>
              <w:pStyle w:val="BodyText1"/>
              <w:spacing w:after="240"/>
              <w:rPr>
                <w:rFonts w:ascii="Times New Roman" w:hAnsi="Times New Roman"/>
                <w:bCs/>
                <w:sz w:val="24"/>
                <w:szCs w:val="24"/>
              </w:rPr>
            </w:pP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500637" w:rsidRDefault="00697380" w:rsidP="000B66BC">
            <w:pPr>
              <w:pStyle w:val="BodyText1"/>
              <w:spacing w:after="240" w:line="240" w:lineRule="auto"/>
              <w:rPr>
                <w:rFonts w:ascii="Times New Roman" w:hAnsi="Times New Roman"/>
                <w:b/>
                <w:color w:val="auto"/>
                <w:sz w:val="24"/>
                <w:szCs w:val="24"/>
              </w:rPr>
            </w:pPr>
            <w:r w:rsidRPr="00500637">
              <w:rPr>
                <w:rFonts w:ascii="Times New Roman" w:hAnsi="Times New Roman"/>
                <w:b/>
                <w:sz w:val="24"/>
              </w:rPr>
              <w:t>Erläuterungen</w:t>
            </w:r>
          </w:p>
        </w:tc>
      </w:tr>
      <w:tr w:rsidR="001D7541" w:rsidRPr="00500637"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500637" w:rsidRDefault="001D7541" w:rsidP="000B66BC">
            <w:pPr>
              <w:pStyle w:val="BodyText1"/>
              <w:spacing w:after="240"/>
              <w:rPr>
                <w:rFonts w:ascii="Times New Roman" w:hAnsi="Times New Roman"/>
                <w:bCs/>
                <w:sz w:val="24"/>
                <w:szCs w:val="24"/>
              </w:rPr>
            </w:pPr>
            <w:r w:rsidRPr="00500637">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500637" w:rsidRDefault="001D7541"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Stichtag innerhalb des Berichtszeitraums</w:t>
            </w:r>
          </w:p>
          <w:p w14:paraId="11691437" w14:textId="6CB0BDCD" w:rsidR="001D7541" w:rsidRPr="00500637" w:rsidRDefault="005E0E4A" w:rsidP="000B66BC">
            <w:pPr>
              <w:pStyle w:val="BodyText1"/>
              <w:spacing w:after="240" w:line="240" w:lineRule="auto"/>
              <w:rPr>
                <w:rFonts w:ascii="Times New Roman" w:hAnsi="Times New Roman"/>
                <w:b/>
                <w:color w:val="auto"/>
                <w:sz w:val="24"/>
                <w:szCs w:val="24"/>
              </w:rPr>
            </w:pPr>
            <w:r w:rsidRPr="00500637">
              <w:rPr>
                <w:rFonts w:ascii="Times New Roman" w:hAnsi="Times New Roman"/>
                <w:color w:val="auto"/>
                <w:sz w:val="24"/>
              </w:rPr>
              <w:t>Die Institute melden das Datum, auf das sich der gemeldete Tageswert bezieht. Jeder Tag des Berichtsquartals wird ausgewiesen.</w:t>
            </w:r>
          </w:p>
        </w:tc>
      </w:tr>
      <w:tr w:rsidR="001D7541" w:rsidRPr="00500637"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500637" w:rsidRDefault="001D7541" w:rsidP="000B66BC">
            <w:pPr>
              <w:pStyle w:val="BodyText1"/>
              <w:spacing w:after="240"/>
              <w:rPr>
                <w:rFonts w:ascii="Times New Roman" w:hAnsi="Times New Roman"/>
                <w:bCs/>
                <w:color w:val="auto"/>
                <w:sz w:val="24"/>
                <w:szCs w:val="24"/>
              </w:rPr>
            </w:pPr>
            <w:r w:rsidRPr="00500637">
              <w:rPr>
                <w:rFonts w:ascii="Times New Roman" w:hAnsi="Times New Roman"/>
                <w:color w:val="auto"/>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500637" w:rsidRDefault="001D7541"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SFTs: Risikopositionswert</w:t>
            </w:r>
          </w:p>
          <w:p w14:paraId="56D707C5" w14:textId="5C4FBC5B" w:rsidR="001D7541" w:rsidRPr="00500637" w:rsidRDefault="005E0E4A" w:rsidP="000B66BC">
            <w:pPr>
              <w:pStyle w:val="BodyText1"/>
              <w:spacing w:after="240" w:line="240" w:lineRule="auto"/>
              <w:rPr>
                <w:rFonts w:ascii="Times New Roman" w:hAnsi="Times New Roman"/>
                <w:color w:val="auto"/>
                <w:sz w:val="24"/>
                <w:szCs w:val="24"/>
                <w:u w:val="single"/>
              </w:rPr>
            </w:pPr>
            <w:r w:rsidRPr="00500637">
              <w:rPr>
                <w:rFonts w:ascii="Times New Roman" w:hAnsi="Times New Roman"/>
                <w:color w:val="auto"/>
                <w:sz w:val="24"/>
              </w:rPr>
              <w:t>Die Institute melden für das Berichtsquartal die Tageswerte für den Risikopositionswert der SFTs ohne den aus kundengeclearten Handelsrisikopositionen ausgeschlossenen ZGP-Teil gemäß den Zeilen 0010 und 0050 von Meldebogen C 47.00.</w:t>
            </w:r>
          </w:p>
        </w:tc>
      </w:tr>
      <w:tr w:rsidR="001D7541" w:rsidRPr="00500637"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500637" w:rsidRDefault="001D7541" w:rsidP="000B66BC">
            <w:pPr>
              <w:pStyle w:val="BodyText1"/>
              <w:spacing w:after="240"/>
              <w:rPr>
                <w:rFonts w:ascii="Times New Roman" w:hAnsi="Times New Roman"/>
                <w:bCs/>
                <w:sz w:val="24"/>
                <w:szCs w:val="24"/>
              </w:rPr>
            </w:pPr>
            <w:r w:rsidRPr="00500637">
              <w:rPr>
                <w:rFonts w:ascii="Times New Roman" w:hAnsi="Times New Roman"/>
                <w:sz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500637" w:rsidRDefault="00640D9C" w:rsidP="000B66BC">
            <w:pPr>
              <w:pStyle w:val="BodyText1"/>
              <w:spacing w:after="240" w:line="240" w:lineRule="auto"/>
              <w:rPr>
                <w:rFonts w:ascii="Times New Roman" w:hAnsi="Times New Roman"/>
                <w:b/>
                <w:color w:val="auto"/>
                <w:sz w:val="24"/>
                <w:szCs w:val="24"/>
              </w:rPr>
            </w:pPr>
            <w:r w:rsidRPr="00500637">
              <w:rPr>
                <w:rFonts w:ascii="Times New Roman" w:hAnsi="Times New Roman"/>
                <w:b/>
                <w:color w:val="auto"/>
                <w:sz w:val="24"/>
              </w:rPr>
              <w:t>Bereinigung um als Verkauf von SFTs verbuchte Geschäfte</w:t>
            </w:r>
          </w:p>
          <w:p w14:paraId="757C080D" w14:textId="4E51B80D" w:rsidR="00926849" w:rsidRPr="00500637" w:rsidRDefault="005E0E4A" w:rsidP="000B66BC">
            <w:pPr>
              <w:pStyle w:val="BodyText1"/>
              <w:spacing w:after="240" w:line="240" w:lineRule="auto"/>
              <w:rPr>
                <w:rFonts w:ascii="Times New Roman" w:hAnsi="Times New Roman"/>
                <w:color w:val="auto"/>
                <w:sz w:val="24"/>
                <w:szCs w:val="24"/>
                <w:u w:val="single"/>
              </w:rPr>
            </w:pPr>
            <w:r w:rsidRPr="00500637">
              <w:rPr>
                <w:rFonts w:ascii="Times New Roman" w:hAnsi="Times New Roman"/>
                <w:sz w:val="24"/>
              </w:rPr>
              <w:t>Die Institute melden für das Berichtsquartal die Tageswerte für die Bereinigung um als Verkauf von SFTs verbuchte Geschäfte gemäß Zeile 0230 von Meldebogen C 47.00.</w:t>
            </w:r>
          </w:p>
        </w:tc>
      </w:tr>
    </w:tbl>
    <w:p w14:paraId="49B21AC1" w14:textId="77777777" w:rsidR="0009615C" w:rsidRPr="00500637" w:rsidRDefault="0009615C" w:rsidP="000B66BC">
      <w:pPr>
        <w:pStyle w:val="BodyText1"/>
        <w:spacing w:after="240"/>
        <w:rPr>
          <w:rFonts w:ascii="Times New Roman" w:hAnsi="Times New Roman"/>
          <w:sz w:val="24"/>
          <w:szCs w:val="24"/>
        </w:rPr>
      </w:pPr>
    </w:p>
    <w:sectPr w:rsidR="0009615C" w:rsidRPr="00500637" w:rsidSect="005315D3">
      <w:headerReference w:type="even" r:id="rId19"/>
      <w:headerReference w:type="default" r:id="rId20"/>
      <w:footerReference w:type="default" r:id="rId21"/>
      <w:headerReference w:type="first" r:id="rId22"/>
      <w:footerReference w:type="first" r:id="rId23"/>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E5774" w14:textId="77777777" w:rsidR="00246A51" w:rsidRDefault="00246A51">
      <w:r>
        <w:separator/>
      </w:r>
    </w:p>
  </w:endnote>
  <w:endnote w:type="continuationSeparator" w:id="0">
    <w:p w14:paraId="48B49365" w14:textId="77777777" w:rsidR="00246A51" w:rsidRDefault="00246A51">
      <w:r>
        <w:continuationSeparator/>
      </w:r>
    </w:p>
  </w:endnote>
  <w:endnote w:type="continuationNotice" w:id="1">
    <w:p w14:paraId="2F022A14" w14:textId="77777777" w:rsidR="00246A51" w:rsidRDefault="00246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320F5" w14:textId="77777777" w:rsidR="00500637" w:rsidRDefault="005006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160F" w14:textId="2B225E98" w:rsidR="000B66BC" w:rsidRPr="00A772B4" w:rsidRDefault="000B66BC">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2D971917"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8305317"/>
      <w:docPartObj>
        <w:docPartGallery w:val="Page Numbers (Bottom of Page)"/>
        <w:docPartUnique/>
      </w:docPartObj>
    </w:sdtPr>
    <w:sdtEndPr>
      <w:rPr>
        <w:noProof/>
      </w:rPr>
    </w:sdtEndPr>
    <w:sdtContent>
      <w:p w14:paraId="5677655A" w14:textId="0638364B" w:rsidR="000B66BC" w:rsidRDefault="000B66BC">
        <w:pPr>
          <w:pStyle w:val="Footer"/>
          <w:jc w:val="center"/>
        </w:pPr>
        <w:r>
          <w:fldChar w:fldCharType="begin"/>
        </w:r>
        <w:r>
          <w:instrText xml:space="preserve"> PAGE   \* MERGEFORMAT </w:instrText>
        </w:r>
        <w:r>
          <w:fldChar w:fldCharType="separate"/>
        </w:r>
        <w:r>
          <w:t>1</w:t>
        </w:r>
        <w:r>
          <w:fldChar w:fldCharType="end"/>
        </w:r>
      </w:p>
    </w:sdtContent>
  </w:sdt>
  <w:p w14:paraId="3D7804EA" w14:textId="77777777" w:rsidR="000B66BC" w:rsidRDefault="000B66B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rPr>
      <w:id w:val="17201704"/>
      <w:docPartObj>
        <w:docPartGallery w:val="Page Numbers (Bottom of Page)"/>
        <w:docPartUnique/>
      </w:docPartObj>
    </w:sdtPr>
    <w:sdtEndPr/>
    <w:sdtContent>
      <w:p w14:paraId="3FFD22B5" w14:textId="039A8FD3" w:rsidR="000B66BC" w:rsidRPr="009A78F0" w:rsidRDefault="000B66BC" w:rsidP="009A78F0">
        <w:pPr>
          <w:pStyle w:val="Footer"/>
          <w:spacing w:line="240" w:lineRule="auto"/>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3</w:t>
        </w:r>
        <w:r>
          <w:rPr>
            <w:rFonts w:ascii="Times New Roman" w:hAnsi="Times New Roman"/>
            <w:sz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C18F3" w14:textId="77777777" w:rsidR="00246A51" w:rsidRPr="004D223F" w:rsidRDefault="00246A51" w:rsidP="00C7701D">
      <w:r>
        <w:continuationSeparator/>
      </w:r>
    </w:p>
  </w:footnote>
  <w:footnote w:type="continuationSeparator" w:id="0">
    <w:p w14:paraId="668A8285" w14:textId="77777777" w:rsidR="00246A51" w:rsidRDefault="00246A51">
      <w:r>
        <w:continuationSeparator/>
      </w:r>
    </w:p>
  </w:footnote>
  <w:footnote w:type="continuationNotice" w:id="1">
    <w:p w14:paraId="191D2AE9" w14:textId="77777777" w:rsidR="00246A51" w:rsidRDefault="00246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359B9" w14:textId="4F64E569" w:rsidR="000B66BC" w:rsidRDefault="001F5E87">
    <w:pPr>
      <w:pStyle w:val="Header"/>
    </w:pPr>
    <w:r>
      <w:rPr>
        <w:noProof/>
      </w:rPr>
      <mc:AlternateContent>
        <mc:Choice Requires="wps">
          <w:drawing>
            <wp:anchor distT="0" distB="0" distL="0" distR="0" simplePos="0" relativeHeight="251658242" behindDoc="0" locked="0" layoutInCell="1" allowOverlap="1" wp14:anchorId="6CC1CACD" wp14:editId="1936BD4F">
              <wp:simplePos x="635" y="635"/>
              <wp:positionH relativeFrom="page">
                <wp:align>left</wp:align>
              </wp:positionH>
              <wp:positionV relativeFrom="page">
                <wp:align>top</wp:align>
              </wp:positionV>
              <wp:extent cx="443865" cy="443865"/>
              <wp:effectExtent l="0" t="0" r="3175" b="4445"/>
              <wp:wrapNone/>
              <wp:docPr id="489624914" name="Text Box 489624914"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CC1CACD" id="_x0000_t202" coordsize="21600,21600" o:spt="202" path="m,l,21600r21600,l21600,xe">
              <v:stroke joinstyle="miter"/>
              <v:path gradientshapeok="t" o:connecttype="rect"/>
            </v:shapetype>
            <v:shape id="Text Box 489624914" o:spid="_x0000_s1026" type="#_x0000_t202" alt="EBA Reguläre Verwendung"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EBA Reguläre Verwendung</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71AD" w14:textId="5352D09C" w:rsidR="000B66BC" w:rsidRPr="00B93D0F" w:rsidRDefault="001F5E87" w:rsidP="00B93D0F">
    <w:pPr>
      <w:pStyle w:val="Header"/>
    </w:pPr>
    <w:r>
      <w:rPr>
        <w:noProof/>
      </w:rPr>
      <mc:AlternateContent>
        <mc:Choice Requires="wps">
          <w:drawing>
            <wp:anchor distT="0" distB="0" distL="0" distR="0" simplePos="0" relativeHeight="251658243" behindDoc="0" locked="0" layoutInCell="1" allowOverlap="1" wp14:anchorId="2B19CDBC" wp14:editId="0EA62CA6">
              <wp:simplePos x="635" y="635"/>
              <wp:positionH relativeFrom="page">
                <wp:align>left</wp:align>
              </wp:positionH>
              <wp:positionV relativeFrom="page">
                <wp:align>top</wp:align>
              </wp:positionV>
              <wp:extent cx="443865" cy="443865"/>
              <wp:effectExtent l="0" t="0" r="3175" b="4445"/>
              <wp:wrapNone/>
              <wp:docPr id="499333934" name="Text Box 499333934"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19CDBC" id="_x0000_t202" coordsize="21600,21600" o:spt="202" path="m,l,21600r21600,l21600,xe">
              <v:stroke joinstyle="miter"/>
              <v:path gradientshapeok="t" o:connecttype="rect"/>
            </v:shapetype>
            <v:shape id="Text Box 499333934" o:spid="_x0000_s1027" type="#_x0000_t202" alt="EBA Reguläre Verwendung" style="position:absolute;left:0;text-align:left;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EBA Reguläre Verwendung</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2A18" w14:textId="244788FF" w:rsidR="000B66BC" w:rsidRPr="000B66BC" w:rsidRDefault="001F5E87" w:rsidP="000B66BC">
    <w:pPr>
      <w:pStyle w:val="Header"/>
    </w:pPr>
    <w:r>
      <w:rPr>
        <w:noProof/>
      </w:rPr>
      <mc:AlternateContent>
        <mc:Choice Requires="wps">
          <w:drawing>
            <wp:anchor distT="0" distB="0" distL="0" distR="0" simplePos="0" relativeHeight="251658241" behindDoc="0" locked="0" layoutInCell="1" allowOverlap="1" wp14:anchorId="675F660B" wp14:editId="78920B4E">
              <wp:simplePos x="635" y="635"/>
              <wp:positionH relativeFrom="page">
                <wp:align>left</wp:align>
              </wp:positionH>
              <wp:positionV relativeFrom="page">
                <wp:align>top</wp:align>
              </wp:positionV>
              <wp:extent cx="443865" cy="443865"/>
              <wp:effectExtent l="0" t="0" r="3175" b="4445"/>
              <wp:wrapNone/>
              <wp:docPr id="1102765287" name="Text Box 1102765287"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F41FAE" w14:textId="77777777" w:rsidR="00500637" w:rsidRPr="001F5E87" w:rsidRDefault="00500637" w:rsidP="00500637">
                          <w:pPr>
                            <w:rPr>
                              <w:rFonts w:ascii="Calibri" w:eastAsia="Calibri" w:hAnsi="Calibri" w:cs="Calibri"/>
                              <w:noProof/>
                              <w:sz w:val="24"/>
                              <w:szCs w:val="24"/>
                            </w:rPr>
                          </w:pPr>
                          <w:r w:rsidRPr="001F5E87">
                            <w:rPr>
                              <w:rFonts w:ascii="Calibri" w:eastAsia="Calibri" w:hAnsi="Calibri" w:cs="Calibri"/>
                              <w:noProof/>
                              <w:sz w:val="24"/>
                              <w:szCs w:val="24"/>
                            </w:rPr>
                            <w:t>EBA Regular Use</w:t>
                          </w:r>
                        </w:p>
                        <w:p w14:paraId="4A62D41A" w14:textId="009443A7" w:rsidR="001F5E87" w:rsidRPr="001F5E87" w:rsidRDefault="001F5E87" w:rsidP="001F5E87">
                          <w:pPr>
                            <w:rPr>
                              <w:rFonts w:ascii="Calibri" w:eastAsia="Calibri" w:hAnsi="Calibri" w:cs="Calibri"/>
                              <w:noProof/>
                              <w:sz w:val="24"/>
                              <w:szCs w:val="24"/>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75F660B" id="_x0000_t202" coordsize="21600,21600" o:spt="202" path="m,l,21600r21600,l21600,xe">
              <v:stroke joinstyle="miter"/>
              <v:path gradientshapeok="t" o:connecttype="rect"/>
            </v:shapetype>
            <v:shape id="Text Box 1102765287" o:spid="_x0000_s1028" type="#_x0000_t202" alt="EBA Reguläre Verwendung"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52F41FAE" w14:textId="77777777" w:rsidR="00500637" w:rsidRPr="001F5E87" w:rsidRDefault="00500637" w:rsidP="00500637">
                    <w:pPr>
                      <w:rPr>
                        <w:rFonts w:ascii="Calibri" w:eastAsia="Calibri" w:hAnsi="Calibri" w:cs="Calibri"/>
                        <w:noProof/>
                        <w:sz w:val="24"/>
                        <w:szCs w:val="24"/>
                      </w:rPr>
                    </w:pPr>
                    <w:r w:rsidRPr="001F5E87">
                      <w:rPr>
                        <w:rFonts w:ascii="Calibri" w:eastAsia="Calibri" w:hAnsi="Calibri" w:cs="Calibri"/>
                        <w:noProof/>
                        <w:sz w:val="24"/>
                        <w:szCs w:val="24"/>
                      </w:rPr>
                      <w:t>EBA Regular Use</w:t>
                    </w:r>
                  </w:p>
                  <w:p w14:paraId="4A62D41A" w14:textId="009443A7" w:rsidR="001F5E87" w:rsidRPr="001F5E87" w:rsidRDefault="001F5E87" w:rsidP="001F5E87">
                    <w:pPr>
                      <w:rPr>
                        <w:rFonts w:ascii="Calibri" w:eastAsia="Calibri" w:hAnsi="Calibri" w:cs="Calibri"/>
                        <w:noProof/>
                        <w:sz w:val="24"/>
                        <w:szCs w:val="24"/>
                      </w:rPr>
                    </w:pP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0DCE" w14:textId="0A918D55" w:rsidR="001F5E87" w:rsidRDefault="001F5E87">
    <w:pPr>
      <w:pStyle w:val="Header"/>
    </w:pPr>
    <w:r>
      <w:rPr>
        <w:noProof/>
      </w:rPr>
      <mc:AlternateContent>
        <mc:Choice Requires="wps">
          <w:drawing>
            <wp:anchor distT="0" distB="0" distL="0" distR="0" simplePos="0" relativeHeight="251658245" behindDoc="0" locked="0" layoutInCell="1" allowOverlap="1" wp14:anchorId="0CE7BC3D" wp14:editId="42490FE9">
              <wp:simplePos x="635" y="635"/>
              <wp:positionH relativeFrom="page">
                <wp:align>left</wp:align>
              </wp:positionH>
              <wp:positionV relativeFrom="page">
                <wp:align>top</wp:align>
              </wp:positionV>
              <wp:extent cx="443865" cy="443865"/>
              <wp:effectExtent l="0" t="0" r="3175" b="4445"/>
              <wp:wrapNone/>
              <wp:docPr id="1344682523" name="Text Box 1344682523"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E7BC3D" id="_x0000_t202" coordsize="21600,21600" o:spt="202" path="m,l,21600r21600,l21600,xe">
              <v:stroke joinstyle="miter"/>
              <v:path gradientshapeok="t" o:connecttype="rect"/>
            </v:shapetype>
            <v:shape id="Text Box 1344682523" o:spid="_x0000_s1029" type="#_x0000_t202" alt="EBA Reguläre Verwendung" style="position:absolute;left:0;text-align:left;margin-left:0;margin-top:0;width:34.95pt;height:34.95pt;z-index:251658245;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APD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zBbzPI8CS970c76InkseGvvRMEf9AKjFKT4L&#10;y5MZ64IaTelAv6Gm1/E2TDHD8c6ShtF8CL188U1wsV6nItSSZWFrdpbH1hGzCOhr98acHVAPSNcT&#10;jJJixTvw+9r4p7frY0AKEjMR3x7NAXbUYeJ2eDNR6L/6qer6slc/A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BI6APDDwIAACEE&#10;AAAOAAAAAAAAAAAAAAAAAC4CAABkcnMvZTJvRG9jLnhtbFBLAQItABQABgAIAAAAIQBzm59s2QAA&#10;AAMBAAAPAAAAAAAAAAAAAAAAAGkEAABkcnMvZG93bnJldi54bWxQSwUGAAAAAAQABADzAAAAbwUA&#10;AAAA&#10;" filled="f" stroked="f">
              <v:textbox style="mso-fit-shape-to-text:t" inset="20pt,15pt,0,0">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EBA Reguläre Verwendung</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0FDF" w14:textId="1BA26D02" w:rsidR="001F5E87" w:rsidRDefault="001F5E87">
    <w:pPr>
      <w:pStyle w:val="Header"/>
    </w:pPr>
    <w:r>
      <w:rPr>
        <w:noProof/>
      </w:rPr>
      <mc:AlternateContent>
        <mc:Choice Requires="wps">
          <w:drawing>
            <wp:anchor distT="0" distB="0" distL="0" distR="0" simplePos="0" relativeHeight="251658246" behindDoc="0" locked="0" layoutInCell="1" allowOverlap="1" wp14:anchorId="413C97DB" wp14:editId="73722359">
              <wp:simplePos x="635" y="635"/>
              <wp:positionH relativeFrom="page">
                <wp:align>left</wp:align>
              </wp:positionH>
              <wp:positionV relativeFrom="page">
                <wp:align>top</wp:align>
              </wp:positionV>
              <wp:extent cx="443865" cy="443865"/>
              <wp:effectExtent l="0" t="0" r="3175" b="4445"/>
              <wp:wrapNone/>
              <wp:docPr id="926357965" name="Text Box 926357965"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85B83CB" w14:textId="77777777" w:rsidR="00500637" w:rsidRPr="001F5E87" w:rsidRDefault="00500637" w:rsidP="00500637">
                          <w:pPr>
                            <w:rPr>
                              <w:rFonts w:ascii="Calibri" w:eastAsia="Calibri" w:hAnsi="Calibri" w:cs="Calibri"/>
                              <w:noProof/>
                              <w:sz w:val="24"/>
                              <w:szCs w:val="24"/>
                            </w:rPr>
                          </w:pPr>
                          <w:r w:rsidRPr="001F5E87">
                            <w:rPr>
                              <w:rFonts w:ascii="Calibri" w:eastAsia="Calibri" w:hAnsi="Calibri" w:cs="Calibri"/>
                              <w:noProof/>
                              <w:sz w:val="24"/>
                              <w:szCs w:val="24"/>
                            </w:rPr>
                            <w:t>EBA Regular Use</w:t>
                          </w:r>
                        </w:p>
                        <w:p w14:paraId="6E8B35F7" w14:textId="00181EA0" w:rsidR="001F5E87" w:rsidRPr="001F5E87" w:rsidRDefault="001F5E87" w:rsidP="001F5E87">
                          <w:pPr>
                            <w:rPr>
                              <w:rFonts w:ascii="Calibri" w:eastAsia="Calibri" w:hAnsi="Calibri" w:cs="Calibri"/>
                              <w:noProof/>
                              <w:sz w:val="24"/>
                              <w:szCs w:val="24"/>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3C97DB" id="_x0000_t202" coordsize="21600,21600" o:spt="202" path="m,l,21600r21600,l21600,xe">
              <v:stroke joinstyle="miter"/>
              <v:path gradientshapeok="t" o:connecttype="rect"/>
            </v:shapetype>
            <v:shape id="Text Box 926357965" o:spid="_x0000_s1030" type="#_x0000_t202" alt="EBA Reguläre Verwendung" style="position:absolute;left:0;text-align:left;margin-left:0;margin-top:0;width:34.95pt;height:34.95pt;z-index:25165824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X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2WKe51Fg6Ta9yxfx5tINjf1omKN+ANTiFJ+F&#10;5cmMeUGNpnSg31DT69gNQ8xw7FnSMJoPoZcvvgku1uuUhFqyLGzNzvJYOmIWAX3t3pizA+oB6XqC&#10;UVKseAd+nxv/9HZ9DEhBYibi26M5wI46TNwObyYK/dd7yrq+7NVP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aS2XODwIAACEE&#10;AAAOAAAAAAAAAAAAAAAAAC4CAABkcnMvZTJvRG9jLnhtbFBLAQItABQABgAIAAAAIQBzm59s2QAA&#10;AAMBAAAPAAAAAAAAAAAAAAAAAGkEAABkcnMvZG93bnJldi54bWxQSwUGAAAAAAQABADzAAAAbwUA&#10;AAAA&#10;" filled="f" stroked="f">
              <v:textbox style="mso-fit-shape-to-text:t" inset="20pt,15pt,0,0">
                <w:txbxContent>
                  <w:p w14:paraId="385B83CB" w14:textId="77777777" w:rsidR="00500637" w:rsidRPr="001F5E87" w:rsidRDefault="00500637" w:rsidP="00500637">
                    <w:pPr>
                      <w:rPr>
                        <w:rFonts w:ascii="Calibri" w:eastAsia="Calibri" w:hAnsi="Calibri" w:cs="Calibri"/>
                        <w:noProof/>
                        <w:sz w:val="24"/>
                        <w:szCs w:val="24"/>
                      </w:rPr>
                    </w:pPr>
                    <w:r w:rsidRPr="001F5E87">
                      <w:rPr>
                        <w:rFonts w:ascii="Calibri" w:eastAsia="Calibri" w:hAnsi="Calibri" w:cs="Calibri"/>
                        <w:noProof/>
                        <w:sz w:val="24"/>
                        <w:szCs w:val="24"/>
                      </w:rPr>
                      <w:t>EBA Regular Use</w:t>
                    </w:r>
                  </w:p>
                  <w:p w14:paraId="6E8B35F7" w14:textId="00181EA0" w:rsidR="001F5E87" w:rsidRPr="001F5E87" w:rsidRDefault="001F5E87" w:rsidP="001F5E87">
                    <w:pPr>
                      <w:rPr>
                        <w:rFonts w:ascii="Calibri" w:eastAsia="Calibri" w:hAnsi="Calibri" w:cs="Calibri"/>
                        <w:noProof/>
                        <w:sz w:val="24"/>
                        <w:szCs w:val="24"/>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18FA" w14:textId="0DC306E7" w:rsidR="000B66BC" w:rsidRDefault="001F5E87">
    <w:pPr>
      <w:pStyle w:val="Header"/>
      <w:tabs>
        <w:tab w:val="clear" w:pos="8306"/>
        <w:tab w:val="right" w:pos="9072"/>
      </w:tabs>
      <w:jc w:val="right"/>
      <w:rPr>
        <w:noProof/>
      </w:rPr>
    </w:pPr>
    <w:r>
      <w:rPr>
        <w:noProof/>
      </w:rPr>
      <mc:AlternateContent>
        <mc:Choice Requires="wps">
          <w:drawing>
            <wp:anchor distT="0" distB="0" distL="0" distR="0" simplePos="0" relativeHeight="251658244" behindDoc="0" locked="0" layoutInCell="1" allowOverlap="1" wp14:anchorId="0DEC7D00" wp14:editId="002029F1">
              <wp:simplePos x="635" y="635"/>
              <wp:positionH relativeFrom="page">
                <wp:align>left</wp:align>
              </wp:positionH>
              <wp:positionV relativeFrom="page">
                <wp:align>top</wp:align>
              </wp:positionV>
              <wp:extent cx="443865" cy="443865"/>
              <wp:effectExtent l="0" t="0" r="3175" b="4445"/>
              <wp:wrapNone/>
              <wp:docPr id="284483510" name="Text Box 284483510" descr="EBA Reguläre Verwendu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EBA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DEC7D00" id="_x0000_t202" coordsize="21600,21600" o:spt="202" path="m,l,21600r21600,l21600,xe">
              <v:stroke joinstyle="miter"/>
              <v:path gradientshapeok="t" o:connecttype="rect"/>
            </v:shapetype>
            <v:shape id="Text Box 284483510" o:spid="_x0000_s1031" type="#_x0000_t202" alt="EBA Reguläre Verwendung" style="position:absolute;left:0;text-align:left;margin-left:0;margin-top:0;width:34.95pt;height:34.95pt;z-index:25165824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RG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DqxORGDwIAACEE&#10;AAAOAAAAAAAAAAAAAAAAAC4CAABkcnMvZTJvRG9jLnhtbFBLAQItABQABgAIAAAAIQBzm59s2QAA&#10;AAMBAAAPAAAAAAAAAAAAAAAAAGkEAABkcnMvZG93bnJldi54bWxQSwUGAAAAAAQABADzAAAAbwUA&#10;AAAA&#10;" filled="f" stroked="f">
              <v:textbox style="mso-fit-shape-to-text:t" inset="20pt,15pt,0,0">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EBA Reguläre Verwendung</w:t>
                    </w:r>
                  </w:p>
                </w:txbxContent>
              </v:textbox>
              <w10:wrap anchorx="page" anchory="page"/>
            </v:shape>
          </w:pict>
        </mc:Fallback>
      </mc:AlternateContent>
    </w:r>
    <w:r>
      <w:rPr>
        <w:noProof/>
      </w:rPr>
      <mc:AlternateContent>
        <mc:Choice Requires="wps">
          <w:drawing>
            <wp:anchor distT="4294967294" distB="4294967294" distL="114300" distR="114300" simplePos="0" relativeHeight="251658240"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7861747" id="_x0000_t32" coordsize="21600,21600" o:spt="32" o:oned="t" path="m,l21600,21600e" filled="f">
              <v:path arrowok="t" fillok="f" o:connecttype="none"/>
              <o:lock v:ext="edit" shapetype="t"/>
            </v:shapetype>
            <v:shape id="Straight Arrow Connector 1" o:spid="_x0000_s1026" type="#_x0000_t32" style="position:absolute;margin-left:70.6pt;margin-top:42.7pt;width:453.55pt;height:0;flip:x;z-index:-25165824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A6C0B6B"/>
    <w:multiLevelType w:val="hybridMultilevel"/>
    <w:tmpl w:val="23829CCA"/>
    <w:lvl w:ilvl="0" w:tplc="4E5EFB9E">
      <w:start w:val="1"/>
      <w:numFmt w:val="lowerRoman"/>
      <w:lvlText w:val="%1)"/>
      <w:lvlJc w:val="left"/>
      <w:pPr>
        <w:ind w:left="1080" w:hanging="72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0D2D3B72"/>
    <w:multiLevelType w:val="hybridMultilevel"/>
    <w:tmpl w:val="E84C493E"/>
    <w:lvl w:ilvl="0" w:tplc="4E5EFB9E">
      <w:start w:val="1"/>
      <w:numFmt w:val="lowerRoman"/>
      <w:lvlText w:val="%1)"/>
      <w:lvlJc w:val="left"/>
      <w:pPr>
        <w:ind w:left="1080" w:hanging="720"/>
      </w:pPr>
      <w:rPr>
        <w:rFonts w:hint="default"/>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0" w15:restartNumberingAfterBreak="0">
    <w:nsid w:val="22A12874"/>
    <w:multiLevelType w:val="hybridMultilevel"/>
    <w:tmpl w:val="53E4CA64"/>
    <w:lvl w:ilvl="0" w:tplc="4E5EFB9E">
      <w:start w:val="1"/>
      <w:numFmt w:val="lowerRoman"/>
      <w:lvlText w:val="%1)"/>
      <w:lvlJc w:val="left"/>
      <w:pPr>
        <w:ind w:left="1080" w:hanging="720"/>
      </w:pPr>
      <w:rPr>
        <w:rFonts w:hint="default"/>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252D57F8"/>
    <w:multiLevelType w:val="hybridMultilevel"/>
    <w:tmpl w:val="D5B28AE6"/>
    <w:lvl w:ilvl="0" w:tplc="4E5EFB9E">
      <w:start w:val="1"/>
      <w:numFmt w:val="lowerRoman"/>
      <w:lvlText w:val="%1)"/>
      <w:lvlJc w:val="left"/>
      <w:pPr>
        <w:ind w:left="1080" w:hanging="72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29A551CD"/>
    <w:multiLevelType w:val="hybridMultilevel"/>
    <w:tmpl w:val="DBC6D118"/>
    <w:lvl w:ilvl="0" w:tplc="4E5EFB9E">
      <w:start w:val="1"/>
      <w:numFmt w:val="lowerRoman"/>
      <w:lvlText w:val="%1)"/>
      <w:lvlJc w:val="left"/>
      <w:pPr>
        <w:ind w:left="1080" w:hanging="72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5"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9"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7"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9"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num w:numId="1" w16cid:durableId="725761463">
    <w:abstractNumId w:val="0"/>
  </w:num>
  <w:num w:numId="2" w16cid:durableId="970552445">
    <w:abstractNumId w:val="9"/>
  </w:num>
  <w:num w:numId="3" w16cid:durableId="1400708803">
    <w:abstractNumId w:val="18"/>
  </w:num>
  <w:num w:numId="4" w16cid:durableId="1837459398">
    <w:abstractNumId w:val="7"/>
  </w:num>
  <w:num w:numId="5" w16cid:durableId="509099342">
    <w:abstractNumId w:val="2"/>
  </w:num>
  <w:num w:numId="6" w16cid:durableId="694623396">
    <w:abstractNumId w:val="34"/>
  </w:num>
  <w:num w:numId="7" w16cid:durableId="1525746459">
    <w:abstractNumId w:val="1"/>
  </w:num>
  <w:num w:numId="8" w16cid:durableId="1683117819">
    <w:abstractNumId w:val="27"/>
  </w:num>
  <w:num w:numId="9" w16cid:durableId="454295772">
    <w:abstractNumId w:val="33"/>
  </w:num>
  <w:num w:numId="10" w16cid:durableId="1975597212">
    <w:abstractNumId w:val="20"/>
  </w:num>
  <w:num w:numId="11" w16cid:durableId="536938429">
    <w:abstractNumId w:val="30"/>
  </w:num>
  <w:num w:numId="12" w16cid:durableId="1994020000">
    <w:abstractNumId w:val="16"/>
  </w:num>
  <w:num w:numId="13" w16cid:durableId="1287465312">
    <w:abstractNumId w:val="32"/>
  </w:num>
  <w:num w:numId="14" w16cid:durableId="479886270">
    <w:abstractNumId w:val="6"/>
  </w:num>
  <w:num w:numId="15" w16cid:durableId="400566751">
    <w:abstractNumId w:val="28"/>
  </w:num>
  <w:num w:numId="16" w16cid:durableId="1098134752">
    <w:abstractNumId w:val="15"/>
  </w:num>
  <w:num w:numId="17" w16cid:durableId="288359321">
    <w:abstractNumId w:val="22"/>
  </w:num>
  <w:num w:numId="18" w16cid:durableId="1911233015">
    <w:abstractNumId w:val="13"/>
  </w:num>
  <w:num w:numId="19" w16cid:durableId="1893155877">
    <w:abstractNumId w:val="29"/>
  </w:num>
  <w:num w:numId="20" w16cid:durableId="2088111212">
    <w:abstractNumId w:val="26"/>
  </w:num>
  <w:num w:numId="21" w16cid:durableId="683440504">
    <w:abstractNumId w:val="14"/>
  </w:num>
  <w:num w:numId="22" w16cid:durableId="1515611626">
    <w:abstractNumId w:val="21"/>
  </w:num>
  <w:num w:numId="23" w16cid:durableId="1549948508">
    <w:abstractNumId w:val="31"/>
  </w:num>
  <w:num w:numId="24" w16cid:durableId="267540377">
    <w:abstractNumId w:val="5"/>
  </w:num>
  <w:num w:numId="25" w16cid:durableId="1875342958">
    <w:abstractNumId w:val="25"/>
  </w:num>
  <w:num w:numId="26" w16cid:durableId="1935429718">
    <w:abstractNumId w:val="8"/>
  </w:num>
  <w:num w:numId="27" w16cid:durableId="591358563">
    <w:abstractNumId w:val="19"/>
  </w:num>
  <w:num w:numId="28" w16cid:durableId="1876848649">
    <w:abstractNumId w:val="17"/>
  </w:num>
  <w:num w:numId="29" w16cid:durableId="2043825609">
    <w:abstractNumId w:val="23"/>
  </w:num>
  <w:num w:numId="30" w16cid:durableId="642925041">
    <w:abstractNumId w:val="24"/>
  </w:num>
  <w:num w:numId="31" w16cid:durableId="1106773425">
    <w:abstractNumId w:val="4"/>
  </w:num>
  <w:num w:numId="32" w16cid:durableId="1686324304">
    <w:abstractNumId w:val="12"/>
  </w:num>
  <w:num w:numId="33" w16cid:durableId="920026868">
    <w:abstractNumId w:val="10"/>
  </w:num>
  <w:num w:numId="34" w16cid:durableId="104734397">
    <w:abstractNumId w:val="11"/>
  </w:num>
  <w:num w:numId="35" w16cid:durableId="916280565">
    <w:abstractNumId w:val="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de-DE" w:vendorID="64" w:dllVersion="0" w:nlCheck="1" w:checkStyle="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2719"/>
    <w:rsid w:val="0001312C"/>
    <w:rsid w:val="00014E10"/>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417D"/>
    <w:rsid w:val="0003735D"/>
    <w:rsid w:val="00037947"/>
    <w:rsid w:val="00043D0E"/>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2D4"/>
    <w:rsid w:val="00061569"/>
    <w:rsid w:val="00061696"/>
    <w:rsid w:val="00061FBE"/>
    <w:rsid w:val="0006345F"/>
    <w:rsid w:val="00064698"/>
    <w:rsid w:val="00064D15"/>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275"/>
    <w:rsid w:val="00090312"/>
    <w:rsid w:val="00092325"/>
    <w:rsid w:val="00092348"/>
    <w:rsid w:val="00092BB7"/>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4F70"/>
    <w:rsid w:val="000B5580"/>
    <w:rsid w:val="000B5761"/>
    <w:rsid w:val="000B659F"/>
    <w:rsid w:val="000B66BC"/>
    <w:rsid w:val="000B74A7"/>
    <w:rsid w:val="000B7D01"/>
    <w:rsid w:val="000C01E8"/>
    <w:rsid w:val="000C04BB"/>
    <w:rsid w:val="000C0B89"/>
    <w:rsid w:val="000C0D0F"/>
    <w:rsid w:val="000C216B"/>
    <w:rsid w:val="000C3F11"/>
    <w:rsid w:val="000C488E"/>
    <w:rsid w:val="000C5068"/>
    <w:rsid w:val="000C6AAC"/>
    <w:rsid w:val="000C6F73"/>
    <w:rsid w:val="000D0106"/>
    <w:rsid w:val="000D1636"/>
    <w:rsid w:val="000D1827"/>
    <w:rsid w:val="000D1E6C"/>
    <w:rsid w:val="000D3973"/>
    <w:rsid w:val="000D44A0"/>
    <w:rsid w:val="000D5576"/>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0E59"/>
    <w:rsid w:val="000F1F74"/>
    <w:rsid w:val="000F26EF"/>
    <w:rsid w:val="000F4992"/>
    <w:rsid w:val="000F4A4A"/>
    <w:rsid w:val="000F4B74"/>
    <w:rsid w:val="000F5958"/>
    <w:rsid w:val="000F5F49"/>
    <w:rsid w:val="000F74E8"/>
    <w:rsid w:val="000F7613"/>
    <w:rsid w:val="00100493"/>
    <w:rsid w:val="001005A7"/>
    <w:rsid w:val="00103902"/>
    <w:rsid w:val="00103AE3"/>
    <w:rsid w:val="00103B23"/>
    <w:rsid w:val="00106F88"/>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29D"/>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06A"/>
    <w:rsid w:val="001407E1"/>
    <w:rsid w:val="00141CCF"/>
    <w:rsid w:val="00141FF2"/>
    <w:rsid w:val="0014246F"/>
    <w:rsid w:val="00142881"/>
    <w:rsid w:val="00142ED4"/>
    <w:rsid w:val="00143338"/>
    <w:rsid w:val="00143A3F"/>
    <w:rsid w:val="00143C6A"/>
    <w:rsid w:val="0014449A"/>
    <w:rsid w:val="00145BAD"/>
    <w:rsid w:val="0014694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03B4"/>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359"/>
    <w:rsid w:val="001B2410"/>
    <w:rsid w:val="001B2D84"/>
    <w:rsid w:val="001B34D0"/>
    <w:rsid w:val="001B3BF0"/>
    <w:rsid w:val="001B7535"/>
    <w:rsid w:val="001C0756"/>
    <w:rsid w:val="001C123F"/>
    <w:rsid w:val="001C2254"/>
    <w:rsid w:val="001C2537"/>
    <w:rsid w:val="001C27BF"/>
    <w:rsid w:val="001C31A7"/>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518"/>
    <w:rsid w:val="001E19C2"/>
    <w:rsid w:val="001E1E08"/>
    <w:rsid w:val="001E41BF"/>
    <w:rsid w:val="001E4710"/>
    <w:rsid w:val="001E4BA5"/>
    <w:rsid w:val="001E5373"/>
    <w:rsid w:val="001E58D0"/>
    <w:rsid w:val="001E5A9A"/>
    <w:rsid w:val="001E5F9C"/>
    <w:rsid w:val="001E773E"/>
    <w:rsid w:val="001E7ADE"/>
    <w:rsid w:val="001F0676"/>
    <w:rsid w:val="001F0ECD"/>
    <w:rsid w:val="001F28C3"/>
    <w:rsid w:val="001F28E7"/>
    <w:rsid w:val="001F3810"/>
    <w:rsid w:val="001F3E84"/>
    <w:rsid w:val="001F4281"/>
    <w:rsid w:val="001F5E87"/>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0EF4"/>
    <w:rsid w:val="002132E8"/>
    <w:rsid w:val="002143BB"/>
    <w:rsid w:val="00214915"/>
    <w:rsid w:val="002149E4"/>
    <w:rsid w:val="00214D62"/>
    <w:rsid w:val="002161E2"/>
    <w:rsid w:val="002162B5"/>
    <w:rsid w:val="002172CC"/>
    <w:rsid w:val="00217B44"/>
    <w:rsid w:val="00217D1F"/>
    <w:rsid w:val="00220AA0"/>
    <w:rsid w:val="00222753"/>
    <w:rsid w:val="0022283C"/>
    <w:rsid w:val="00222CA0"/>
    <w:rsid w:val="0022597B"/>
    <w:rsid w:val="002262E5"/>
    <w:rsid w:val="00227BD1"/>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6A51"/>
    <w:rsid w:val="00246CF2"/>
    <w:rsid w:val="00247954"/>
    <w:rsid w:val="002509B1"/>
    <w:rsid w:val="00252527"/>
    <w:rsid w:val="00252F75"/>
    <w:rsid w:val="00253D80"/>
    <w:rsid w:val="0025493F"/>
    <w:rsid w:val="00254983"/>
    <w:rsid w:val="00255202"/>
    <w:rsid w:val="0025615F"/>
    <w:rsid w:val="002573FC"/>
    <w:rsid w:val="002576E1"/>
    <w:rsid w:val="00260D4F"/>
    <w:rsid w:val="00261E81"/>
    <w:rsid w:val="00261FE6"/>
    <w:rsid w:val="0026270F"/>
    <w:rsid w:val="00262895"/>
    <w:rsid w:val="0026336E"/>
    <w:rsid w:val="00264409"/>
    <w:rsid w:val="002662F0"/>
    <w:rsid w:val="002706B3"/>
    <w:rsid w:val="00270DBA"/>
    <w:rsid w:val="002710BE"/>
    <w:rsid w:val="00272017"/>
    <w:rsid w:val="00272210"/>
    <w:rsid w:val="00272715"/>
    <w:rsid w:val="00272BDB"/>
    <w:rsid w:val="0027305C"/>
    <w:rsid w:val="0027308B"/>
    <w:rsid w:val="002736E3"/>
    <w:rsid w:val="00275254"/>
    <w:rsid w:val="00275423"/>
    <w:rsid w:val="00275435"/>
    <w:rsid w:val="0027548E"/>
    <w:rsid w:val="00276087"/>
    <w:rsid w:val="002769F1"/>
    <w:rsid w:val="00276DB0"/>
    <w:rsid w:val="00280AF8"/>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74B"/>
    <w:rsid w:val="002A2841"/>
    <w:rsid w:val="002A28A2"/>
    <w:rsid w:val="002A29B1"/>
    <w:rsid w:val="002A3521"/>
    <w:rsid w:val="002A3F7D"/>
    <w:rsid w:val="002A536D"/>
    <w:rsid w:val="002A54FF"/>
    <w:rsid w:val="002A6712"/>
    <w:rsid w:val="002A6ADE"/>
    <w:rsid w:val="002A6B55"/>
    <w:rsid w:val="002B009A"/>
    <w:rsid w:val="002B071B"/>
    <w:rsid w:val="002B0879"/>
    <w:rsid w:val="002B0936"/>
    <w:rsid w:val="002B0A4B"/>
    <w:rsid w:val="002B0AAC"/>
    <w:rsid w:val="002B2DA6"/>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D7E94"/>
    <w:rsid w:val="002E044A"/>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398"/>
    <w:rsid w:val="003027FE"/>
    <w:rsid w:val="00302FB6"/>
    <w:rsid w:val="003032DF"/>
    <w:rsid w:val="0030524E"/>
    <w:rsid w:val="0030642D"/>
    <w:rsid w:val="00307448"/>
    <w:rsid w:val="00307B4B"/>
    <w:rsid w:val="00310A8D"/>
    <w:rsid w:val="003113EE"/>
    <w:rsid w:val="00314129"/>
    <w:rsid w:val="00314716"/>
    <w:rsid w:val="00315160"/>
    <w:rsid w:val="00316050"/>
    <w:rsid w:val="00316309"/>
    <w:rsid w:val="003164FD"/>
    <w:rsid w:val="003167BD"/>
    <w:rsid w:val="00316905"/>
    <w:rsid w:val="00317861"/>
    <w:rsid w:val="00317BCB"/>
    <w:rsid w:val="00321B6C"/>
    <w:rsid w:val="00321D7D"/>
    <w:rsid w:val="00322183"/>
    <w:rsid w:val="003231FC"/>
    <w:rsid w:val="0032369D"/>
    <w:rsid w:val="003236C2"/>
    <w:rsid w:val="00324840"/>
    <w:rsid w:val="00324993"/>
    <w:rsid w:val="003260D7"/>
    <w:rsid w:val="003264FC"/>
    <w:rsid w:val="0032786A"/>
    <w:rsid w:val="0032789D"/>
    <w:rsid w:val="003310AE"/>
    <w:rsid w:val="00332838"/>
    <w:rsid w:val="003335A9"/>
    <w:rsid w:val="00334535"/>
    <w:rsid w:val="0033504B"/>
    <w:rsid w:val="003353A9"/>
    <w:rsid w:val="003355CE"/>
    <w:rsid w:val="003358B6"/>
    <w:rsid w:val="0033601F"/>
    <w:rsid w:val="00336123"/>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3381"/>
    <w:rsid w:val="00364DD5"/>
    <w:rsid w:val="0037059A"/>
    <w:rsid w:val="003706AB"/>
    <w:rsid w:val="00371745"/>
    <w:rsid w:val="003718C7"/>
    <w:rsid w:val="0037239B"/>
    <w:rsid w:val="003723CD"/>
    <w:rsid w:val="003729D7"/>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6B"/>
    <w:rsid w:val="00390B7F"/>
    <w:rsid w:val="00391EF9"/>
    <w:rsid w:val="00392036"/>
    <w:rsid w:val="00392B44"/>
    <w:rsid w:val="003937EE"/>
    <w:rsid w:val="00393D7A"/>
    <w:rsid w:val="00394D11"/>
    <w:rsid w:val="00395FEB"/>
    <w:rsid w:val="0039655E"/>
    <w:rsid w:val="00397188"/>
    <w:rsid w:val="00397B00"/>
    <w:rsid w:val="003A13D1"/>
    <w:rsid w:val="003A35DF"/>
    <w:rsid w:val="003A3804"/>
    <w:rsid w:val="003A3F9E"/>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1A8"/>
    <w:rsid w:val="003B555D"/>
    <w:rsid w:val="003B5CD9"/>
    <w:rsid w:val="003B61F5"/>
    <w:rsid w:val="003B79B4"/>
    <w:rsid w:val="003B7BEC"/>
    <w:rsid w:val="003B7E48"/>
    <w:rsid w:val="003C0524"/>
    <w:rsid w:val="003C076E"/>
    <w:rsid w:val="003C0937"/>
    <w:rsid w:val="003C2251"/>
    <w:rsid w:val="003C4CC8"/>
    <w:rsid w:val="003C544C"/>
    <w:rsid w:val="003C6064"/>
    <w:rsid w:val="003C66FA"/>
    <w:rsid w:val="003C6829"/>
    <w:rsid w:val="003C7123"/>
    <w:rsid w:val="003C74D9"/>
    <w:rsid w:val="003C7E9B"/>
    <w:rsid w:val="003D04AD"/>
    <w:rsid w:val="003D0536"/>
    <w:rsid w:val="003D118F"/>
    <w:rsid w:val="003D12C1"/>
    <w:rsid w:val="003D2141"/>
    <w:rsid w:val="003D433B"/>
    <w:rsid w:val="003D54ED"/>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733"/>
    <w:rsid w:val="003F7811"/>
    <w:rsid w:val="00400766"/>
    <w:rsid w:val="0040096C"/>
    <w:rsid w:val="0040194F"/>
    <w:rsid w:val="00401A21"/>
    <w:rsid w:val="00403798"/>
    <w:rsid w:val="00404AA3"/>
    <w:rsid w:val="004050A1"/>
    <w:rsid w:val="004052F0"/>
    <w:rsid w:val="004055B3"/>
    <w:rsid w:val="00406605"/>
    <w:rsid w:val="00406DB7"/>
    <w:rsid w:val="00407426"/>
    <w:rsid w:val="00407A0F"/>
    <w:rsid w:val="00410E47"/>
    <w:rsid w:val="004127BF"/>
    <w:rsid w:val="00412A18"/>
    <w:rsid w:val="00412D6E"/>
    <w:rsid w:val="00413A7F"/>
    <w:rsid w:val="004148B2"/>
    <w:rsid w:val="00414EB6"/>
    <w:rsid w:val="00415D69"/>
    <w:rsid w:val="00416245"/>
    <w:rsid w:val="0041676D"/>
    <w:rsid w:val="00416B4E"/>
    <w:rsid w:val="00417210"/>
    <w:rsid w:val="004178C8"/>
    <w:rsid w:val="00421540"/>
    <w:rsid w:val="004220C8"/>
    <w:rsid w:val="004229C1"/>
    <w:rsid w:val="00422C76"/>
    <w:rsid w:val="00423769"/>
    <w:rsid w:val="0042419F"/>
    <w:rsid w:val="004242B8"/>
    <w:rsid w:val="00424A0A"/>
    <w:rsid w:val="00424BB8"/>
    <w:rsid w:val="00424F61"/>
    <w:rsid w:val="004250C0"/>
    <w:rsid w:val="00426A00"/>
    <w:rsid w:val="00430CAC"/>
    <w:rsid w:val="004330CD"/>
    <w:rsid w:val="00433529"/>
    <w:rsid w:val="00433E1A"/>
    <w:rsid w:val="00434439"/>
    <w:rsid w:val="00436233"/>
    <w:rsid w:val="004379F7"/>
    <w:rsid w:val="00437E78"/>
    <w:rsid w:val="00440847"/>
    <w:rsid w:val="004446C2"/>
    <w:rsid w:val="004466D5"/>
    <w:rsid w:val="0044670B"/>
    <w:rsid w:val="0044777F"/>
    <w:rsid w:val="00447EB1"/>
    <w:rsid w:val="00451BA1"/>
    <w:rsid w:val="00452A27"/>
    <w:rsid w:val="0045378E"/>
    <w:rsid w:val="00453BD6"/>
    <w:rsid w:val="0045405A"/>
    <w:rsid w:val="0045596E"/>
    <w:rsid w:val="00455A2F"/>
    <w:rsid w:val="00456832"/>
    <w:rsid w:val="004573B6"/>
    <w:rsid w:val="00460502"/>
    <w:rsid w:val="004612B9"/>
    <w:rsid w:val="004617AF"/>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394"/>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1F2C"/>
    <w:rsid w:val="00492435"/>
    <w:rsid w:val="004924B2"/>
    <w:rsid w:val="0049459B"/>
    <w:rsid w:val="00494A67"/>
    <w:rsid w:val="0049578C"/>
    <w:rsid w:val="004968DF"/>
    <w:rsid w:val="00496A87"/>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181"/>
    <w:rsid w:val="004B1ADF"/>
    <w:rsid w:val="004B1D31"/>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0801"/>
    <w:rsid w:val="004D12DC"/>
    <w:rsid w:val="004D14B5"/>
    <w:rsid w:val="004D223F"/>
    <w:rsid w:val="004D2325"/>
    <w:rsid w:val="004D36F1"/>
    <w:rsid w:val="004D3E1E"/>
    <w:rsid w:val="004D47F0"/>
    <w:rsid w:val="004D53AC"/>
    <w:rsid w:val="004D54B0"/>
    <w:rsid w:val="004D62D4"/>
    <w:rsid w:val="004D70D0"/>
    <w:rsid w:val="004D7A7E"/>
    <w:rsid w:val="004D7C73"/>
    <w:rsid w:val="004D7FD7"/>
    <w:rsid w:val="004E0132"/>
    <w:rsid w:val="004E043C"/>
    <w:rsid w:val="004E0DC5"/>
    <w:rsid w:val="004E100C"/>
    <w:rsid w:val="004E1CC0"/>
    <w:rsid w:val="004E204E"/>
    <w:rsid w:val="004E26E2"/>
    <w:rsid w:val="004E36C4"/>
    <w:rsid w:val="004E437E"/>
    <w:rsid w:val="004E59DD"/>
    <w:rsid w:val="004E6744"/>
    <w:rsid w:val="004F0060"/>
    <w:rsid w:val="004F038C"/>
    <w:rsid w:val="004F0B0E"/>
    <w:rsid w:val="004F0BFB"/>
    <w:rsid w:val="004F0C5D"/>
    <w:rsid w:val="004F39F5"/>
    <w:rsid w:val="004F3BC0"/>
    <w:rsid w:val="004F4212"/>
    <w:rsid w:val="004F49F6"/>
    <w:rsid w:val="004F4B70"/>
    <w:rsid w:val="004F6AF8"/>
    <w:rsid w:val="004F782C"/>
    <w:rsid w:val="00500508"/>
    <w:rsid w:val="00500637"/>
    <w:rsid w:val="00505096"/>
    <w:rsid w:val="00505AEE"/>
    <w:rsid w:val="00505D21"/>
    <w:rsid w:val="0050602F"/>
    <w:rsid w:val="005063DE"/>
    <w:rsid w:val="00506444"/>
    <w:rsid w:val="00506596"/>
    <w:rsid w:val="00506C3D"/>
    <w:rsid w:val="00507878"/>
    <w:rsid w:val="00510FE5"/>
    <w:rsid w:val="00511672"/>
    <w:rsid w:val="00512342"/>
    <w:rsid w:val="00512B5A"/>
    <w:rsid w:val="00513244"/>
    <w:rsid w:val="00514EAE"/>
    <w:rsid w:val="00515841"/>
    <w:rsid w:val="005170CA"/>
    <w:rsid w:val="00520804"/>
    <w:rsid w:val="00520E26"/>
    <w:rsid w:val="00521326"/>
    <w:rsid w:val="005230DE"/>
    <w:rsid w:val="00523570"/>
    <w:rsid w:val="005254CB"/>
    <w:rsid w:val="00526EBD"/>
    <w:rsid w:val="0053018F"/>
    <w:rsid w:val="00530472"/>
    <w:rsid w:val="00530B7F"/>
    <w:rsid w:val="005315D3"/>
    <w:rsid w:val="00531A77"/>
    <w:rsid w:val="00532674"/>
    <w:rsid w:val="00532B92"/>
    <w:rsid w:val="0053335C"/>
    <w:rsid w:val="005334AA"/>
    <w:rsid w:val="00534FED"/>
    <w:rsid w:val="005357EF"/>
    <w:rsid w:val="00535F08"/>
    <w:rsid w:val="005403C7"/>
    <w:rsid w:val="00540765"/>
    <w:rsid w:val="00541DA7"/>
    <w:rsid w:val="00542529"/>
    <w:rsid w:val="005426F2"/>
    <w:rsid w:val="00542741"/>
    <w:rsid w:val="005441C9"/>
    <w:rsid w:val="0054423D"/>
    <w:rsid w:val="00544664"/>
    <w:rsid w:val="00546848"/>
    <w:rsid w:val="00546D9F"/>
    <w:rsid w:val="005478C5"/>
    <w:rsid w:val="00550D82"/>
    <w:rsid w:val="00553B13"/>
    <w:rsid w:val="00554069"/>
    <w:rsid w:val="0055482B"/>
    <w:rsid w:val="005550ED"/>
    <w:rsid w:val="005555FD"/>
    <w:rsid w:val="005556DC"/>
    <w:rsid w:val="00555B13"/>
    <w:rsid w:val="00556C46"/>
    <w:rsid w:val="00557776"/>
    <w:rsid w:val="005624BA"/>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1888"/>
    <w:rsid w:val="0058289F"/>
    <w:rsid w:val="00583DD0"/>
    <w:rsid w:val="00590FFA"/>
    <w:rsid w:val="00592197"/>
    <w:rsid w:val="00594532"/>
    <w:rsid w:val="0059457E"/>
    <w:rsid w:val="00594C10"/>
    <w:rsid w:val="00594D94"/>
    <w:rsid w:val="005954BF"/>
    <w:rsid w:val="005959BF"/>
    <w:rsid w:val="00595A81"/>
    <w:rsid w:val="005962EA"/>
    <w:rsid w:val="005A052D"/>
    <w:rsid w:val="005A0FE7"/>
    <w:rsid w:val="005A1569"/>
    <w:rsid w:val="005A1732"/>
    <w:rsid w:val="005A1D6D"/>
    <w:rsid w:val="005A23B9"/>
    <w:rsid w:val="005A28BE"/>
    <w:rsid w:val="005A5B50"/>
    <w:rsid w:val="005A5E25"/>
    <w:rsid w:val="005B1C10"/>
    <w:rsid w:val="005B26E3"/>
    <w:rsid w:val="005B7B00"/>
    <w:rsid w:val="005C0209"/>
    <w:rsid w:val="005C09F7"/>
    <w:rsid w:val="005C1136"/>
    <w:rsid w:val="005C1691"/>
    <w:rsid w:val="005C3639"/>
    <w:rsid w:val="005C3647"/>
    <w:rsid w:val="005C5A30"/>
    <w:rsid w:val="005C5DE5"/>
    <w:rsid w:val="005C5E78"/>
    <w:rsid w:val="005C624B"/>
    <w:rsid w:val="005C69DE"/>
    <w:rsid w:val="005C6F27"/>
    <w:rsid w:val="005D0068"/>
    <w:rsid w:val="005D0B67"/>
    <w:rsid w:val="005D0BA3"/>
    <w:rsid w:val="005D0D88"/>
    <w:rsid w:val="005D1F91"/>
    <w:rsid w:val="005D5E9E"/>
    <w:rsid w:val="005D66B3"/>
    <w:rsid w:val="005D6C28"/>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489"/>
    <w:rsid w:val="005E7B71"/>
    <w:rsid w:val="005F210E"/>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4CD5"/>
    <w:rsid w:val="006162F0"/>
    <w:rsid w:val="0061658B"/>
    <w:rsid w:val="006171B4"/>
    <w:rsid w:val="0062069D"/>
    <w:rsid w:val="00620866"/>
    <w:rsid w:val="00621B0F"/>
    <w:rsid w:val="00623E45"/>
    <w:rsid w:val="0062501E"/>
    <w:rsid w:val="00625DC4"/>
    <w:rsid w:val="0062777A"/>
    <w:rsid w:val="00627E07"/>
    <w:rsid w:val="0063002A"/>
    <w:rsid w:val="0063109A"/>
    <w:rsid w:val="006316AD"/>
    <w:rsid w:val="0063223E"/>
    <w:rsid w:val="00633D3F"/>
    <w:rsid w:val="00634086"/>
    <w:rsid w:val="00634337"/>
    <w:rsid w:val="00636093"/>
    <w:rsid w:val="00636D9B"/>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08A9"/>
    <w:rsid w:val="00661667"/>
    <w:rsid w:val="006622A7"/>
    <w:rsid w:val="0066353E"/>
    <w:rsid w:val="00663F8B"/>
    <w:rsid w:val="00663F9A"/>
    <w:rsid w:val="00664684"/>
    <w:rsid w:val="006646F1"/>
    <w:rsid w:val="00665AE3"/>
    <w:rsid w:val="00665BBB"/>
    <w:rsid w:val="006675A1"/>
    <w:rsid w:val="0067137A"/>
    <w:rsid w:val="00672131"/>
    <w:rsid w:val="006726FB"/>
    <w:rsid w:val="00673A97"/>
    <w:rsid w:val="00674AC7"/>
    <w:rsid w:val="00675587"/>
    <w:rsid w:val="00675B54"/>
    <w:rsid w:val="00676352"/>
    <w:rsid w:val="00676811"/>
    <w:rsid w:val="00677250"/>
    <w:rsid w:val="0068073E"/>
    <w:rsid w:val="00680E03"/>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B7D"/>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0623"/>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0A76"/>
    <w:rsid w:val="006F112E"/>
    <w:rsid w:val="006F1FAC"/>
    <w:rsid w:val="006F3775"/>
    <w:rsid w:val="006F4457"/>
    <w:rsid w:val="006F44FE"/>
    <w:rsid w:val="006F46E7"/>
    <w:rsid w:val="006F4788"/>
    <w:rsid w:val="006F4938"/>
    <w:rsid w:val="006F51AD"/>
    <w:rsid w:val="006F588E"/>
    <w:rsid w:val="006F5E81"/>
    <w:rsid w:val="006F5F1F"/>
    <w:rsid w:val="006F63EA"/>
    <w:rsid w:val="006F6797"/>
    <w:rsid w:val="006F6CC7"/>
    <w:rsid w:val="006F6EA7"/>
    <w:rsid w:val="006F7168"/>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5BC1"/>
    <w:rsid w:val="00706750"/>
    <w:rsid w:val="007075CE"/>
    <w:rsid w:val="007100CC"/>
    <w:rsid w:val="00711173"/>
    <w:rsid w:val="00711488"/>
    <w:rsid w:val="00711599"/>
    <w:rsid w:val="007129B2"/>
    <w:rsid w:val="00712ECA"/>
    <w:rsid w:val="007134F6"/>
    <w:rsid w:val="00713ABC"/>
    <w:rsid w:val="00714306"/>
    <w:rsid w:val="00714673"/>
    <w:rsid w:val="00714E9C"/>
    <w:rsid w:val="007157C8"/>
    <w:rsid w:val="007161DB"/>
    <w:rsid w:val="00716F26"/>
    <w:rsid w:val="00717454"/>
    <w:rsid w:val="007200D9"/>
    <w:rsid w:val="00720503"/>
    <w:rsid w:val="00720943"/>
    <w:rsid w:val="00721D6C"/>
    <w:rsid w:val="00723994"/>
    <w:rsid w:val="007250D0"/>
    <w:rsid w:val="00725978"/>
    <w:rsid w:val="007260A0"/>
    <w:rsid w:val="007264E7"/>
    <w:rsid w:val="00727D79"/>
    <w:rsid w:val="00727F02"/>
    <w:rsid w:val="007307B3"/>
    <w:rsid w:val="00731216"/>
    <w:rsid w:val="0073197F"/>
    <w:rsid w:val="00731C96"/>
    <w:rsid w:val="00732A34"/>
    <w:rsid w:val="00732A8A"/>
    <w:rsid w:val="00732FC0"/>
    <w:rsid w:val="0073358A"/>
    <w:rsid w:val="00733FD9"/>
    <w:rsid w:val="007348B9"/>
    <w:rsid w:val="00735D76"/>
    <w:rsid w:val="00736CA8"/>
    <w:rsid w:val="00743C1E"/>
    <w:rsid w:val="00743C77"/>
    <w:rsid w:val="0074473F"/>
    <w:rsid w:val="007449D7"/>
    <w:rsid w:val="007451BE"/>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105"/>
    <w:rsid w:val="00765E8F"/>
    <w:rsid w:val="00766E97"/>
    <w:rsid w:val="007673B7"/>
    <w:rsid w:val="00767FB7"/>
    <w:rsid w:val="0077078C"/>
    <w:rsid w:val="00770AF5"/>
    <w:rsid w:val="0077269C"/>
    <w:rsid w:val="00772B95"/>
    <w:rsid w:val="007737A3"/>
    <w:rsid w:val="00773BB8"/>
    <w:rsid w:val="007748A3"/>
    <w:rsid w:val="007749D9"/>
    <w:rsid w:val="0077517E"/>
    <w:rsid w:val="00775637"/>
    <w:rsid w:val="0077565E"/>
    <w:rsid w:val="00775A75"/>
    <w:rsid w:val="00776491"/>
    <w:rsid w:val="007765A0"/>
    <w:rsid w:val="00776650"/>
    <w:rsid w:val="007772F8"/>
    <w:rsid w:val="0077762D"/>
    <w:rsid w:val="00777CB5"/>
    <w:rsid w:val="00777EDA"/>
    <w:rsid w:val="00780634"/>
    <w:rsid w:val="0078115E"/>
    <w:rsid w:val="0078134B"/>
    <w:rsid w:val="007817BA"/>
    <w:rsid w:val="00781E1E"/>
    <w:rsid w:val="00782B6B"/>
    <w:rsid w:val="007833AC"/>
    <w:rsid w:val="00783CC3"/>
    <w:rsid w:val="007840A3"/>
    <w:rsid w:val="00785F3B"/>
    <w:rsid w:val="007863CD"/>
    <w:rsid w:val="00790554"/>
    <w:rsid w:val="0079137A"/>
    <w:rsid w:val="00791A7B"/>
    <w:rsid w:val="00791FF9"/>
    <w:rsid w:val="007934F7"/>
    <w:rsid w:val="00793EE3"/>
    <w:rsid w:val="0079404A"/>
    <w:rsid w:val="007942E0"/>
    <w:rsid w:val="00794935"/>
    <w:rsid w:val="007952BA"/>
    <w:rsid w:val="007961CB"/>
    <w:rsid w:val="007A001B"/>
    <w:rsid w:val="007A0B0D"/>
    <w:rsid w:val="007A0E3A"/>
    <w:rsid w:val="007A1271"/>
    <w:rsid w:val="007A4D96"/>
    <w:rsid w:val="007A5EF2"/>
    <w:rsid w:val="007B0654"/>
    <w:rsid w:val="007B1CF9"/>
    <w:rsid w:val="007B2AB2"/>
    <w:rsid w:val="007B37F0"/>
    <w:rsid w:val="007B65AA"/>
    <w:rsid w:val="007B7393"/>
    <w:rsid w:val="007B7914"/>
    <w:rsid w:val="007C0838"/>
    <w:rsid w:val="007C09C7"/>
    <w:rsid w:val="007C0FC8"/>
    <w:rsid w:val="007C178B"/>
    <w:rsid w:val="007C27EF"/>
    <w:rsid w:val="007C2D57"/>
    <w:rsid w:val="007C3DF7"/>
    <w:rsid w:val="007C68B3"/>
    <w:rsid w:val="007C74A8"/>
    <w:rsid w:val="007D227C"/>
    <w:rsid w:val="007D264E"/>
    <w:rsid w:val="007D2D5E"/>
    <w:rsid w:val="007D4040"/>
    <w:rsid w:val="007D4A1E"/>
    <w:rsid w:val="007D4B43"/>
    <w:rsid w:val="007D5470"/>
    <w:rsid w:val="007D62B0"/>
    <w:rsid w:val="007D6824"/>
    <w:rsid w:val="007E15B2"/>
    <w:rsid w:val="007E1F46"/>
    <w:rsid w:val="007E2989"/>
    <w:rsid w:val="007E2A41"/>
    <w:rsid w:val="007E3631"/>
    <w:rsid w:val="007E52B2"/>
    <w:rsid w:val="007E64C7"/>
    <w:rsid w:val="007E65E8"/>
    <w:rsid w:val="007E7E36"/>
    <w:rsid w:val="007F21FC"/>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56CE"/>
    <w:rsid w:val="00817D32"/>
    <w:rsid w:val="0082289C"/>
    <w:rsid w:val="00822B8F"/>
    <w:rsid w:val="00823913"/>
    <w:rsid w:val="0082401E"/>
    <w:rsid w:val="0082480F"/>
    <w:rsid w:val="008252BC"/>
    <w:rsid w:val="00825312"/>
    <w:rsid w:val="00825376"/>
    <w:rsid w:val="0082585A"/>
    <w:rsid w:val="00826E34"/>
    <w:rsid w:val="00826FA0"/>
    <w:rsid w:val="008272B2"/>
    <w:rsid w:val="00827426"/>
    <w:rsid w:val="00830B78"/>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127"/>
    <w:rsid w:val="0084432A"/>
    <w:rsid w:val="00844A35"/>
    <w:rsid w:val="0084699F"/>
    <w:rsid w:val="00846CCB"/>
    <w:rsid w:val="0084728D"/>
    <w:rsid w:val="00847EDD"/>
    <w:rsid w:val="00850E5E"/>
    <w:rsid w:val="008517F7"/>
    <w:rsid w:val="0085372E"/>
    <w:rsid w:val="00853E35"/>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67B43"/>
    <w:rsid w:val="008717E3"/>
    <w:rsid w:val="008725D5"/>
    <w:rsid w:val="00872B4A"/>
    <w:rsid w:val="00873845"/>
    <w:rsid w:val="0087430D"/>
    <w:rsid w:val="00875832"/>
    <w:rsid w:val="008765F7"/>
    <w:rsid w:val="00877186"/>
    <w:rsid w:val="00877421"/>
    <w:rsid w:val="00881AE2"/>
    <w:rsid w:val="00882BCA"/>
    <w:rsid w:val="0088389E"/>
    <w:rsid w:val="008838B4"/>
    <w:rsid w:val="008838D5"/>
    <w:rsid w:val="00883C1E"/>
    <w:rsid w:val="00884D28"/>
    <w:rsid w:val="00884E41"/>
    <w:rsid w:val="00886704"/>
    <w:rsid w:val="00886AC4"/>
    <w:rsid w:val="00891072"/>
    <w:rsid w:val="00891776"/>
    <w:rsid w:val="00891B6F"/>
    <w:rsid w:val="008934A4"/>
    <w:rsid w:val="008934D6"/>
    <w:rsid w:val="008936E9"/>
    <w:rsid w:val="00893B15"/>
    <w:rsid w:val="0089458B"/>
    <w:rsid w:val="00894C36"/>
    <w:rsid w:val="008979D2"/>
    <w:rsid w:val="00897B7D"/>
    <w:rsid w:val="008A01A8"/>
    <w:rsid w:val="008A04BA"/>
    <w:rsid w:val="008A0524"/>
    <w:rsid w:val="008A36F8"/>
    <w:rsid w:val="008A5C87"/>
    <w:rsid w:val="008A6888"/>
    <w:rsid w:val="008B0457"/>
    <w:rsid w:val="008B096D"/>
    <w:rsid w:val="008B2084"/>
    <w:rsid w:val="008B30C0"/>
    <w:rsid w:val="008B3855"/>
    <w:rsid w:val="008B3A2D"/>
    <w:rsid w:val="008B4710"/>
    <w:rsid w:val="008B509E"/>
    <w:rsid w:val="008B54AB"/>
    <w:rsid w:val="008B54D5"/>
    <w:rsid w:val="008B570C"/>
    <w:rsid w:val="008B5EF0"/>
    <w:rsid w:val="008C04F9"/>
    <w:rsid w:val="008C2320"/>
    <w:rsid w:val="008C24B6"/>
    <w:rsid w:val="008C27F4"/>
    <w:rsid w:val="008C451E"/>
    <w:rsid w:val="008C4E32"/>
    <w:rsid w:val="008C5950"/>
    <w:rsid w:val="008C5D3D"/>
    <w:rsid w:val="008C7B98"/>
    <w:rsid w:val="008D076A"/>
    <w:rsid w:val="008D23C0"/>
    <w:rsid w:val="008D2727"/>
    <w:rsid w:val="008D5977"/>
    <w:rsid w:val="008D70E9"/>
    <w:rsid w:val="008D78CD"/>
    <w:rsid w:val="008E0A50"/>
    <w:rsid w:val="008E1038"/>
    <w:rsid w:val="008E21B3"/>
    <w:rsid w:val="008E267D"/>
    <w:rsid w:val="008E3B69"/>
    <w:rsid w:val="008E57C0"/>
    <w:rsid w:val="008E5B2E"/>
    <w:rsid w:val="008E5E14"/>
    <w:rsid w:val="008E5E99"/>
    <w:rsid w:val="008E5EFD"/>
    <w:rsid w:val="008E6E25"/>
    <w:rsid w:val="008E7068"/>
    <w:rsid w:val="008F0D15"/>
    <w:rsid w:val="008F3B6F"/>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255"/>
    <w:rsid w:val="0091485A"/>
    <w:rsid w:val="00916C6C"/>
    <w:rsid w:val="009201F5"/>
    <w:rsid w:val="00920B86"/>
    <w:rsid w:val="00920DD9"/>
    <w:rsid w:val="0092237F"/>
    <w:rsid w:val="0092250A"/>
    <w:rsid w:val="00922719"/>
    <w:rsid w:val="00922F82"/>
    <w:rsid w:val="009235D8"/>
    <w:rsid w:val="00924955"/>
    <w:rsid w:val="00924DD1"/>
    <w:rsid w:val="0092607B"/>
    <w:rsid w:val="009264ED"/>
    <w:rsid w:val="00926849"/>
    <w:rsid w:val="009310D6"/>
    <w:rsid w:val="0093277B"/>
    <w:rsid w:val="00932AE8"/>
    <w:rsid w:val="00932CC4"/>
    <w:rsid w:val="009339A2"/>
    <w:rsid w:val="009339D1"/>
    <w:rsid w:val="00936AEC"/>
    <w:rsid w:val="009370D9"/>
    <w:rsid w:val="00937161"/>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2F92"/>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3E8C"/>
    <w:rsid w:val="00984DE4"/>
    <w:rsid w:val="009850CF"/>
    <w:rsid w:val="00985356"/>
    <w:rsid w:val="0098545C"/>
    <w:rsid w:val="009865E6"/>
    <w:rsid w:val="00987CEF"/>
    <w:rsid w:val="0099040F"/>
    <w:rsid w:val="00990AB2"/>
    <w:rsid w:val="00991498"/>
    <w:rsid w:val="00993549"/>
    <w:rsid w:val="0099406F"/>
    <w:rsid w:val="00994DCE"/>
    <w:rsid w:val="009958C0"/>
    <w:rsid w:val="00995F8D"/>
    <w:rsid w:val="009A1D61"/>
    <w:rsid w:val="009A298D"/>
    <w:rsid w:val="009A32AB"/>
    <w:rsid w:val="009A3377"/>
    <w:rsid w:val="009A78F0"/>
    <w:rsid w:val="009B2324"/>
    <w:rsid w:val="009B28C9"/>
    <w:rsid w:val="009B296B"/>
    <w:rsid w:val="009B57DC"/>
    <w:rsid w:val="009B66E6"/>
    <w:rsid w:val="009B69A0"/>
    <w:rsid w:val="009B6F6B"/>
    <w:rsid w:val="009B7CCB"/>
    <w:rsid w:val="009B7D2C"/>
    <w:rsid w:val="009C086F"/>
    <w:rsid w:val="009C2536"/>
    <w:rsid w:val="009C4705"/>
    <w:rsid w:val="009C4D9B"/>
    <w:rsid w:val="009C4E79"/>
    <w:rsid w:val="009C513C"/>
    <w:rsid w:val="009C6B06"/>
    <w:rsid w:val="009C7FE7"/>
    <w:rsid w:val="009D0C2D"/>
    <w:rsid w:val="009D1E48"/>
    <w:rsid w:val="009D26A9"/>
    <w:rsid w:val="009D46F6"/>
    <w:rsid w:val="009D4E52"/>
    <w:rsid w:val="009D5E42"/>
    <w:rsid w:val="009D7791"/>
    <w:rsid w:val="009E0542"/>
    <w:rsid w:val="009E077F"/>
    <w:rsid w:val="009E0B68"/>
    <w:rsid w:val="009E1365"/>
    <w:rsid w:val="009E28D4"/>
    <w:rsid w:val="009E3A9F"/>
    <w:rsid w:val="009E6F32"/>
    <w:rsid w:val="009E74C1"/>
    <w:rsid w:val="009E7F70"/>
    <w:rsid w:val="009F3379"/>
    <w:rsid w:val="009F40E2"/>
    <w:rsid w:val="009F54CD"/>
    <w:rsid w:val="009F64CC"/>
    <w:rsid w:val="009F67E9"/>
    <w:rsid w:val="009F6A59"/>
    <w:rsid w:val="00A007CB"/>
    <w:rsid w:val="00A00BA8"/>
    <w:rsid w:val="00A02A68"/>
    <w:rsid w:val="00A04558"/>
    <w:rsid w:val="00A05126"/>
    <w:rsid w:val="00A05165"/>
    <w:rsid w:val="00A057A8"/>
    <w:rsid w:val="00A05B9C"/>
    <w:rsid w:val="00A0709E"/>
    <w:rsid w:val="00A11F42"/>
    <w:rsid w:val="00A12EA5"/>
    <w:rsid w:val="00A13791"/>
    <w:rsid w:val="00A13E9D"/>
    <w:rsid w:val="00A13F81"/>
    <w:rsid w:val="00A141DB"/>
    <w:rsid w:val="00A14836"/>
    <w:rsid w:val="00A14C6C"/>
    <w:rsid w:val="00A14F42"/>
    <w:rsid w:val="00A15D28"/>
    <w:rsid w:val="00A16F39"/>
    <w:rsid w:val="00A17302"/>
    <w:rsid w:val="00A177F0"/>
    <w:rsid w:val="00A20586"/>
    <w:rsid w:val="00A210F0"/>
    <w:rsid w:val="00A22131"/>
    <w:rsid w:val="00A2267A"/>
    <w:rsid w:val="00A235A7"/>
    <w:rsid w:val="00A23AD5"/>
    <w:rsid w:val="00A2529A"/>
    <w:rsid w:val="00A270ED"/>
    <w:rsid w:val="00A273DC"/>
    <w:rsid w:val="00A276D6"/>
    <w:rsid w:val="00A3054F"/>
    <w:rsid w:val="00A30899"/>
    <w:rsid w:val="00A32213"/>
    <w:rsid w:val="00A332EF"/>
    <w:rsid w:val="00A334A3"/>
    <w:rsid w:val="00A33BC4"/>
    <w:rsid w:val="00A33CD9"/>
    <w:rsid w:val="00A33F46"/>
    <w:rsid w:val="00A340C7"/>
    <w:rsid w:val="00A352C2"/>
    <w:rsid w:val="00A35F23"/>
    <w:rsid w:val="00A3608A"/>
    <w:rsid w:val="00A36A43"/>
    <w:rsid w:val="00A36AD7"/>
    <w:rsid w:val="00A40786"/>
    <w:rsid w:val="00A42B1A"/>
    <w:rsid w:val="00A43FFC"/>
    <w:rsid w:val="00A442D0"/>
    <w:rsid w:val="00A446E2"/>
    <w:rsid w:val="00A450A6"/>
    <w:rsid w:val="00A45762"/>
    <w:rsid w:val="00A45B87"/>
    <w:rsid w:val="00A46D40"/>
    <w:rsid w:val="00A46F6B"/>
    <w:rsid w:val="00A47578"/>
    <w:rsid w:val="00A478D1"/>
    <w:rsid w:val="00A47B2A"/>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1F33"/>
    <w:rsid w:val="00A62293"/>
    <w:rsid w:val="00A64697"/>
    <w:rsid w:val="00A6512A"/>
    <w:rsid w:val="00A663D7"/>
    <w:rsid w:val="00A6673B"/>
    <w:rsid w:val="00A66B6F"/>
    <w:rsid w:val="00A66F29"/>
    <w:rsid w:val="00A67C2D"/>
    <w:rsid w:val="00A70014"/>
    <w:rsid w:val="00A7136D"/>
    <w:rsid w:val="00A743BD"/>
    <w:rsid w:val="00A753F2"/>
    <w:rsid w:val="00A7572B"/>
    <w:rsid w:val="00A759BF"/>
    <w:rsid w:val="00A77381"/>
    <w:rsid w:val="00A77A1A"/>
    <w:rsid w:val="00A80007"/>
    <w:rsid w:val="00A81A47"/>
    <w:rsid w:val="00A81E17"/>
    <w:rsid w:val="00A8295E"/>
    <w:rsid w:val="00A83AF9"/>
    <w:rsid w:val="00A84D67"/>
    <w:rsid w:val="00A8587C"/>
    <w:rsid w:val="00A85E7C"/>
    <w:rsid w:val="00A860E1"/>
    <w:rsid w:val="00A86175"/>
    <w:rsid w:val="00A867EB"/>
    <w:rsid w:val="00A86BA8"/>
    <w:rsid w:val="00A87263"/>
    <w:rsid w:val="00A901E0"/>
    <w:rsid w:val="00A918C7"/>
    <w:rsid w:val="00A930B0"/>
    <w:rsid w:val="00A95282"/>
    <w:rsid w:val="00A963A5"/>
    <w:rsid w:val="00A97513"/>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A7B04"/>
    <w:rsid w:val="00AB1695"/>
    <w:rsid w:val="00AB1B33"/>
    <w:rsid w:val="00AB1EC7"/>
    <w:rsid w:val="00AB28E5"/>
    <w:rsid w:val="00AB2B09"/>
    <w:rsid w:val="00AB2BDD"/>
    <w:rsid w:val="00AB4BC0"/>
    <w:rsid w:val="00AB5052"/>
    <w:rsid w:val="00AB52F3"/>
    <w:rsid w:val="00AB69EE"/>
    <w:rsid w:val="00AC1954"/>
    <w:rsid w:val="00AC2CA3"/>
    <w:rsid w:val="00AC3257"/>
    <w:rsid w:val="00AC406C"/>
    <w:rsid w:val="00AC4CDD"/>
    <w:rsid w:val="00AC500E"/>
    <w:rsid w:val="00AC7454"/>
    <w:rsid w:val="00AC7D16"/>
    <w:rsid w:val="00AC7D2C"/>
    <w:rsid w:val="00AD0941"/>
    <w:rsid w:val="00AD1CB9"/>
    <w:rsid w:val="00AD319D"/>
    <w:rsid w:val="00AD3649"/>
    <w:rsid w:val="00AD49F3"/>
    <w:rsid w:val="00AD5AB0"/>
    <w:rsid w:val="00AD6150"/>
    <w:rsid w:val="00AD77C1"/>
    <w:rsid w:val="00AE10DE"/>
    <w:rsid w:val="00AE2798"/>
    <w:rsid w:val="00AE3142"/>
    <w:rsid w:val="00AE3214"/>
    <w:rsid w:val="00AE3377"/>
    <w:rsid w:val="00AE3A4A"/>
    <w:rsid w:val="00AE3BD5"/>
    <w:rsid w:val="00AE424D"/>
    <w:rsid w:val="00AE4A88"/>
    <w:rsid w:val="00AE70B4"/>
    <w:rsid w:val="00AF0071"/>
    <w:rsid w:val="00AF007D"/>
    <w:rsid w:val="00AF11F1"/>
    <w:rsid w:val="00AF2D89"/>
    <w:rsid w:val="00AF4551"/>
    <w:rsid w:val="00AF6C6D"/>
    <w:rsid w:val="00AF70A5"/>
    <w:rsid w:val="00AF7A0B"/>
    <w:rsid w:val="00B0001B"/>
    <w:rsid w:val="00B011A0"/>
    <w:rsid w:val="00B02080"/>
    <w:rsid w:val="00B02419"/>
    <w:rsid w:val="00B030B3"/>
    <w:rsid w:val="00B04987"/>
    <w:rsid w:val="00B04A5F"/>
    <w:rsid w:val="00B0685A"/>
    <w:rsid w:val="00B068FE"/>
    <w:rsid w:val="00B07342"/>
    <w:rsid w:val="00B07D82"/>
    <w:rsid w:val="00B07F02"/>
    <w:rsid w:val="00B10107"/>
    <w:rsid w:val="00B1010B"/>
    <w:rsid w:val="00B10AFE"/>
    <w:rsid w:val="00B11C43"/>
    <w:rsid w:val="00B12373"/>
    <w:rsid w:val="00B132DC"/>
    <w:rsid w:val="00B13B66"/>
    <w:rsid w:val="00B145BB"/>
    <w:rsid w:val="00B14A33"/>
    <w:rsid w:val="00B14E1C"/>
    <w:rsid w:val="00B16CF0"/>
    <w:rsid w:val="00B21BB2"/>
    <w:rsid w:val="00B224F2"/>
    <w:rsid w:val="00B25881"/>
    <w:rsid w:val="00B266E8"/>
    <w:rsid w:val="00B3014E"/>
    <w:rsid w:val="00B307B3"/>
    <w:rsid w:val="00B311F0"/>
    <w:rsid w:val="00B318A9"/>
    <w:rsid w:val="00B328C3"/>
    <w:rsid w:val="00B329C6"/>
    <w:rsid w:val="00B33C3B"/>
    <w:rsid w:val="00B33D65"/>
    <w:rsid w:val="00B34328"/>
    <w:rsid w:val="00B343F4"/>
    <w:rsid w:val="00B34A73"/>
    <w:rsid w:val="00B3549C"/>
    <w:rsid w:val="00B35D9E"/>
    <w:rsid w:val="00B36FA6"/>
    <w:rsid w:val="00B416F0"/>
    <w:rsid w:val="00B41FD3"/>
    <w:rsid w:val="00B42046"/>
    <w:rsid w:val="00B43466"/>
    <w:rsid w:val="00B451A5"/>
    <w:rsid w:val="00B45EE1"/>
    <w:rsid w:val="00B46733"/>
    <w:rsid w:val="00B5120B"/>
    <w:rsid w:val="00B54024"/>
    <w:rsid w:val="00B54E92"/>
    <w:rsid w:val="00B572B5"/>
    <w:rsid w:val="00B60297"/>
    <w:rsid w:val="00B60E64"/>
    <w:rsid w:val="00B617F9"/>
    <w:rsid w:val="00B63250"/>
    <w:rsid w:val="00B64C27"/>
    <w:rsid w:val="00B64E88"/>
    <w:rsid w:val="00B66A92"/>
    <w:rsid w:val="00B66BD0"/>
    <w:rsid w:val="00B67376"/>
    <w:rsid w:val="00B70EBF"/>
    <w:rsid w:val="00B72700"/>
    <w:rsid w:val="00B73746"/>
    <w:rsid w:val="00B749EA"/>
    <w:rsid w:val="00B7631C"/>
    <w:rsid w:val="00B76BB7"/>
    <w:rsid w:val="00B80059"/>
    <w:rsid w:val="00B80288"/>
    <w:rsid w:val="00B80594"/>
    <w:rsid w:val="00B80609"/>
    <w:rsid w:val="00B80B7C"/>
    <w:rsid w:val="00B82D1A"/>
    <w:rsid w:val="00B83F3F"/>
    <w:rsid w:val="00B8400B"/>
    <w:rsid w:val="00B8416D"/>
    <w:rsid w:val="00B84DC3"/>
    <w:rsid w:val="00B85438"/>
    <w:rsid w:val="00B86834"/>
    <w:rsid w:val="00B86FAE"/>
    <w:rsid w:val="00B90346"/>
    <w:rsid w:val="00B90C20"/>
    <w:rsid w:val="00B90CB5"/>
    <w:rsid w:val="00B9185D"/>
    <w:rsid w:val="00B92777"/>
    <w:rsid w:val="00B92BB0"/>
    <w:rsid w:val="00B93D0F"/>
    <w:rsid w:val="00B95087"/>
    <w:rsid w:val="00B95789"/>
    <w:rsid w:val="00B96F9D"/>
    <w:rsid w:val="00B9736E"/>
    <w:rsid w:val="00BA0C4C"/>
    <w:rsid w:val="00BA0EBB"/>
    <w:rsid w:val="00BA35F8"/>
    <w:rsid w:val="00BA422E"/>
    <w:rsid w:val="00BA46B1"/>
    <w:rsid w:val="00BA4907"/>
    <w:rsid w:val="00BA59EB"/>
    <w:rsid w:val="00BA5B5B"/>
    <w:rsid w:val="00BA69D3"/>
    <w:rsid w:val="00BB0971"/>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54"/>
    <w:rsid w:val="00BC5BAA"/>
    <w:rsid w:val="00BD10A7"/>
    <w:rsid w:val="00BD1584"/>
    <w:rsid w:val="00BD1CFF"/>
    <w:rsid w:val="00BD24F1"/>
    <w:rsid w:val="00BD3534"/>
    <w:rsid w:val="00BD608A"/>
    <w:rsid w:val="00BD793A"/>
    <w:rsid w:val="00BD7A36"/>
    <w:rsid w:val="00BD7E00"/>
    <w:rsid w:val="00BE473C"/>
    <w:rsid w:val="00BE4B9E"/>
    <w:rsid w:val="00BE6AC4"/>
    <w:rsid w:val="00BE6E00"/>
    <w:rsid w:val="00BF0C32"/>
    <w:rsid w:val="00BF0F25"/>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5653"/>
    <w:rsid w:val="00C06D24"/>
    <w:rsid w:val="00C0722B"/>
    <w:rsid w:val="00C07802"/>
    <w:rsid w:val="00C07EA0"/>
    <w:rsid w:val="00C100AC"/>
    <w:rsid w:val="00C106CB"/>
    <w:rsid w:val="00C1091E"/>
    <w:rsid w:val="00C12B9B"/>
    <w:rsid w:val="00C12F0F"/>
    <w:rsid w:val="00C131E4"/>
    <w:rsid w:val="00C13FE9"/>
    <w:rsid w:val="00C14323"/>
    <w:rsid w:val="00C14807"/>
    <w:rsid w:val="00C150A9"/>
    <w:rsid w:val="00C151ED"/>
    <w:rsid w:val="00C156F7"/>
    <w:rsid w:val="00C167E9"/>
    <w:rsid w:val="00C1708E"/>
    <w:rsid w:val="00C170A1"/>
    <w:rsid w:val="00C173D4"/>
    <w:rsid w:val="00C17BEA"/>
    <w:rsid w:val="00C2008B"/>
    <w:rsid w:val="00C20E3C"/>
    <w:rsid w:val="00C2142A"/>
    <w:rsid w:val="00C21642"/>
    <w:rsid w:val="00C21DB4"/>
    <w:rsid w:val="00C223C7"/>
    <w:rsid w:val="00C22792"/>
    <w:rsid w:val="00C23186"/>
    <w:rsid w:val="00C23B6D"/>
    <w:rsid w:val="00C23CB8"/>
    <w:rsid w:val="00C23F6D"/>
    <w:rsid w:val="00C24459"/>
    <w:rsid w:val="00C24984"/>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01B1"/>
    <w:rsid w:val="00C51086"/>
    <w:rsid w:val="00C517D6"/>
    <w:rsid w:val="00C51C1B"/>
    <w:rsid w:val="00C53D72"/>
    <w:rsid w:val="00C54069"/>
    <w:rsid w:val="00C57A31"/>
    <w:rsid w:val="00C60D60"/>
    <w:rsid w:val="00C613F3"/>
    <w:rsid w:val="00C61779"/>
    <w:rsid w:val="00C620FD"/>
    <w:rsid w:val="00C622B3"/>
    <w:rsid w:val="00C62C1B"/>
    <w:rsid w:val="00C62E9A"/>
    <w:rsid w:val="00C644A4"/>
    <w:rsid w:val="00C700A2"/>
    <w:rsid w:val="00C702BB"/>
    <w:rsid w:val="00C71770"/>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87044"/>
    <w:rsid w:val="00C9026A"/>
    <w:rsid w:val="00C9062C"/>
    <w:rsid w:val="00C9084A"/>
    <w:rsid w:val="00C90B14"/>
    <w:rsid w:val="00C9293B"/>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5F6E"/>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3D39"/>
    <w:rsid w:val="00CC4C32"/>
    <w:rsid w:val="00CC60E6"/>
    <w:rsid w:val="00CC73FC"/>
    <w:rsid w:val="00CC74D1"/>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0037"/>
    <w:rsid w:val="00CF17D7"/>
    <w:rsid w:val="00CF29D2"/>
    <w:rsid w:val="00CF2C30"/>
    <w:rsid w:val="00CF306A"/>
    <w:rsid w:val="00CF31A7"/>
    <w:rsid w:val="00CF3C75"/>
    <w:rsid w:val="00CF46B2"/>
    <w:rsid w:val="00CF4BD1"/>
    <w:rsid w:val="00CF66B5"/>
    <w:rsid w:val="00D00B5A"/>
    <w:rsid w:val="00D01084"/>
    <w:rsid w:val="00D01712"/>
    <w:rsid w:val="00D01FB9"/>
    <w:rsid w:val="00D0274E"/>
    <w:rsid w:val="00D03534"/>
    <w:rsid w:val="00D0488C"/>
    <w:rsid w:val="00D0594D"/>
    <w:rsid w:val="00D06296"/>
    <w:rsid w:val="00D06A7C"/>
    <w:rsid w:val="00D06CB2"/>
    <w:rsid w:val="00D07F77"/>
    <w:rsid w:val="00D121CF"/>
    <w:rsid w:val="00D126C3"/>
    <w:rsid w:val="00D12AB6"/>
    <w:rsid w:val="00D12AD3"/>
    <w:rsid w:val="00D12DAF"/>
    <w:rsid w:val="00D1314A"/>
    <w:rsid w:val="00D1326E"/>
    <w:rsid w:val="00D1379B"/>
    <w:rsid w:val="00D15CF3"/>
    <w:rsid w:val="00D162AB"/>
    <w:rsid w:val="00D1728E"/>
    <w:rsid w:val="00D2098D"/>
    <w:rsid w:val="00D217E1"/>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062A"/>
    <w:rsid w:val="00D31203"/>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1F9E"/>
    <w:rsid w:val="00D52702"/>
    <w:rsid w:val="00D5274A"/>
    <w:rsid w:val="00D527FA"/>
    <w:rsid w:val="00D53454"/>
    <w:rsid w:val="00D53A53"/>
    <w:rsid w:val="00D55DF4"/>
    <w:rsid w:val="00D5649D"/>
    <w:rsid w:val="00D603D3"/>
    <w:rsid w:val="00D6096D"/>
    <w:rsid w:val="00D60F06"/>
    <w:rsid w:val="00D61481"/>
    <w:rsid w:val="00D6268C"/>
    <w:rsid w:val="00D63B0D"/>
    <w:rsid w:val="00D64669"/>
    <w:rsid w:val="00D648F5"/>
    <w:rsid w:val="00D658A1"/>
    <w:rsid w:val="00D6607E"/>
    <w:rsid w:val="00D66716"/>
    <w:rsid w:val="00D667AA"/>
    <w:rsid w:val="00D66A5D"/>
    <w:rsid w:val="00D700FC"/>
    <w:rsid w:val="00D70263"/>
    <w:rsid w:val="00D744FF"/>
    <w:rsid w:val="00D755C5"/>
    <w:rsid w:val="00D76974"/>
    <w:rsid w:val="00D81003"/>
    <w:rsid w:val="00D810C3"/>
    <w:rsid w:val="00D82695"/>
    <w:rsid w:val="00D82828"/>
    <w:rsid w:val="00D82BE4"/>
    <w:rsid w:val="00D8333C"/>
    <w:rsid w:val="00D84468"/>
    <w:rsid w:val="00D8468F"/>
    <w:rsid w:val="00D84B96"/>
    <w:rsid w:val="00D85101"/>
    <w:rsid w:val="00D85B72"/>
    <w:rsid w:val="00D86445"/>
    <w:rsid w:val="00D86519"/>
    <w:rsid w:val="00D86A52"/>
    <w:rsid w:val="00D86A70"/>
    <w:rsid w:val="00D878CB"/>
    <w:rsid w:val="00D87F26"/>
    <w:rsid w:val="00D9004F"/>
    <w:rsid w:val="00D905E0"/>
    <w:rsid w:val="00D91BC3"/>
    <w:rsid w:val="00D923E9"/>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2A9"/>
    <w:rsid w:val="00DF379D"/>
    <w:rsid w:val="00DF3ABA"/>
    <w:rsid w:val="00DF3E85"/>
    <w:rsid w:val="00DF53AC"/>
    <w:rsid w:val="00DF58DD"/>
    <w:rsid w:val="00DF5A86"/>
    <w:rsid w:val="00DF6990"/>
    <w:rsid w:val="00DF6DB9"/>
    <w:rsid w:val="00DF7649"/>
    <w:rsid w:val="00DF7A39"/>
    <w:rsid w:val="00DF7B01"/>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2B1"/>
    <w:rsid w:val="00E20CD8"/>
    <w:rsid w:val="00E227A1"/>
    <w:rsid w:val="00E22856"/>
    <w:rsid w:val="00E234C7"/>
    <w:rsid w:val="00E24137"/>
    <w:rsid w:val="00E24E43"/>
    <w:rsid w:val="00E2603D"/>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4D4"/>
    <w:rsid w:val="00E46E7D"/>
    <w:rsid w:val="00E47748"/>
    <w:rsid w:val="00E4788C"/>
    <w:rsid w:val="00E51573"/>
    <w:rsid w:val="00E5168C"/>
    <w:rsid w:val="00E51F94"/>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4E7B"/>
    <w:rsid w:val="00E860EA"/>
    <w:rsid w:val="00E86315"/>
    <w:rsid w:val="00E86340"/>
    <w:rsid w:val="00E90379"/>
    <w:rsid w:val="00E909E2"/>
    <w:rsid w:val="00E9143E"/>
    <w:rsid w:val="00E91440"/>
    <w:rsid w:val="00E91D94"/>
    <w:rsid w:val="00E92E3E"/>
    <w:rsid w:val="00E93854"/>
    <w:rsid w:val="00E940DF"/>
    <w:rsid w:val="00E94154"/>
    <w:rsid w:val="00E947DE"/>
    <w:rsid w:val="00E97ACF"/>
    <w:rsid w:val="00EA2EE1"/>
    <w:rsid w:val="00EA339B"/>
    <w:rsid w:val="00EA3F3F"/>
    <w:rsid w:val="00EA3F88"/>
    <w:rsid w:val="00EA630C"/>
    <w:rsid w:val="00EA6568"/>
    <w:rsid w:val="00EA77B0"/>
    <w:rsid w:val="00EB0C28"/>
    <w:rsid w:val="00EB2785"/>
    <w:rsid w:val="00EB5ECF"/>
    <w:rsid w:val="00EB60CD"/>
    <w:rsid w:val="00EB6A20"/>
    <w:rsid w:val="00EB7F64"/>
    <w:rsid w:val="00EC030F"/>
    <w:rsid w:val="00EC1B93"/>
    <w:rsid w:val="00EC2827"/>
    <w:rsid w:val="00EC2C14"/>
    <w:rsid w:val="00EC2C30"/>
    <w:rsid w:val="00EC3422"/>
    <w:rsid w:val="00EC3FCB"/>
    <w:rsid w:val="00EC45E9"/>
    <w:rsid w:val="00EC4CF2"/>
    <w:rsid w:val="00EC4D93"/>
    <w:rsid w:val="00EC4E6F"/>
    <w:rsid w:val="00EC6544"/>
    <w:rsid w:val="00EC6F1E"/>
    <w:rsid w:val="00ED009A"/>
    <w:rsid w:val="00ED09F6"/>
    <w:rsid w:val="00ED1434"/>
    <w:rsid w:val="00ED1F3E"/>
    <w:rsid w:val="00ED229A"/>
    <w:rsid w:val="00ED6277"/>
    <w:rsid w:val="00ED6D08"/>
    <w:rsid w:val="00ED6FE2"/>
    <w:rsid w:val="00ED7412"/>
    <w:rsid w:val="00ED7455"/>
    <w:rsid w:val="00ED76D2"/>
    <w:rsid w:val="00EE00B8"/>
    <w:rsid w:val="00EE2696"/>
    <w:rsid w:val="00EE5727"/>
    <w:rsid w:val="00EE5B34"/>
    <w:rsid w:val="00EE6CA0"/>
    <w:rsid w:val="00EE76BD"/>
    <w:rsid w:val="00EE771E"/>
    <w:rsid w:val="00EF2098"/>
    <w:rsid w:val="00EF31F8"/>
    <w:rsid w:val="00EF662C"/>
    <w:rsid w:val="00EF6BC2"/>
    <w:rsid w:val="00EF77D5"/>
    <w:rsid w:val="00EF77D7"/>
    <w:rsid w:val="00EF7B4B"/>
    <w:rsid w:val="00F02AF4"/>
    <w:rsid w:val="00F033FF"/>
    <w:rsid w:val="00F054BF"/>
    <w:rsid w:val="00F05E14"/>
    <w:rsid w:val="00F063BE"/>
    <w:rsid w:val="00F06923"/>
    <w:rsid w:val="00F06CBE"/>
    <w:rsid w:val="00F06DE0"/>
    <w:rsid w:val="00F0756A"/>
    <w:rsid w:val="00F101E3"/>
    <w:rsid w:val="00F10F54"/>
    <w:rsid w:val="00F124B4"/>
    <w:rsid w:val="00F13DB0"/>
    <w:rsid w:val="00F1460A"/>
    <w:rsid w:val="00F148E9"/>
    <w:rsid w:val="00F1522F"/>
    <w:rsid w:val="00F1797F"/>
    <w:rsid w:val="00F20010"/>
    <w:rsid w:val="00F20681"/>
    <w:rsid w:val="00F21015"/>
    <w:rsid w:val="00F21A85"/>
    <w:rsid w:val="00F229D3"/>
    <w:rsid w:val="00F231BC"/>
    <w:rsid w:val="00F232E7"/>
    <w:rsid w:val="00F2347A"/>
    <w:rsid w:val="00F23C45"/>
    <w:rsid w:val="00F2424E"/>
    <w:rsid w:val="00F25D8A"/>
    <w:rsid w:val="00F26F4A"/>
    <w:rsid w:val="00F273FF"/>
    <w:rsid w:val="00F27448"/>
    <w:rsid w:val="00F30358"/>
    <w:rsid w:val="00F30F33"/>
    <w:rsid w:val="00F31806"/>
    <w:rsid w:val="00F32DD2"/>
    <w:rsid w:val="00F33C09"/>
    <w:rsid w:val="00F350C0"/>
    <w:rsid w:val="00F356A6"/>
    <w:rsid w:val="00F35FA2"/>
    <w:rsid w:val="00F360A2"/>
    <w:rsid w:val="00F36D5B"/>
    <w:rsid w:val="00F37CE3"/>
    <w:rsid w:val="00F37DEF"/>
    <w:rsid w:val="00F413E1"/>
    <w:rsid w:val="00F41CCE"/>
    <w:rsid w:val="00F420BF"/>
    <w:rsid w:val="00F43BE7"/>
    <w:rsid w:val="00F45CD9"/>
    <w:rsid w:val="00F46A1B"/>
    <w:rsid w:val="00F4754B"/>
    <w:rsid w:val="00F477BE"/>
    <w:rsid w:val="00F50951"/>
    <w:rsid w:val="00F50AD6"/>
    <w:rsid w:val="00F522ED"/>
    <w:rsid w:val="00F56B61"/>
    <w:rsid w:val="00F573EA"/>
    <w:rsid w:val="00F57807"/>
    <w:rsid w:val="00F60270"/>
    <w:rsid w:val="00F624B0"/>
    <w:rsid w:val="00F62568"/>
    <w:rsid w:val="00F62C28"/>
    <w:rsid w:val="00F62ED1"/>
    <w:rsid w:val="00F64257"/>
    <w:rsid w:val="00F64530"/>
    <w:rsid w:val="00F662DC"/>
    <w:rsid w:val="00F671B2"/>
    <w:rsid w:val="00F67941"/>
    <w:rsid w:val="00F67A47"/>
    <w:rsid w:val="00F67B96"/>
    <w:rsid w:val="00F70A83"/>
    <w:rsid w:val="00F70E9A"/>
    <w:rsid w:val="00F71081"/>
    <w:rsid w:val="00F71479"/>
    <w:rsid w:val="00F71FE6"/>
    <w:rsid w:val="00F7244B"/>
    <w:rsid w:val="00F75CB4"/>
    <w:rsid w:val="00F760F4"/>
    <w:rsid w:val="00F76339"/>
    <w:rsid w:val="00F77BCC"/>
    <w:rsid w:val="00F77F20"/>
    <w:rsid w:val="00F8199C"/>
    <w:rsid w:val="00F8212C"/>
    <w:rsid w:val="00F82681"/>
    <w:rsid w:val="00F82A48"/>
    <w:rsid w:val="00F82D6D"/>
    <w:rsid w:val="00F83EAF"/>
    <w:rsid w:val="00F86377"/>
    <w:rsid w:val="00F86A1F"/>
    <w:rsid w:val="00F86BA8"/>
    <w:rsid w:val="00F873CC"/>
    <w:rsid w:val="00F878FF"/>
    <w:rsid w:val="00F90BC8"/>
    <w:rsid w:val="00F91CE8"/>
    <w:rsid w:val="00F922EC"/>
    <w:rsid w:val="00F93012"/>
    <w:rsid w:val="00F95821"/>
    <w:rsid w:val="00F966CA"/>
    <w:rsid w:val="00F96ECE"/>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2C90"/>
    <w:rsid w:val="00FE3696"/>
    <w:rsid w:val="00FE3A1B"/>
    <w:rsid w:val="00FE476F"/>
    <w:rsid w:val="00FE4F22"/>
    <w:rsid w:val="00FE5A45"/>
    <w:rsid w:val="00FE69A6"/>
    <w:rsid w:val="00FE78CD"/>
    <w:rsid w:val="00FF01D7"/>
    <w:rsid w:val="00FF0397"/>
    <w:rsid w:val="00FF096F"/>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de-DE"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de-DE"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de-DE" w:eastAsia="en-US"/>
    </w:rPr>
  </w:style>
  <w:style w:type="paragraph" w:customStyle="1" w:styleId="numberedparagraph">
    <w:name w:val="numbered paragraph"/>
    <w:basedOn w:val="Normal"/>
    <w:qFormat/>
    <w:rsid w:val="00C46DA4"/>
    <w:pPr>
      <w:numPr>
        <w:numId w:val="29"/>
      </w:numPr>
      <w:spacing w:before="240" w:after="120" w:line="276" w:lineRule="auto"/>
      <w:jc w:val="both"/>
    </w:pPr>
    <w:rPr>
      <w:rFonts w:asciiTheme="minorHAnsi" w:eastAsiaTheme="minorEastAsia" w:hAnsiTheme="minorHAnsi" w:cstheme="minorBidi"/>
      <w:color w:val="auto"/>
      <w:sz w:val="22"/>
      <w:szCs w:val="24"/>
    </w:rPr>
  </w:style>
  <w:style w:type="character" w:customStyle="1" w:styleId="ui-provider">
    <w:name w:val="ui-provider"/>
    <w:basedOn w:val="DefaultParagraphFont"/>
    <w:rsid w:val="00B14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896547248">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eader" Target="header6.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121338-5B27-4588-8ADC-122A9040177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82E38025-4FD0-4278-87FD-11F2FDCC0683}">
  <ds:schemaRefs>
    <ds:schemaRef ds:uri="http://schemas.openxmlformats.org/officeDocument/2006/bibliography"/>
  </ds:schemaRefs>
</ds:datastoreItem>
</file>

<file path=customXml/itemProps3.xml><?xml version="1.0" encoding="utf-8"?>
<ds:datastoreItem xmlns:ds="http://schemas.openxmlformats.org/officeDocument/2006/customXml" ds:itemID="{AEFB1D3A-7F75-429B-AB78-772553DAF9BC}">
  <ds:schemaRefs>
    <ds:schemaRef ds:uri="http://schemas.openxmlformats.org/officeDocument/2006/bibliography"/>
  </ds:schemaRefs>
</ds:datastoreItem>
</file>

<file path=customXml/itemProps4.xml><?xml version="1.0" encoding="utf-8"?>
<ds:datastoreItem xmlns:ds="http://schemas.openxmlformats.org/officeDocument/2006/customXml" ds:itemID="{1CE63309-9C33-43A3-B40C-F645D01CCBEA}">
  <ds:schemaRefs>
    <ds:schemaRef ds:uri="http://schemas.openxmlformats.org/officeDocument/2006/bibliography"/>
  </ds:schemaRefs>
</ds:datastoreItem>
</file>

<file path=customXml/itemProps5.xml><?xml version="1.0" encoding="utf-8"?>
<ds:datastoreItem xmlns:ds="http://schemas.openxmlformats.org/officeDocument/2006/customXml" ds:itemID="{E3D431C6-78E5-4CC8-BE43-2BAF7E2C1B09}"/>
</file>

<file path=customXml/itemProps6.xml><?xml version="1.0" encoding="utf-8"?>
<ds:datastoreItem xmlns:ds="http://schemas.openxmlformats.org/officeDocument/2006/customXml" ds:itemID="{5E08750D-20FD-479F-A75B-241E813E63F3}">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80</Pages>
  <Words>20633</Words>
  <Characters>147416</Characters>
  <Application>Microsoft Office Word</Application>
  <DocSecurity>0</DocSecurity>
  <Lines>3275</Lines>
  <Paragraphs>1474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166575</CharactersWithSpaces>
  <SharedDoc>false</SharedDoc>
  <HLinks>
    <vt:vector size="96" baseType="variant">
      <vt:variant>
        <vt:i4>1835061</vt:i4>
      </vt:variant>
      <vt:variant>
        <vt:i4>92</vt:i4>
      </vt:variant>
      <vt:variant>
        <vt:i4>0</vt:i4>
      </vt:variant>
      <vt:variant>
        <vt:i4>5</vt:i4>
      </vt:variant>
      <vt:variant>
        <vt:lpwstr/>
      </vt:variant>
      <vt:variant>
        <vt:lpwstr>_Toc52461758</vt:lpwstr>
      </vt:variant>
      <vt:variant>
        <vt:i4>1245237</vt:i4>
      </vt:variant>
      <vt:variant>
        <vt:i4>86</vt:i4>
      </vt:variant>
      <vt:variant>
        <vt:i4>0</vt:i4>
      </vt:variant>
      <vt:variant>
        <vt:i4>5</vt:i4>
      </vt:variant>
      <vt:variant>
        <vt:lpwstr/>
      </vt:variant>
      <vt:variant>
        <vt:lpwstr>_Toc52461757</vt:lpwstr>
      </vt:variant>
      <vt:variant>
        <vt:i4>1179701</vt:i4>
      </vt:variant>
      <vt:variant>
        <vt:i4>80</vt:i4>
      </vt:variant>
      <vt:variant>
        <vt:i4>0</vt:i4>
      </vt:variant>
      <vt:variant>
        <vt:i4>5</vt:i4>
      </vt:variant>
      <vt:variant>
        <vt:lpwstr/>
      </vt:variant>
      <vt:variant>
        <vt:lpwstr>_Toc52461756</vt:lpwstr>
      </vt:variant>
      <vt:variant>
        <vt:i4>1114165</vt:i4>
      </vt:variant>
      <vt:variant>
        <vt:i4>74</vt:i4>
      </vt:variant>
      <vt:variant>
        <vt:i4>0</vt:i4>
      </vt:variant>
      <vt:variant>
        <vt:i4>5</vt:i4>
      </vt:variant>
      <vt:variant>
        <vt:lpwstr/>
      </vt:variant>
      <vt:variant>
        <vt:lpwstr>_Toc52461755</vt:lpwstr>
      </vt:variant>
      <vt:variant>
        <vt:i4>1048629</vt:i4>
      </vt:variant>
      <vt:variant>
        <vt:i4>68</vt:i4>
      </vt:variant>
      <vt:variant>
        <vt:i4>0</vt:i4>
      </vt:variant>
      <vt:variant>
        <vt:i4>5</vt:i4>
      </vt:variant>
      <vt:variant>
        <vt:lpwstr/>
      </vt:variant>
      <vt:variant>
        <vt:lpwstr>_Toc52461754</vt:lpwstr>
      </vt:variant>
      <vt:variant>
        <vt:i4>1507381</vt:i4>
      </vt:variant>
      <vt:variant>
        <vt:i4>62</vt:i4>
      </vt:variant>
      <vt:variant>
        <vt:i4>0</vt:i4>
      </vt:variant>
      <vt:variant>
        <vt:i4>5</vt:i4>
      </vt:variant>
      <vt:variant>
        <vt:lpwstr/>
      </vt:variant>
      <vt:variant>
        <vt:lpwstr>_Toc52461753</vt:lpwstr>
      </vt:variant>
      <vt:variant>
        <vt:i4>1441845</vt:i4>
      </vt:variant>
      <vt:variant>
        <vt:i4>56</vt:i4>
      </vt:variant>
      <vt:variant>
        <vt:i4>0</vt:i4>
      </vt:variant>
      <vt:variant>
        <vt:i4>5</vt:i4>
      </vt:variant>
      <vt:variant>
        <vt:lpwstr/>
      </vt:variant>
      <vt:variant>
        <vt:lpwstr>_Toc52461752</vt:lpwstr>
      </vt:variant>
      <vt:variant>
        <vt:i4>1376309</vt:i4>
      </vt:variant>
      <vt:variant>
        <vt:i4>50</vt:i4>
      </vt:variant>
      <vt:variant>
        <vt:i4>0</vt:i4>
      </vt:variant>
      <vt:variant>
        <vt:i4>5</vt:i4>
      </vt:variant>
      <vt:variant>
        <vt:lpwstr/>
      </vt:variant>
      <vt:variant>
        <vt:lpwstr>_Toc52461751</vt:lpwstr>
      </vt:variant>
      <vt:variant>
        <vt:i4>1310773</vt:i4>
      </vt:variant>
      <vt:variant>
        <vt:i4>44</vt:i4>
      </vt:variant>
      <vt:variant>
        <vt:i4>0</vt:i4>
      </vt:variant>
      <vt:variant>
        <vt:i4>5</vt:i4>
      </vt:variant>
      <vt:variant>
        <vt:lpwstr/>
      </vt:variant>
      <vt:variant>
        <vt:lpwstr>_Toc52461750</vt:lpwstr>
      </vt:variant>
      <vt:variant>
        <vt:i4>1900596</vt:i4>
      </vt:variant>
      <vt:variant>
        <vt:i4>38</vt:i4>
      </vt:variant>
      <vt:variant>
        <vt:i4>0</vt:i4>
      </vt:variant>
      <vt:variant>
        <vt:i4>5</vt:i4>
      </vt:variant>
      <vt:variant>
        <vt:lpwstr/>
      </vt:variant>
      <vt:variant>
        <vt:lpwstr>_Toc52461749</vt:lpwstr>
      </vt:variant>
      <vt:variant>
        <vt:i4>1835060</vt:i4>
      </vt:variant>
      <vt:variant>
        <vt:i4>32</vt:i4>
      </vt:variant>
      <vt:variant>
        <vt:i4>0</vt:i4>
      </vt:variant>
      <vt:variant>
        <vt:i4>5</vt:i4>
      </vt:variant>
      <vt:variant>
        <vt:lpwstr/>
      </vt:variant>
      <vt:variant>
        <vt:lpwstr>_Toc52461748</vt:lpwstr>
      </vt:variant>
      <vt:variant>
        <vt:i4>1245236</vt:i4>
      </vt:variant>
      <vt:variant>
        <vt:i4>26</vt:i4>
      </vt:variant>
      <vt:variant>
        <vt:i4>0</vt:i4>
      </vt:variant>
      <vt:variant>
        <vt:i4>5</vt:i4>
      </vt:variant>
      <vt:variant>
        <vt:lpwstr/>
      </vt:variant>
      <vt:variant>
        <vt:lpwstr>_Toc52461747</vt:lpwstr>
      </vt:variant>
      <vt:variant>
        <vt:i4>1179700</vt:i4>
      </vt:variant>
      <vt:variant>
        <vt:i4>20</vt:i4>
      </vt:variant>
      <vt:variant>
        <vt:i4>0</vt:i4>
      </vt:variant>
      <vt:variant>
        <vt:i4>5</vt:i4>
      </vt:variant>
      <vt:variant>
        <vt:lpwstr/>
      </vt:variant>
      <vt:variant>
        <vt:lpwstr>_Toc52461746</vt:lpwstr>
      </vt:variant>
      <vt:variant>
        <vt:i4>1114164</vt:i4>
      </vt:variant>
      <vt:variant>
        <vt:i4>14</vt:i4>
      </vt:variant>
      <vt:variant>
        <vt:i4>0</vt:i4>
      </vt:variant>
      <vt:variant>
        <vt:i4>5</vt:i4>
      </vt:variant>
      <vt:variant>
        <vt:lpwstr/>
      </vt:variant>
      <vt:variant>
        <vt:lpwstr>_Toc52461745</vt:lpwstr>
      </vt:variant>
      <vt:variant>
        <vt:i4>1048628</vt:i4>
      </vt:variant>
      <vt:variant>
        <vt:i4>8</vt:i4>
      </vt:variant>
      <vt:variant>
        <vt:i4>0</vt:i4>
      </vt:variant>
      <vt:variant>
        <vt:i4>5</vt:i4>
      </vt:variant>
      <vt:variant>
        <vt:lpwstr/>
      </vt:variant>
      <vt:variant>
        <vt:lpwstr>_Toc52461744</vt:lpwstr>
      </vt:variant>
      <vt:variant>
        <vt:i4>1507380</vt:i4>
      </vt:variant>
      <vt:variant>
        <vt:i4>2</vt:i4>
      </vt:variant>
      <vt:variant>
        <vt:i4>0</vt:i4>
      </vt:variant>
      <vt:variant>
        <vt:i4>5</vt:i4>
      </vt:variant>
      <vt:variant>
        <vt:lpwstr/>
      </vt:variant>
      <vt:variant>
        <vt:lpwstr>_Toc52461743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2024-06-19T19:55:00Z</dcterms:created>
  <dcterms:modified xsi:type="dcterms:W3CDTF">2025-01-27T15:24:00Z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41badce7,1d2f1552,1dc33b2e,10f4dfb6,50263a1b,373719cd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2025-01-27T15:02:19Z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359db634-0b1f-4ec3-94ac-d6d288d11bbe</vt:lpwstr>
  </property>
  <property fmtid="{D5CDD505-2E9C-101B-9397-08002B2CF9AE}" pid="12" name="MSIP_Label_6bd9ddd1-4d20-43f6-abfa-fc3c07406f94_ContentBits">
    <vt:lpwstr>0</vt:lpwstr>
  </property>
</Properties>
</file>