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55CEC" w14:textId="77777777" w:rsidR="004B3EB4" w:rsidRDefault="004B3EB4" w:rsidP="004B3EB4">
      <w:pPr>
        <w:jc w:val="center"/>
        <w:rPr>
          <w:sz w:val="24"/>
          <w:szCs w:val="22"/>
          <w:rFonts w:ascii="Times New Roman" w:hAnsi="Times New Roman"/>
        </w:rPr>
      </w:pPr>
      <w:bookmarkStart w:id="0" w:name="_Toc360188413"/>
      <w:bookmarkStart w:id="1" w:name="_Toc473561053"/>
      <w:bookmarkStart w:id="2" w:name="_Toc117766050"/>
      <w:r>
        <w:rPr>
          <w:sz w:val="24"/>
          <w:rFonts w:ascii="Times New Roman" w:hAnsi="Times New Roman"/>
        </w:rPr>
        <w:t xml:space="preserve">LV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 PIELIKUMS</w:t>
      </w:r>
    </w:p>
    <w:p w14:paraId="025DAC25" w14:textId="77777777" w:rsidR="009A273F" w:rsidRPr="00037E7B" w:rsidRDefault="009A273F" w:rsidP="009A273F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“II PIELIKUMS</w:t>
      </w:r>
    </w:p>
    <w:p w14:paraId="5EA1A82F" w14:textId="77777777" w:rsidR="009A273F" w:rsidRPr="00037E7B" w:rsidRDefault="009A273F" w:rsidP="009A273F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NORĀDES PĀRSKATU SNIEGŠANAI PAR PAŠU KAPITĀLU UN PAŠU KAPITĀLA PRASĪBĀM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 DAĻA.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NORĀDĪJUMI SAISTĪBĀ AR VEIDNI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(..)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2A677E" w:rsidRDefault="00606FB5" w:rsidP="009A273F">
      <w:pPr>
        <w:spacing w:before="0" w:after="0"/>
        <w:jc w:val="left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5.8.</w:t>
      </w:r>
      <w:r>
        <w:rPr>
          <w:sz w:val="24"/>
          <w:rFonts w:ascii="Times New Roman" w:hAnsi="Times New Roman"/>
        </w:rPr>
        <w:tab/>
      </w:r>
      <w:r>
        <w:t xml:space="preserve">C 25.00 — KREDĪTA VĒRTĪBAS KOREKCIJAS RISKS</w:t>
      </w:r>
      <w:bookmarkEnd w:id="0"/>
      <w:r>
        <w:t xml:space="preserve"> (</w:t>
      </w:r>
      <w:r>
        <w:rPr>
          <w:i/>
          <w:iCs/>
        </w:rPr>
        <w:t xml:space="preserve">CVA</w:t>
      </w:r>
      <w:r>
        <w:t xml:space="preserve">)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sz w:val="24"/>
          <w:u w:val="none"/>
          <w:rFonts w:ascii="Times New Roman" w:hAnsi="Times New Roman"/>
        </w:rPr>
        <w:t xml:space="preserve">5.8.1.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Norādes par konkrētām pozīcijām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Slejas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0010.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CCR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darījuma vērtība</w:t>
            </w:r>
          </w:p>
          <w:p w14:paraId="06BD2F3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Darījumu partnera kredītriska (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CCR</w:t>
            </w:r>
            <w:r>
              <w:rPr>
                <w:sz w:val="24"/>
                <w:rFonts w:ascii="Times New Roman" w:hAnsi="Times New Roman"/>
              </w:rPr>
              <w:t xml:space="preserve">) riska darījuma vērtība, kas aprēķināta saskaņā ar metodēm, kuras noteiktas Regulas (ES) Nr. 575/2013 Trešās daļas II sadaļas 4. un 6. nodaļā.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0020.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Kopējās pašu kapitāla prasības </w:t>
            </w:r>
            <w:r>
              <w:rPr>
                <w:b/>
                <w:sz w:val="24"/>
                <w:u w:val="single"/>
                <w:b/>
                <w:bCs/>
                <w:i/>
                <w:iCs/>
                <w:rFonts w:ascii="Times New Roman" w:hAnsi="Times New Roman"/>
              </w:rPr>
              <w:t xml:space="preserve">CCR</w:t>
            </w:r>
          </w:p>
          <w:p w14:paraId="0F0016B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CCR</w:t>
            </w:r>
            <w:r>
              <w:rPr>
                <w:sz w:val="24"/>
                <w:rFonts w:ascii="Times New Roman" w:hAnsi="Times New Roman"/>
              </w:rPr>
              <w:t xml:space="preserve"> (Regulas (ES) Nr. 575/2013 92. panta 4. punkta a) un g) apakšpunkts un Trešās daļas VI sadaļa).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0030.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Nosacītā summa</w:t>
            </w:r>
          </w:p>
          <w:p w14:paraId="3D1812D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Nosacīto summu kopsumma par atvasinātajiem instrumentiem pirms savstarpējiem prasījumiem un korekcijām saskaņā ar Regulas (ES) Nr. 575/2013 279.b pantu.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0040.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Radusies kredīta vērtības korekcija</w:t>
            </w:r>
          </w:p>
          <w:p w14:paraId="736FE6AE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Grāmatvedības uzkrājumi saistībā ar atvasināto instrumentu darījumu partneru kredītspējas samazināšanos.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0050.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Vienkāršots režīms KIU atvasināto instrumentu pozīcijām</w:t>
            </w:r>
          </w:p>
          <w:p w14:paraId="5D30B96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(Regulas (ES) Nr. 575/2013 92. panta 4. punkta d) apakšpunkts un Trešās daļas VI sadaļa), kas aprēķinātas saskaņā ar vienkāršotu procedūru KIU atvasināto instrumentu pozīcijām, kā definēts Regulas (ES) Nr. 575/2013 132.a panta 3. punktā, 152. panta 3. punktā un 325.j panta 1. punktā.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0060.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Vienkāršotā pieeja</w:t>
            </w:r>
          </w:p>
          <w:p w14:paraId="004D4F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darījumiem, kuriem piemēro Regulas (ES) Nr. 575/2013 385. pantā minēto vienkāršoto pieeju.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0070.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Samazināta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BA-CVA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pieeja</w:t>
            </w:r>
          </w:p>
          <w:p w14:paraId="105672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(Regulas (ES) Nr. 575/2013 92.panta 4. punkta d) apakšpunkts un Trešās daļas VI sadaļa), kas aprēķinātas saskaņā ar 384. panta 3. punktu iestādei, kura atbilst Regulas (ES) Nr. 575/2013 384. panta 1. punkta b) apakšpunktā noteiktajam nosacījumam.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0080.–0110.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Pilnīga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BA-CVA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pieeja</w:t>
            </w:r>
          </w:p>
          <w:p w14:paraId="29492D07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 </w:t>
            </w:r>
            <w:r>
              <w:rPr>
                <w:sz w:val="24"/>
                <w:i/>
                <w:iCs/>
                <w:i w:val="false"/>
                <w:iCs w:val="false"/>
                <w:rFonts w:ascii="Times New Roman" w:hAnsi="Times New Roman"/>
              </w:rPr>
              <w:t xml:space="preserve">(Regulas (ES) Nr. 575/2013 92. panta 4. punkta d) apakšpunkts un Trešās daļas VI sadaļa)</w:t>
            </w:r>
            <w:r>
              <w:rPr>
                <w:sz w:val="24"/>
                <w:i w:val="false"/>
                <w:iCs w:val="false"/>
                <w:rFonts w:ascii="Times New Roman" w:hAnsi="Times New Roman"/>
              </w:rPr>
              <w:t xml:space="preserve">,</w:t>
            </w:r>
            <w:r>
              <w:rPr>
                <w:sz w:val="24"/>
                <w:rFonts w:ascii="Times New Roman" w:hAnsi="Times New Roman"/>
              </w:rPr>
              <w:t xml:space="preserve"> kas aprēķinātas saskaņā ar 384. panta 2. punktu, iestādei, kura atbilst Regulas (ES) Nr. 575/2013 384. panta 1. punkta a) apakšpunktā noteiktajam nosacījumam.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0080.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ierobežošanas nosacītā summa</w:t>
            </w:r>
          </w:p>
          <w:p w14:paraId="3C607DB7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Atbilstošu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 CVA</w:t>
            </w:r>
            <w:r>
              <w:rPr>
                <w:sz w:val="24"/>
                <w:rFonts w:ascii="Times New Roman" w:hAnsi="Times New Roman"/>
              </w:rPr>
              <w:t xml:space="preserve"> riska ierobežošanas pozīciju nosacītā summa (bruto summas), kas atzīta saskaņā ar Regulas (ES) Nr. 575/2013 386. pantu.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0090.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b/>
                <w:sz w:val="24"/>
                <w:i/>
                <w:iCs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i/>
                <w:iCs/>
                <w:rFonts w:ascii="Times New Roman" w:hAnsi="Times New Roman"/>
              </w:rPr>
              <w:t xml:space="preserve">csr-unhedged</w:t>
            </w:r>
          </w:p>
          <w:p w14:paraId="4A0E67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i/>
                <w:iCs/>
                <w:rFonts w:ascii="Times New Roman" w:hAnsi="Times New Roman"/>
              </w:rPr>
              <w:t xml:space="preserve">BACVAcsr-unhedged</w:t>
            </w:r>
            <w:r>
              <w:rPr>
                <w:sz w:val="24"/>
                <w:rFonts w:ascii="Times New Roman" w:hAnsi="Times New Roman"/>
              </w:rPr>
              <w:t xml:space="preserve"> darījumiem, kuriem piemēro pamatpieeju, kas aprēķināta saskaņā ar 384. panta 3. punktu, iestādei, kura atbilst Regulas (ES) Nr. 575/2013 384. panta 1. punkta b) apakšpunktā noteiktajam nosacījumam.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0100.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b/>
                <w:sz w:val="24"/>
                <w:vertAlign w:val="superscript"/>
                <w:rFonts w:ascii="Times New Roman" w:hAnsi="Times New Roman"/>
              </w:rPr>
            </w:pPr>
            <w:r>
              <w:rPr>
                <w:b/>
                <w:sz w:val="24"/>
                <w:i/>
                <w:iCs/>
                <w:rFonts w:ascii="Times New Roman" w:hAnsi="Times New Roman"/>
              </w:rPr>
              <w:t xml:space="preserve">BACVA</w:t>
            </w:r>
            <w:r>
              <w:rPr>
                <w:b/>
                <w:sz w:val="24"/>
                <w:vertAlign w:val="superscript"/>
                <w:i/>
                <w:iCs/>
                <w:rFonts w:ascii="Times New Roman" w:hAnsi="Times New Roman"/>
              </w:rPr>
              <w:t xml:space="preserve">csr-hedged</w:t>
            </w:r>
          </w:p>
          <w:p w14:paraId="34FB0CB6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i/>
                <w:iCs/>
                <w:rFonts w:ascii="Times New Roman" w:hAnsi="Times New Roman"/>
              </w:rPr>
              <w:t xml:space="preserve">BACVAcsr-hedged</w:t>
            </w:r>
            <w:r>
              <w:rPr>
                <w:sz w:val="24"/>
                <w:rFonts w:ascii="Times New Roman" w:hAnsi="Times New Roman"/>
              </w:rPr>
              <w:t xml:space="preserve"> darījumiem, kuriem piemēro pamatpieeju, kas aprēķināta saskaņā ar 384. panta 2. punktu, iestādei, kura atbilst Regulas (ES) Nr. 575/2013 384. panta 1. punkta a) apakšpunktā noteiktajam nosacījumam.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0110.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</w:t>
            </w:r>
          </w:p>
          <w:p w14:paraId="1287DB8E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Tādas kopējās pašu kapitāla prasības darījumiem, kuriem piemēro pilnu pamatpieeju, kas aprēķinātas saskaņā ar 384. panta 2. punktu, iestādei, kura atbilst Regulas (ES) Nr. 575/2013 384. panta 1. punkta a) apakšpunktā noteiktajam nosacījumam.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0120.–0270.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pieeja</w:t>
            </w:r>
          </w:p>
          <w:p w14:paraId="15468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(Regulas (ES) Nr. 575/2013 92. panta 4. punkta d) apakšpunkts un Trešās daļas VI sadaļa), kas aprēķinātas saskaņā ar 383. pantu iestādei, kura atbilst Regulas (ES) Nr. 575/2013 382.a panta 1. punkta a) apakšpunktā noteiktajam nosacījumam.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0120.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ierobežošanas nosacītā summa</w:t>
            </w:r>
          </w:p>
          <w:p w14:paraId="50C4B375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Atbilstošu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riska ierobežošanas pozīciju nosacītā summa, kas atzīta saskaņā ar Regulas (ES) Nr. 575/2013 386. pantu.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0130.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Darījumu partneru skaits</w:t>
            </w:r>
          </w:p>
          <w:p w14:paraId="10FC4FF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445.a panta 1. punkta c) apakšpunkts</w:t>
            </w:r>
          </w:p>
          <w:p w14:paraId="3A9459B9" w14:textId="77777777" w:rsidR="00680687" w:rsidRPr="005C217A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To darījuma partneru skaits, kā noteikts Regulas (ES) Nr. 575/2013 383. panta 1. punktā, kas iekļauti pašu kapitāla aprēķinā attiecībā uz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sz w:val="24"/>
                <w:rFonts w:ascii="Times New Roman" w:hAnsi="Times New Roman"/>
              </w:rPr>
              <w:t xml:space="preserve"> risku.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Kopējo skaitu uzrāda 0010. rindā un sadalījumu pa darījuma partneru veidiem — 0170.–0220. rindā.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0140.–0250.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savstarpējo prasījumu ieskaita kopām saskaņā ar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pieeju</w:t>
            </w:r>
          </w:p>
          <w:p w14:paraId="512141CA" w14:textId="72FCFDD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sz w:val="24"/>
                <w:rFonts w:ascii="Times New Roman" w:hAnsi="Times New Roman"/>
              </w:rPr>
              <w:t xml:space="preserve"> riskam saskaņā ar Regulas (ES) Nr. 575/2013 383. pantu, tostarp sadalījumu pa riska klasēm, kā definēts 383. panta 2. punkta 1) apakšpunktā, un katrai riska klasei — pašu kapitāla prasības delta riskiem un vega riskiem, kā noteikts Regulas (ES) Nr. 575/2013 383. panta 3. punktā un saskaņā ar 383.b pantu.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0140.–0150.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procentu likmju risku</w:t>
            </w:r>
          </w:p>
          <w:p w14:paraId="6695CC3B" w14:textId="01E1C8B9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383.c, 383.i, 383.j, 383.k, 383.l, 383.m pants.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0160.–0170.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ārvalstu valūtas risku</w:t>
            </w:r>
          </w:p>
          <w:p w14:paraId="312EFBD9" w14:textId="6EA3814A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383.d, 383.i, 383.j, 383.n, 383.o pants.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0180.–0190.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darījuma partnera kredītriska starpības risku</w:t>
            </w:r>
          </w:p>
          <w:p w14:paraId="331E3D6B" w14:textId="1A5FCDC3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383.e, 383.i, 383.j, 383.p 383.q, 383.r pants.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0200.–0210.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atsauces kredītriska starpības risku</w:t>
            </w:r>
          </w:p>
          <w:p w14:paraId="39B46545" w14:textId="148AEA7F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383.f, 383.i, 383.j, 383.s, 383.u pants.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0220.–0230.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kapitāla vērtspapīru risku</w:t>
            </w:r>
          </w:p>
          <w:p w14:paraId="092925F2" w14:textId="74EFD749" w:rsidR="00680687" w:rsidRPr="00460424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383.g, 383.i, 383.j, 383.v, 383.w pants.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0240.–0250.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 attiecībā uz preču risku</w:t>
            </w:r>
          </w:p>
          <w:p w14:paraId="1FD90135" w14:textId="4A1B5A40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383.h, 383.i, 383.j, 383.x, 383.z pants.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0260.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vertAlign w:val="superscript"/>
                <w:i/>
                <w:iCs/>
                <w:rFonts w:ascii="Times New Roman" w:hAnsi="Times New Roman"/>
              </w:rPr>
              <w:t xml:space="preserve">m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</w:p>
          <w:p w14:paraId="25594EA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Cambria Math" w:hAnsi="Cambria Math"/>
              </w:rPr>
              <w:t xml:space="preserve">𝑚𝐶𝑉𝐴</w:t>
            </w:r>
            <w:r>
              <w:rPr>
                <w:sz w:val="24"/>
                <w:rFonts w:ascii="Times New Roman" w:hAnsi="Times New Roman"/>
              </w:rPr>
              <w:t xml:space="preserve"> reizināšanas koeficienta vērtība saskaņā ar Regulas (ES) Nr. 575/2013 383.b panta 8. punktu.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Uzrāda vērtību, ko izmanto pašu kapitāla prasību aprēķināšanai (vērtība ir vienāda ar 1 vai vērtība, ko palielinājušas kompetentās iestādes).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0270.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Pašu kapitāla prasības</w:t>
            </w:r>
          </w:p>
          <w:p w14:paraId="55E6BD5C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 darījumiem, kam piemēro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sz w:val="24"/>
                <w:rFonts w:ascii="Times New Roman" w:hAnsi="Times New Roman"/>
              </w:rPr>
              <w:t xml:space="preserve">, kas aprēķinātas saskaņā ar Regulas (ES) Nr. 575/2013 383. pantu.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0280.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KOPĒJĀS PAŠU KAPITĀLA PRASĪBAS</w:t>
            </w:r>
          </w:p>
          <w:p w14:paraId="7E3B417F" w14:textId="166217C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92. panta 4. punkta e) apakšpunkts.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24C965B" w14:textId="77777777" w:rsidR="00680687" w:rsidRPr="002A677E" w:rsidDel="00024DEA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Kopējās pašu kapitāla prasības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riskam, kas aprēķinātas, izmantojot jebkuru no piemērojamajām pieejām, kas minētas Regulas (ES) Nr. 575/2013 382.a pantā.</w:t>
            </w:r>
            <w:r>
              <w:rPr>
                <w:sz w:val="24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Ja piemēro vairāk nekā vienu pieeju, uzrāda katras pieejas visu pašu kapitāla prasību vienkāršo summu.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0290.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KOPĒJĀ RISKA DARĪJUMU VĒRTĪBA</w:t>
            </w:r>
          </w:p>
          <w:p w14:paraId="6B715A2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92. panta 6. punkts.</w:t>
            </w:r>
          </w:p>
          <w:p w14:paraId="769B7CA0" w14:textId="77777777" w:rsidR="00680687" w:rsidRPr="005C217A" w:rsidDel="00024DEA" w:rsidRDefault="00680687" w:rsidP="006A3ADC">
            <w:pPr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Pašu kapitāla prasības, kas reizinātas ar 12,5.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b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Rindas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0010.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Darījumi, kas ir pašu kapitāla prasības attiecībā uz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risku tvērumā</w:t>
            </w:r>
          </w:p>
          <w:p w14:paraId="0243C539" w14:textId="77777777" w:rsidR="00680687" w:rsidRPr="00DB28D1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382. pants.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0020.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No kā: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tikai atvasinātie instrumenti</w:t>
            </w:r>
          </w:p>
          <w:p w14:paraId="243F2835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Atvasinātie instrumenti, kas ietilpst Regulas (ES) Nr. 575/2013 382. panta darbības jomā (t. i., visi darījumi, kas uzrādīti 0010. rindā, izņemot vērtspapīru finansēšanas darījumus).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0030.</w:t>
            </w:r>
          </w:p>
        </w:tc>
        <w:tc>
          <w:tcPr>
            <w:tcW w:w="7844" w:type="dxa"/>
          </w:tcPr>
          <w:p w14:paraId="3BF86B85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No kā: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Citos gadījumos atbrīvoti darījumi, kurus iestādes izvēlas reintegrēt pašu kapitāla prasību aprēķinā</w:t>
            </w:r>
          </w:p>
          <w:p w14:paraId="44419E5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382. panta 4.a punkts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0040.–0220.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caps/>
                <w:sz w:val="24"/>
                <w:u w:val="single"/>
                <w:rFonts w:ascii="Times New Roman" w:hAnsi="Times New Roman"/>
              </w:rPr>
              <w:t xml:space="preserve">IZZIŅAS POSTEŅI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0040.–0110.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Atbrīvojumi no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reintegrācijas nelielā ietekme</w:t>
            </w:r>
          </w:p>
          <w:p w14:paraId="7A74B86F" w14:textId="77777777" w:rsidR="00680687" w:rsidRPr="005C217A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Atbrīvojumu no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reintegrācijas nelielā ietekme, kā definēts Regulas (ES) Nr. 575/2013 382. panta 3. un 4. punktā, atsevišķi katram atbrīvojumam.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Nelielā ietekme ir absolūtās summas izteiksmē izteikta starpība starp 0010. rindā minēto darījumu tvēruma attiecīgo rādītāju pēc atbrīvojuma reintegrēšanas un 0010. rindā minēto darījumu tvēruma attiecīgo rādītāju.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0040.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Visi atbrīvotie darījumi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Visu atbrīvojumu no </w:t>
            </w:r>
            <w:r>
              <w:rPr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rFonts w:ascii="Times New Roman" w:hAnsi="Times New Roman"/>
              </w:rPr>
              <w:t xml:space="preserve"> reintegrācijas nelielā ietekme, kā definēts Regulas (ES) Nr. 575/2013 382. panta 3. un 4. punktā.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F8EA837" w14:textId="77777777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Darījumu tvērumam būtu jāietver visi 0010. rindā uzrādītie darījumi, neņemot vērā Regulas (ES) Nr. 575/2013 382. panta 3. punktā un 382. panta 4. punktā minētos atbrīvojumus.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Konkrēti, iepriekš minētie darījumi, kas pašlaik ir izslēgti no </w:t>
            </w:r>
            <w:r>
              <w:rPr>
                <w:color w:val="auto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color w:val="auto"/>
                <w:rFonts w:ascii="Times New Roman" w:hAnsi="Times New Roman"/>
              </w:rPr>
              <w:t xml:space="preserve"> kapitāla prasību aprēķina saskaņā ar šiem pantiem, būtu no jauna jāiekļauj šajā rindā.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  <w:r>
              <w:rPr>
                <w:color w:val="auto"/>
                <w:rFonts w:ascii="Times New Roman" w:hAnsi="Times New Roman"/>
              </w:rPr>
              <w:t xml:space="preserve">Kopējie reintegrētie darījumi šīs rindas vajadzībām ir darījumi, kas ir reintegrēti 0050.–0110. rindas vajadzībām.</w:t>
            </w:r>
            <w:r>
              <w:rPr>
                <w:color w:val="auto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0050.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b/>
                <w:bCs/>
                <w:color w:val="auto"/>
                <w:u w:val="single"/>
                <w:rFonts w:ascii="Times New Roman" w:eastAsia="Times New Roman" w:hAnsi="Times New Roman" w:cs="Times New Roman"/>
              </w:rPr>
            </w:pPr>
            <w:r>
              <w:rPr>
                <w:b/>
                <w:color w:val="auto"/>
                <w:u w:val="single"/>
                <w:rFonts w:ascii="Times New Roman" w:hAnsi="Times New Roman"/>
              </w:rPr>
              <w:t xml:space="preserve">Klienta darījumi</w:t>
            </w:r>
          </w:p>
          <w:p w14:paraId="26BE71DE" w14:textId="77777777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Klienta darījumu reintegrācijas nelielā ietekme, kā definēts Regulas (ES) Nr. 575/2013 382. panta 3. punktā.</w:t>
            </w:r>
          </w:p>
          <w:p w14:paraId="73231515" w14:textId="77777777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Darījumu starp klientu un tīrvērtes dalībnieku reintegrācijas nelielā ietekme, ja tīrvērtes dalībnieks darbojas kā starpnieks starp klientu un atbilstīgu centrālo darījumu partneri, kas saskaņā ar Regulas (ES) Nr. 575/2013 382. panta 3. punktu ir atbrīvoti no 0010. rindas tvēruma.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Klientiem nebūtu atkārtoti jāintegrē šie darījumi, ja attiecīgais darījums atbilst minētās regulas 305. panta 2., 3. un 4. punkta prasībām.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0060.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 ar nefinanšu darījumu partneriem</w:t>
            </w:r>
          </w:p>
          <w:p w14:paraId="5D14F94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Darījumu ar nefinanšu darījumu partneriem reintegrācijas nelielā ietekme, kā definēts Regulas (ES) Nr. 575/2013 382. panta 4. punkta a) apakšpunktā.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0070.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 tikai ar ES nefinanšu darījumu partneriem</w:t>
            </w:r>
          </w:p>
          <w:p w14:paraId="4BE3F0C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Neliela ietekme, ko rada tikai darījumu ar ES nefinanšu darījumu partneriem reintegrācija.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Darījumu tvērumam būtu jāietver visi 0060. rindā uzrādītie darījumi, atskaitot 0080. rindā uzrādīto darījumu tvērumu.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0080.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 tikai ar trešo valstu nefinanšu darījumu partneriem</w:t>
            </w:r>
          </w:p>
          <w:p w14:paraId="11A30CDC" w14:textId="77777777" w:rsidR="00680687" w:rsidRPr="002A677E" w:rsidRDefault="00680687" w:rsidP="006A3ADC">
            <w:pPr>
              <w:rPr>
                <w:b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Tikai darījumu ar trešo valstu nefinanšu darījumu partneriem reintegrācijas nelielā ietekme.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Darījumu tvērumam būtu jāietver visi 0060. rindā uzrādītie darījumi, atskaitot 0070. rindā uzrādīto darījumu tvērumu.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0090.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Grupas iekšējie darījumi</w:t>
            </w:r>
          </w:p>
          <w:p w14:paraId="59B1E4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Grupas iekšējo darījumu reintegrācijas nelielā ietekme, kā noteikts Regulas (ES) Nr. 575/2013 382. panta 4. punkta b) apakšpunktā.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0100.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 ar darījumu partneriem, kas ir pensiju fondi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1051EC9B" w14:textId="77777777" w:rsidR="00680687" w:rsidRPr="005C4AA2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Tādu darījumu ar pensiju fondu darījumu partneriem reintegrācijas nelielā ietekme, kuri noslēgti Regulas (ES) Nr. 648/2012 89. panta 1. punktā noteiktajā pārejas periodā un kuri ir atbrīvoti no pašu kapitāla prasībām attiecībā uz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risku saskaņā ar Regulas (ES) Nr. 575/2013 382. panta 4. punkta otro daļu.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Darījumus, kas minēti 382. panta 4. punkta c) apakšpunktā un kas nav noslēgti Regulas (ES) Nr. 648/2012 89. panta 1. punktā noteiktajā pārejas periodā, neuzskata par atbrīvotiem darījumiem, jo ir beidzies pārejas periods minētā atbrīvojuma piemērošanai.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0110.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Darījumi ar suverēniem darījumu partneriem</w:t>
            </w:r>
          </w:p>
          <w:p w14:paraId="63BD107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Regulas (ES) Nr. 575/2013 382. panta 4. punkta d) apakšpunktā definēto darījumu ar suverēniem darījumu partneriem reintegrācijas nelielā ietekme.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0120.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ierobežošana atbrīvotiem darījumiem, kas nav iekļauti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darbības jomā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B05FC5B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riska ierobežošana atbrīvotiem darījumiem, kas nav iekļauti pašu kapitāla prasību attiecībā uz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risku darbības jomā un uz kuriem attiecas kapitāla prasības attiecībā uz tirgus risku.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0130.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Vērtspapīru finansēšanas darījumi, kuru tīrvērte tiek veikta necentralizēti un kuri grāmatvedības vajadzībām ir novērtēti pēc patiesās vērtības, izņemot atbrīvotos darījumus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A560A0D" w14:textId="042E0D75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VFD, kas ir pēc patiesās vērtības novērtēti grāmatvedības vajadzībām un uz kuriem attiektos pašu kapitāla prasības attiecībā uz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risku saskaņā ar Regulas (ES) Nr. 575/2013 382. panta 2. punktu, neatkarīgi no tā, vai no tiem izrietošie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 CVA</w:t>
            </w:r>
            <w:r>
              <w:rPr>
                <w:sz w:val="24"/>
                <w:rFonts w:ascii="Times New Roman" w:hAnsi="Times New Roman"/>
              </w:rPr>
              <w:t xml:space="preserve"> riska darījumi ir būtiski.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VFD, kas ir atbrīvoti no pašu kapitāla prasībām attiecībā uz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 CVA</w:t>
            </w:r>
            <w:r>
              <w:rPr>
                <w:sz w:val="24"/>
                <w:rFonts w:ascii="Times New Roman" w:hAnsi="Times New Roman"/>
              </w:rPr>
              <w:t xml:space="preserve"> risku saskaņā ar Regulas (ES) Nr. 575/2013 382. panta 3. punktu un 382. panta 4. punktu, būtu jāizslēdz no aprēķiniem, izņemot gadījumus, kad iestāde minētos darījumus iekļautu pašu kapitāla prasību attiecībā uz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sz w:val="24"/>
                <w:rFonts w:ascii="Times New Roman" w:hAnsi="Times New Roman"/>
              </w:rPr>
              <w:t xml:space="preserve"> risku tvērumā saskaņā ar Regulas (ES) Nr. 575/2013 382. panta 4.a punktu.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0140.–0160.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CVA riska ierobežošana</w:t>
            </w:r>
          </w:p>
          <w:p w14:paraId="225C7DDF" w14:textId="77777777" w:rsidR="00680687" w:rsidRPr="005C217A" w:rsidRDefault="00680687" w:rsidP="006A3ADC">
            <w:pPr>
              <w:rPr>
                <w:b/>
                <w:bCs/>
                <w:cap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386. pants.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0140.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Ar vienu parādnieku saistītie kredītriska mijmaiņas līgumi</w:t>
            </w:r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0150.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Indeksa kredītriska mijmaiņas līgumi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0160.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Citi atvasinātie instrumenti, kas klasificēti kā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 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ierobežošana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0170.–0220.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Darījumu partneru veidi, uz kuriem attiecas </w:t>
            </w: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SA-CVA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pieeja</w:t>
            </w:r>
          </w:p>
          <w:p w14:paraId="3B7F80A8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445.a panta 1. punkta c) apakšpunkts</w:t>
            </w:r>
          </w:p>
          <w:p w14:paraId="25779170" w14:textId="77777777" w:rsidR="00680687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Katram darījumu partnerim izvēlas vienu sektoru, balstoties uz turpmākajām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FINREP</w:t>
            </w:r>
            <w:r>
              <w:rPr>
                <w:sz w:val="24"/>
                <w:rFonts w:ascii="Times New Roman" w:hAnsi="Times New Roman"/>
              </w:rPr>
              <w:t xml:space="preserve"> ekonomiskā sektora klasēm (sk. šīs Īstenošanas regulas V pielikuma 3. daļu):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Darījumu partneru skaitu pa sektoriem uzrāda 0130. slejā.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0170.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Centrālās bankas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0180.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Vispārējās valdības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0190.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Kredītiestādes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0200.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Ieguldījumu sabiedrības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0210.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Citas finanšu sabiedrības (izņemot ieguldījumu brokeru sabiedrības)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0220.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Nefinanšu sabiedrības</w:t>
            </w:r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0230.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sistemātisko komponentu apkopošana</w:t>
            </w:r>
          </w:p>
          <w:p w14:paraId="62BC44EB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384. panta 3. punkts.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Pašu kapitāla prasības saskaņā ar perfektas korelācijas pieņēmumu 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i/>
                <w:iCs/>
                <w:rFonts w:ascii="Times New Roman" w:hAnsi="Times New Roman"/>
              </w:rPr>
              <w:t xml:space="preserve">c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i/>
                <w:iCs/>
                <w:rFonts w:ascii="Times New Roman" w:hAnsi="Times New Roman"/>
              </w:rPr>
              <w:t xml:space="preserve">c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).</w:t>
            </w:r>
            <w:r>
              <w:rPr>
                <w:sz w:val="24"/>
                <w:vertAlign w:val="subscript"/>
                <w:rFonts w:ascii="Times New Roman" w:hAnsi="Times New Roman"/>
              </w:rPr>
              <w:t xml:space="preserve">  </w:t>
            </w:r>
            <w:r>
              <w:rPr>
                <w:sz w:val="24"/>
                <w:rFonts w:ascii="Times New Roman" w:hAnsi="Times New Roman"/>
              </w:rPr>
              <w:t xml:space="preserve">Diskonta faktoru 0,65 nepiemēro.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0240.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i/>
                <w:iCs/>
                <w:rFonts w:ascii="Times New Roman" w:hAnsi="Times New Roman"/>
              </w:rPr>
              <w:t xml:space="preserve">CVA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riska individuāli raksturīgo komponentu apkopojums</w:t>
            </w:r>
          </w:p>
          <w:p w14:paraId="7B1EBC08" w14:textId="77777777" w:rsidR="00680687" w:rsidRPr="009766CF" w:rsidRDefault="00680687" w:rsidP="006A3ADC">
            <w:pPr>
              <w:rPr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384. panta 3. punkts.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Pašu kapitāla prasības saskaņā ar nulles korelācijas pieņēmumu (sqrt(</w:t>
            </w:r>
            <w:r>
              <w:rPr>
                <w:sz w:val="24"/>
                <w:rFonts w:ascii="Times New Roman" w:hAnsi="Times New Roman"/>
              </w:rPr>
              <w:sym w:font="Symbol" w:char="F053"/>
            </w:r>
            <w:r>
              <w:rPr>
                <w:sz w:val="24"/>
                <w:vertAlign w:val="subscript"/>
                <w:i/>
                <w:iCs/>
                <w:rFonts w:ascii="Times New Roman" w:hAnsi="Times New Roman"/>
              </w:rPr>
              <w:t xml:space="preserve">c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SCVA</w:t>
            </w:r>
            <w:r>
              <w:rPr>
                <w:sz w:val="24"/>
                <w:vertAlign w:val="subscript"/>
                <w:i/>
                <w:iCs/>
                <w:rFonts w:ascii="Times New Roman" w:hAnsi="Times New Roman"/>
              </w:rPr>
              <w:t xml:space="preserve">c</w:t>
            </w:r>
            <w:r>
              <w:rPr>
                <w:sz w:val="24"/>
                <w:vertAlign w:val="superscript"/>
                <w:rFonts w:ascii="Times New Roman" w:hAnsi="Times New Roman"/>
              </w:rPr>
              <w:t xml:space="preserve">2</w:t>
            </w:r>
            <w:r>
              <w:rPr>
                <w:sz w:val="24"/>
                <w:rFonts w:ascii="Times New Roman" w:hAnsi="Times New Roman"/>
              </w:rPr>
              <w:t xml:space="preserve">)).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Diskonta faktoru 0,65 nepiemēro.</w:t>
            </w:r>
          </w:p>
        </w:tc>
      </w:tr>
    </w:tbl>
    <w:p w14:paraId="28018638" w14:textId="77777777" w:rsidR="00680687" w:rsidRDefault="00680687" w:rsidP="00680687"/>
    <w:p w14:paraId="5D86CC30" w14:textId="77777777" w:rsidR="00680687" w:rsidRDefault="00680687" w:rsidP="00680687"/>
    <w:p w14:paraId="4A82DB4D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p w14:paraId="4C3A5630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lang w:val="en-GB"/>
        </w:rPr>
      </w:pPr>
    </w:p>
    <w:bookmarkEnd w:id="6"/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3CAA0" w14:textId="77777777" w:rsidR="001E5355" w:rsidRDefault="001E5355" w:rsidP="007341EC">
      <w:pPr>
        <w:spacing w:before="0" w:after="0"/>
      </w:pPr>
      <w:r>
        <w:separator/>
      </w:r>
    </w:p>
  </w:endnote>
  <w:endnote w:type="continuationSeparator" w:id="0">
    <w:p w14:paraId="6E16C8BF" w14:textId="77777777" w:rsidR="001E5355" w:rsidRDefault="001E5355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431AE" w14:textId="77777777" w:rsidR="001E5355" w:rsidRDefault="001E5355" w:rsidP="007341EC">
      <w:pPr>
        <w:spacing w:before="0" w:after="0"/>
      </w:pPr>
      <w:r>
        <w:separator/>
      </w:r>
    </w:p>
  </w:footnote>
  <w:footnote w:type="continuationSeparator" w:id="0">
    <w:p w14:paraId="246DE660" w14:textId="77777777" w:rsidR="001E5355" w:rsidRDefault="001E5355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78523" w14:textId="7211D844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I oficiālai lietošanai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9F28F" w14:textId="700CE3C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I oficiālai lietošanai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C00BF" w14:textId="2532D275" w:rsidR="007341EC" w:rsidRDefault="007341EC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I oficiālai lietošanai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42E7"/>
    <w:rsid w:val="00594522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lv-LV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4DA2A-7E3D-434B-8672-338FBF27A444}"/>
</file>

<file path=customXml/itemProps3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2024-06-21T12:21:00Z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