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F92A61" w14:textId="77777777" w:rsidR="00F07734" w:rsidRPr="002176B5" w:rsidRDefault="00F07734" w:rsidP="00F07734">
      <w:pPr>
        <w:jc w:val="center"/>
        <w:rPr>
          <w:rFonts w:ascii="Times New Roman" w:hAnsi="Times New Roman"/>
          <w:sz w:val="24"/>
          <w:szCs w:val="22"/>
        </w:rPr>
      </w:pPr>
      <w:bookmarkStart w:id="0" w:name="_Toc360188322"/>
      <w:bookmarkStart w:id="1" w:name="_Toc473560870"/>
      <w:bookmarkStart w:id="2" w:name="_Toc151714358"/>
      <w:r w:rsidRPr="002176B5">
        <w:rPr>
          <w:rFonts w:ascii="Times New Roman" w:hAnsi="Times New Roman"/>
          <w:sz w:val="24"/>
        </w:rPr>
        <w:t>SK</w:t>
      </w:r>
    </w:p>
    <w:p w14:paraId="0D6BFDE2" w14:textId="77777777" w:rsidR="00320FF3" w:rsidRPr="002176B5" w:rsidRDefault="00320FF3" w:rsidP="00F07734">
      <w:pPr>
        <w:rPr>
          <w:rFonts w:ascii="Times New Roman" w:hAnsi="Times New Roman"/>
          <w:sz w:val="24"/>
        </w:rPr>
      </w:pPr>
    </w:p>
    <w:p w14:paraId="02F7763D" w14:textId="77777777" w:rsidR="00320FF3" w:rsidRPr="002176B5" w:rsidRDefault="00320FF3" w:rsidP="00320FF3">
      <w:pPr>
        <w:jc w:val="center"/>
        <w:rPr>
          <w:rFonts w:ascii="Times New Roman" w:hAnsi="Times New Roman"/>
          <w:sz w:val="24"/>
        </w:rPr>
      </w:pPr>
      <w:r w:rsidRPr="002176B5">
        <w:rPr>
          <w:rFonts w:ascii="Times New Roman" w:hAnsi="Times New Roman"/>
          <w:sz w:val="24"/>
        </w:rPr>
        <w:t>PRÍLOHA II</w:t>
      </w:r>
    </w:p>
    <w:p w14:paraId="6A7FAFF0" w14:textId="77777777" w:rsidR="00320FF3" w:rsidRPr="002176B5" w:rsidRDefault="00320FF3" w:rsidP="00320FF3">
      <w:pPr>
        <w:jc w:val="center"/>
        <w:rPr>
          <w:rFonts w:ascii="Times New Roman" w:hAnsi="Times New Roman"/>
          <w:sz w:val="24"/>
        </w:rPr>
      </w:pPr>
      <w:r w:rsidRPr="002176B5">
        <w:rPr>
          <w:rFonts w:ascii="Times New Roman" w:hAnsi="Times New Roman"/>
          <w:sz w:val="24"/>
        </w:rPr>
        <w:t>„PRÍLOHA II</w:t>
      </w:r>
    </w:p>
    <w:p w14:paraId="3F8D89B8" w14:textId="77777777" w:rsidR="00320FF3" w:rsidRPr="002176B5" w:rsidRDefault="00320FF3" w:rsidP="00320FF3">
      <w:pPr>
        <w:jc w:val="center"/>
        <w:rPr>
          <w:rFonts w:ascii="Times New Roman" w:hAnsi="Times New Roman"/>
          <w:b/>
          <w:sz w:val="24"/>
        </w:rPr>
      </w:pPr>
      <w:r w:rsidRPr="002176B5">
        <w:rPr>
          <w:rFonts w:ascii="Times New Roman" w:hAnsi="Times New Roman"/>
          <w:b/>
          <w:sz w:val="24"/>
        </w:rPr>
        <w:t>POKYNY NA VYKAZOVANIE VLASTNÝCH ZDROJOV A POŽIADAVIEK NA VLASTNÉ ZDROJE</w:t>
      </w:r>
    </w:p>
    <w:p w14:paraId="33E9282B" w14:textId="77777777" w:rsidR="00320FF3" w:rsidRPr="002176B5" w:rsidRDefault="00320FF3" w:rsidP="00320FF3">
      <w:pPr>
        <w:jc w:val="center"/>
        <w:rPr>
          <w:rFonts w:ascii="Times New Roman" w:hAnsi="Times New Roman"/>
          <w:b/>
          <w:sz w:val="24"/>
          <w:lang w:eastAsia="de-DE"/>
        </w:rPr>
      </w:pPr>
    </w:p>
    <w:p w14:paraId="3D25D1E5" w14:textId="77777777" w:rsidR="009D5CC6" w:rsidRPr="002176B5" w:rsidRDefault="009D5CC6" w:rsidP="00984406"/>
    <w:p w14:paraId="07D5DC86" w14:textId="5AA3133C" w:rsidR="00CC7D2C" w:rsidRPr="002176B5" w:rsidRDefault="00CC7D2C" w:rsidP="00767D3D">
      <w:pPr>
        <w:pStyle w:val="Heading2"/>
      </w:pPr>
      <w:r w:rsidRPr="002176B5">
        <w:t>ČASŤ II: POKYNY TÝKAJÚCE SA VZOROV</w:t>
      </w:r>
      <w:bookmarkEnd w:id="0"/>
      <w:bookmarkEnd w:id="1"/>
      <w:bookmarkEnd w:id="2"/>
    </w:p>
    <w:p w14:paraId="3279C58A" w14:textId="77777777" w:rsidR="00CC7D2C" w:rsidRPr="002176B5" w:rsidRDefault="00CC7D2C" w:rsidP="005F25FD">
      <w:pPr>
        <w:pStyle w:val="Instructionsberschrift2"/>
        <w:numPr>
          <w:ilvl w:val="0"/>
          <w:numId w:val="0"/>
        </w:numPr>
        <w:ind w:left="357" w:hanging="357"/>
      </w:pPr>
      <w:bookmarkStart w:id="3" w:name="_Toc360188323"/>
      <w:bookmarkStart w:id="4" w:name="_Toc473560871"/>
      <w:bookmarkStart w:id="5" w:name="_Toc151714359"/>
      <w:r w:rsidRPr="002176B5">
        <w:t>1.</w:t>
      </w:r>
      <w:r w:rsidRPr="002176B5">
        <w:tab/>
        <w:t>Prehľad kapitálovej primeranosti</w:t>
      </w:r>
      <w:bookmarkEnd w:id="3"/>
      <w:r w:rsidRPr="002176B5">
        <w:t xml:space="preserve"> („CA“)</w:t>
      </w:r>
      <w:bookmarkEnd w:id="4"/>
      <w:bookmarkEnd w:id="5"/>
    </w:p>
    <w:p w14:paraId="049C1634" w14:textId="77777777" w:rsidR="00CC7D2C" w:rsidRPr="002176B5" w:rsidRDefault="00CC7D2C" w:rsidP="005F25FD">
      <w:pPr>
        <w:pStyle w:val="Instructionsberschrift2"/>
        <w:numPr>
          <w:ilvl w:val="0"/>
          <w:numId w:val="0"/>
        </w:numPr>
        <w:ind w:left="357" w:hanging="357"/>
      </w:pPr>
      <w:bookmarkStart w:id="6" w:name="_Toc308175819"/>
      <w:bookmarkStart w:id="7" w:name="_Toc360188324"/>
      <w:bookmarkStart w:id="8" w:name="_Toc473560872"/>
      <w:bookmarkStart w:id="9" w:name="_Toc151714360"/>
      <w:r w:rsidRPr="002176B5">
        <w:t>1.1.</w:t>
      </w:r>
      <w:r w:rsidRPr="002176B5">
        <w:tab/>
        <w:t>Všeobecné poznámky</w:t>
      </w:r>
      <w:bookmarkEnd w:id="6"/>
      <w:bookmarkEnd w:id="7"/>
      <w:bookmarkEnd w:id="8"/>
      <w:bookmarkEnd w:id="9"/>
    </w:p>
    <w:p w14:paraId="7891C4A3" w14:textId="277C1944" w:rsidR="002176B5" w:rsidRDefault="00CC7D2C" w:rsidP="00D1404A">
      <w:pPr>
        <w:pStyle w:val="InstructionsText2"/>
        <w:numPr>
          <w:ilvl w:val="0"/>
          <w:numId w:val="0"/>
        </w:numPr>
      </w:pPr>
      <w:r w:rsidRPr="002176B5">
        <w:fldChar w:fldCharType="begin"/>
      </w:r>
      <w:r w:rsidRPr="002176B5">
        <w:instrText>seq paragraphs</w:instrText>
      </w:r>
      <w:r w:rsidRPr="002176B5">
        <w:fldChar w:fldCharType="separate"/>
      </w:r>
      <w:r w:rsidRPr="002176B5">
        <w:t>11</w:t>
      </w:r>
      <w:r w:rsidRPr="002176B5">
        <w:fldChar w:fldCharType="end"/>
      </w:r>
      <w:r w:rsidRPr="002176B5">
        <w:t>.</w:t>
      </w:r>
      <w:r w:rsidRPr="002176B5">
        <w:tab/>
        <w:t>Vzory CA obsahujú informácie</w:t>
      </w:r>
      <w:r w:rsidR="002176B5">
        <w:t xml:space="preserve"> o </w:t>
      </w:r>
      <w:r w:rsidRPr="002176B5">
        <w:t xml:space="preserve">čitateľoch piliera 1 (vlastné zdroje, </w:t>
      </w:r>
      <w:proofErr w:type="spellStart"/>
      <w:r w:rsidRPr="002176B5">
        <w:t>Tier</w:t>
      </w:r>
      <w:proofErr w:type="spellEnd"/>
      <w:r w:rsidRPr="002176B5">
        <w:t xml:space="preserve"> 1, vlastný kapitál </w:t>
      </w:r>
      <w:proofErr w:type="spellStart"/>
      <w:r w:rsidRPr="002176B5">
        <w:t>Tier</w:t>
      </w:r>
      <w:proofErr w:type="spellEnd"/>
      <w:r w:rsidRPr="002176B5">
        <w:t xml:space="preserve"> 1), menovateli (požiadavky na vlastné zdroje)</w:t>
      </w:r>
      <w:r w:rsidR="002176B5">
        <w:t xml:space="preserve"> a o </w:t>
      </w:r>
      <w:r w:rsidRPr="002176B5">
        <w:t>uplatňovaní prechodných ustanovení nariadenia (EÚ) č. 575/2013</w:t>
      </w:r>
      <w:r w:rsidR="002176B5">
        <w:t xml:space="preserve"> a </w:t>
      </w:r>
      <w:r w:rsidRPr="002176B5">
        <w:t>smernice 2013/36/EÚ</w:t>
      </w:r>
      <w:r w:rsidR="002176B5">
        <w:t xml:space="preserve"> a </w:t>
      </w:r>
      <w:r w:rsidRPr="002176B5">
        <w:t>sú rozdelené do piatich vzorov</w:t>
      </w:r>
      <w:r w:rsidR="002176B5">
        <w:t>:</w:t>
      </w:r>
    </w:p>
    <w:p w14:paraId="416DAF6C" w14:textId="22D2B554" w:rsidR="00CC7D2C" w:rsidRPr="002176B5" w:rsidRDefault="00CC7D2C" w:rsidP="00D1404A">
      <w:pPr>
        <w:pStyle w:val="InstructionsText2"/>
        <w:numPr>
          <w:ilvl w:val="0"/>
          <w:numId w:val="0"/>
        </w:numPr>
        <w:ind w:left="993"/>
      </w:pPr>
      <w:r w:rsidRPr="002176B5">
        <w:t>a)</w:t>
      </w:r>
      <w:r w:rsidRPr="002176B5">
        <w:tab/>
        <w:t>Vzor CA1 obsahuje hodnotu vlastných zdrojov inštitúcií rozčlenenú na položky potrebné na dosiahnutie tejto hodnoty. Získaná výška vlastných zdrojov zahŕňa súhrnný účinok uplatňovania prechodných ustanovení nariadenia (EÚ) č. 575/2013</w:t>
      </w:r>
      <w:r w:rsidR="002176B5">
        <w:t xml:space="preserve"> a </w:t>
      </w:r>
      <w:r w:rsidRPr="002176B5">
        <w:t>smernice 2013/36/EÚ podľa typu kapitálu;</w:t>
      </w:r>
    </w:p>
    <w:p w14:paraId="27EFA8F6" w14:textId="69CAAB7B" w:rsidR="00CC7D2C" w:rsidRPr="002176B5" w:rsidRDefault="00CC7D2C" w:rsidP="00D1404A">
      <w:pPr>
        <w:pStyle w:val="InstructionsText2"/>
        <w:numPr>
          <w:ilvl w:val="0"/>
          <w:numId w:val="0"/>
        </w:numPr>
        <w:ind w:left="993"/>
      </w:pPr>
      <w:r w:rsidRPr="002176B5">
        <w:t>b)</w:t>
      </w:r>
      <w:r w:rsidRPr="002176B5">
        <w:tab/>
        <w:t>Vo vzore CA2 sú zhrnuté celkové hodnoty rizikových expozícií (TREA) so spodnou hranicou</w:t>
      </w:r>
      <w:r w:rsidR="002176B5">
        <w:t xml:space="preserve"> a </w:t>
      </w:r>
      <w:r w:rsidRPr="002176B5">
        <w:t>bez spodnej hranice, ako aj štandardizované celkové hodnoty rizikovej expozície (S-TREA)</w:t>
      </w:r>
      <w:r w:rsidR="002176B5">
        <w:t xml:space="preserve"> v </w:t>
      </w:r>
      <w:r w:rsidRPr="002176B5">
        <w:t>zmysle vymedzenia</w:t>
      </w:r>
      <w:r w:rsidR="002176B5">
        <w:t xml:space="preserve"> v </w:t>
      </w:r>
      <w:r w:rsidRPr="002176B5">
        <w:t>článku 92 ods. 3, 4</w:t>
      </w:r>
      <w:r w:rsidR="002176B5">
        <w:t xml:space="preserve"> a </w:t>
      </w:r>
      <w:r w:rsidRPr="002176B5">
        <w:t>5 nariadenia (EÚ) č. 575/2013;</w:t>
      </w:r>
    </w:p>
    <w:p w14:paraId="3031C055" w14:textId="62F72A09" w:rsidR="00CC7D2C" w:rsidRPr="002176B5" w:rsidRDefault="00CC7D2C" w:rsidP="00D1404A">
      <w:pPr>
        <w:pStyle w:val="InstructionsText2"/>
        <w:numPr>
          <w:ilvl w:val="0"/>
          <w:numId w:val="0"/>
        </w:numPr>
        <w:ind w:left="993"/>
      </w:pPr>
      <w:r w:rsidRPr="002176B5">
        <w:t>c)</w:t>
      </w:r>
      <w:r w:rsidRPr="002176B5">
        <w:tab/>
        <w:t>Vzor CA3 obsahuje ukazovatele, pre ktoré sa</w:t>
      </w:r>
      <w:r w:rsidR="002176B5">
        <w:t xml:space="preserve"> v </w:t>
      </w:r>
      <w:r w:rsidRPr="002176B5">
        <w:t>nariadení (EÚ) č. 575/2013 stanovuje minimálna úroveň, podiely piliera 2</w:t>
      </w:r>
      <w:r w:rsidR="002176B5">
        <w:t xml:space="preserve"> a </w:t>
      </w:r>
      <w:r w:rsidRPr="002176B5">
        <w:t>určité ďalšie súvisiace údaje;</w:t>
      </w:r>
    </w:p>
    <w:p w14:paraId="26DA316D" w14:textId="77777777" w:rsidR="002176B5" w:rsidRDefault="00CC7D2C" w:rsidP="00D1404A">
      <w:pPr>
        <w:pStyle w:val="InstructionsText2"/>
        <w:numPr>
          <w:ilvl w:val="0"/>
          <w:numId w:val="0"/>
        </w:numPr>
        <w:ind w:left="993"/>
      </w:pPr>
      <w:r w:rsidRPr="002176B5">
        <w:t>d)</w:t>
      </w:r>
      <w:r w:rsidRPr="002176B5">
        <w:tab/>
        <w:t>Vzor CA4 obsahuje doplňujúce položky potrebné, okrem iného, na výpočet položiek vo vzore CA1, ako aj informácie týkajúce sa kapitálových vankúšov smernice 2013/36/EÚ</w:t>
      </w:r>
      <w:r w:rsidR="002176B5">
        <w:t>;</w:t>
      </w:r>
    </w:p>
    <w:p w14:paraId="0EB902DA" w14:textId="10C313C5" w:rsidR="00CC7D2C" w:rsidRPr="002176B5" w:rsidRDefault="00CC7D2C" w:rsidP="00D1404A">
      <w:pPr>
        <w:pStyle w:val="InstructionsText2"/>
        <w:numPr>
          <w:ilvl w:val="0"/>
          <w:numId w:val="0"/>
        </w:numPr>
        <w:ind w:left="993"/>
      </w:pPr>
      <w:r w:rsidRPr="002176B5">
        <w:t>e)</w:t>
      </w:r>
      <w:r w:rsidRPr="002176B5">
        <w:tab/>
        <w:t>Vzor CA5 obsahuje údaje potrebné na výpočet účinku uplatňovania prechodných ustanovení nariadenia (EÚ) č. 575/2013 na vlastné zdroje. Vzor CA5 prestane existovať po uplynutí platnosti uvedených prechodných ustanovení.</w:t>
      </w:r>
    </w:p>
    <w:p w14:paraId="6AAF12AD" w14:textId="156835AF" w:rsidR="00CC7D2C" w:rsidRPr="002176B5" w:rsidRDefault="00CC7D2C" w:rsidP="00D1404A">
      <w:pPr>
        <w:pStyle w:val="InstructionsText2"/>
        <w:numPr>
          <w:ilvl w:val="0"/>
          <w:numId w:val="0"/>
        </w:numPr>
      </w:pPr>
      <w:r w:rsidRPr="002176B5">
        <w:fldChar w:fldCharType="begin"/>
      </w:r>
      <w:r w:rsidRPr="002176B5">
        <w:instrText>seq paragraphs</w:instrText>
      </w:r>
      <w:r w:rsidRPr="002176B5">
        <w:fldChar w:fldCharType="separate"/>
      </w:r>
      <w:r w:rsidRPr="002176B5">
        <w:t>12</w:t>
      </w:r>
      <w:r w:rsidRPr="002176B5">
        <w:fldChar w:fldCharType="end"/>
      </w:r>
      <w:r w:rsidRPr="002176B5">
        <w:t>.</w:t>
      </w:r>
      <w:r w:rsidRPr="002176B5">
        <w:tab/>
        <w:t>Vzory sa majú vzťahovať na všetky vykazujúce subjekty bez ohľadu na používané účtovné štandardy, aj keď niektoré položky</w:t>
      </w:r>
      <w:r w:rsidR="002176B5">
        <w:t xml:space="preserve"> v </w:t>
      </w:r>
      <w:r w:rsidRPr="002176B5">
        <w:t>čitateli sú špecifické pre subjekty, ktoré používajú pravidlá oceňovania podľa IAS/IFRS. Informácie</w:t>
      </w:r>
      <w:r w:rsidR="002176B5">
        <w:t xml:space="preserve"> v </w:t>
      </w:r>
      <w:r w:rsidRPr="002176B5">
        <w:t>menovateli sú vo všeobecnosti spojené</w:t>
      </w:r>
      <w:r w:rsidR="002176B5">
        <w:t xml:space="preserve"> s </w:t>
      </w:r>
      <w:r w:rsidRPr="002176B5">
        <w:t>konečnými výsledkami vykazovanými</w:t>
      </w:r>
      <w:r w:rsidR="002176B5">
        <w:t xml:space="preserve"> v </w:t>
      </w:r>
      <w:r w:rsidRPr="002176B5">
        <w:t>príslušných vzoroch na výpočet celkovej hodnoty rizikovej expozície.</w:t>
      </w:r>
    </w:p>
    <w:p w14:paraId="5A48E20C" w14:textId="10C62EDD" w:rsidR="002176B5" w:rsidRDefault="00CC7D2C" w:rsidP="00D1404A">
      <w:pPr>
        <w:pStyle w:val="InstructionsText2"/>
        <w:numPr>
          <w:ilvl w:val="0"/>
          <w:numId w:val="0"/>
        </w:numPr>
      </w:pPr>
      <w:r w:rsidRPr="002176B5">
        <w:lastRenderedPageBreak/>
        <w:fldChar w:fldCharType="begin"/>
      </w:r>
      <w:r w:rsidRPr="002176B5">
        <w:instrText>seq paragraphs</w:instrText>
      </w:r>
      <w:r w:rsidRPr="002176B5">
        <w:fldChar w:fldCharType="separate"/>
      </w:r>
      <w:r w:rsidRPr="002176B5">
        <w:t>13</w:t>
      </w:r>
      <w:r w:rsidRPr="002176B5">
        <w:fldChar w:fldCharType="end"/>
      </w:r>
      <w:r w:rsidRPr="002176B5">
        <w:t>.</w:t>
      </w:r>
      <w:r w:rsidRPr="002176B5">
        <w:tab/>
        <w:t>Celkové vlastné zdroje sa skladajú</w:t>
      </w:r>
      <w:r w:rsidR="002176B5">
        <w:t xml:space="preserve"> z </w:t>
      </w:r>
      <w:r w:rsidRPr="002176B5">
        <w:t xml:space="preserve">rôznych typov kapitálu: kapitál </w:t>
      </w:r>
      <w:proofErr w:type="spellStart"/>
      <w:r w:rsidRPr="002176B5">
        <w:t>Tier</w:t>
      </w:r>
      <w:proofErr w:type="spellEnd"/>
      <w:r w:rsidRPr="002176B5">
        <w:t xml:space="preserve"> 1 (T1), ktorý je súčtom vlastného kapitálu </w:t>
      </w:r>
      <w:proofErr w:type="spellStart"/>
      <w:r w:rsidRPr="002176B5">
        <w:t>Tier</w:t>
      </w:r>
      <w:proofErr w:type="spellEnd"/>
      <w:r w:rsidRPr="002176B5">
        <w:t xml:space="preserve"> 1 (CET1), dodatočného kapitálu </w:t>
      </w:r>
      <w:proofErr w:type="spellStart"/>
      <w:r w:rsidRPr="002176B5">
        <w:t>Tier</w:t>
      </w:r>
      <w:proofErr w:type="spellEnd"/>
      <w:r w:rsidRPr="002176B5">
        <w:t xml:space="preserve"> 1 (AT1)</w:t>
      </w:r>
      <w:r w:rsidR="002176B5">
        <w:t xml:space="preserve"> a </w:t>
      </w:r>
      <w:r w:rsidRPr="002176B5">
        <w:t xml:space="preserve">kapitálu </w:t>
      </w:r>
      <w:proofErr w:type="spellStart"/>
      <w:r w:rsidRPr="002176B5">
        <w:t>Tier</w:t>
      </w:r>
      <w:proofErr w:type="spellEnd"/>
      <w:r w:rsidRPr="002176B5">
        <w:t xml:space="preserve"> 2 (T2)</w:t>
      </w:r>
      <w:r w:rsidR="002176B5">
        <w:t>.</w:t>
      </w:r>
    </w:p>
    <w:p w14:paraId="2CD8D0AB" w14:textId="13D2A79F" w:rsidR="00CC7D2C" w:rsidRPr="002176B5" w:rsidRDefault="00CC7D2C" w:rsidP="00D1404A">
      <w:pPr>
        <w:pStyle w:val="InstructionsText2"/>
        <w:numPr>
          <w:ilvl w:val="0"/>
          <w:numId w:val="0"/>
        </w:numPr>
      </w:pPr>
      <w:r w:rsidRPr="002176B5">
        <w:fldChar w:fldCharType="begin"/>
      </w:r>
      <w:r w:rsidRPr="002176B5">
        <w:instrText>seq paragraphs</w:instrText>
      </w:r>
      <w:r w:rsidRPr="002176B5">
        <w:fldChar w:fldCharType="separate"/>
      </w:r>
      <w:r w:rsidRPr="002176B5">
        <w:t>14</w:t>
      </w:r>
      <w:r w:rsidRPr="002176B5">
        <w:fldChar w:fldCharType="end"/>
      </w:r>
      <w:r w:rsidRPr="002176B5">
        <w:t>.</w:t>
      </w:r>
      <w:r w:rsidRPr="002176B5">
        <w:tab/>
        <w:t>S uplatňovaním prechodných ustanovení nariadenia (EÚ) č. 575/2013</w:t>
      </w:r>
      <w:r w:rsidR="002176B5">
        <w:t xml:space="preserve"> a </w:t>
      </w:r>
      <w:r w:rsidRPr="002176B5">
        <w:t>smernice 2013/36/EÚ sa vo vzoroch CA zaobchádza takto:</w:t>
      </w:r>
    </w:p>
    <w:p w14:paraId="14CA06BE" w14:textId="123D5E06" w:rsidR="00CC7D2C" w:rsidRPr="002176B5" w:rsidRDefault="00CC7D2C" w:rsidP="00D1404A">
      <w:pPr>
        <w:pStyle w:val="InstructionsText2"/>
        <w:numPr>
          <w:ilvl w:val="0"/>
          <w:numId w:val="0"/>
        </w:numPr>
        <w:ind w:left="993"/>
      </w:pPr>
      <w:r w:rsidRPr="002176B5">
        <w:t>a)</w:t>
      </w:r>
      <w:r w:rsidRPr="002176B5">
        <w:tab/>
        <w:t>Položky vo vzore CA1 sa vo všeobecnosti uvádzajú pred uplatnením prechodných úprav. Znamená to, že číselné hodnoty</w:t>
      </w:r>
      <w:r w:rsidR="002176B5">
        <w:t xml:space="preserve"> v </w:t>
      </w:r>
      <w:r w:rsidRPr="002176B5">
        <w:t>položkách CA1 sa vypočítavajú podľa záverečných ustanovení (t. j. akoby neexistovali prechodné ustanovenia)</w:t>
      </w:r>
      <w:r w:rsidR="002176B5">
        <w:t xml:space="preserve"> s </w:t>
      </w:r>
      <w:r w:rsidRPr="002176B5">
        <w:t>výnimkou položiek,</w:t>
      </w:r>
      <w:r w:rsidR="002176B5">
        <w:t xml:space="preserve"> v </w:t>
      </w:r>
      <w:r w:rsidRPr="002176B5">
        <w:t>ktorých sa sumarizuje účinok uvedených prechodných ustanovení. Pre každý typ kapitálu (t. j. CET1, AT1</w:t>
      </w:r>
      <w:r w:rsidR="002176B5">
        <w:t xml:space="preserve"> a </w:t>
      </w:r>
      <w:r w:rsidRPr="002176B5">
        <w:t>T2) existujú tri rôzne položky,</w:t>
      </w:r>
      <w:r w:rsidR="002176B5">
        <w:t xml:space="preserve"> v </w:t>
      </w:r>
      <w:r w:rsidRPr="002176B5">
        <w:t>ktorých sú zahrnuté všetky úpravy vyplývajúce</w:t>
      </w:r>
      <w:r w:rsidR="002176B5">
        <w:t xml:space="preserve"> z </w:t>
      </w:r>
      <w:r w:rsidRPr="002176B5">
        <w:t>uvedených prechodných ustanovení.</w:t>
      </w:r>
    </w:p>
    <w:p w14:paraId="2571599A" w14:textId="1B699456" w:rsidR="00CC7D2C" w:rsidRPr="002176B5" w:rsidRDefault="00CC7D2C" w:rsidP="00D1404A">
      <w:pPr>
        <w:pStyle w:val="InstructionsText2"/>
        <w:numPr>
          <w:ilvl w:val="0"/>
          <w:numId w:val="0"/>
        </w:numPr>
        <w:ind w:left="993"/>
      </w:pPr>
      <w:r w:rsidRPr="002176B5">
        <w:t>b)</w:t>
      </w:r>
      <w:r w:rsidRPr="002176B5">
        <w:tab/>
        <w:t>Prechodné ustanovenia môžu ovplyvniť aj nedostatok AT1</w:t>
      </w:r>
      <w:r w:rsidR="002176B5">
        <w:t xml:space="preserve"> a </w:t>
      </w:r>
      <w:r w:rsidRPr="002176B5">
        <w:t>T2 [t. j. AT1 alebo T2 nadbytok odpočtov podľa ustanovení článku 36 ods. 1 písm. j)</w:t>
      </w:r>
      <w:r w:rsidR="002176B5">
        <w:t xml:space="preserve"> a </w:t>
      </w:r>
      <w:r w:rsidRPr="002176B5">
        <w:t>článku 56 písm. e) nariadenia (EÚ) č. 575/2013],</w:t>
      </w:r>
      <w:r w:rsidR="002176B5">
        <w:t xml:space="preserve"> a </w:t>
      </w:r>
      <w:r w:rsidRPr="002176B5">
        <w:t>položky obsahujúce tieto nedostatky tak môžu nepriamo odzrkadľovať účinok uvedených prechodných ustanovení.</w:t>
      </w:r>
    </w:p>
    <w:p w14:paraId="6F8AEEC1" w14:textId="0F35E38D" w:rsidR="002176B5" w:rsidRDefault="00CC7D2C" w:rsidP="00D1404A">
      <w:pPr>
        <w:pStyle w:val="InstructionsText2"/>
        <w:numPr>
          <w:ilvl w:val="0"/>
          <w:numId w:val="0"/>
        </w:numPr>
        <w:ind w:left="993"/>
      </w:pPr>
      <w:r w:rsidRPr="002176B5">
        <w:t>c)</w:t>
      </w:r>
      <w:r w:rsidRPr="002176B5">
        <w:tab/>
        <w:t>Vzor CA5 sa používa výlučne na vykazovanie účinku spôsobeného uplatňovaním prechodných ustanovení nariadenia (EÚ) č. 575/2013</w:t>
      </w:r>
      <w:r w:rsidR="002176B5">
        <w:t xml:space="preserve"> s </w:t>
      </w:r>
      <w:r w:rsidRPr="002176B5">
        <w:t>vplyvom na vlastné zdroje</w:t>
      </w:r>
      <w:r w:rsidR="002176B5">
        <w:t>.</w:t>
      </w:r>
    </w:p>
    <w:p w14:paraId="65B16296" w14:textId="61E539EE" w:rsidR="002176B5" w:rsidRDefault="00CC7D2C" w:rsidP="00D1404A">
      <w:pPr>
        <w:pStyle w:val="InstructionsText2"/>
        <w:numPr>
          <w:ilvl w:val="0"/>
          <w:numId w:val="0"/>
        </w:numPr>
      </w:pPr>
      <w:r w:rsidRPr="002176B5">
        <w:fldChar w:fldCharType="begin"/>
      </w:r>
      <w:r w:rsidRPr="002176B5">
        <w:instrText>seq paragraphs</w:instrText>
      </w:r>
      <w:r w:rsidRPr="002176B5">
        <w:fldChar w:fldCharType="separate"/>
      </w:r>
      <w:r w:rsidRPr="002176B5">
        <w:t>15</w:t>
      </w:r>
      <w:r w:rsidRPr="002176B5">
        <w:fldChar w:fldCharType="end"/>
      </w:r>
      <w:r w:rsidRPr="002176B5">
        <w:t>.</w:t>
      </w:r>
      <w:r w:rsidRPr="002176B5">
        <w:tab/>
        <w:t>Prístup</w:t>
      </w:r>
      <w:r w:rsidR="002176B5">
        <w:t xml:space="preserve"> k </w:t>
      </w:r>
      <w:r w:rsidRPr="002176B5">
        <w:t>požiadavkám piliera II sa môže</w:t>
      </w:r>
      <w:r w:rsidR="002176B5">
        <w:t xml:space="preserve"> v </w:t>
      </w:r>
      <w:r w:rsidRPr="002176B5">
        <w:t xml:space="preserve">rámci Únie </w:t>
      </w:r>
      <w:bookmarkStart w:id="10" w:name="_Hlk188867265"/>
      <w:r w:rsidRPr="002176B5">
        <w:t xml:space="preserve">líšiť </w:t>
      </w:r>
      <w:bookmarkEnd w:id="10"/>
      <w:r w:rsidRPr="002176B5">
        <w:t>(článok 104a ods. 1 smernice 2013/36/EÚ sa musí transponovať do vnútroštátnych právnych predpisov). Do vykazovania platobnej schopnosti požadovaného na základe nariadenia (EÚ) č. 575/2013 sa zahrnie len vplyv požiadaviek piliera II na pomer platobnej schopnosti alebo cieľový pomer</w:t>
      </w:r>
      <w:r w:rsidR="002176B5">
        <w:t>.</w:t>
      </w:r>
    </w:p>
    <w:p w14:paraId="10043DAC" w14:textId="56C4A471" w:rsidR="00CC7D2C" w:rsidRPr="002176B5" w:rsidRDefault="00CC7D2C" w:rsidP="00D1404A">
      <w:pPr>
        <w:pStyle w:val="InstructionsText2"/>
        <w:numPr>
          <w:ilvl w:val="0"/>
          <w:numId w:val="0"/>
        </w:numPr>
        <w:ind w:left="993"/>
      </w:pPr>
      <w:r w:rsidRPr="002176B5">
        <w:t>a)</w:t>
      </w:r>
      <w:r w:rsidRPr="002176B5">
        <w:tab/>
        <w:t>Vzory CA1, CA2 alebo CA5 obsahujú len údaje</w:t>
      </w:r>
      <w:r w:rsidR="002176B5">
        <w:t xml:space="preserve"> o </w:t>
      </w:r>
      <w:r w:rsidRPr="002176B5">
        <w:t>otázkach piliera I.</w:t>
      </w:r>
    </w:p>
    <w:p w14:paraId="0DBE98C6" w14:textId="77777777" w:rsidR="00CC7D2C" w:rsidRPr="002176B5" w:rsidRDefault="00CC7D2C" w:rsidP="00D1404A">
      <w:pPr>
        <w:pStyle w:val="InstructionsText2"/>
        <w:numPr>
          <w:ilvl w:val="0"/>
          <w:numId w:val="0"/>
        </w:numPr>
        <w:ind w:left="993"/>
      </w:pPr>
      <w:r w:rsidRPr="002176B5">
        <w:t>b)</w:t>
      </w:r>
      <w:r w:rsidRPr="002176B5">
        <w:tab/>
        <w:t>Vzor CA3 obsahuje súhrnný účinok dodatočných požiadaviek piliera II na pomer platobnej schopnosti. Zameriava sa najmä na samotné cieľové pomery. Neexistuje žiadne ďalšie prepojenie so vzormi CA1, CA2 ani CA5.</w:t>
      </w:r>
    </w:p>
    <w:p w14:paraId="63F79AA0" w14:textId="2590431E" w:rsidR="00CC7D2C" w:rsidRPr="002176B5" w:rsidRDefault="00CC7D2C" w:rsidP="00D1404A">
      <w:pPr>
        <w:pStyle w:val="InstructionsText2"/>
        <w:numPr>
          <w:ilvl w:val="0"/>
          <w:numId w:val="0"/>
        </w:numPr>
        <w:ind w:left="993"/>
      </w:pPr>
      <w:r w:rsidRPr="002176B5">
        <w:t>c)</w:t>
      </w:r>
      <w:r w:rsidRPr="002176B5">
        <w:tab/>
        <w:t>Vzor CA4 obsahuje jednu bunku týkajúcu sa dodatočných požiadaviek na vlastné zdroje súvisiacich</w:t>
      </w:r>
      <w:r w:rsidR="002176B5">
        <w:t xml:space="preserve"> s </w:t>
      </w:r>
      <w:r w:rsidRPr="002176B5">
        <w:t>pilierom II. Uvedená bunka nie je prostredníctvom pravidiel validácie vôbec spojená</w:t>
      </w:r>
      <w:r w:rsidR="002176B5">
        <w:t xml:space="preserve"> s </w:t>
      </w:r>
      <w:r w:rsidRPr="002176B5">
        <w:t>podielmi kapitálu vzoru CA3</w:t>
      </w:r>
      <w:r w:rsidR="002176B5">
        <w:t xml:space="preserve"> a </w:t>
      </w:r>
      <w:r w:rsidRPr="002176B5">
        <w:t>odzrkadľuje článok 104a ods. 1 smernice 2013/36/EÚ,</w:t>
      </w:r>
      <w:r w:rsidR="002176B5">
        <w:t xml:space="preserve"> v </w:t>
      </w:r>
      <w:r w:rsidRPr="002176B5">
        <w:t>ktorom sa výslovne uvádzajú dodatočné požiadavky na vlastné zdroje ako jedna</w:t>
      </w:r>
      <w:r w:rsidR="002176B5">
        <w:t xml:space="preserve"> z </w:t>
      </w:r>
      <w:r w:rsidRPr="002176B5">
        <w:t>možností pre rozhodnutia piliera II.</w:t>
      </w:r>
    </w:p>
    <w:p w14:paraId="26C3E278" w14:textId="7F89BF9B" w:rsidR="002176B5" w:rsidRDefault="00CC7D2C" w:rsidP="00D1404A">
      <w:pPr>
        <w:pStyle w:val="InstructionsText2"/>
        <w:numPr>
          <w:ilvl w:val="0"/>
          <w:numId w:val="0"/>
        </w:numPr>
      </w:pPr>
      <w:r w:rsidRPr="002176B5">
        <w:t>15a. Uplatňovanie požiadaviek na spodnú hranicu pre výstupné hodnoty môže ovplyvňovať TREA, ako aj požiadavky na vlastné zdroje, ktorých výpočet závisí od TREA: podiely kapitálu, požiadavky piliera 2</w:t>
      </w:r>
      <w:r w:rsidR="002176B5">
        <w:t xml:space="preserve"> a </w:t>
      </w:r>
      <w:r w:rsidRPr="002176B5">
        <w:t>kapitálové vankúše. Ak príslušný orgán uplatňuje odchýlku stanovenú</w:t>
      </w:r>
      <w:r w:rsidR="002176B5">
        <w:t xml:space="preserve"> v </w:t>
      </w:r>
      <w:r w:rsidRPr="002176B5">
        <w:t>článku 92 ods. 3 druhom pododseku nariadenia (EÚ) č. 575/2013, informácie</w:t>
      </w:r>
      <w:r w:rsidR="002176B5">
        <w:t xml:space="preserve"> o </w:t>
      </w:r>
      <w:r w:rsidRPr="002176B5">
        <w:t>požiadavkách na spodnú hranicu pre výstupné hodnoty sa vykazujú zodpovedajúcim spôsobom</w:t>
      </w:r>
      <w:r w:rsidR="002176B5">
        <w:t>.</w:t>
      </w:r>
    </w:p>
    <w:p w14:paraId="226DFED5" w14:textId="7C4822DA" w:rsidR="00CC7D2C" w:rsidRPr="002176B5" w:rsidRDefault="00CC7D2C" w:rsidP="00D1404A">
      <w:pPr>
        <w:pStyle w:val="InstructionsText2"/>
        <w:numPr>
          <w:ilvl w:val="0"/>
          <w:numId w:val="0"/>
        </w:numPr>
        <w:ind w:left="993"/>
      </w:pPr>
      <w:r w:rsidRPr="002176B5">
        <w:t>a)</w:t>
      </w:r>
      <w:r w:rsidRPr="002176B5">
        <w:tab/>
        <w:t>Vzor CA2 obsahuje celkové hodnoty rizikových expozícií so spodnou hranicou</w:t>
      </w:r>
      <w:r w:rsidR="002176B5">
        <w:t xml:space="preserve"> a </w:t>
      </w:r>
      <w:r w:rsidRPr="002176B5">
        <w:t>bez spodnej hranice, ako aj štandardizované celkové hodnoty rizikovej expozície. TREA so spodnou hranicou</w:t>
      </w:r>
      <w:r w:rsidR="002176B5">
        <w:t xml:space="preserve"> a </w:t>
      </w:r>
      <w:r w:rsidRPr="002176B5">
        <w:t xml:space="preserve">štandardizovaná TREA odrážajú prechodné opatrenia </w:t>
      </w:r>
      <w:r w:rsidRPr="002176B5">
        <w:lastRenderedPageBreak/>
        <w:t>pre spodnú hranicu pre výstupné hodnoty</w:t>
      </w:r>
      <w:r w:rsidR="002176B5">
        <w:t xml:space="preserve"> v </w:t>
      </w:r>
      <w:r w:rsidRPr="002176B5">
        <w:t>zmysle vymedzenia článku 465 nariadenia (EÚ) č. 575/2013.</w:t>
      </w:r>
    </w:p>
    <w:p w14:paraId="70D5E959" w14:textId="3AA197BB" w:rsidR="00CC7D2C" w:rsidRPr="002176B5" w:rsidRDefault="00CC7D2C" w:rsidP="00D1404A">
      <w:pPr>
        <w:pStyle w:val="InstructionsText2"/>
        <w:numPr>
          <w:ilvl w:val="0"/>
          <w:numId w:val="0"/>
        </w:numPr>
        <w:ind w:left="993"/>
      </w:pPr>
      <w:r w:rsidRPr="002176B5">
        <w:t>b)</w:t>
      </w:r>
      <w:r w:rsidRPr="002176B5">
        <w:tab/>
        <w:t>Vzor CA3 obsahuje kapitálové podiely so spodnou hranicou</w:t>
      </w:r>
      <w:r w:rsidR="002176B5">
        <w:t xml:space="preserve"> a </w:t>
      </w:r>
      <w:r w:rsidRPr="002176B5">
        <w:t>bez spodnej hranice, podiel celkovej kapitálovej požiadavky</w:t>
      </w:r>
      <w:r w:rsidR="002176B5">
        <w:t xml:space="preserve"> v </w:t>
      </w:r>
      <w:r w:rsidRPr="002176B5">
        <w:t>rámci SREP (TSCR) pred</w:t>
      </w:r>
      <w:r w:rsidR="002176B5">
        <w:t xml:space="preserve"> a </w:t>
      </w:r>
      <w:r w:rsidRPr="002176B5">
        <w:t>po uplatnení horného ohraničenia stanoveného</w:t>
      </w:r>
      <w:r w:rsidR="002176B5">
        <w:t xml:space="preserve"> v </w:t>
      </w:r>
      <w:r w:rsidRPr="002176B5">
        <w:t>článku 104a smernice 2013/36/EÚ, ako aj kapitálové podiely bez uplatnenia prechodných opatrení pre spodnú hranicu pre výstupné hodnoty.</w:t>
      </w:r>
    </w:p>
    <w:p w14:paraId="5965EF78" w14:textId="0516D688" w:rsidR="00CC7D2C" w:rsidRPr="002176B5" w:rsidRDefault="00CC7D2C" w:rsidP="00D1404A">
      <w:pPr>
        <w:pStyle w:val="InstructionsText2"/>
        <w:numPr>
          <w:ilvl w:val="0"/>
          <w:numId w:val="0"/>
        </w:numPr>
        <w:ind w:left="993"/>
      </w:pPr>
      <w:r w:rsidRPr="002176B5">
        <w:t>15b. Vzor CA4 obsahuje výšku úprav spodnej hranice</w:t>
      </w:r>
      <w:r w:rsidR="002176B5">
        <w:t xml:space="preserve"> s </w:t>
      </w:r>
      <w:r w:rsidRPr="002176B5">
        <w:t>uplatnením</w:t>
      </w:r>
      <w:r w:rsidR="002176B5">
        <w:t xml:space="preserve"> a </w:t>
      </w:r>
      <w:r w:rsidRPr="002176B5">
        <w:t>bez uplatnenia prechodných opatrení pre spodnú hranicu pre výstupné hodnoty, ako aj uplatniteľný percentuálny podiel spodnej hranice pre výstupné hodnoty podľa článku 465 ods. 1 nariadenia (EÚ) č. 575/2013.</w:t>
      </w:r>
    </w:p>
    <w:p w14:paraId="36A0BD6A" w14:textId="040383E6" w:rsidR="00CC7D2C" w:rsidRPr="002176B5" w:rsidRDefault="00DA32D5" w:rsidP="00A85510">
      <w:pPr>
        <w:pStyle w:val="InstructionsText2"/>
        <w:numPr>
          <w:ilvl w:val="0"/>
          <w:numId w:val="0"/>
        </w:numPr>
      </w:pPr>
      <w:r w:rsidRPr="002176B5">
        <w:t>15c.  Vzor C 06.02 obsahuje úpravu spodnej hranice TREA subjektov</w:t>
      </w:r>
      <w:r w:rsidR="002176B5">
        <w:t xml:space="preserve"> v </w:t>
      </w:r>
      <w:r w:rsidRPr="002176B5">
        <w:t>rámci rozsahu konsolidácie.</w:t>
      </w:r>
    </w:p>
    <w:p w14:paraId="6B680635" w14:textId="3EF527AA" w:rsidR="002176B5" w:rsidRDefault="00CC7D2C" w:rsidP="00A85510">
      <w:pPr>
        <w:pStyle w:val="InstructionsText2"/>
        <w:numPr>
          <w:ilvl w:val="0"/>
          <w:numId w:val="0"/>
        </w:numPr>
      </w:pPr>
      <w:r w:rsidRPr="002176B5">
        <w:t>15d. Vzory C 10.00, C 13.01, C 14.01</w:t>
      </w:r>
      <w:r w:rsidR="002176B5">
        <w:t xml:space="preserve"> a </w:t>
      </w:r>
      <w:r w:rsidRPr="002176B5">
        <w:t>C 34.02 obsahujú informácie</w:t>
      </w:r>
      <w:r w:rsidR="002176B5">
        <w:t xml:space="preserve"> o </w:t>
      </w:r>
      <w:r w:rsidRPr="002176B5">
        <w:t>štandardizovaných hodnotách expozície</w:t>
      </w:r>
      <w:r w:rsidR="002176B5">
        <w:t xml:space="preserve"> a </w:t>
      </w:r>
      <w:r w:rsidRPr="002176B5">
        <w:t>štandardizovanej TREA vypočítaných podľa článku 92 ods. 5 nariadenia (EÚ) č. 575/2013</w:t>
      </w:r>
      <w:r w:rsidR="002176B5">
        <w:t xml:space="preserve"> a v </w:t>
      </w:r>
      <w:r w:rsidRPr="002176B5">
        <w:t>uplatniteľných prípadoch vplyv prechodných opatrení na výpočet S-TREA</w:t>
      </w:r>
      <w:r w:rsidR="002176B5">
        <w:t>.</w:t>
      </w:r>
    </w:p>
    <w:p w14:paraId="49279069" w14:textId="745B3E0A" w:rsidR="00CC7D2C" w:rsidRPr="002176B5" w:rsidRDefault="00CC7D2C" w:rsidP="00D1404A">
      <w:pPr>
        <w:pStyle w:val="InstructionsText2"/>
        <w:numPr>
          <w:ilvl w:val="0"/>
          <w:numId w:val="0"/>
        </w:numPr>
        <w:ind w:left="993"/>
      </w:pPr>
    </w:p>
    <w:p w14:paraId="3FFFBD44" w14:textId="77777777" w:rsidR="002176B5" w:rsidRDefault="00CC7D2C" w:rsidP="00D1404A">
      <w:pPr>
        <w:pStyle w:val="Instructionsberschrift2"/>
        <w:numPr>
          <w:ilvl w:val="0"/>
          <w:numId w:val="0"/>
        </w:numPr>
        <w:ind w:left="357" w:hanging="357"/>
      </w:pPr>
      <w:bookmarkStart w:id="11" w:name="_Toc473560873"/>
      <w:bookmarkStart w:id="12" w:name="_Toc151714361"/>
      <w:bookmarkStart w:id="13" w:name="_Toc308175820"/>
      <w:bookmarkStart w:id="14" w:name="_Toc360188325"/>
      <w:r w:rsidRPr="002176B5">
        <w:rPr>
          <w:u w:val="none"/>
        </w:rPr>
        <w:t>1.2.</w:t>
      </w:r>
      <w:r w:rsidRPr="002176B5">
        <w:tab/>
        <w:t>C 01.00 – VLASTNÉ ZDROJE (CA1)</w:t>
      </w:r>
      <w:bookmarkEnd w:id="11"/>
      <w:bookmarkEnd w:id="12"/>
      <w:bookmarkEnd w:id="13"/>
      <w:bookmarkEnd w:id="14"/>
    </w:p>
    <w:p w14:paraId="4A8E09A3" w14:textId="289039A2" w:rsidR="00CC7D2C" w:rsidRPr="002176B5" w:rsidRDefault="00CC7D2C" w:rsidP="00D1404A">
      <w:pPr>
        <w:pStyle w:val="Instructionsberschrift2"/>
        <w:numPr>
          <w:ilvl w:val="0"/>
          <w:numId w:val="0"/>
        </w:numPr>
        <w:ind w:left="357" w:hanging="357"/>
      </w:pPr>
      <w:bookmarkStart w:id="15" w:name="_Toc308175821"/>
      <w:bookmarkStart w:id="16" w:name="_Toc310414968"/>
      <w:bookmarkStart w:id="17" w:name="_Toc360188326"/>
      <w:bookmarkStart w:id="18" w:name="_Toc473560874"/>
      <w:bookmarkStart w:id="19" w:name="_Toc151714362"/>
      <w:r w:rsidRPr="002176B5">
        <w:rPr>
          <w:u w:val="none"/>
        </w:rPr>
        <w:t>1.2.1.</w:t>
      </w:r>
      <w:r w:rsidRPr="002176B5">
        <w:tab/>
        <w:t xml:space="preserve">Pokyny týkajúce sa konkrétnych </w:t>
      </w:r>
      <w:bookmarkEnd w:id="15"/>
      <w:bookmarkEnd w:id="16"/>
      <w:r w:rsidRPr="002176B5">
        <w:t>pozícií</w:t>
      </w:r>
      <w:bookmarkEnd w:id="17"/>
      <w:bookmarkEnd w:id="18"/>
      <w:bookmarkEnd w:id="19"/>
    </w:p>
    <w:p w14:paraId="46149592" w14:textId="77777777" w:rsidR="00CC7D2C" w:rsidRPr="002176B5" w:rsidRDefault="00CC7D2C" w:rsidP="00320EFD">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CC7D2C" w:rsidRPr="002176B5" w14:paraId="7C64B19F" w14:textId="77777777" w:rsidTr="00822842">
        <w:tc>
          <w:tcPr>
            <w:tcW w:w="1129" w:type="dxa"/>
            <w:shd w:val="clear" w:color="auto" w:fill="D9D9D9"/>
          </w:tcPr>
          <w:p w14:paraId="1EBAD656" w14:textId="77777777" w:rsidR="00CC7D2C" w:rsidRPr="002176B5" w:rsidRDefault="00CC7D2C" w:rsidP="00320EFD">
            <w:pPr>
              <w:pStyle w:val="InstructionsText"/>
              <w:rPr>
                <w:rStyle w:val="InstructionsTabelleText"/>
                <w:rFonts w:ascii="Times New Roman" w:hAnsi="Times New Roman"/>
                <w:bCs/>
                <w:sz w:val="24"/>
              </w:rPr>
            </w:pPr>
            <w:r w:rsidRPr="002176B5">
              <w:rPr>
                <w:rStyle w:val="InstructionsTabelleText"/>
                <w:rFonts w:ascii="Times New Roman" w:hAnsi="Times New Roman"/>
                <w:sz w:val="24"/>
              </w:rPr>
              <w:t>Riadok</w:t>
            </w:r>
          </w:p>
        </w:tc>
        <w:tc>
          <w:tcPr>
            <w:tcW w:w="7620" w:type="dxa"/>
            <w:shd w:val="clear" w:color="auto" w:fill="D9D9D9"/>
          </w:tcPr>
          <w:p w14:paraId="00BD61FC" w14:textId="2E6BFC76" w:rsidR="00CC7D2C" w:rsidRPr="002176B5" w:rsidRDefault="00CC7D2C" w:rsidP="00320EFD">
            <w:pPr>
              <w:pStyle w:val="InstructionsText"/>
              <w:rPr>
                <w:rStyle w:val="InstructionsTabelleText"/>
                <w:rFonts w:ascii="Times New Roman" w:hAnsi="Times New Roman"/>
                <w:bCs/>
                <w:sz w:val="24"/>
              </w:rPr>
            </w:pPr>
            <w:r w:rsidRPr="002176B5">
              <w:rPr>
                <w:rStyle w:val="InstructionsTabelleText"/>
                <w:rFonts w:ascii="Times New Roman" w:hAnsi="Times New Roman"/>
                <w:sz w:val="24"/>
              </w:rPr>
              <w:t>Odkazy na právne predpisy</w:t>
            </w:r>
            <w:r w:rsidR="002176B5">
              <w:rPr>
                <w:rStyle w:val="InstructionsTabelleText"/>
                <w:rFonts w:ascii="Times New Roman" w:hAnsi="Times New Roman"/>
                <w:sz w:val="24"/>
              </w:rPr>
              <w:t xml:space="preserve"> a </w:t>
            </w:r>
            <w:r w:rsidRPr="002176B5">
              <w:rPr>
                <w:rStyle w:val="InstructionsTabelleText"/>
                <w:rFonts w:ascii="Times New Roman" w:hAnsi="Times New Roman"/>
                <w:sz w:val="24"/>
              </w:rPr>
              <w:t>pokyny</w:t>
            </w:r>
          </w:p>
        </w:tc>
      </w:tr>
      <w:tr w:rsidR="00CC7D2C" w:rsidRPr="002176B5" w14:paraId="4C04A885" w14:textId="77777777" w:rsidTr="00822842">
        <w:tc>
          <w:tcPr>
            <w:tcW w:w="1129" w:type="dxa"/>
          </w:tcPr>
          <w:p w14:paraId="3DFF1FFE"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0010</w:t>
            </w:r>
          </w:p>
        </w:tc>
        <w:tc>
          <w:tcPr>
            <w:tcW w:w="7620" w:type="dxa"/>
          </w:tcPr>
          <w:p w14:paraId="7F7B229E" w14:textId="77777777"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1.</w:t>
            </w:r>
            <w:r w:rsidRPr="002176B5">
              <w:tab/>
            </w:r>
            <w:r w:rsidRPr="002176B5">
              <w:rPr>
                <w:rStyle w:val="InstructionsTabelleberschrift"/>
                <w:rFonts w:ascii="Times New Roman" w:hAnsi="Times New Roman"/>
                <w:sz w:val="24"/>
              </w:rPr>
              <w:t>Vlastné zdroje</w:t>
            </w:r>
          </w:p>
          <w:p w14:paraId="31EC1550" w14:textId="2B728A61"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Článok 4 ods. 1 bod 118</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 xml:space="preserve">článok 72 </w:t>
            </w:r>
            <w:r w:rsidRPr="002176B5">
              <w:t>nariadenia (EÚ) č. 575/2013</w:t>
            </w:r>
          </w:p>
          <w:p w14:paraId="48FA791A" w14:textId="24044A4A" w:rsidR="00CC7D2C" w:rsidRPr="002176B5" w:rsidRDefault="00CC7D2C" w:rsidP="00320EFD">
            <w:pPr>
              <w:pStyle w:val="InstructionsText"/>
              <w:rPr>
                <w:rStyle w:val="InstructionsTabelleberschrift"/>
                <w:rFonts w:ascii="Times New Roman" w:hAnsi="Times New Roman"/>
                <w:sz w:val="24"/>
              </w:rPr>
            </w:pPr>
            <w:r w:rsidRPr="002176B5">
              <w:rPr>
                <w:rStyle w:val="FormatvorlageInstructionsTabelleText"/>
                <w:rFonts w:ascii="Times New Roman" w:hAnsi="Times New Roman"/>
                <w:sz w:val="24"/>
              </w:rPr>
              <w:t xml:space="preserve">Vlastné zdroje inštitúcie pozostávajú zo súčtu jej kapitálu </w:t>
            </w:r>
            <w:proofErr w:type="spellStart"/>
            <w:r w:rsidRPr="002176B5">
              <w:rPr>
                <w:rStyle w:val="FormatvorlageInstructionsTabelleText"/>
                <w:rFonts w:ascii="Times New Roman" w:hAnsi="Times New Roman"/>
                <w:sz w:val="24"/>
              </w:rPr>
              <w:t>Tier</w:t>
            </w:r>
            <w:proofErr w:type="spellEnd"/>
            <w:r w:rsidRPr="002176B5">
              <w:rPr>
                <w:rStyle w:val="FormatvorlageInstructionsTabelleText"/>
                <w:rFonts w:ascii="Times New Roman" w:hAnsi="Times New Roman"/>
                <w:sz w:val="24"/>
              </w:rPr>
              <w:t xml:space="preserve"> 1</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 xml:space="preserve">kapitálu </w:t>
            </w:r>
            <w:proofErr w:type="spellStart"/>
            <w:r w:rsidRPr="002176B5">
              <w:rPr>
                <w:rStyle w:val="FormatvorlageInstructionsTabelleText"/>
                <w:rFonts w:ascii="Times New Roman" w:hAnsi="Times New Roman"/>
                <w:sz w:val="24"/>
              </w:rPr>
              <w:t>Tier</w:t>
            </w:r>
            <w:proofErr w:type="spellEnd"/>
            <w:r w:rsidRPr="002176B5">
              <w:rPr>
                <w:rStyle w:val="FormatvorlageInstructionsTabelleText"/>
                <w:rFonts w:ascii="Times New Roman" w:hAnsi="Times New Roman"/>
                <w:sz w:val="24"/>
              </w:rPr>
              <w:t xml:space="preserve"> 2.</w:t>
            </w:r>
          </w:p>
        </w:tc>
      </w:tr>
      <w:tr w:rsidR="00CC7D2C" w:rsidRPr="002176B5" w14:paraId="5E03706C" w14:textId="77777777" w:rsidTr="00822842">
        <w:tc>
          <w:tcPr>
            <w:tcW w:w="1129" w:type="dxa"/>
          </w:tcPr>
          <w:p w14:paraId="69C1DA7E"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0015</w:t>
            </w:r>
          </w:p>
        </w:tc>
        <w:tc>
          <w:tcPr>
            <w:tcW w:w="7620" w:type="dxa"/>
          </w:tcPr>
          <w:p w14:paraId="4CE80E5B" w14:textId="77777777"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1.1.</w:t>
            </w:r>
            <w:r w:rsidRPr="002176B5">
              <w:tab/>
            </w:r>
            <w:r w:rsidRPr="002176B5">
              <w:rPr>
                <w:rStyle w:val="InstructionsTabelleberschrift"/>
                <w:rFonts w:ascii="Times New Roman" w:hAnsi="Times New Roman"/>
                <w:sz w:val="24"/>
              </w:rPr>
              <w:t xml:space="preserve">Kapitál </w:t>
            </w:r>
            <w:proofErr w:type="spellStart"/>
            <w:r w:rsidRPr="002176B5">
              <w:rPr>
                <w:rStyle w:val="InstructionsTabelleberschrift"/>
                <w:rFonts w:ascii="Times New Roman" w:hAnsi="Times New Roman"/>
                <w:sz w:val="24"/>
              </w:rPr>
              <w:t>Tier</w:t>
            </w:r>
            <w:proofErr w:type="spellEnd"/>
            <w:r w:rsidRPr="002176B5">
              <w:rPr>
                <w:rStyle w:val="InstructionsTabelleberschrift"/>
                <w:rFonts w:ascii="Times New Roman" w:hAnsi="Times New Roman"/>
                <w:sz w:val="24"/>
              </w:rPr>
              <w:t xml:space="preserve"> 1</w:t>
            </w:r>
          </w:p>
          <w:p w14:paraId="7D7B9930"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 xml:space="preserve">Článok 25 </w:t>
            </w:r>
            <w:r w:rsidRPr="002176B5">
              <w:t>nariadenia (EÚ) č. 575/2013</w:t>
            </w:r>
          </w:p>
          <w:p w14:paraId="09B0C85E" w14:textId="25A0B5BB" w:rsidR="00CC7D2C" w:rsidRPr="002176B5" w:rsidRDefault="00CC7D2C" w:rsidP="00320EFD">
            <w:pPr>
              <w:pStyle w:val="InstructionsText"/>
              <w:rPr>
                <w:rStyle w:val="InstructionsTabelleberschrift"/>
                <w:rFonts w:ascii="Times New Roman" w:hAnsi="Times New Roman"/>
                <w:sz w:val="24"/>
              </w:rPr>
            </w:pPr>
            <w:r w:rsidRPr="002176B5">
              <w:rPr>
                <w:rStyle w:val="FormatvorlageInstructionsTabelleText"/>
                <w:rFonts w:ascii="Times New Roman" w:hAnsi="Times New Roman"/>
                <w:sz w:val="24"/>
              </w:rPr>
              <w:t xml:space="preserve">Kapitál </w:t>
            </w:r>
            <w:proofErr w:type="spellStart"/>
            <w:r w:rsidRPr="002176B5">
              <w:rPr>
                <w:rStyle w:val="FormatvorlageInstructionsTabelleText"/>
                <w:rFonts w:ascii="Times New Roman" w:hAnsi="Times New Roman"/>
                <w:sz w:val="24"/>
              </w:rPr>
              <w:t>Tier</w:t>
            </w:r>
            <w:proofErr w:type="spellEnd"/>
            <w:r w:rsidRPr="002176B5">
              <w:rPr>
                <w:rStyle w:val="FormatvorlageInstructionsTabelleText"/>
                <w:rFonts w:ascii="Times New Roman" w:hAnsi="Times New Roman"/>
                <w:sz w:val="24"/>
              </w:rPr>
              <w:t xml:space="preserve"> 1 je súčtom vlastného kapitálu </w:t>
            </w:r>
            <w:proofErr w:type="spellStart"/>
            <w:r w:rsidRPr="002176B5">
              <w:rPr>
                <w:rStyle w:val="FormatvorlageInstructionsTabelleText"/>
                <w:rFonts w:ascii="Times New Roman" w:hAnsi="Times New Roman"/>
                <w:sz w:val="24"/>
              </w:rPr>
              <w:t>Tier</w:t>
            </w:r>
            <w:proofErr w:type="spellEnd"/>
            <w:r w:rsidRPr="002176B5">
              <w:rPr>
                <w:rStyle w:val="FormatvorlageInstructionsTabelleText"/>
                <w:rFonts w:ascii="Times New Roman" w:hAnsi="Times New Roman"/>
                <w:sz w:val="24"/>
              </w:rPr>
              <w:t xml:space="preserve"> 1</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 xml:space="preserve">dodatočného kapitálu </w:t>
            </w:r>
            <w:proofErr w:type="spellStart"/>
            <w:r w:rsidRPr="002176B5">
              <w:rPr>
                <w:rStyle w:val="FormatvorlageInstructionsTabelleText"/>
                <w:rFonts w:ascii="Times New Roman" w:hAnsi="Times New Roman"/>
                <w:sz w:val="24"/>
              </w:rPr>
              <w:t>Tier</w:t>
            </w:r>
            <w:proofErr w:type="spellEnd"/>
            <w:r w:rsidRPr="002176B5">
              <w:rPr>
                <w:rStyle w:val="FormatvorlageInstructionsTabelleText"/>
                <w:rFonts w:ascii="Times New Roman" w:hAnsi="Times New Roman"/>
                <w:sz w:val="24"/>
              </w:rPr>
              <w:t xml:space="preserve"> 1. </w:t>
            </w:r>
          </w:p>
        </w:tc>
      </w:tr>
      <w:tr w:rsidR="00CC7D2C" w:rsidRPr="002176B5" w14:paraId="5DCDFC6B" w14:textId="77777777" w:rsidTr="00822842">
        <w:tc>
          <w:tcPr>
            <w:tcW w:w="1129" w:type="dxa"/>
          </w:tcPr>
          <w:p w14:paraId="44FCDADE"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0020</w:t>
            </w:r>
          </w:p>
        </w:tc>
        <w:tc>
          <w:tcPr>
            <w:tcW w:w="7620" w:type="dxa"/>
          </w:tcPr>
          <w:p w14:paraId="33654540" w14:textId="77777777"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1.1.1.</w:t>
            </w:r>
            <w:r w:rsidRPr="002176B5">
              <w:tab/>
            </w:r>
            <w:r w:rsidRPr="002176B5">
              <w:rPr>
                <w:rStyle w:val="InstructionsTabelleberschrift"/>
                <w:rFonts w:ascii="Times New Roman" w:hAnsi="Times New Roman"/>
                <w:sz w:val="24"/>
              </w:rPr>
              <w:t xml:space="preserve">Vlastný kapitál </w:t>
            </w:r>
            <w:proofErr w:type="spellStart"/>
            <w:r w:rsidRPr="002176B5">
              <w:rPr>
                <w:rStyle w:val="InstructionsTabelleberschrift"/>
                <w:rFonts w:ascii="Times New Roman" w:hAnsi="Times New Roman"/>
                <w:sz w:val="24"/>
              </w:rPr>
              <w:t>Tier</w:t>
            </w:r>
            <w:proofErr w:type="spellEnd"/>
            <w:r w:rsidRPr="002176B5">
              <w:rPr>
                <w:rStyle w:val="InstructionsTabelleberschrift"/>
                <w:rFonts w:ascii="Times New Roman" w:hAnsi="Times New Roman"/>
                <w:sz w:val="24"/>
              </w:rPr>
              <w:t xml:space="preserve"> 1 (CET1)</w:t>
            </w:r>
          </w:p>
          <w:p w14:paraId="4F1E707B"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 xml:space="preserve">Článok 50 </w:t>
            </w:r>
            <w:r w:rsidRPr="002176B5">
              <w:t>nariadenia (EÚ) č. 575/2013</w:t>
            </w:r>
          </w:p>
        </w:tc>
      </w:tr>
      <w:tr w:rsidR="00CC7D2C" w:rsidRPr="002176B5" w14:paraId="50E5DD49" w14:textId="77777777" w:rsidTr="00822842">
        <w:tc>
          <w:tcPr>
            <w:tcW w:w="1129" w:type="dxa"/>
          </w:tcPr>
          <w:p w14:paraId="425977A0"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0030</w:t>
            </w:r>
          </w:p>
        </w:tc>
        <w:tc>
          <w:tcPr>
            <w:tcW w:w="7620" w:type="dxa"/>
          </w:tcPr>
          <w:p w14:paraId="7D4F1E65" w14:textId="41BF4DB6"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1.1.1.1.</w:t>
            </w:r>
            <w:r w:rsidRPr="002176B5">
              <w:tab/>
            </w:r>
            <w:r w:rsidRPr="002176B5">
              <w:rPr>
                <w:rStyle w:val="InstructionsTabelleberschrift"/>
                <w:rFonts w:ascii="Times New Roman" w:hAnsi="Times New Roman"/>
                <w:sz w:val="24"/>
              </w:rPr>
              <w:t>Kapitálové nástroje</w:t>
            </w:r>
            <w:r w:rsidR="002176B5">
              <w:rPr>
                <w:rStyle w:val="InstructionsTabelleberschrift"/>
                <w:rFonts w:ascii="Times New Roman" w:hAnsi="Times New Roman"/>
                <w:sz w:val="24"/>
              </w:rPr>
              <w:t xml:space="preserve"> a </w:t>
            </w:r>
            <w:r w:rsidRPr="002176B5">
              <w:rPr>
                <w:rStyle w:val="InstructionsTabelleberschrift"/>
                <w:rFonts w:ascii="Times New Roman" w:hAnsi="Times New Roman"/>
                <w:sz w:val="24"/>
              </w:rPr>
              <w:t>emisné ážiá prípustné ako kapitál CET1</w:t>
            </w:r>
          </w:p>
          <w:p w14:paraId="5F4E10C2" w14:textId="7944FB1C"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Článok 26 ods. 1 písm. a)</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(b), články 27 až 30, článok 36 ods. 1 písm. f)</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 xml:space="preserve">článok 42 </w:t>
            </w:r>
            <w:r w:rsidRPr="002176B5">
              <w:t>nariadenia (EÚ) č. 575/2013</w:t>
            </w:r>
          </w:p>
        </w:tc>
      </w:tr>
      <w:tr w:rsidR="00CC7D2C" w:rsidRPr="002176B5" w14:paraId="0656D54B" w14:textId="77777777" w:rsidTr="00822842">
        <w:tc>
          <w:tcPr>
            <w:tcW w:w="1129" w:type="dxa"/>
          </w:tcPr>
          <w:p w14:paraId="1D670832"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lastRenderedPageBreak/>
              <w:t>0040</w:t>
            </w:r>
          </w:p>
        </w:tc>
        <w:tc>
          <w:tcPr>
            <w:tcW w:w="7620" w:type="dxa"/>
          </w:tcPr>
          <w:p w14:paraId="14B2355E" w14:textId="77777777"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1.1.1.1.1.</w:t>
            </w:r>
            <w:r w:rsidRPr="002176B5">
              <w:tab/>
            </w:r>
            <w:r w:rsidRPr="002176B5">
              <w:rPr>
                <w:rStyle w:val="InstructionsTabelleberschrift"/>
                <w:rFonts w:ascii="Times New Roman" w:hAnsi="Times New Roman"/>
                <w:sz w:val="24"/>
              </w:rPr>
              <w:t>Úplne splatené kapitálové nástroje</w:t>
            </w:r>
          </w:p>
          <w:p w14:paraId="13B60A67" w14:textId="675B3054"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Článok 26 ods. 1 písm. a)</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články 27 až 31</w:t>
            </w:r>
            <w:r w:rsidRPr="002176B5">
              <w:t>nariadenia (EÚ) č. 575/2013</w:t>
            </w:r>
          </w:p>
          <w:p w14:paraId="49B9CE2F" w14:textId="038DAE66"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Zahrnú sa kapitálové nástroje vzájomných spoločností, družstevných spoločností alebo podobných inštitúcií [články 27</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29</w:t>
            </w:r>
            <w:r w:rsidRPr="002176B5">
              <w:t xml:space="preserve"> nariadenia (EÚ) č. 575/2013)]</w:t>
            </w:r>
            <w:r w:rsidRPr="002176B5">
              <w:rPr>
                <w:rStyle w:val="FormatvorlageInstructionsTabelleText"/>
                <w:rFonts w:ascii="Times New Roman" w:hAnsi="Times New Roman"/>
                <w:sz w:val="24"/>
              </w:rPr>
              <w:t>.</w:t>
            </w:r>
          </w:p>
          <w:p w14:paraId="7827C6D3" w14:textId="337AE4C3"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Emisné ážio súvisiace</w:t>
            </w:r>
            <w:r w:rsidR="002176B5">
              <w:rPr>
                <w:rStyle w:val="FormatvorlageInstructionsTabelleText"/>
                <w:rFonts w:ascii="Times New Roman" w:hAnsi="Times New Roman"/>
                <w:sz w:val="24"/>
              </w:rPr>
              <w:t xml:space="preserve"> s </w:t>
            </w:r>
            <w:r w:rsidRPr="002176B5">
              <w:rPr>
                <w:rStyle w:val="FormatvorlageInstructionsTabelleText"/>
                <w:rFonts w:ascii="Times New Roman" w:hAnsi="Times New Roman"/>
                <w:sz w:val="24"/>
              </w:rPr>
              <w:t>týmito nástrojmi sa sem nezahŕňa.</w:t>
            </w:r>
          </w:p>
          <w:p w14:paraId="2903801E" w14:textId="26A61EE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Kapitálové nástroje upísané orgánmi verejnej moci</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núdzových situáciách sa zahrnú vtedy, ak sú splnené všetky podmienky článku 31</w:t>
            </w:r>
            <w:r w:rsidRPr="002176B5">
              <w:t xml:space="preserve"> nariadenia (EÚ) č. 575/2013</w:t>
            </w:r>
            <w:r w:rsidRPr="002176B5">
              <w:rPr>
                <w:rStyle w:val="FormatvorlageInstructionsTabelleText"/>
                <w:rFonts w:ascii="Times New Roman" w:hAnsi="Times New Roman"/>
                <w:sz w:val="24"/>
              </w:rPr>
              <w:t>.</w:t>
            </w:r>
          </w:p>
        </w:tc>
      </w:tr>
      <w:tr w:rsidR="00CC7D2C" w:rsidRPr="002176B5" w14:paraId="4E036248" w14:textId="77777777" w:rsidTr="00822842">
        <w:tc>
          <w:tcPr>
            <w:tcW w:w="1129" w:type="dxa"/>
          </w:tcPr>
          <w:p w14:paraId="4C416248"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0045</w:t>
            </w:r>
          </w:p>
        </w:tc>
        <w:tc>
          <w:tcPr>
            <w:tcW w:w="7620" w:type="dxa"/>
          </w:tcPr>
          <w:p w14:paraId="03643B4D" w14:textId="626CB243"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1.1.1.1.1.*</w:t>
            </w:r>
            <w:r w:rsidRPr="002176B5">
              <w:tab/>
            </w:r>
            <w:r w:rsidRPr="002176B5">
              <w:rPr>
                <w:rStyle w:val="InstructionsTabelleberschrift"/>
                <w:rFonts w:ascii="Times New Roman" w:hAnsi="Times New Roman"/>
                <w:sz w:val="24"/>
              </w:rPr>
              <w:t>Z čoho: kapitálové nástroje upísané orgánmi verejnej moci</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núdzových situáciách</w:t>
            </w:r>
          </w:p>
          <w:p w14:paraId="3743B5F7" w14:textId="77777777" w:rsidR="00CC7D2C" w:rsidRPr="002176B5" w:rsidRDefault="00CC7D2C" w:rsidP="00320EFD">
            <w:pPr>
              <w:pStyle w:val="InstructionsText"/>
              <w:rPr>
                <w:rStyle w:val="InstructionsTabelleberschrift"/>
                <w:rFonts w:ascii="Times New Roman" w:hAnsi="Times New Roman"/>
                <w:b w:val="0"/>
                <w:sz w:val="24"/>
                <w:u w:val="none"/>
              </w:rPr>
            </w:pPr>
            <w:r w:rsidRPr="002176B5">
              <w:rPr>
                <w:rStyle w:val="InstructionsTabelleberschrift"/>
                <w:rFonts w:ascii="Times New Roman" w:hAnsi="Times New Roman"/>
                <w:b w:val="0"/>
                <w:sz w:val="24"/>
                <w:u w:val="none"/>
              </w:rPr>
              <w:t xml:space="preserve">Článok 31 </w:t>
            </w:r>
            <w:r w:rsidRPr="002176B5">
              <w:t>nariadenia (EÚ) č. 575/2013</w:t>
            </w:r>
          </w:p>
          <w:p w14:paraId="3BA89906" w14:textId="31B2B632"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b w:val="0"/>
                <w:sz w:val="24"/>
                <w:u w:val="none"/>
              </w:rPr>
              <w:t>Kapitálové nástroje upísané orgánmi verejnej moci</w:t>
            </w:r>
            <w:r w:rsidR="002176B5">
              <w:rPr>
                <w:rStyle w:val="InstructionsTabelleberschrift"/>
                <w:rFonts w:ascii="Times New Roman" w:hAnsi="Times New Roman"/>
                <w:b w:val="0"/>
                <w:sz w:val="24"/>
                <w:u w:val="none"/>
              </w:rPr>
              <w:t xml:space="preserve"> v </w:t>
            </w:r>
            <w:r w:rsidRPr="002176B5">
              <w:rPr>
                <w:rStyle w:val="InstructionsTabelleberschrift"/>
                <w:rFonts w:ascii="Times New Roman" w:hAnsi="Times New Roman"/>
                <w:b w:val="0"/>
                <w:sz w:val="24"/>
                <w:u w:val="none"/>
              </w:rPr>
              <w:t>núdzových situáciách sa zahrnú do kapitálu CET1 vtedy, ak sú splnené všetky podmienky článku 31</w:t>
            </w:r>
            <w:r w:rsidRPr="002176B5">
              <w:t xml:space="preserve"> nariadenia (EÚ) č. 575/2013</w:t>
            </w:r>
            <w:r w:rsidRPr="002176B5">
              <w:rPr>
                <w:rStyle w:val="InstructionsTabelleberschrift"/>
                <w:rFonts w:ascii="Times New Roman" w:hAnsi="Times New Roman"/>
                <w:b w:val="0"/>
                <w:sz w:val="24"/>
                <w:u w:val="none"/>
              </w:rPr>
              <w:t>.</w:t>
            </w:r>
          </w:p>
        </w:tc>
      </w:tr>
      <w:tr w:rsidR="00CC7D2C" w:rsidRPr="002176B5" w14:paraId="46C4E17A" w14:textId="77777777" w:rsidTr="00822842">
        <w:tc>
          <w:tcPr>
            <w:tcW w:w="1129" w:type="dxa"/>
          </w:tcPr>
          <w:p w14:paraId="72DE3B98"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0050</w:t>
            </w:r>
          </w:p>
        </w:tc>
        <w:tc>
          <w:tcPr>
            <w:tcW w:w="7620" w:type="dxa"/>
          </w:tcPr>
          <w:p w14:paraId="52A13572" w14:textId="77777777" w:rsidR="00CC7D2C" w:rsidRPr="002176B5" w:rsidRDefault="00CC7D2C" w:rsidP="00320EFD">
            <w:pPr>
              <w:pStyle w:val="InstructionsText"/>
              <w:rPr>
                <w:rStyle w:val="FormatvorlageInstructionsTabelleText"/>
                <w:rFonts w:ascii="Times New Roman" w:hAnsi="Times New Roman"/>
                <w:b/>
                <w:sz w:val="24"/>
                <w:u w:val="single"/>
              </w:rPr>
            </w:pPr>
            <w:r w:rsidRPr="002176B5">
              <w:rPr>
                <w:rStyle w:val="InstructionsTabelleberschrift"/>
                <w:rFonts w:ascii="Times New Roman" w:hAnsi="Times New Roman"/>
                <w:sz w:val="24"/>
              </w:rPr>
              <w:t>1.1.1.1.2.*</w:t>
            </w:r>
            <w:r w:rsidRPr="002176B5">
              <w:tab/>
            </w:r>
            <w:r w:rsidRPr="002176B5">
              <w:rPr>
                <w:rStyle w:val="InstructionsTabelleberschrift"/>
                <w:rFonts w:ascii="Times New Roman" w:hAnsi="Times New Roman"/>
                <w:sz w:val="24"/>
              </w:rPr>
              <w:t>Doplňujúca položka: neprípustné kapitálové nástroje</w:t>
            </w:r>
          </w:p>
          <w:p w14:paraId="0D8C40BE" w14:textId="4FD20F50"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Článok 28 ods. 1 písm. b), l)</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 xml:space="preserve">m) </w:t>
            </w:r>
            <w:r w:rsidRPr="002176B5">
              <w:t>nariadenia (EÚ) č. 575/2013</w:t>
            </w:r>
          </w:p>
          <w:p w14:paraId="589C62D5" w14:textId="39D552F1"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Podmienky</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týchto písmenách vyjadrujú rôzne situácie kapitálu, ktoré sa môžu zmeniť, preto hodnota vykazovaná</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tomto riadku môže byť</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ďalších obdobiach prípustná.</w:t>
            </w:r>
          </w:p>
          <w:p w14:paraId="02886CDC" w14:textId="77F84962"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Vykazovaná hodnota nezahŕňa emisné ážio súvisiace</w:t>
            </w:r>
            <w:r w:rsidR="002176B5">
              <w:rPr>
                <w:rStyle w:val="FormatvorlageInstructionsTabelleText"/>
                <w:rFonts w:ascii="Times New Roman" w:hAnsi="Times New Roman"/>
                <w:sz w:val="24"/>
              </w:rPr>
              <w:t xml:space="preserve"> s </w:t>
            </w:r>
            <w:r w:rsidRPr="002176B5">
              <w:rPr>
                <w:rStyle w:val="FormatvorlageInstructionsTabelleText"/>
                <w:rFonts w:ascii="Times New Roman" w:hAnsi="Times New Roman"/>
                <w:sz w:val="24"/>
              </w:rPr>
              <w:t>nástrojmi.</w:t>
            </w:r>
          </w:p>
        </w:tc>
      </w:tr>
      <w:tr w:rsidR="00CC7D2C" w:rsidRPr="002176B5" w14:paraId="08897B4B" w14:textId="77777777" w:rsidTr="00822842">
        <w:tc>
          <w:tcPr>
            <w:tcW w:w="1129" w:type="dxa"/>
          </w:tcPr>
          <w:p w14:paraId="0A0AEFF3"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0060</w:t>
            </w:r>
          </w:p>
        </w:tc>
        <w:tc>
          <w:tcPr>
            <w:tcW w:w="7620" w:type="dxa"/>
          </w:tcPr>
          <w:p w14:paraId="60A3F399" w14:textId="77777777" w:rsidR="00CC7D2C" w:rsidRPr="002176B5" w:rsidRDefault="00CC7D2C" w:rsidP="00320EFD">
            <w:pPr>
              <w:pStyle w:val="InstructionsText"/>
              <w:rPr>
                <w:rStyle w:val="FormatvorlageInstructionsTabelleText"/>
                <w:rFonts w:ascii="Times New Roman" w:hAnsi="Times New Roman"/>
                <w:b/>
                <w:sz w:val="24"/>
                <w:u w:val="single"/>
              </w:rPr>
            </w:pPr>
            <w:r w:rsidRPr="002176B5">
              <w:rPr>
                <w:rStyle w:val="InstructionsTabelleberschrift"/>
                <w:rFonts w:ascii="Times New Roman" w:hAnsi="Times New Roman"/>
                <w:sz w:val="24"/>
              </w:rPr>
              <w:t>1.1.1.1.3.</w:t>
            </w:r>
            <w:r w:rsidRPr="002176B5">
              <w:tab/>
            </w:r>
            <w:r w:rsidRPr="002176B5">
              <w:rPr>
                <w:rStyle w:val="InstructionsTabelleberschrift"/>
                <w:rFonts w:ascii="Times New Roman" w:hAnsi="Times New Roman"/>
                <w:sz w:val="24"/>
              </w:rPr>
              <w:t>Emisné ážio</w:t>
            </w:r>
          </w:p>
          <w:p w14:paraId="0CC528E0"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 xml:space="preserve">Článok 4 ods. 1 bod 124, článok 26 ods. 1 písm. b) </w:t>
            </w:r>
            <w:r w:rsidRPr="002176B5">
              <w:t>nariadenia (EÚ) č. 575/2013</w:t>
            </w:r>
          </w:p>
          <w:p w14:paraId="2F6262E0" w14:textId="53E1D326" w:rsid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Emisné ážio má ten istý význam ako</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uplatniteľnom účtovnom štandarde</w:t>
            </w:r>
            <w:r w:rsidR="002176B5">
              <w:rPr>
                <w:rStyle w:val="FormatvorlageInstructionsTabelleText"/>
                <w:rFonts w:ascii="Times New Roman" w:hAnsi="Times New Roman"/>
                <w:sz w:val="24"/>
              </w:rPr>
              <w:t>.</w:t>
            </w:r>
          </w:p>
          <w:p w14:paraId="45DE9F13" w14:textId="323265C8"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Hodnota, ktorá sa má vykázať</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tejto položke, zodpovedá časti súvisiacej</w:t>
            </w:r>
            <w:r w:rsidR="002176B5">
              <w:rPr>
                <w:rStyle w:val="FormatvorlageInstructionsTabelleText"/>
                <w:rFonts w:ascii="Times New Roman" w:hAnsi="Times New Roman"/>
                <w:sz w:val="24"/>
              </w:rPr>
              <w:t xml:space="preserve"> s </w:t>
            </w:r>
            <w:r w:rsidRPr="002176B5">
              <w:rPr>
                <w:rStyle w:val="FormatvorlageInstructionsTabelleText"/>
                <w:rFonts w:ascii="Times New Roman" w:hAnsi="Times New Roman"/>
                <w:sz w:val="24"/>
              </w:rPr>
              <w:t xml:space="preserve">„úplne splatenými kapitálovými nástrojmi“. </w:t>
            </w:r>
          </w:p>
        </w:tc>
      </w:tr>
      <w:tr w:rsidR="00CC7D2C" w:rsidRPr="002176B5" w14:paraId="4E2BC4B8" w14:textId="77777777" w:rsidTr="00822842">
        <w:tc>
          <w:tcPr>
            <w:tcW w:w="1129" w:type="dxa"/>
          </w:tcPr>
          <w:p w14:paraId="1D4B9921"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0070</w:t>
            </w:r>
          </w:p>
        </w:tc>
        <w:tc>
          <w:tcPr>
            <w:tcW w:w="7620" w:type="dxa"/>
          </w:tcPr>
          <w:p w14:paraId="783E5942" w14:textId="77777777" w:rsidR="00CC7D2C" w:rsidRPr="002176B5" w:rsidRDefault="00CC7D2C" w:rsidP="00320EFD">
            <w:pPr>
              <w:pStyle w:val="InstructionsText"/>
              <w:rPr>
                <w:rStyle w:val="FormatvorlageInstructionsTabelleText"/>
                <w:rFonts w:ascii="Times New Roman" w:hAnsi="Times New Roman"/>
                <w:b/>
                <w:sz w:val="24"/>
                <w:u w:val="single"/>
              </w:rPr>
            </w:pPr>
            <w:r w:rsidRPr="002176B5">
              <w:rPr>
                <w:rStyle w:val="InstructionsTabelleberschrift"/>
                <w:rFonts w:ascii="Times New Roman" w:hAnsi="Times New Roman"/>
                <w:sz w:val="24"/>
              </w:rPr>
              <w:t>1.1.1.1.4.</w:t>
            </w:r>
            <w:r w:rsidRPr="002176B5">
              <w:tab/>
            </w:r>
            <w:r w:rsidRPr="002176B5">
              <w:rPr>
                <w:rStyle w:val="InstructionsTabelleberschrift"/>
                <w:rFonts w:ascii="Times New Roman" w:hAnsi="Times New Roman"/>
                <w:sz w:val="24"/>
              </w:rPr>
              <w:t>(–) Nástroje vlastného CET1</w:t>
            </w:r>
          </w:p>
          <w:p w14:paraId="0AF323C1" w14:textId="15C32B8A"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Článok 36 ods. 1 písm. f)</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 xml:space="preserve">článok 42 </w:t>
            </w:r>
            <w:r w:rsidRPr="002176B5">
              <w:t>nariadenia (EÚ) č. 575/2013</w:t>
            </w:r>
          </w:p>
          <w:p w14:paraId="2CAF5072" w14:textId="2F58134F"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Vlastný CET1 držaný vykazujúcou inštitúciou alebo skupinou</w:t>
            </w:r>
            <w:r w:rsidR="002176B5">
              <w:rPr>
                <w:rStyle w:val="FormatvorlageInstructionsTabelleText"/>
                <w:rFonts w:ascii="Times New Roman" w:hAnsi="Times New Roman"/>
                <w:sz w:val="24"/>
              </w:rPr>
              <w:t xml:space="preserve"> k </w:t>
            </w:r>
            <w:r w:rsidRPr="002176B5">
              <w:rPr>
                <w:rStyle w:val="FormatvorlageInstructionsTabelleText"/>
                <w:rFonts w:ascii="Times New Roman" w:hAnsi="Times New Roman"/>
                <w:sz w:val="24"/>
              </w:rPr>
              <w:t>dátumu vykazovania</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hodnoty nástrojov CET1, ktoré sa majú odpočítať</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súlade</w:t>
            </w:r>
            <w:r w:rsidR="002176B5">
              <w:rPr>
                <w:rStyle w:val="FormatvorlageInstructionsTabelleText"/>
                <w:rFonts w:ascii="Times New Roman" w:hAnsi="Times New Roman"/>
                <w:sz w:val="24"/>
              </w:rPr>
              <w:t xml:space="preserve"> s </w:t>
            </w:r>
            <w:r w:rsidRPr="002176B5">
              <w:rPr>
                <w:rStyle w:val="FormatvorlageInstructionsTabelleText"/>
                <w:rFonts w:ascii="Times New Roman" w:hAnsi="Times New Roman"/>
                <w:sz w:val="24"/>
              </w:rPr>
              <w:t>článkom 28 ods. 2 delegovaného nariadenia Komisie (EÚ) č. 241/2014</w:t>
            </w:r>
            <w:r w:rsidRPr="002176B5">
              <w:rPr>
                <w:rStyle w:val="FootnoteReference"/>
                <w:bCs/>
                <w:vertAlign w:val="superscript"/>
              </w:rPr>
              <w:footnoteReference w:id="1"/>
            </w:r>
            <w:r w:rsidRPr="002176B5">
              <w:rPr>
                <w:rStyle w:val="FormatvorlageInstructionsTabelleText"/>
                <w:rFonts w:ascii="Times New Roman" w:hAnsi="Times New Roman"/>
                <w:sz w:val="24"/>
              </w:rPr>
              <w:t>.</w:t>
            </w:r>
            <w:r w:rsidR="002176B5">
              <w:rPr>
                <w:rStyle w:val="FormatvorlageInstructionsTabelleText"/>
                <w:rFonts w:ascii="Times New Roman" w:hAnsi="Times New Roman"/>
                <w:sz w:val="24"/>
              </w:rPr>
              <w:t xml:space="preserve"> S </w:t>
            </w:r>
            <w:r w:rsidRPr="002176B5">
              <w:rPr>
                <w:rStyle w:val="FormatvorlageInstructionsTabelleText"/>
                <w:rFonts w:ascii="Times New Roman" w:hAnsi="Times New Roman"/>
                <w:sz w:val="24"/>
              </w:rPr>
              <w:t>výhradou výnimiek</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 xml:space="preserve">článku 42 </w:t>
            </w:r>
            <w:r w:rsidRPr="002176B5">
              <w:t>nariadenia (EÚ) č. 575/2013</w:t>
            </w:r>
            <w:r w:rsidRPr="002176B5">
              <w:rPr>
                <w:rStyle w:val="FormatvorlageInstructionsTabelleText"/>
                <w:rFonts w:ascii="Times New Roman" w:hAnsi="Times New Roman"/>
                <w:sz w:val="24"/>
              </w:rPr>
              <w:t>.</w:t>
            </w:r>
          </w:p>
          <w:p w14:paraId="5CADFB21"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V tomto riadku sa nevykazujú podiely na akciách zahrnuté ako „neprípustné kapitálové nástroje“.</w:t>
            </w:r>
          </w:p>
          <w:p w14:paraId="19881967" w14:textId="1BCA1A6E"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Vykazovaná hodnota zahŕňa emisné ážio súvisiace</w:t>
            </w:r>
            <w:r w:rsidR="002176B5">
              <w:rPr>
                <w:rStyle w:val="FormatvorlageInstructionsTabelleText"/>
                <w:rFonts w:ascii="Times New Roman" w:hAnsi="Times New Roman"/>
                <w:sz w:val="24"/>
              </w:rPr>
              <w:t xml:space="preserve"> s </w:t>
            </w:r>
            <w:r w:rsidRPr="002176B5">
              <w:rPr>
                <w:rStyle w:val="FormatvorlageInstructionsTabelleText"/>
                <w:rFonts w:ascii="Times New Roman" w:hAnsi="Times New Roman"/>
                <w:sz w:val="24"/>
              </w:rPr>
              <w:t>vlastnými akciami.</w:t>
            </w:r>
          </w:p>
          <w:p w14:paraId="154333ED" w14:textId="0A73D08F"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lastRenderedPageBreak/>
              <w:t>Položky 1.1.1.1.4 až 1.1.1.1.4.3 nezahŕňajú skutočné alebo podmienené záväzky kúpiť nástroje vlastného CET1. Skutočné alebo podmienené záväzky kúpiť nástroje vlastného CET1 sa vykazujú osobitne</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položke 1.1.1.1.5.</w:t>
            </w:r>
          </w:p>
        </w:tc>
      </w:tr>
      <w:tr w:rsidR="00CC7D2C" w:rsidRPr="002176B5" w14:paraId="20C40C47" w14:textId="77777777" w:rsidTr="00822842">
        <w:tc>
          <w:tcPr>
            <w:tcW w:w="1129" w:type="dxa"/>
          </w:tcPr>
          <w:p w14:paraId="00269479"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lastRenderedPageBreak/>
              <w:t>0080</w:t>
            </w:r>
          </w:p>
        </w:tc>
        <w:tc>
          <w:tcPr>
            <w:tcW w:w="7620" w:type="dxa"/>
          </w:tcPr>
          <w:p w14:paraId="631AA053" w14:textId="77777777" w:rsidR="00CC7D2C" w:rsidRPr="002176B5" w:rsidRDefault="00CC7D2C" w:rsidP="00320EFD">
            <w:pPr>
              <w:pStyle w:val="InstructionsText"/>
              <w:rPr>
                <w:rStyle w:val="FormatvorlageInstructionsTabelleText"/>
                <w:rFonts w:ascii="Times New Roman" w:hAnsi="Times New Roman"/>
                <w:b/>
                <w:sz w:val="24"/>
                <w:u w:val="single"/>
              </w:rPr>
            </w:pPr>
            <w:r w:rsidRPr="002176B5">
              <w:rPr>
                <w:rStyle w:val="InstructionsTabelleberschrift"/>
                <w:rFonts w:ascii="Times New Roman" w:hAnsi="Times New Roman"/>
                <w:sz w:val="24"/>
              </w:rPr>
              <w:t>1.1.1.1.4.1.</w:t>
            </w:r>
            <w:r w:rsidRPr="002176B5">
              <w:tab/>
            </w:r>
            <w:r w:rsidRPr="002176B5">
              <w:rPr>
                <w:rStyle w:val="InstructionsTabelleberschrift"/>
                <w:rFonts w:ascii="Times New Roman" w:hAnsi="Times New Roman"/>
                <w:sz w:val="24"/>
              </w:rPr>
              <w:t>(–) Priame podiely na nástrojoch CET1</w:t>
            </w:r>
          </w:p>
          <w:p w14:paraId="0F857D1A" w14:textId="77DE0F0D"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Článok 36 ods. 1 písm. f)</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 xml:space="preserve">článok 42 </w:t>
            </w:r>
            <w:r w:rsidRPr="002176B5">
              <w:t>nariadenia (EÚ) č. 575/2013</w:t>
            </w:r>
          </w:p>
          <w:p w14:paraId="51D792E3" w14:textId="63706F73" w:rsid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 xml:space="preserve">Nástroje vlastného kapitálu </w:t>
            </w:r>
            <w:proofErr w:type="spellStart"/>
            <w:r w:rsidRPr="002176B5">
              <w:rPr>
                <w:rStyle w:val="FormatvorlageInstructionsTabelleText"/>
                <w:rFonts w:ascii="Times New Roman" w:hAnsi="Times New Roman"/>
                <w:sz w:val="24"/>
              </w:rPr>
              <w:t>Tier</w:t>
            </w:r>
            <w:proofErr w:type="spellEnd"/>
            <w:r w:rsidRPr="002176B5">
              <w:rPr>
                <w:rStyle w:val="FormatvorlageInstructionsTabelleText"/>
                <w:rFonts w:ascii="Times New Roman" w:hAnsi="Times New Roman"/>
                <w:sz w:val="24"/>
              </w:rPr>
              <w:t xml:space="preserve"> 1 zahrnuté</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položke 1.1.1.1 držané inštitúciami konsolidovanej skupiny</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hodnoty nástrojov CET1, ktoré sa majú odpočítať</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súlade</w:t>
            </w:r>
            <w:r w:rsidR="002176B5">
              <w:rPr>
                <w:rStyle w:val="FormatvorlageInstructionsTabelleText"/>
                <w:rFonts w:ascii="Times New Roman" w:hAnsi="Times New Roman"/>
                <w:sz w:val="24"/>
              </w:rPr>
              <w:t xml:space="preserve"> s </w:t>
            </w:r>
            <w:r w:rsidRPr="002176B5">
              <w:rPr>
                <w:rStyle w:val="FormatvorlageInstructionsTabelleText"/>
                <w:rFonts w:ascii="Times New Roman" w:hAnsi="Times New Roman"/>
                <w:sz w:val="24"/>
              </w:rPr>
              <w:t>článkom 28 ods. 2 delegovaného nariadenia Komisie (EÚ) č. 241/2014</w:t>
            </w:r>
            <w:r w:rsidR="002176B5">
              <w:rPr>
                <w:rStyle w:val="FormatvorlageInstructionsTabelleText"/>
                <w:rFonts w:ascii="Times New Roman" w:hAnsi="Times New Roman"/>
                <w:sz w:val="24"/>
              </w:rPr>
              <w:t>.</w:t>
            </w:r>
          </w:p>
          <w:p w14:paraId="69A2AC97" w14:textId="6DD87DB9"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Vykazovaná hodnota zahŕňa podiely</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obchodnej knihe vypočítané na základe čistej dlhej pozície, ako sa stanovuje</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článku 42 písm. a)</w:t>
            </w:r>
            <w:r w:rsidRPr="002176B5">
              <w:t xml:space="preserve"> nariadenia (EÚ) č. 575/2013</w:t>
            </w:r>
            <w:r w:rsidRPr="002176B5">
              <w:rPr>
                <w:rStyle w:val="FormatvorlageInstructionsTabelleText"/>
                <w:rFonts w:ascii="Times New Roman" w:hAnsi="Times New Roman"/>
                <w:sz w:val="24"/>
              </w:rPr>
              <w:t>.</w:t>
            </w:r>
          </w:p>
        </w:tc>
      </w:tr>
      <w:tr w:rsidR="00CC7D2C" w:rsidRPr="002176B5" w14:paraId="0CC49E4B" w14:textId="77777777" w:rsidTr="00822842">
        <w:tc>
          <w:tcPr>
            <w:tcW w:w="1129" w:type="dxa"/>
          </w:tcPr>
          <w:p w14:paraId="1C17B718"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0090</w:t>
            </w:r>
          </w:p>
        </w:tc>
        <w:tc>
          <w:tcPr>
            <w:tcW w:w="7620" w:type="dxa"/>
          </w:tcPr>
          <w:p w14:paraId="54D7C924" w14:textId="77777777" w:rsidR="00CC7D2C" w:rsidRPr="002176B5" w:rsidRDefault="00CC7D2C" w:rsidP="00320EFD">
            <w:pPr>
              <w:pStyle w:val="InstructionsText"/>
              <w:rPr>
                <w:rStyle w:val="FormatvorlageInstructionsTabelleText"/>
                <w:rFonts w:ascii="Times New Roman" w:hAnsi="Times New Roman"/>
                <w:b/>
                <w:sz w:val="24"/>
                <w:u w:val="single"/>
              </w:rPr>
            </w:pPr>
            <w:r w:rsidRPr="002176B5">
              <w:rPr>
                <w:rStyle w:val="InstructionsTabelleberschrift"/>
                <w:rFonts w:ascii="Times New Roman" w:hAnsi="Times New Roman"/>
                <w:sz w:val="24"/>
              </w:rPr>
              <w:t>1.1.1.1.4.2.</w:t>
            </w:r>
            <w:r w:rsidRPr="002176B5">
              <w:tab/>
            </w:r>
            <w:r w:rsidRPr="002176B5">
              <w:rPr>
                <w:rStyle w:val="InstructionsTabelleberschrift"/>
                <w:rFonts w:ascii="Times New Roman" w:hAnsi="Times New Roman"/>
                <w:sz w:val="24"/>
              </w:rPr>
              <w:t>(–) Nepriame podiely na nástrojoch CET1</w:t>
            </w:r>
          </w:p>
          <w:p w14:paraId="754C5778" w14:textId="57976B73"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Článok 4 ods. 1 bod 114, článok 36 ods. 1 písm. f)</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 xml:space="preserve">článok 42 </w:t>
            </w:r>
            <w:r w:rsidRPr="002176B5">
              <w:t>nariadenia (EÚ) č. 575/2013</w:t>
            </w:r>
          </w:p>
        </w:tc>
      </w:tr>
      <w:tr w:rsidR="00CC7D2C" w:rsidRPr="002176B5" w14:paraId="1F25B017" w14:textId="77777777" w:rsidTr="00822842">
        <w:tc>
          <w:tcPr>
            <w:tcW w:w="1129" w:type="dxa"/>
          </w:tcPr>
          <w:p w14:paraId="6DF954EC"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0091</w:t>
            </w:r>
          </w:p>
        </w:tc>
        <w:tc>
          <w:tcPr>
            <w:tcW w:w="7620" w:type="dxa"/>
          </w:tcPr>
          <w:p w14:paraId="113BCBFC" w14:textId="77777777" w:rsidR="00CC7D2C" w:rsidRPr="002176B5" w:rsidRDefault="00CC7D2C" w:rsidP="00320EFD">
            <w:pPr>
              <w:pStyle w:val="InstructionsText"/>
              <w:rPr>
                <w:rStyle w:val="FormatvorlageInstructionsTabelleText"/>
                <w:rFonts w:ascii="Times New Roman" w:hAnsi="Times New Roman"/>
                <w:b/>
                <w:sz w:val="24"/>
                <w:u w:val="single"/>
              </w:rPr>
            </w:pPr>
            <w:r w:rsidRPr="002176B5">
              <w:rPr>
                <w:rStyle w:val="InstructionsTabelleberschrift"/>
                <w:rFonts w:ascii="Times New Roman" w:hAnsi="Times New Roman"/>
                <w:sz w:val="24"/>
              </w:rPr>
              <w:t>1.1.1.1.4.3.</w:t>
            </w:r>
            <w:r w:rsidRPr="002176B5">
              <w:tab/>
            </w:r>
            <w:r w:rsidRPr="002176B5">
              <w:rPr>
                <w:rStyle w:val="InstructionsTabelleberschrift"/>
                <w:rFonts w:ascii="Times New Roman" w:hAnsi="Times New Roman"/>
                <w:sz w:val="24"/>
              </w:rPr>
              <w:t>(–) Syntetické podiely na nástrojoch CET1</w:t>
            </w:r>
          </w:p>
          <w:p w14:paraId="3E0D4BE7" w14:textId="53C40408" w:rsidR="00CC7D2C" w:rsidRPr="002176B5" w:rsidRDefault="00CC7D2C" w:rsidP="00320EFD">
            <w:pPr>
              <w:pStyle w:val="InstructionsText"/>
              <w:rPr>
                <w:rStyle w:val="InstructionsTabelleberschrift"/>
                <w:rFonts w:ascii="Times New Roman" w:hAnsi="Times New Roman"/>
                <w:b w:val="0"/>
                <w:sz w:val="24"/>
                <w:u w:val="none"/>
              </w:rPr>
            </w:pPr>
            <w:r w:rsidRPr="002176B5">
              <w:rPr>
                <w:rStyle w:val="FormatvorlageInstructionsTabelleText"/>
                <w:rFonts w:ascii="Times New Roman" w:hAnsi="Times New Roman"/>
                <w:sz w:val="24"/>
              </w:rPr>
              <w:t>Článok 4 ods. 1 bod 126, článok 36 ods. 1 písm. f)</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 xml:space="preserve">článok 42 </w:t>
            </w:r>
            <w:r w:rsidRPr="002176B5">
              <w:t>nariadenia (EÚ) č. 575/2013</w:t>
            </w:r>
          </w:p>
        </w:tc>
      </w:tr>
      <w:tr w:rsidR="00CC7D2C" w:rsidRPr="002176B5" w14:paraId="33CE3BE1" w14:textId="77777777" w:rsidTr="00822842">
        <w:tc>
          <w:tcPr>
            <w:tcW w:w="1129" w:type="dxa"/>
          </w:tcPr>
          <w:p w14:paraId="03E12DAA"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0092</w:t>
            </w:r>
          </w:p>
        </w:tc>
        <w:tc>
          <w:tcPr>
            <w:tcW w:w="7620" w:type="dxa"/>
          </w:tcPr>
          <w:p w14:paraId="70A174EC" w14:textId="77777777"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1.1.1.1.5.</w:t>
            </w:r>
            <w:r w:rsidRPr="002176B5">
              <w:tab/>
            </w:r>
            <w:r w:rsidRPr="002176B5">
              <w:rPr>
                <w:rStyle w:val="InstructionsTabelleberschrift"/>
                <w:rFonts w:ascii="Times New Roman" w:hAnsi="Times New Roman"/>
                <w:sz w:val="24"/>
              </w:rPr>
              <w:t>(–) Skutočné alebo podmienené záväzky kúpiť nástroje vlastného CET1</w:t>
            </w:r>
          </w:p>
          <w:p w14:paraId="7D0F7B57" w14:textId="7E17A359"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Článok 36 ods. 1 písm. f)</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 xml:space="preserve">článok 42 </w:t>
            </w:r>
            <w:r w:rsidRPr="002176B5">
              <w:t>nariadenia (EÚ) č. 575/2013</w:t>
            </w:r>
          </w:p>
          <w:p w14:paraId="55FBB150" w14:textId="77777777" w:rsidR="00CC7D2C" w:rsidRPr="002176B5" w:rsidRDefault="00CC7D2C" w:rsidP="00320EFD">
            <w:pPr>
              <w:pStyle w:val="InstructionsText"/>
              <w:rPr>
                <w:rStyle w:val="InstructionsTabelleberschrift"/>
                <w:rFonts w:ascii="Times New Roman" w:hAnsi="Times New Roman"/>
                <w:b w:val="0"/>
                <w:bCs w:val="0"/>
                <w:sz w:val="24"/>
                <w:u w:val="none"/>
              </w:rPr>
            </w:pPr>
            <w:r w:rsidRPr="002176B5">
              <w:rPr>
                <w:rStyle w:val="InstructionsTabelleberschrift"/>
                <w:rFonts w:ascii="Times New Roman" w:hAnsi="Times New Roman"/>
                <w:b w:val="0"/>
                <w:sz w:val="24"/>
                <w:u w:val="none"/>
              </w:rPr>
              <w:t>Podľa článku 36 ods. 1</w:t>
            </w:r>
            <w:r w:rsidRPr="002176B5">
              <w:rPr>
                <w:rStyle w:val="FormatvorlageInstructionsTabelleText"/>
                <w:rFonts w:ascii="Times New Roman" w:hAnsi="Times New Roman"/>
                <w:sz w:val="24"/>
              </w:rPr>
              <w:t xml:space="preserve">písm. f) </w:t>
            </w:r>
            <w:r w:rsidRPr="002176B5">
              <w:t xml:space="preserve">nariadenia (EÚ) č. 575/2013 sa odpočítajú „nástroje vlastného kapitálu </w:t>
            </w:r>
            <w:proofErr w:type="spellStart"/>
            <w:r w:rsidRPr="002176B5">
              <w:t>Tier</w:t>
            </w:r>
            <w:proofErr w:type="spellEnd"/>
            <w:r w:rsidRPr="002176B5">
              <w:t xml:space="preserve"> 1, na ktoré sa vzťahuje skutočný alebo podmienený záväzok inštitúcie kúpiť na základe existujúcej zmluvnej povinnosti“.</w:t>
            </w:r>
          </w:p>
        </w:tc>
      </w:tr>
      <w:tr w:rsidR="00CC7D2C" w:rsidRPr="002176B5" w14:paraId="436677FF" w14:textId="77777777" w:rsidTr="00822842">
        <w:tc>
          <w:tcPr>
            <w:tcW w:w="1129" w:type="dxa"/>
          </w:tcPr>
          <w:p w14:paraId="09DBFD36"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0130</w:t>
            </w:r>
          </w:p>
        </w:tc>
        <w:tc>
          <w:tcPr>
            <w:tcW w:w="7620" w:type="dxa"/>
          </w:tcPr>
          <w:p w14:paraId="578DA542" w14:textId="77777777" w:rsidR="00CC7D2C" w:rsidRPr="002176B5" w:rsidRDefault="00CC7D2C" w:rsidP="00320EFD">
            <w:pPr>
              <w:pStyle w:val="InstructionsText"/>
              <w:rPr>
                <w:rStyle w:val="FormatvorlageInstructionsTabelleText"/>
                <w:rFonts w:ascii="Times New Roman" w:hAnsi="Times New Roman"/>
                <w:b/>
                <w:sz w:val="24"/>
                <w:u w:val="single"/>
              </w:rPr>
            </w:pPr>
            <w:r w:rsidRPr="002176B5">
              <w:rPr>
                <w:rStyle w:val="InstructionsTabelleberschrift"/>
                <w:rFonts w:ascii="Times New Roman" w:hAnsi="Times New Roman"/>
                <w:sz w:val="24"/>
              </w:rPr>
              <w:t>1.1.1.2.</w:t>
            </w:r>
            <w:r w:rsidRPr="002176B5">
              <w:tab/>
            </w:r>
            <w:r w:rsidRPr="002176B5">
              <w:rPr>
                <w:rStyle w:val="InstructionsTabelleberschrift"/>
                <w:rFonts w:ascii="Times New Roman" w:hAnsi="Times New Roman"/>
                <w:sz w:val="24"/>
              </w:rPr>
              <w:t>Nerozdelené zisky</w:t>
            </w:r>
          </w:p>
          <w:p w14:paraId="7009A7FF" w14:textId="6B122CE5"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Článok 26 ods. 1 písm. c)</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článok 26 ods. 2</w:t>
            </w:r>
            <w:r w:rsidRPr="002176B5">
              <w:t>nariadenia (EÚ) č. 575/2013</w:t>
            </w:r>
          </w:p>
          <w:p w14:paraId="3D7EC55E" w14:textId="519167BF"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Nerozdelené zisky zahŕňajú nerozdelené zisky</w:t>
            </w:r>
            <w:r w:rsidR="002176B5">
              <w:rPr>
                <w:rStyle w:val="FormatvorlageInstructionsTabelleText"/>
                <w:rFonts w:ascii="Times New Roman" w:hAnsi="Times New Roman"/>
                <w:sz w:val="24"/>
              </w:rPr>
              <w:t xml:space="preserve"> z </w:t>
            </w:r>
            <w:r w:rsidRPr="002176B5">
              <w:rPr>
                <w:rStyle w:val="FormatvorlageInstructionsTabelleText"/>
                <w:rFonts w:ascii="Times New Roman" w:hAnsi="Times New Roman"/>
                <w:sz w:val="24"/>
              </w:rPr>
              <w:t>predchádzajúceho roka</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prípustné predbežné alebo koncoročné zisky.</w:t>
            </w:r>
          </w:p>
        </w:tc>
      </w:tr>
      <w:tr w:rsidR="00CC7D2C" w:rsidRPr="002176B5" w14:paraId="0301CE75" w14:textId="77777777" w:rsidTr="00822842">
        <w:tc>
          <w:tcPr>
            <w:tcW w:w="1129" w:type="dxa"/>
          </w:tcPr>
          <w:p w14:paraId="4D164B1A"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0140</w:t>
            </w:r>
          </w:p>
        </w:tc>
        <w:tc>
          <w:tcPr>
            <w:tcW w:w="7620" w:type="dxa"/>
          </w:tcPr>
          <w:p w14:paraId="6B4BF9A3" w14:textId="688285A9" w:rsidR="00CC7D2C" w:rsidRPr="002176B5" w:rsidRDefault="00CC7D2C" w:rsidP="00320EFD">
            <w:pPr>
              <w:pStyle w:val="InstructionsText"/>
              <w:rPr>
                <w:rStyle w:val="FormatvorlageInstructionsTabelleText"/>
                <w:rFonts w:ascii="Times New Roman" w:hAnsi="Times New Roman"/>
                <w:b/>
                <w:sz w:val="24"/>
                <w:u w:val="single"/>
              </w:rPr>
            </w:pPr>
            <w:r w:rsidRPr="002176B5">
              <w:rPr>
                <w:rStyle w:val="InstructionsTabelleberschrift"/>
                <w:rFonts w:ascii="Times New Roman" w:hAnsi="Times New Roman"/>
                <w:sz w:val="24"/>
              </w:rPr>
              <w:t>1.1.1.2.1.</w:t>
            </w:r>
            <w:r w:rsidRPr="002176B5">
              <w:tab/>
            </w:r>
            <w:r w:rsidRPr="002176B5">
              <w:rPr>
                <w:rStyle w:val="InstructionsTabelleberschrift"/>
                <w:rFonts w:ascii="Times New Roman" w:hAnsi="Times New Roman"/>
                <w:sz w:val="24"/>
              </w:rPr>
              <w:t>Nerozdelené zisky</w:t>
            </w:r>
            <w:r w:rsidR="002176B5">
              <w:rPr>
                <w:rStyle w:val="InstructionsTabelleberschrift"/>
                <w:rFonts w:ascii="Times New Roman" w:hAnsi="Times New Roman"/>
                <w:sz w:val="24"/>
              </w:rPr>
              <w:t xml:space="preserve"> z </w:t>
            </w:r>
            <w:r w:rsidRPr="002176B5">
              <w:rPr>
                <w:rStyle w:val="InstructionsTabelleberschrift"/>
                <w:rFonts w:ascii="Times New Roman" w:hAnsi="Times New Roman"/>
                <w:sz w:val="24"/>
              </w:rPr>
              <w:t>predchádzajúcich rokov</w:t>
            </w:r>
          </w:p>
          <w:p w14:paraId="5CB4D035" w14:textId="60DDD962"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Článok 4 ods. 1 bod 123</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 xml:space="preserve">článok 26 ods. 1 písm. c) </w:t>
            </w:r>
            <w:r w:rsidRPr="002176B5">
              <w:t>nariadenia (EÚ) č. 575/2013</w:t>
            </w:r>
          </w:p>
          <w:p w14:paraId="1FA473F9" w14:textId="4C511EC3"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 xml:space="preserve">V článku 4 ods. 1 bode 123 </w:t>
            </w:r>
            <w:r w:rsidRPr="002176B5">
              <w:t xml:space="preserve">nariadenia (EÚ) č. 575/2013 </w:t>
            </w:r>
            <w:r w:rsidRPr="002176B5">
              <w:rPr>
                <w:rStyle w:val="FormatvorlageInstructionsTabelleText"/>
                <w:rFonts w:ascii="Times New Roman" w:hAnsi="Times New Roman"/>
                <w:sz w:val="24"/>
              </w:rPr>
              <w:t>sa nerozdelené zisky vymedzujú ako „zisky</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straty prenesené po použití konečného zisku alebo straty</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súlade</w:t>
            </w:r>
            <w:r w:rsidR="002176B5">
              <w:rPr>
                <w:rStyle w:val="FormatvorlageInstructionsTabelleText"/>
                <w:rFonts w:ascii="Times New Roman" w:hAnsi="Times New Roman"/>
                <w:sz w:val="24"/>
              </w:rPr>
              <w:t xml:space="preserve"> s </w:t>
            </w:r>
            <w:r w:rsidRPr="002176B5">
              <w:rPr>
                <w:rStyle w:val="FormatvorlageInstructionsTabelleText"/>
                <w:rFonts w:ascii="Times New Roman" w:hAnsi="Times New Roman"/>
                <w:sz w:val="24"/>
              </w:rPr>
              <w:t>uplatniteľným účtovným rámcom“.</w:t>
            </w:r>
          </w:p>
        </w:tc>
      </w:tr>
      <w:tr w:rsidR="00CC7D2C" w:rsidRPr="002176B5" w14:paraId="5EACCF4C" w14:textId="77777777" w:rsidTr="00822842">
        <w:tc>
          <w:tcPr>
            <w:tcW w:w="1129" w:type="dxa"/>
          </w:tcPr>
          <w:p w14:paraId="775A1E6A"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0150</w:t>
            </w:r>
          </w:p>
        </w:tc>
        <w:tc>
          <w:tcPr>
            <w:tcW w:w="7620" w:type="dxa"/>
          </w:tcPr>
          <w:p w14:paraId="574DC663" w14:textId="77777777" w:rsidR="00CC7D2C" w:rsidRPr="002176B5" w:rsidRDefault="00CC7D2C" w:rsidP="00320EFD">
            <w:pPr>
              <w:pStyle w:val="InstructionsText"/>
              <w:rPr>
                <w:rStyle w:val="FormatvorlageInstructionsTabelleText"/>
                <w:rFonts w:ascii="Times New Roman" w:hAnsi="Times New Roman"/>
                <w:b/>
                <w:sz w:val="24"/>
                <w:u w:val="single"/>
              </w:rPr>
            </w:pPr>
            <w:r w:rsidRPr="002176B5">
              <w:rPr>
                <w:rStyle w:val="InstructionsTabelleberschrift"/>
                <w:rFonts w:ascii="Times New Roman" w:hAnsi="Times New Roman"/>
                <w:sz w:val="24"/>
              </w:rPr>
              <w:t>1.1.1.2.2.</w:t>
            </w:r>
            <w:r w:rsidRPr="002176B5">
              <w:tab/>
            </w:r>
            <w:r w:rsidRPr="002176B5">
              <w:rPr>
                <w:rStyle w:val="InstructionsTabelleberschrift"/>
                <w:rFonts w:ascii="Times New Roman" w:hAnsi="Times New Roman"/>
                <w:sz w:val="24"/>
              </w:rPr>
              <w:t>Prípustný zisk alebo strata</w:t>
            </w:r>
          </w:p>
          <w:p w14:paraId="5DC0BAE0" w14:textId="67C42A76"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Článok 4 ods. 1 bod 121, článok 26 ods. 2</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 xml:space="preserve">článok 36 ods. 1 písm. a) </w:t>
            </w:r>
            <w:r w:rsidRPr="002176B5">
              <w:t>nariadenia (EÚ) č. 575/2013</w:t>
            </w:r>
          </w:p>
          <w:p w14:paraId="47E800F4" w14:textId="210021B6" w:rsid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 xml:space="preserve">V článku 26 ods. 2 </w:t>
            </w:r>
            <w:r w:rsidRPr="002176B5">
              <w:t xml:space="preserve">nariadenia (EÚ) č. 575/2013 </w:t>
            </w:r>
            <w:r w:rsidRPr="002176B5">
              <w:rPr>
                <w:rStyle w:val="FormatvorlageInstructionsTabelleText"/>
                <w:rFonts w:ascii="Times New Roman" w:hAnsi="Times New Roman"/>
                <w:sz w:val="24"/>
              </w:rPr>
              <w:t>sa umožňuje do nerozdelených ziskov zahrnúť predbežné alebo koncoročné zisky,</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to</w:t>
            </w:r>
            <w:r w:rsidR="002176B5">
              <w:rPr>
                <w:rStyle w:val="FormatvorlageInstructionsTabelleText"/>
                <w:rFonts w:ascii="Times New Roman" w:hAnsi="Times New Roman"/>
                <w:sz w:val="24"/>
              </w:rPr>
              <w:t xml:space="preserve"> s </w:t>
            </w:r>
            <w:r w:rsidRPr="002176B5">
              <w:rPr>
                <w:rStyle w:val="FormatvorlageInstructionsTabelleText"/>
                <w:rFonts w:ascii="Times New Roman" w:hAnsi="Times New Roman"/>
                <w:sz w:val="24"/>
              </w:rPr>
              <w:t>predchádzajúcim súhlasom príslušných orgánov, ak sú splnené určité podmienky</w:t>
            </w:r>
            <w:r w:rsidR="002176B5">
              <w:rPr>
                <w:rStyle w:val="FormatvorlageInstructionsTabelleText"/>
                <w:rFonts w:ascii="Times New Roman" w:hAnsi="Times New Roman"/>
                <w:sz w:val="24"/>
              </w:rPr>
              <w:t>.</w:t>
            </w:r>
          </w:p>
          <w:p w14:paraId="0BFC0732" w14:textId="318F909F"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Na druhej strane sa od CET1 odpočítajú straty, ako sa stanovuje</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 xml:space="preserve">článku 36 ods. 1 písm. a) </w:t>
            </w:r>
            <w:r w:rsidRPr="002176B5">
              <w:t>nariadenia (EÚ) č. 575/2013</w:t>
            </w:r>
            <w:r w:rsidRPr="002176B5">
              <w:rPr>
                <w:rStyle w:val="FormatvorlageInstructionsTabelleText"/>
                <w:rFonts w:ascii="Times New Roman" w:hAnsi="Times New Roman"/>
                <w:sz w:val="24"/>
              </w:rPr>
              <w:t>.</w:t>
            </w:r>
          </w:p>
        </w:tc>
      </w:tr>
      <w:tr w:rsidR="00CC7D2C" w:rsidRPr="002176B5" w14:paraId="24BE1C8A" w14:textId="77777777" w:rsidTr="00822842">
        <w:tc>
          <w:tcPr>
            <w:tcW w:w="1129" w:type="dxa"/>
          </w:tcPr>
          <w:p w14:paraId="2699710D"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lastRenderedPageBreak/>
              <w:t>0160</w:t>
            </w:r>
          </w:p>
        </w:tc>
        <w:tc>
          <w:tcPr>
            <w:tcW w:w="7620" w:type="dxa"/>
          </w:tcPr>
          <w:p w14:paraId="6792BC6A" w14:textId="77777777" w:rsidR="00CC7D2C" w:rsidRPr="002176B5" w:rsidRDefault="00CC7D2C" w:rsidP="00320EFD">
            <w:pPr>
              <w:pStyle w:val="InstructionsText"/>
              <w:rPr>
                <w:rStyle w:val="FormatvorlageInstructionsTabelleText"/>
                <w:rFonts w:ascii="Times New Roman" w:hAnsi="Times New Roman"/>
                <w:b/>
                <w:sz w:val="24"/>
                <w:u w:val="single"/>
              </w:rPr>
            </w:pPr>
            <w:r w:rsidRPr="002176B5">
              <w:rPr>
                <w:rStyle w:val="InstructionsTabelleberschrift"/>
                <w:rFonts w:ascii="Times New Roman" w:hAnsi="Times New Roman"/>
                <w:sz w:val="24"/>
              </w:rPr>
              <w:t>1.1.1.2.2.1.</w:t>
            </w:r>
            <w:r w:rsidRPr="002176B5">
              <w:tab/>
            </w:r>
            <w:r w:rsidRPr="002176B5">
              <w:rPr>
                <w:rStyle w:val="InstructionsTabelleberschrift"/>
                <w:rFonts w:ascii="Times New Roman" w:hAnsi="Times New Roman"/>
                <w:sz w:val="24"/>
              </w:rPr>
              <w:t xml:space="preserve">Zisk alebo strata </w:t>
            </w:r>
            <w:proofErr w:type="spellStart"/>
            <w:r w:rsidRPr="002176B5">
              <w:rPr>
                <w:rStyle w:val="InstructionsTabelleberschrift"/>
                <w:rFonts w:ascii="Times New Roman" w:hAnsi="Times New Roman"/>
                <w:sz w:val="24"/>
              </w:rPr>
              <w:t>pripísateľná</w:t>
            </w:r>
            <w:proofErr w:type="spellEnd"/>
            <w:r w:rsidRPr="002176B5">
              <w:rPr>
                <w:rStyle w:val="InstructionsTabelleberschrift"/>
                <w:rFonts w:ascii="Times New Roman" w:hAnsi="Times New Roman"/>
                <w:sz w:val="24"/>
              </w:rPr>
              <w:t xml:space="preserve"> vlastníkom materskej spoločnosti</w:t>
            </w:r>
          </w:p>
          <w:p w14:paraId="03530D4C" w14:textId="09A864CA"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Článok 26 ods. 2</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 xml:space="preserve">článok 36 ods. 1 písm. a) </w:t>
            </w:r>
            <w:r w:rsidRPr="002176B5">
              <w:t>nariadenia (EÚ) č. 575/2013</w:t>
            </w:r>
          </w:p>
          <w:p w14:paraId="2431C778" w14:textId="5D59A8F4"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Vykazovaná hodnota je zisk alebo strata, ktoré sú vykázané</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účtovnom výkaze ziskov</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strát.</w:t>
            </w:r>
          </w:p>
        </w:tc>
      </w:tr>
      <w:tr w:rsidR="00CC7D2C" w:rsidRPr="002176B5" w14:paraId="62BE66ED" w14:textId="77777777" w:rsidTr="00822842">
        <w:tc>
          <w:tcPr>
            <w:tcW w:w="1129" w:type="dxa"/>
          </w:tcPr>
          <w:p w14:paraId="2C59B1BA"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0170</w:t>
            </w:r>
          </w:p>
        </w:tc>
        <w:tc>
          <w:tcPr>
            <w:tcW w:w="7620" w:type="dxa"/>
          </w:tcPr>
          <w:p w14:paraId="0803ED03" w14:textId="77777777"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1.1.1.2.2.2.</w:t>
            </w:r>
            <w:r w:rsidRPr="002176B5">
              <w:tab/>
            </w:r>
            <w:r w:rsidRPr="002176B5">
              <w:rPr>
                <w:rStyle w:val="InstructionsTabelleberschrift"/>
                <w:rFonts w:ascii="Times New Roman" w:hAnsi="Times New Roman"/>
                <w:sz w:val="24"/>
              </w:rPr>
              <w:t>(–) Neprípustná časť predbežného alebo koncoročného zisku</w:t>
            </w:r>
          </w:p>
          <w:p w14:paraId="19A847A9"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 xml:space="preserve">Článok 26 ods. 2 </w:t>
            </w:r>
            <w:r w:rsidRPr="002176B5">
              <w:t>nariadenia (EÚ) č. 575/2013</w:t>
            </w:r>
          </w:p>
          <w:p w14:paraId="67D1E161" w14:textId="764CBEC2"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V tomto riadku sa neuvádza žiadny údaj, ak inštitúcia za referenčné obdobie vykázala straty, pretože straty sa</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plnej miere odpočítavajú od CET1.</w:t>
            </w:r>
          </w:p>
          <w:p w14:paraId="79C02EE9" w14:textId="2AB976A0"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 xml:space="preserve">Ak inštitúcia vykazuje zisky, vykazuje sa časť, ktorá nie je prípustná podľa článku 26 ods. 2 </w:t>
            </w:r>
            <w:r w:rsidRPr="002176B5">
              <w:t xml:space="preserve">nariadenia (EÚ) č. 575/2013 </w:t>
            </w:r>
            <w:r w:rsidRPr="002176B5">
              <w:rPr>
                <w:rStyle w:val="FormatvorlageInstructionsTabelleText"/>
                <w:rFonts w:ascii="Times New Roman" w:hAnsi="Times New Roman"/>
                <w:sz w:val="24"/>
              </w:rPr>
              <w:t>(t. j. zisky neoverené audítorom</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predpokladané platby alebo dividendy).</w:t>
            </w:r>
          </w:p>
          <w:p w14:paraId="5CD49754" w14:textId="01C87DD0"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Treba poznamenať, že</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prípade ziskov sa hodnota, ktorú treba odpočítať, rovná najmenej predbežným dividendám.</w:t>
            </w:r>
          </w:p>
        </w:tc>
      </w:tr>
      <w:tr w:rsidR="00CC7D2C" w:rsidRPr="002176B5" w14:paraId="6CB8B9D2" w14:textId="77777777" w:rsidTr="00822842">
        <w:tc>
          <w:tcPr>
            <w:tcW w:w="1129" w:type="dxa"/>
          </w:tcPr>
          <w:p w14:paraId="3D7F8424"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0180</w:t>
            </w:r>
          </w:p>
        </w:tc>
        <w:tc>
          <w:tcPr>
            <w:tcW w:w="7620" w:type="dxa"/>
          </w:tcPr>
          <w:p w14:paraId="5FFD1E16" w14:textId="77777777" w:rsidR="00CC7D2C" w:rsidRPr="002176B5" w:rsidRDefault="00CC7D2C" w:rsidP="00320EFD">
            <w:pPr>
              <w:pStyle w:val="InstructionsText"/>
              <w:rPr>
                <w:rStyle w:val="FormatvorlageInstructionsTabelleText"/>
                <w:rFonts w:ascii="Times New Roman" w:hAnsi="Times New Roman"/>
                <w:b/>
                <w:sz w:val="24"/>
                <w:u w:val="single"/>
              </w:rPr>
            </w:pPr>
            <w:r w:rsidRPr="002176B5">
              <w:rPr>
                <w:rStyle w:val="InstructionsTabelleberschrift"/>
                <w:rFonts w:ascii="Times New Roman" w:hAnsi="Times New Roman"/>
                <w:sz w:val="24"/>
              </w:rPr>
              <w:t>1.1.1.3.</w:t>
            </w:r>
            <w:r w:rsidRPr="002176B5">
              <w:tab/>
            </w:r>
            <w:r w:rsidRPr="002176B5">
              <w:rPr>
                <w:rStyle w:val="InstructionsTabelleberschrift"/>
                <w:rFonts w:ascii="Times New Roman" w:hAnsi="Times New Roman"/>
                <w:sz w:val="24"/>
              </w:rPr>
              <w:t>Akumulovaný iný komplexný účtovný výsledok</w:t>
            </w:r>
          </w:p>
          <w:p w14:paraId="0C781700" w14:textId="70BCE11B"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Článok 4 ods. 1 bod 100</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 xml:space="preserve">článok 26 ods. 1 písm. d) </w:t>
            </w:r>
            <w:r w:rsidRPr="002176B5">
              <w:t>nariadenia (EÚ) č. 575/2013</w:t>
            </w:r>
          </w:p>
          <w:p w14:paraId="761708C7" w14:textId="4CF1CF8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Vykazuje sa hodnota po odpočítaní daňových poplatkov, ktoré sa predpokladajú</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čase výpočtu,</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 xml:space="preserve">pred uplatnením </w:t>
            </w:r>
            <w:proofErr w:type="spellStart"/>
            <w:r w:rsidRPr="002176B5">
              <w:rPr>
                <w:rStyle w:val="FormatvorlageInstructionsTabelleText"/>
                <w:rFonts w:ascii="Times New Roman" w:hAnsi="Times New Roman"/>
                <w:sz w:val="24"/>
              </w:rPr>
              <w:t>prudenciálnych</w:t>
            </w:r>
            <w:proofErr w:type="spellEnd"/>
            <w:r w:rsidRPr="002176B5">
              <w:rPr>
                <w:rStyle w:val="FormatvorlageInstructionsTabelleText"/>
                <w:rFonts w:ascii="Times New Roman" w:hAnsi="Times New Roman"/>
                <w:sz w:val="24"/>
              </w:rPr>
              <w:t xml:space="preserve"> filtrov. Vykazovaná hodnota sa určuje</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súlade</w:t>
            </w:r>
            <w:r w:rsidR="002176B5">
              <w:rPr>
                <w:rStyle w:val="FormatvorlageInstructionsTabelleText"/>
                <w:rFonts w:ascii="Times New Roman" w:hAnsi="Times New Roman"/>
                <w:sz w:val="24"/>
              </w:rPr>
              <w:t xml:space="preserve"> s </w:t>
            </w:r>
            <w:r w:rsidRPr="002176B5">
              <w:rPr>
                <w:rStyle w:val="FormatvorlageInstructionsTabelleText"/>
                <w:rFonts w:ascii="Times New Roman" w:hAnsi="Times New Roman"/>
                <w:sz w:val="24"/>
              </w:rPr>
              <w:t xml:space="preserve">článkom 13 ods. 4 delegovaného nariadenia Komisie (EÚ) č. 241/2014. </w:t>
            </w:r>
          </w:p>
        </w:tc>
      </w:tr>
      <w:tr w:rsidR="00CC7D2C" w:rsidRPr="002176B5" w14:paraId="3D120A71" w14:textId="77777777" w:rsidTr="00822842">
        <w:tc>
          <w:tcPr>
            <w:tcW w:w="1129" w:type="dxa"/>
          </w:tcPr>
          <w:p w14:paraId="05BD8D20"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0200</w:t>
            </w:r>
          </w:p>
        </w:tc>
        <w:tc>
          <w:tcPr>
            <w:tcW w:w="7620" w:type="dxa"/>
          </w:tcPr>
          <w:p w14:paraId="53DBC463" w14:textId="77777777" w:rsidR="00CC7D2C" w:rsidRPr="002176B5" w:rsidRDefault="00CC7D2C" w:rsidP="00320EFD">
            <w:pPr>
              <w:pStyle w:val="InstructionsText"/>
              <w:rPr>
                <w:rStyle w:val="FormatvorlageInstructionsTabelleText"/>
                <w:rFonts w:ascii="Times New Roman" w:hAnsi="Times New Roman"/>
                <w:b/>
                <w:sz w:val="24"/>
                <w:u w:val="single"/>
              </w:rPr>
            </w:pPr>
            <w:r w:rsidRPr="002176B5">
              <w:rPr>
                <w:rStyle w:val="InstructionsTabelleberschrift"/>
                <w:rFonts w:ascii="Times New Roman" w:hAnsi="Times New Roman"/>
                <w:sz w:val="24"/>
              </w:rPr>
              <w:t>1.1.1.4.</w:t>
            </w:r>
            <w:r w:rsidRPr="002176B5">
              <w:tab/>
            </w:r>
            <w:r w:rsidRPr="002176B5">
              <w:rPr>
                <w:rStyle w:val="InstructionsTabelleberschrift"/>
                <w:rFonts w:ascii="Times New Roman" w:hAnsi="Times New Roman"/>
                <w:sz w:val="24"/>
              </w:rPr>
              <w:t>Ostatné rezervy</w:t>
            </w:r>
          </w:p>
          <w:p w14:paraId="3109F9E9" w14:textId="3F4121A1"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Článok 4 ods. 1 bod 117</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 xml:space="preserve">článok 26 ods. 1 písm. e) </w:t>
            </w:r>
            <w:r w:rsidRPr="002176B5">
              <w:t>nariadenia (EÚ) č. 575/2013</w:t>
            </w:r>
          </w:p>
          <w:p w14:paraId="66C5215B" w14:textId="024FF28E"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Ostatné rezervy sa</w:t>
            </w:r>
            <w:r w:rsidR="002176B5">
              <w:rPr>
                <w:rStyle w:val="FormatvorlageInstructionsTabelleText"/>
                <w:rFonts w:ascii="Times New Roman" w:hAnsi="Times New Roman"/>
                <w:sz w:val="24"/>
              </w:rPr>
              <w:t xml:space="preserve"> v </w:t>
            </w:r>
            <w:r w:rsidRPr="002176B5">
              <w:t xml:space="preserve">nariadení (EÚ) č. 575/2013 </w:t>
            </w:r>
            <w:r w:rsidRPr="002176B5">
              <w:rPr>
                <w:rStyle w:val="FormatvorlageInstructionsTabelleText"/>
                <w:rFonts w:ascii="Times New Roman" w:hAnsi="Times New Roman"/>
                <w:sz w:val="24"/>
              </w:rPr>
              <w:t>vymedzujú ako „rezervy</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zmysle uplatniteľného účtovného rámca, na ktoré sa vzťahuje požiadavka zverejnenia podľa daného uplatniteľného účtovného štandardu, okrem akýchkoľvek súm, ktoré už boli zahrnuté do akumulovaného iného komplexného účtovného výsledku alebo do nerozdelených ziskov“.</w:t>
            </w:r>
          </w:p>
          <w:p w14:paraId="339D855D" w14:textId="664F060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Vykazuje sa hodnota po odpočítaní daňových poplatkov, ktoré sa predpokladajú</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čase výpočtu.</w:t>
            </w:r>
          </w:p>
        </w:tc>
      </w:tr>
      <w:tr w:rsidR="00CC7D2C" w:rsidRPr="002176B5" w14:paraId="5723D0B6" w14:textId="77777777" w:rsidTr="00822842">
        <w:tc>
          <w:tcPr>
            <w:tcW w:w="1129" w:type="dxa"/>
          </w:tcPr>
          <w:p w14:paraId="782759BA"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0210</w:t>
            </w:r>
          </w:p>
        </w:tc>
        <w:tc>
          <w:tcPr>
            <w:tcW w:w="7620" w:type="dxa"/>
          </w:tcPr>
          <w:p w14:paraId="18AA3C1E" w14:textId="77777777" w:rsidR="00CC7D2C" w:rsidRPr="002176B5" w:rsidRDefault="00CC7D2C" w:rsidP="00320EFD">
            <w:pPr>
              <w:pStyle w:val="InstructionsText"/>
              <w:rPr>
                <w:rStyle w:val="FormatvorlageInstructionsTabelleText"/>
                <w:rFonts w:ascii="Times New Roman" w:hAnsi="Times New Roman"/>
                <w:b/>
                <w:sz w:val="24"/>
                <w:u w:val="single"/>
              </w:rPr>
            </w:pPr>
            <w:r w:rsidRPr="002176B5">
              <w:rPr>
                <w:rStyle w:val="InstructionsTabelleberschrift"/>
                <w:rFonts w:ascii="Times New Roman" w:hAnsi="Times New Roman"/>
                <w:sz w:val="24"/>
              </w:rPr>
              <w:t>1.1.1.5.</w:t>
            </w:r>
            <w:r w:rsidRPr="002176B5">
              <w:tab/>
            </w:r>
            <w:r w:rsidRPr="002176B5">
              <w:rPr>
                <w:rStyle w:val="InstructionsTabelleberschrift"/>
                <w:rFonts w:ascii="Times New Roman" w:hAnsi="Times New Roman"/>
                <w:sz w:val="24"/>
              </w:rPr>
              <w:t>Fondy pre všeobecné bankové riziká</w:t>
            </w:r>
          </w:p>
          <w:p w14:paraId="55D11500" w14:textId="51527823"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Článok 4 ods. 1 bod 112</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 xml:space="preserve">článok 26 ods. 1 písm. f) </w:t>
            </w:r>
            <w:r w:rsidRPr="002176B5">
              <w:t>nariadenia (EÚ) č. 575/2013</w:t>
            </w:r>
          </w:p>
          <w:p w14:paraId="511F937D" w14:textId="27EAA110"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lastRenderedPageBreak/>
              <w:t>Fondy pre všeobecné bankové riziká sa</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 xml:space="preserve">článku 38 </w:t>
            </w:r>
            <w:r w:rsidRPr="002176B5">
              <w:t>smernice Rady 86/635/EHS</w:t>
            </w:r>
            <w:r w:rsidRPr="002176B5">
              <w:rPr>
                <w:rStyle w:val="FormatvorlageInstructionsTabelleText"/>
                <w:rFonts w:ascii="Times New Roman" w:hAnsi="Times New Roman"/>
                <w:sz w:val="24"/>
              </w:rPr>
              <w:t xml:space="preserve"> vymedzujú ako „sumy, ktoré sa úverová inštitúcia rozhodne odložiť, aby pokryla také riziká, ak si to konkrétne riziká súvisiace</w:t>
            </w:r>
            <w:r w:rsidR="002176B5">
              <w:rPr>
                <w:rStyle w:val="FormatvorlageInstructionsTabelleText"/>
                <w:rFonts w:ascii="Times New Roman" w:hAnsi="Times New Roman"/>
                <w:sz w:val="24"/>
              </w:rPr>
              <w:t xml:space="preserve"> s </w:t>
            </w:r>
            <w:r w:rsidRPr="002176B5">
              <w:rPr>
                <w:rStyle w:val="FormatvorlageInstructionsTabelleText"/>
                <w:rFonts w:ascii="Times New Roman" w:hAnsi="Times New Roman"/>
                <w:sz w:val="24"/>
              </w:rPr>
              <w:t>bankovníctvom vyžadujú“.</w:t>
            </w:r>
          </w:p>
          <w:p w14:paraId="436A113B" w14:textId="619AF5CA"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Vykazuje sa hodnota po odpočítaní daňových poplatkov, ktoré sa predpokladajú</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čase výpočtu.</w:t>
            </w:r>
          </w:p>
        </w:tc>
      </w:tr>
      <w:tr w:rsidR="00CC7D2C" w:rsidRPr="002176B5" w14:paraId="0A15B59E" w14:textId="77777777" w:rsidTr="00822842">
        <w:tc>
          <w:tcPr>
            <w:tcW w:w="1129" w:type="dxa"/>
          </w:tcPr>
          <w:p w14:paraId="140AAC83"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lastRenderedPageBreak/>
              <w:t>0220</w:t>
            </w:r>
          </w:p>
        </w:tc>
        <w:tc>
          <w:tcPr>
            <w:tcW w:w="7620" w:type="dxa"/>
          </w:tcPr>
          <w:p w14:paraId="7888E19F" w14:textId="36B0E7B0" w:rsidR="00CC7D2C" w:rsidRPr="002176B5" w:rsidRDefault="00CC7D2C" w:rsidP="00320EFD">
            <w:pPr>
              <w:pStyle w:val="InstructionsText"/>
              <w:rPr>
                <w:rStyle w:val="FormatvorlageInstructionsTabelleText"/>
                <w:rFonts w:ascii="Times New Roman" w:hAnsi="Times New Roman"/>
                <w:b/>
                <w:sz w:val="24"/>
                <w:u w:val="single"/>
              </w:rPr>
            </w:pPr>
            <w:r w:rsidRPr="002176B5">
              <w:rPr>
                <w:rStyle w:val="InstructionsTabelleberschrift"/>
                <w:rFonts w:ascii="Times New Roman" w:hAnsi="Times New Roman"/>
                <w:sz w:val="24"/>
              </w:rPr>
              <w:t>1.1.1.6.</w:t>
            </w:r>
            <w:r w:rsidRPr="002176B5">
              <w:tab/>
            </w:r>
            <w:r w:rsidRPr="002176B5">
              <w:rPr>
                <w:rStyle w:val="InstructionsTabelleberschrift"/>
                <w:rFonts w:ascii="Times New Roman" w:hAnsi="Times New Roman"/>
                <w:sz w:val="24"/>
              </w:rPr>
              <w:t>Prechodné úpravy na základe nástrojov kapitálu CET1, ktoré sa zachovali</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predchádzajúcom stave</w:t>
            </w:r>
          </w:p>
          <w:p w14:paraId="36448E44" w14:textId="0BFB46EE"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Článok 483 ods. 1, 2</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3</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články 484 až 487</w:t>
            </w:r>
            <w:r w:rsidRPr="002176B5">
              <w:t>nariadenia (EÚ) č. 575/2013</w:t>
            </w:r>
          </w:p>
          <w:p w14:paraId="7F12AA21" w14:textId="2E2B8528"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Hodnota kapitálových nástrojov, ktoré sa prechodne zachovali</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predchádzajúcom stave ako CET1. Vykazovaná hodnota sa získa priamo zo vzoru CA5.</w:t>
            </w:r>
          </w:p>
        </w:tc>
      </w:tr>
      <w:tr w:rsidR="00CC7D2C" w:rsidRPr="002176B5" w14:paraId="577B3C1C" w14:textId="77777777" w:rsidTr="00822842">
        <w:tc>
          <w:tcPr>
            <w:tcW w:w="1129" w:type="dxa"/>
          </w:tcPr>
          <w:p w14:paraId="7DE52B29"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0230</w:t>
            </w:r>
          </w:p>
        </w:tc>
        <w:tc>
          <w:tcPr>
            <w:tcW w:w="7620" w:type="dxa"/>
          </w:tcPr>
          <w:p w14:paraId="5BB5D002" w14:textId="590F76CE" w:rsidR="00CC7D2C" w:rsidRPr="002176B5" w:rsidRDefault="00CC7D2C" w:rsidP="00320EFD">
            <w:pPr>
              <w:pStyle w:val="InstructionsText"/>
              <w:rPr>
                <w:rStyle w:val="FormatvorlageInstructionsTabelleText"/>
                <w:rFonts w:ascii="Times New Roman" w:hAnsi="Times New Roman"/>
                <w:b/>
                <w:sz w:val="24"/>
                <w:u w:val="single"/>
              </w:rPr>
            </w:pPr>
            <w:r w:rsidRPr="002176B5">
              <w:rPr>
                <w:rStyle w:val="InstructionsTabelleberschrift"/>
                <w:rFonts w:ascii="Times New Roman" w:hAnsi="Times New Roman"/>
                <w:sz w:val="24"/>
              </w:rPr>
              <w:t>1.1.1.7.</w:t>
            </w:r>
            <w:r w:rsidRPr="002176B5">
              <w:tab/>
            </w:r>
            <w:r w:rsidRPr="002176B5">
              <w:rPr>
                <w:rStyle w:val="InstructionsTabelleberschrift"/>
                <w:rFonts w:ascii="Times New Roman" w:hAnsi="Times New Roman"/>
                <w:sz w:val="24"/>
              </w:rPr>
              <w:t>Menšinová účasť uznaná</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kapitáli CET1</w:t>
            </w:r>
          </w:p>
          <w:p w14:paraId="68F9D057" w14:textId="501AF5C1"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Článok 4 ods. 1 bod 120</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 xml:space="preserve">článok 84 </w:t>
            </w:r>
            <w:r w:rsidRPr="002176B5">
              <w:t>nariadenia (EÚ) č. 575/2013</w:t>
            </w:r>
          </w:p>
          <w:p w14:paraId="52BA7DDC" w14:textId="58947CC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Súčet všetkých hodnôt menšinových účastí dcérskych spoločností, ktoré sú zahrnuté</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konsolidovanom CET1.</w:t>
            </w:r>
          </w:p>
        </w:tc>
      </w:tr>
      <w:tr w:rsidR="00CC7D2C" w:rsidRPr="002176B5" w14:paraId="645343D9" w14:textId="77777777" w:rsidTr="00822842">
        <w:tc>
          <w:tcPr>
            <w:tcW w:w="1129" w:type="dxa"/>
          </w:tcPr>
          <w:p w14:paraId="2DBDDA2F"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0240</w:t>
            </w:r>
          </w:p>
        </w:tc>
        <w:tc>
          <w:tcPr>
            <w:tcW w:w="7620" w:type="dxa"/>
          </w:tcPr>
          <w:p w14:paraId="67681902" w14:textId="77777777" w:rsidR="00CC7D2C" w:rsidRPr="002176B5" w:rsidRDefault="00CC7D2C" w:rsidP="00320EFD">
            <w:pPr>
              <w:pStyle w:val="InstructionsText"/>
              <w:rPr>
                <w:rStyle w:val="FormatvorlageInstructionsTabelleText"/>
                <w:rFonts w:ascii="Times New Roman" w:hAnsi="Times New Roman"/>
                <w:b/>
                <w:sz w:val="24"/>
                <w:u w:val="single"/>
              </w:rPr>
            </w:pPr>
            <w:r w:rsidRPr="002176B5">
              <w:rPr>
                <w:rStyle w:val="InstructionsTabelleberschrift"/>
                <w:rFonts w:ascii="Times New Roman" w:hAnsi="Times New Roman"/>
                <w:sz w:val="24"/>
              </w:rPr>
              <w:t>1.1.1.8.</w:t>
            </w:r>
            <w:r w:rsidRPr="002176B5">
              <w:tab/>
            </w:r>
            <w:r w:rsidRPr="002176B5">
              <w:rPr>
                <w:rStyle w:val="InstructionsTabelleberschrift"/>
                <w:rFonts w:ascii="Times New Roman" w:hAnsi="Times New Roman"/>
                <w:sz w:val="24"/>
              </w:rPr>
              <w:t>Prechodné úpravy na základe dodatočných menšinových účastí</w:t>
            </w:r>
          </w:p>
          <w:p w14:paraId="1F945D10" w14:textId="435C93AD"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Články 479</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 xml:space="preserve">480 </w:t>
            </w:r>
            <w:r w:rsidRPr="002176B5">
              <w:t>nariadenia (EÚ) č. 575/2013</w:t>
            </w:r>
          </w:p>
          <w:p w14:paraId="19C2E18B"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Úpravy menšinových účastí na základe prechodných ustanovení. Táto položka sa získa priamo zo vzoru CA5.</w:t>
            </w:r>
          </w:p>
        </w:tc>
      </w:tr>
      <w:tr w:rsidR="00CC7D2C" w:rsidRPr="002176B5" w14:paraId="19432E87" w14:textId="77777777" w:rsidTr="00822842">
        <w:tc>
          <w:tcPr>
            <w:tcW w:w="1129" w:type="dxa"/>
          </w:tcPr>
          <w:p w14:paraId="695EB811"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0250</w:t>
            </w:r>
          </w:p>
        </w:tc>
        <w:tc>
          <w:tcPr>
            <w:tcW w:w="7620" w:type="dxa"/>
          </w:tcPr>
          <w:p w14:paraId="71C85504" w14:textId="77777777" w:rsidR="00CC7D2C" w:rsidRPr="002176B5" w:rsidRDefault="00CC7D2C" w:rsidP="00320EFD">
            <w:pPr>
              <w:pStyle w:val="InstructionsText"/>
              <w:rPr>
                <w:rStyle w:val="FormatvorlageInstructionsTabelleText"/>
                <w:rFonts w:ascii="Times New Roman" w:hAnsi="Times New Roman"/>
                <w:b/>
                <w:sz w:val="24"/>
                <w:u w:val="single"/>
              </w:rPr>
            </w:pPr>
            <w:r w:rsidRPr="002176B5">
              <w:rPr>
                <w:rStyle w:val="InstructionsTabelleberschrift"/>
                <w:rFonts w:ascii="Times New Roman" w:hAnsi="Times New Roman"/>
                <w:sz w:val="24"/>
              </w:rPr>
              <w:t>1.1.1.9.</w:t>
            </w:r>
            <w:r w:rsidRPr="002176B5">
              <w:tab/>
            </w:r>
            <w:r w:rsidRPr="002176B5">
              <w:rPr>
                <w:rStyle w:val="InstructionsTabelleberschrift"/>
                <w:rFonts w:ascii="Times New Roman" w:hAnsi="Times New Roman"/>
                <w:sz w:val="24"/>
              </w:rPr>
              <w:t xml:space="preserve">Úpravy CET1 na základe </w:t>
            </w:r>
            <w:proofErr w:type="spellStart"/>
            <w:r w:rsidRPr="002176B5">
              <w:rPr>
                <w:rStyle w:val="InstructionsTabelleberschrift"/>
                <w:rFonts w:ascii="Times New Roman" w:hAnsi="Times New Roman"/>
                <w:sz w:val="24"/>
              </w:rPr>
              <w:t>prudenciálnych</w:t>
            </w:r>
            <w:proofErr w:type="spellEnd"/>
            <w:r w:rsidRPr="002176B5">
              <w:rPr>
                <w:rStyle w:val="InstructionsTabelleberschrift"/>
                <w:rFonts w:ascii="Times New Roman" w:hAnsi="Times New Roman"/>
                <w:sz w:val="24"/>
              </w:rPr>
              <w:t xml:space="preserve"> filtrov</w:t>
            </w:r>
          </w:p>
          <w:p w14:paraId="2D72696C"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 xml:space="preserve">Články 32 až 35 </w:t>
            </w:r>
            <w:r w:rsidRPr="002176B5">
              <w:t xml:space="preserve">nariadenia (EÚ) č. 575/2013 </w:t>
            </w:r>
          </w:p>
        </w:tc>
      </w:tr>
      <w:tr w:rsidR="00CC7D2C" w:rsidRPr="002176B5" w14:paraId="2F2D7907" w14:textId="77777777" w:rsidTr="00822842">
        <w:tc>
          <w:tcPr>
            <w:tcW w:w="1129" w:type="dxa"/>
          </w:tcPr>
          <w:p w14:paraId="415C9FCC"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0260</w:t>
            </w:r>
          </w:p>
        </w:tc>
        <w:tc>
          <w:tcPr>
            <w:tcW w:w="7620" w:type="dxa"/>
          </w:tcPr>
          <w:p w14:paraId="196B3C23" w14:textId="77777777" w:rsidR="00CC7D2C" w:rsidRPr="002176B5" w:rsidRDefault="00CC7D2C" w:rsidP="00320EFD">
            <w:pPr>
              <w:pStyle w:val="InstructionsText"/>
              <w:rPr>
                <w:rStyle w:val="FormatvorlageInstructionsTabelleText"/>
                <w:rFonts w:ascii="Times New Roman" w:hAnsi="Times New Roman"/>
                <w:b/>
                <w:sz w:val="24"/>
                <w:u w:val="single"/>
              </w:rPr>
            </w:pPr>
            <w:r w:rsidRPr="002176B5">
              <w:rPr>
                <w:rStyle w:val="InstructionsTabelleberschrift"/>
                <w:rFonts w:ascii="Times New Roman" w:hAnsi="Times New Roman"/>
                <w:sz w:val="24"/>
              </w:rPr>
              <w:t>1.1.1.9.1.</w:t>
            </w:r>
            <w:r w:rsidRPr="002176B5">
              <w:tab/>
            </w:r>
            <w:r w:rsidRPr="002176B5">
              <w:rPr>
                <w:rStyle w:val="InstructionsTabelleberschrift"/>
                <w:rFonts w:ascii="Times New Roman" w:hAnsi="Times New Roman"/>
                <w:sz w:val="24"/>
              </w:rPr>
              <w:t xml:space="preserve">(–) Zvýšenie vlastného kapitálu vyplývajúce zo </w:t>
            </w:r>
            <w:proofErr w:type="spellStart"/>
            <w:r w:rsidRPr="002176B5">
              <w:rPr>
                <w:rStyle w:val="InstructionsTabelleberschrift"/>
                <w:rFonts w:ascii="Times New Roman" w:hAnsi="Times New Roman"/>
                <w:sz w:val="24"/>
              </w:rPr>
              <w:t>sekuritizovaných</w:t>
            </w:r>
            <w:proofErr w:type="spellEnd"/>
            <w:r w:rsidRPr="002176B5">
              <w:rPr>
                <w:rStyle w:val="InstructionsTabelleberschrift"/>
                <w:rFonts w:ascii="Times New Roman" w:hAnsi="Times New Roman"/>
                <w:sz w:val="24"/>
              </w:rPr>
              <w:t xml:space="preserve"> aktív</w:t>
            </w:r>
          </w:p>
          <w:p w14:paraId="41EEDB30"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 xml:space="preserve">Článok 32 ods. 1 </w:t>
            </w:r>
            <w:r w:rsidRPr="002176B5">
              <w:t>nariadenia (EÚ) č. 575/2013</w:t>
            </w:r>
          </w:p>
          <w:p w14:paraId="035B9D6D"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 xml:space="preserve">Vykazovaná hodnota je zvýšenie vlastného kapitálu inštitúcie vyplývajúce zo </w:t>
            </w:r>
            <w:proofErr w:type="spellStart"/>
            <w:r w:rsidRPr="002176B5">
              <w:rPr>
                <w:rStyle w:val="FormatvorlageInstructionsTabelleText"/>
                <w:rFonts w:ascii="Times New Roman" w:hAnsi="Times New Roman"/>
                <w:sz w:val="24"/>
              </w:rPr>
              <w:t>sekuritizovaných</w:t>
            </w:r>
            <w:proofErr w:type="spellEnd"/>
            <w:r w:rsidRPr="002176B5">
              <w:rPr>
                <w:rStyle w:val="FormatvorlageInstructionsTabelleText"/>
                <w:rFonts w:ascii="Times New Roman" w:hAnsi="Times New Roman"/>
                <w:sz w:val="24"/>
              </w:rPr>
              <w:t xml:space="preserve"> aktív podľa uplatniteľného účtovného štandardu.</w:t>
            </w:r>
          </w:p>
          <w:p w14:paraId="6CB32208" w14:textId="55F2BB2E"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Táto položka zahŕňa napríklad budúci príjem</w:t>
            </w:r>
            <w:r w:rsidR="002176B5">
              <w:rPr>
                <w:rStyle w:val="FormatvorlageInstructionsTabelleText"/>
                <w:rFonts w:ascii="Times New Roman" w:hAnsi="Times New Roman"/>
                <w:sz w:val="24"/>
              </w:rPr>
              <w:t xml:space="preserve"> z </w:t>
            </w:r>
            <w:r w:rsidRPr="002176B5">
              <w:rPr>
                <w:rStyle w:val="FormatvorlageInstructionsTabelleText"/>
                <w:rFonts w:ascii="Times New Roman" w:hAnsi="Times New Roman"/>
                <w:sz w:val="24"/>
              </w:rPr>
              <w:t>marže, ktorý vedie</w:t>
            </w:r>
            <w:r w:rsidR="002176B5">
              <w:rPr>
                <w:rStyle w:val="FormatvorlageInstructionsTabelleText"/>
                <w:rFonts w:ascii="Times New Roman" w:hAnsi="Times New Roman"/>
                <w:sz w:val="24"/>
              </w:rPr>
              <w:t xml:space="preserve"> k </w:t>
            </w:r>
            <w:r w:rsidRPr="002176B5">
              <w:rPr>
                <w:rStyle w:val="FormatvorlageInstructionsTabelleText"/>
                <w:rFonts w:ascii="Times New Roman" w:hAnsi="Times New Roman"/>
                <w:sz w:val="24"/>
              </w:rPr>
              <w:t>zisku</w:t>
            </w:r>
            <w:r w:rsidR="002176B5">
              <w:rPr>
                <w:rStyle w:val="FormatvorlageInstructionsTabelleText"/>
                <w:rFonts w:ascii="Times New Roman" w:hAnsi="Times New Roman"/>
                <w:sz w:val="24"/>
              </w:rPr>
              <w:t xml:space="preserve"> z </w:t>
            </w:r>
            <w:r w:rsidRPr="002176B5">
              <w:rPr>
                <w:rStyle w:val="FormatvorlageInstructionsTabelleText"/>
                <w:rFonts w:ascii="Times New Roman" w:hAnsi="Times New Roman"/>
                <w:sz w:val="24"/>
              </w:rPr>
              <w:t xml:space="preserve">predaja pre inštitúciu, alebo pre </w:t>
            </w:r>
            <w:proofErr w:type="spellStart"/>
            <w:r w:rsidRPr="002176B5">
              <w:rPr>
                <w:rStyle w:val="FormatvorlageInstructionsTabelleText"/>
                <w:rFonts w:ascii="Times New Roman" w:hAnsi="Times New Roman"/>
                <w:sz w:val="24"/>
              </w:rPr>
              <w:t>originátorov</w:t>
            </w:r>
            <w:proofErr w:type="spellEnd"/>
            <w:r w:rsidRPr="002176B5">
              <w:rPr>
                <w:rStyle w:val="FormatvorlageInstructionsTabelleText"/>
                <w:rFonts w:ascii="Times New Roman" w:hAnsi="Times New Roman"/>
                <w:sz w:val="24"/>
              </w:rPr>
              <w:t xml:space="preserve"> čisté zisky vyplývajúce</w:t>
            </w:r>
            <w:r w:rsidR="002176B5">
              <w:rPr>
                <w:rStyle w:val="FormatvorlageInstructionsTabelleText"/>
                <w:rFonts w:ascii="Times New Roman" w:hAnsi="Times New Roman"/>
                <w:sz w:val="24"/>
              </w:rPr>
              <w:t xml:space="preserve"> z </w:t>
            </w:r>
            <w:r w:rsidRPr="002176B5">
              <w:rPr>
                <w:rStyle w:val="FormatvorlageInstructionsTabelleText"/>
                <w:rFonts w:ascii="Times New Roman" w:hAnsi="Times New Roman"/>
                <w:sz w:val="24"/>
              </w:rPr>
              <w:t xml:space="preserve">kapitalizácie budúceho príjmu zo </w:t>
            </w:r>
            <w:proofErr w:type="spellStart"/>
            <w:r w:rsidRPr="002176B5">
              <w:rPr>
                <w:rStyle w:val="FormatvorlageInstructionsTabelleText"/>
                <w:rFonts w:ascii="Times New Roman" w:hAnsi="Times New Roman"/>
                <w:sz w:val="24"/>
              </w:rPr>
              <w:t>sekuritizovaných</w:t>
            </w:r>
            <w:proofErr w:type="spellEnd"/>
            <w:r w:rsidRPr="002176B5">
              <w:rPr>
                <w:rStyle w:val="FormatvorlageInstructionsTabelleText"/>
                <w:rFonts w:ascii="Times New Roman" w:hAnsi="Times New Roman"/>
                <w:sz w:val="24"/>
              </w:rPr>
              <w:t xml:space="preserve"> aktív, ktoré umožňujú zvýšenie kreditnej kvality pozícií</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sekuritizácii.</w:t>
            </w:r>
          </w:p>
        </w:tc>
      </w:tr>
      <w:tr w:rsidR="00CC7D2C" w:rsidRPr="002176B5" w14:paraId="5EC409A3" w14:textId="77777777" w:rsidTr="00822842">
        <w:tc>
          <w:tcPr>
            <w:tcW w:w="1129" w:type="dxa"/>
          </w:tcPr>
          <w:p w14:paraId="7E88DF93"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0270</w:t>
            </w:r>
          </w:p>
        </w:tc>
        <w:tc>
          <w:tcPr>
            <w:tcW w:w="7620" w:type="dxa"/>
          </w:tcPr>
          <w:p w14:paraId="63F60908" w14:textId="77777777"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1.1.1.9.2.</w:t>
            </w:r>
            <w:r w:rsidRPr="002176B5">
              <w:tab/>
            </w:r>
            <w:r w:rsidRPr="002176B5">
              <w:rPr>
                <w:rStyle w:val="InstructionsTabelleberschrift"/>
                <w:rFonts w:ascii="Times New Roman" w:hAnsi="Times New Roman"/>
                <w:sz w:val="24"/>
              </w:rPr>
              <w:t xml:space="preserve">Rezerva na </w:t>
            </w:r>
            <w:proofErr w:type="spellStart"/>
            <w:r w:rsidRPr="002176B5">
              <w:rPr>
                <w:rStyle w:val="InstructionsTabelleberschrift"/>
                <w:rFonts w:ascii="Times New Roman" w:hAnsi="Times New Roman"/>
                <w:sz w:val="24"/>
              </w:rPr>
              <w:t>hedžing</w:t>
            </w:r>
            <w:proofErr w:type="spellEnd"/>
            <w:r w:rsidRPr="002176B5">
              <w:rPr>
                <w:rStyle w:val="InstructionsTabelleberschrift"/>
                <w:rFonts w:ascii="Times New Roman" w:hAnsi="Times New Roman"/>
                <w:sz w:val="24"/>
              </w:rPr>
              <w:t xml:space="preserve"> peňažných tokov</w:t>
            </w:r>
          </w:p>
          <w:p w14:paraId="70C550D8"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 xml:space="preserve">Článok 33 ods. 1 písm. a) </w:t>
            </w:r>
            <w:r w:rsidRPr="002176B5">
              <w:t>nariadenia (EÚ) č. 575/2013</w:t>
            </w:r>
          </w:p>
          <w:p w14:paraId="5CBB5F9C" w14:textId="21959919"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 xml:space="preserve">Vykazovaná hodnota môže byť kladná alebo záporná. Hodnota je kladná, keď </w:t>
            </w:r>
            <w:proofErr w:type="spellStart"/>
            <w:r w:rsidRPr="002176B5">
              <w:rPr>
                <w:rStyle w:val="FormatvorlageInstructionsTabelleText"/>
                <w:rFonts w:ascii="Times New Roman" w:hAnsi="Times New Roman"/>
                <w:sz w:val="24"/>
              </w:rPr>
              <w:t>hedžing</w:t>
            </w:r>
            <w:proofErr w:type="spellEnd"/>
            <w:r w:rsidRPr="002176B5">
              <w:rPr>
                <w:rStyle w:val="FormatvorlageInstructionsTabelleText"/>
                <w:rFonts w:ascii="Times New Roman" w:hAnsi="Times New Roman"/>
                <w:sz w:val="24"/>
              </w:rPr>
              <w:t xml:space="preserve"> peňažných tokov vedie</w:t>
            </w:r>
            <w:r w:rsidR="002176B5">
              <w:rPr>
                <w:rStyle w:val="FormatvorlageInstructionsTabelleText"/>
                <w:rFonts w:ascii="Times New Roman" w:hAnsi="Times New Roman"/>
                <w:sz w:val="24"/>
              </w:rPr>
              <w:t xml:space="preserve"> k </w:t>
            </w:r>
            <w:r w:rsidRPr="002176B5">
              <w:rPr>
                <w:rStyle w:val="FormatvorlageInstructionsTabelleText"/>
                <w:rFonts w:ascii="Times New Roman" w:hAnsi="Times New Roman"/>
                <w:sz w:val="24"/>
              </w:rPr>
              <w:t>strate (t. j. keď znižuje účtovný vlastný kapitál),</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naopak. Znamienko je teda opačné ako znamienko použité</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účtovných výkazoch.</w:t>
            </w:r>
          </w:p>
          <w:p w14:paraId="1B4FC84E" w14:textId="1E5579EC"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Hodnota sa uvádza po odpočítaní daňových poplatkov, ktoré sa očakávajú</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čase výpočtu.</w:t>
            </w:r>
          </w:p>
        </w:tc>
      </w:tr>
      <w:tr w:rsidR="00CC7D2C" w:rsidRPr="002176B5" w14:paraId="284D2AD3" w14:textId="77777777" w:rsidTr="00822842">
        <w:tc>
          <w:tcPr>
            <w:tcW w:w="1129" w:type="dxa"/>
          </w:tcPr>
          <w:p w14:paraId="21B29FFD"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lastRenderedPageBreak/>
              <w:t>0280</w:t>
            </w:r>
          </w:p>
        </w:tc>
        <w:tc>
          <w:tcPr>
            <w:tcW w:w="7620" w:type="dxa"/>
          </w:tcPr>
          <w:p w14:paraId="5CB0645B" w14:textId="588E8954" w:rsidR="00CC7D2C" w:rsidRPr="002176B5" w:rsidRDefault="00CC7D2C" w:rsidP="00320EFD">
            <w:pPr>
              <w:pStyle w:val="InstructionsText"/>
              <w:rPr>
                <w:rStyle w:val="FormatvorlageInstructionsTabelleText"/>
                <w:rFonts w:ascii="Times New Roman" w:hAnsi="Times New Roman"/>
                <w:b/>
                <w:sz w:val="24"/>
                <w:u w:val="single"/>
              </w:rPr>
            </w:pPr>
            <w:r w:rsidRPr="002176B5">
              <w:rPr>
                <w:rStyle w:val="InstructionsTabelleberschrift"/>
                <w:rFonts w:ascii="Times New Roman" w:hAnsi="Times New Roman"/>
                <w:sz w:val="24"/>
              </w:rPr>
              <w:t>1.1.1.9.3.</w:t>
            </w:r>
            <w:r w:rsidRPr="002176B5">
              <w:tab/>
            </w:r>
            <w:r w:rsidRPr="002176B5">
              <w:rPr>
                <w:rStyle w:val="InstructionsTabelleberschrift"/>
                <w:rFonts w:ascii="Times New Roman" w:hAnsi="Times New Roman"/>
                <w:sz w:val="24"/>
              </w:rPr>
              <w:t>Kumulatívne zisky</w:t>
            </w:r>
            <w:r w:rsidR="002176B5">
              <w:rPr>
                <w:rStyle w:val="InstructionsTabelleberschrift"/>
                <w:rFonts w:ascii="Times New Roman" w:hAnsi="Times New Roman"/>
                <w:sz w:val="24"/>
              </w:rPr>
              <w:t xml:space="preserve"> a </w:t>
            </w:r>
            <w:r w:rsidRPr="002176B5">
              <w:rPr>
                <w:rStyle w:val="InstructionsTabelleberschrift"/>
                <w:rFonts w:ascii="Times New Roman" w:hAnsi="Times New Roman"/>
                <w:sz w:val="24"/>
              </w:rPr>
              <w:t>straty spôsobené zmenami vlastného kreditného rizika reálnou hodnotou ocenených záväzkov</w:t>
            </w:r>
          </w:p>
          <w:p w14:paraId="7606E0C8"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 xml:space="preserve">Článok 33 ods. 1 písm. b) </w:t>
            </w:r>
            <w:r w:rsidRPr="002176B5">
              <w:t>nariadenia (EÚ) č. 575/2013</w:t>
            </w:r>
          </w:p>
          <w:p w14:paraId="00EA3DD0" w14:textId="3388526D"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Vykazovaná hodnota môže byť kladná alebo záporná. Hodnota je kladná, keď nastala strata spôsobená zmenami vlastného kreditného rizika (t. j. keď znižuje účtovný vlastný kapitál),</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naopak. Znamienko je teda opačné ako znamienko použité</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účtovných výkazoch.</w:t>
            </w:r>
          </w:p>
          <w:p w14:paraId="3552106E"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Zisk neoverený audítorom sa do tejto položky nezahŕňa.</w:t>
            </w:r>
          </w:p>
        </w:tc>
      </w:tr>
      <w:tr w:rsidR="00CC7D2C" w:rsidRPr="002176B5" w14:paraId="6CC52A02" w14:textId="77777777" w:rsidTr="00822842">
        <w:tc>
          <w:tcPr>
            <w:tcW w:w="1129" w:type="dxa"/>
          </w:tcPr>
          <w:p w14:paraId="33709DFB"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0285</w:t>
            </w:r>
          </w:p>
        </w:tc>
        <w:tc>
          <w:tcPr>
            <w:tcW w:w="7620" w:type="dxa"/>
          </w:tcPr>
          <w:p w14:paraId="026986A8" w14:textId="0F4771C3" w:rsidR="00CC7D2C" w:rsidRPr="002176B5" w:rsidRDefault="00CC7D2C" w:rsidP="00320EFD">
            <w:pPr>
              <w:pStyle w:val="InstructionsText"/>
              <w:rPr>
                <w:rStyle w:val="FormatvorlageInstructionsTabelleText"/>
                <w:rFonts w:ascii="Times New Roman" w:hAnsi="Times New Roman"/>
                <w:b/>
                <w:sz w:val="24"/>
                <w:u w:val="single"/>
              </w:rPr>
            </w:pPr>
            <w:r w:rsidRPr="002176B5">
              <w:rPr>
                <w:rStyle w:val="InstructionsTabelleberschrift"/>
                <w:rFonts w:ascii="Times New Roman" w:hAnsi="Times New Roman"/>
                <w:sz w:val="24"/>
              </w:rPr>
              <w:t>1.1.1.9.4.</w:t>
            </w:r>
            <w:r w:rsidRPr="002176B5">
              <w:tab/>
            </w:r>
            <w:r w:rsidRPr="002176B5">
              <w:rPr>
                <w:rStyle w:val="InstructionsTabelleberschrift"/>
                <w:rFonts w:ascii="Times New Roman" w:hAnsi="Times New Roman"/>
                <w:sz w:val="24"/>
              </w:rPr>
              <w:t>Reálnou hodnotou ocenené zisky</w:t>
            </w:r>
            <w:r w:rsidR="002176B5">
              <w:rPr>
                <w:rStyle w:val="InstructionsTabelleberschrift"/>
                <w:rFonts w:ascii="Times New Roman" w:hAnsi="Times New Roman"/>
                <w:sz w:val="24"/>
              </w:rPr>
              <w:t xml:space="preserve"> a </w:t>
            </w:r>
            <w:r w:rsidRPr="002176B5">
              <w:rPr>
                <w:rStyle w:val="InstructionsTabelleberschrift"/>
                <w:rFonts w:ascii="Times New Roman" w:hAnsi="Times New Roman"/>
                <w:sz w:val="24"/>
              </w:rPr>
              <w:t>straty vyplývajúce</w:t>
            </w:r>
            <w:r w:rsidR="002176B5">
              <w:rPr>
                <w:rStyle w:val="InstructionsTabelleberschrift"/>
                <w:rFonts w:ascii="Times New Roman" w:hAnsi="Times New Roman"/>
                <w:sz w:val="24"/>
              </w:rPr>
              <w:t xml:space="preserve"> z </w:t>
            </w:r>
            <w:r w:rsidRPr="002176B5">
              <w:rPr>
                <w:rStyle w:val="InstructionsTabelleberschrift"/>
                <w:rFonts w:ascii="Times New Roman" w:hAnsi="Times New Roman"/>
                <w:sz w:val="24"/>
              </w:rPr>
              <w:t>vlastného kreditného rizika inštitúcie súvisiaceho</w:t>
            </w:r>
            <w:r w:rsidR="002176B5">
              <w:rPr>
                <w:rStyle w:val="InstructionsTabelleberschrift"/>
                <w:rFonts w:ascii="Times New Roman" w:hAnsi="Times New Roman"/>
                <w:sz w:val="24"/>
              </w:rPr>
              <w:t xml:space="preserve"> s </w:t>
            </w:r>
            <w:r w:rsidRPr="002176B5">
              <w:rPr>
                <w:rStyle w:val="InstructionsTabelleberschrift"/>
                <w:rFonts w:ascii="Times New Roman" w:hAnsi="Times New Roman"/>
                <w:sz w:val="24"/>
              </w:rPr>
              <w:t>derivátovými záväzkami</w:t>
            </w:r>
          </w:p>
          <w:p w14:paraId="255F9C68" w14:textId="421C44DA"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Článok 33 ods. 1 písm. c)</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článok 33 ods. 2</w:t>
            </w:r>
            <w:r w:rsidRPr="002176B5">
              <w:t>nariadenia (EÚ) č. 575/2013</w:t>
            </w:r>
          </w:p>
          <w:p w14:paraId="60001AE9" w14:textId="3F059C94"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Vykazovaná hodnota môže byť kladná alebo záporná. Hodnota je kladná, keď nastane strata spôsobená zmenami vlastného kreditného rizika,</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naopak. Znamienko je teda opačné ako znamienko použité</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účtovných výkazoch.</w:t>
            </w:r>
          </w:p>
          <w:p w14:paraId="7F153CA9" w14:textId="77777777" w:rsidR="00CC7D2C" w:rsidRPr="002176B5" w:rsidRDefault="00CC7D2C" w:rsidP="00320EFD">
            <w:pPr>
              <w:pStyle w:val="InstructionsText"/>
              <w:rPr>
                <w:rStyle w:val="InstructionsTabelleberschrift"/>
                <w:rFonts w:ascii="Times New Roman" w:hAnsi="Times New Roman"/>
                <w:b w:val="0"/>
                <w:sz w:val="24"/>
                <w:u w:val="none"/>
              </w:rPr>
            </w:pPr>
            <w:r w:rsidRPr="002176B5">
              <w:rPr>
                <w:rStyle w:val="FormatvorlageInstructionsTabelleText"/>
                <w:rFonts w:ascii="Times New Roman" w:hAnsi="Times New Roman"/>
                <w:sz w:val="24"/>
              </w:rPr>
              <w:t>Zisk neoverený audítorom sa do tejto položky nezahŕňa.</w:t>
            </w:r>
          </w:p>
        </w:tc>
      </w:tr>
      <w:tr w:rsidR="00CC7D2C" w:rsidRPr="002176B5" w14:paraId="0620E497" w14:textId="77777777" w:rsidTr="00822842">
        <w:tc>
          <w:tcPr>
            <w:tcW w:w="1129" w:type="dxa"/>
          </w:tcPr>
          <w:p w14:paraId="62E9906D"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0290</w:t>
            </w:r>
          </w:p>
        </w:tc>
        <w:tc>
          <w:tcPr>
            <w:tcW w:w="7620" w:type="dxa"/>
          </w:tcPr>
          <w:p w14:paraId="35568F9F" w14:textId="77777777" w:rsidR="00CC7D2C" w:rsidRPr="002176B5" w:rsidRDefault="00CC7D2C" w:rsidP="00320EFD">
            <w:pPr>
              <w:pStyle w:val="InstructionsText"/>
              <w:rPr>
                <w:rStyle w:val="FormatvorlageInstructionsTabelleText"/>
                <w:rFonts w:ascii="Times New Roman" w:hAnsi="Times New Roman"/>
                <w:b/>
                <w:sz w:val="24"/>
                <w:u w:val="single"/>
              </w:rPr>
            </w:pPr>
            <w:r w:rsidRPr="002176B5">
              <w:rPr>
                <w:rStyle w:val="InstructionsTabelleberschrift"/>
                <w:rFonts w:ascii="Times New Roman" w:hAnsi="Times New Roman"/>
                <w:sz w:val="24"/>
              </w:rPr>
              <w:t>1.1.1.9.5.</w:t>
            </w:r>
            <w:r w:rsidRPr="002176B5">
              <w:tab/>
            </w:r>
            <w:r w:rsidRPr="002176B5">
              <w:rPr>
                <w:rStyle w:val="InstructionsTabelleberschrift"/>
                <w:rFonts w:ascii="Times New Roman" w:hAnsi="Times New Roman"/>
                <w:sz w:val="24"/>
              </w:rPr>
              <w:t>(–) Úpravy ocenenia spôsobené požiadavkami na obozretné oceňovanie</w:t>
            </w:r>
          </w:p>
          <w:p w14:paraId="54D0A16D" w14:textId="2E9A860D"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Články 34</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 xml:space="preserve">105 </w:t>
            </w:r>
            <w:r w:rsidRPr="002176B5">
              <w:t>nariadenia (EÚ) č. 575/2013</w:t>
            </w:r>
          </w:p>
          <w:p w14:paraId="62CDA431" w14:textId="2E0E869E"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Úpravy reálnej hodnoty expozícií zahrnutých</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obchodnej knihe alebo neobchodnej knihe</w:t>
            </w:r>
            <w:r w:rsidR="002176B5">
              <w:rPr>
                <w:rStyle w:val="FormatvorlageInstructionsTabelleText"/>
                <w:rFonts w:ascii="Times New Roman" w:hAnsi="Times New Roman"/>
                <w:sz w:val="24"/>
              </w:rPr>
              <w:t xml:space="preserve"> z </w:t>
            </w:r>
            <w:r w:rsidRPr="002176B5">
              <w:rPr>
                <w:rStyle w:val="FormatvorlageInstructionsTabelleText"/>
                <w:rFonts w:ascii="Times New Roman" w:hAnsi="Times New Roman"/>
                <w:sz w:val="24"/>
              </w:rPr>
              <w:t>dôvodu prísnejších zásad obozretného oceňovania stanovených</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 xml:space="preserve">článku 105 </w:t>
            </w:r>
            <w:r w:rsidRPr="002176B5">
              <w:t>nariadenia (EÚ) č. 575/2013.</w:t>
            </w:r>
          </w:p>
        </w:tc>
      </w:tr>
      <w:tr w:rsidR="00CC7D2C" w:rsidRPr="002176B5" w14:paraId="689618FB" w14:textId="77777777" w:rsidTr="00822842">
        <w:tc>
          <w:tcPr>
            <w:tcW w:w="1129" w:type="dxa"/>
          </w:tcPr>
          <w:p w14:paraId="36EE20D7"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0300</w:t>
            </w:r>
          </w:p>
        </w:tc>
        <w:tc>
          <w:tcPr>
            <w:tcW w:w="7620" w:type="dxa"/>
          </w:tcPr>
          <w:p w14:paraId="686EA37B" w14:textId="77777777" w:rsidR="00CC7D2C" w:rsidRPr="002176B5" w:rsidRDefault="00CC7D2C" w:rsidP="00320EFD">
            <w:pPr>
              <w:pStyle w:val="InstructionsText"/>
              <w:rPr>
                <w:rStyle w:val="FormatvorlageInstructionsTabelleText"/>
                <w:rFonts w:ascii="Times New Roman" w:hAnsi="Times New Roman"/>
                <w:b/>
                <w:sz w:val="24"/>
                <w:u w:val="single"/>
              </w:rPr>
            </w:pPr>
            <w:r w:rsidRPr="002176B5">
              <w:rPr>
                <w:rStyle w:val="InstructionsTabelleberschrift"/>
                <w:rFonts w:ascii="Times New Roman" w:hAnsi="Times New Roman"/>
                <w:sz w:val="24"/>
              </w:rPr>
              <w:t>1.1.1.10.</w:t>
            </w:r>
            <w:r w:rsidRPr="002176B5">
              <w:tab/>
            </w:r>
            <w:r w:rsidRPr="002176B5">
              <w:rPr>
                <w:rStyle w:val="InstructionsTabelleberschrift"/>
                <w:rFonts w:ascii="Times New Roman" w:hAnsi="Times New Roman"/>
                <w:sz w:val="24"/>
              </w:rPr>
              <w:t xml:space="preserve">(–) </w:t>
            </w:r>
            <w:proofErr w:type="spellStart"/>
            <w:r w:rsidRPr="002176B5">
              <w:rPr>
                <w:rStyle w:val="InstructionsTabelleberschrift"/>
                <w:rFonts w:ascii="Times New Roman" w:hAnsi="Times New Roman"/>
                <w:sz w:val="24"/>
              </w:rPr>
              <w:t>Goodwill</w:t>
            </w:r>
            <w:proofErr w:type="spellEnd"/>
          </w:p>
          <w:p w14:paraId="77829B8B" w14:textId="43B629E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Článok 4 ods. 1 bod 113, článok 36 ods. 1 písm. b)</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 xml:space="preserve">článok 37 </w:t>
            </w:r>
            <w:r w:rsidRPr="002176B5">
              <w:t>nariadenia (EÚ) č. 575/2013</w:t>
            </w:r>
          </w:p>
        </w:tc>
      </w:tr>
      <w:tr w:rsidR="00CC7D2C" w:rsidRPr="002176B5" w14:paraId="4EE59EA3" w14:textId="77777777" w:rsidTr="00822842">
        <w:tc>
          <w:tcPr>
            <w:tcW w:w="1129" w:type="dxa"/>
          </w:tcPr>
          <w:p w14:paraId="61494E31"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0310</w:t>
            </w:r>
          </w:p>
        </w:tc>
        <w:tc>
          <w:tcPr>
            <w:tcW w:w="7620" w:type="dxa"/>
          </w:tcPr>
          <w:p w14:paraId="5449950D" w14:textId="77777777" w:rsidR="00CC7D2C" w:rsidRPr="002176B5" w:rsidRDefault="00CC7D2C" w:rsidP="00320EFD">
            <w:pPr>
              <w:pStyle w:val="InstructionsText"/>
              <w:rPr>
                <w:rStyle w:val="FormatvorlageInstructionsTabelleText"/>
                <w:rFonts w:ascii="Times New Roman" w:hAnsi="Times New Roman"/>
                <w:b/>
                <w:sz w:val="24"/>
                <w:u w:val="single"/>
              </w:rPr>
            </w:pPr>
            <w:r w:rsidRPr="002176B5">
              <w:rPr>
                <w:rStyle w:val="InstructionsTabelleberschrift"/>
                <w:rFonts w:ascii="Times New Roman" w:hAnsi="Times New Roman"/>
                <w:sz w:val="24"/>
              </w:rPr>
              <w:t>1.1.1.10.1.</w:t>
            </w:r>
            <w:r w:rsidRPr="002176B5">
              <w:tab/>
            </w:r>
            <w:r w:rsidRPr="002176B5">
              <w:rPr>
                <w:rStyle w:val="InstructionsTabelleberschrift"/>
                <w:rFonts w:ascii="Times New Roman" w:hAnsi="Times New Roman"/>
                <w:sz w:val="24"/>
              </w:rPr>
              <w:t xml:space="preserve">(–) </w:t>
            </w:r>
            <w:proofErr w:type="spellStart"/>
            <w:r w:rsidRPr="002176B5">
              <w:rPr>
                <w:rStyle w:val="InstructionsTabelleberschrift"/>
                <w:rFonts w:ascii="Times New Roman" w:hAnsi="Times New Roman"/>
                <w:sz w:val="24"/>
              </w:rPr>
              <w:t>Goodwill</w:t>
            </w:r>
            <w:proofErr w:type="spellEnd"/>
            <w:r w:rsidRPr="002176B5">
              <w:rPr>
                <w:rStyle w:val="InstructionsTabelleberschrift"/>
                <w:rFonts w:ascii="Times New Roman" w:hAnsi="Times New Roman"/>
                <w:sz w:val="24"/>
              </w:rPr>
              <w:t xml:space="preserve"> účtovaný ako nehmotné aktívum</w:t>
            </w:r>
          </w:p>
          <w:p w14:paraId="25E7F91A" w14:textId="46F83225"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Článok 4 ods. 1 bod 113</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 xml:space="preserve">článok 36 ods. 1 písm. b) </w:t>
            </w:r>
            <w:r w:rsidRPr="002176B5">
              <w:t>nariadenia (EÚ) č. 575/2013</w:t>
            </w:r>
          </w:p>
          <w:p w14:paraId="4F4C2B11" w14:textId="3F768FC5" w:rsidR="00CC7D2C" w:rsidRPr="002176B5" w:rsidRDefault="00CC7D2C" w:rsidP="00320EFD">
            <w:pPr>
              <w:pStyle w:val="InstructionsText"/>
              <w:rPr>
                <w:rStyle w:val="FormatvorlageInstructionsTabelleText"/>
                <w:rFonts w:ascii="Times New Roman" w:hAnsi="Times New Roman"/>
                <w:sz w:val="24"/>
              </w:rPr>
            </w:pPr>
            <w:proofErr w:type="spellStart"/>
            <w:r w:rsidRPr="002176B5">
              <w:rPr>
                <w:rStyle w:val="FormatvorlageInstructionsTabelleText"/>
                <w:rFonts w:ascii="Times New Roman" w:hAnsi="Times New Roman"/>
                <w:sz w:val="24"/>
              </w:rPr>
              <w:t>Goodwill</w:t>
            </w:r>
            <w:proofErr w:type="spellEnd"/>
            <w:r w:rsidRPr="002176B5">
              <w:rPr>
                <w:rStyle w:val="FormatvorlageInstructionsTabelleText"/>
                <w:rFonts w:ascii="Times New Roman" w:hAnsi="Times New Roman"/>
                <w:sz w:val="24"/>
              </w:rPr>
              <w:t xml:space="preserve"> má ten istý význam ako</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uplatniteľnom účtovnom štandarde.</w:t>
            </w:r>
          </w:p>
          <w:p w14:paraId="381D1619" w14:textId="4E3908FD"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Tu vykazovaná hodnota je rovnaká ako hodnota vykazovaná</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súvahe.</w:t>
            </w:r>
          </w:p>
        </w:tc>
      </w:tr>
      <w:tr w:rsidR="00CC7D2C" w:rsidRPr="002176B5" w14:paraId="07B42061" w14:textId="77777777" w:rsidTr="00822842">
        <w:tc>
          <w:tcPr>
            <w:tcW w:w="1129" w:type="dxa"/>
          </w:tcPr>
          <w:p w14:paraId="5A03C016"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0320</w:t>
            </w:r>
          </w:p>
        </w:tc>
        <w:tc>
          <w:tcPr>
            <w:tcW w:w="7620" w:type="dxa"/>
          </w:tcPr>
          <w:p w14:paraId="5CECE2E8" w14:textId="77777777"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1.1.1.10.2.</w:t>
            </w:r>
            <w:r w:rsidRPr="002176B5">
              <w:tab/>
            </w:r>
            <w:r w:rsidRPr="002176B5">
              <w:rPr>
                <w:rStyle w:val="InstructionsTabelleberschrift"/>
                <w:rFonts w:ascii="Times New Roman" w:hAnsi="Times New Roman"/>
                <w:sz w:val="24"/>
              </w:rPr>
              <w:t xml:space="preserve">(–) </w:t>
            </w:r>
            <w:proofErr w:type="spellStart"/>
            <w:r w:rsidRPr="002176B5">
              <w:rPr>
                <w:rStyle w:val="InstructionsTabelleberschrift"/>
                <w:rFonts w:ascii="Times New Roman" w:hAnsi="Times New Roman"/>
                <w:sz w:val="24"/>
              </w:rPr>
              <w:t>Goodwill</w:t>
            </w:r>
            <w:proofErr w:type="spellEnd"/>
            <w:r w:rsidRPr="002176B5">
              <w:rPr>
                <w:rStyle w:val="InstructionsTabelleberschrift"/>
                <w:rFonts w:ascii="Times New Roman" w:hAnsi="Times New Roman"/>
                <w:sz w:val="24"/>
              </w:rPr>
              <w:t xml:space="preserve"> zahrnutý do ocenenia významných investícií</w:t>
            </w:r>
          </w:p>
          <w:p w14:paraId="06C9D319" w14:textId="6FEF4A6E"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Článok 37 písm. b)</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 xml:space="preserve">článok 43 </w:t>
            </w:r>
            <w:r w:rsidRPr="002176B5">
              <w:t>nariadenia (EÚ) č. 575/2013</w:t>
            </w:r>
          </w:p>
        </w:tc>
      </w:tr>
      <w:tr w:rsidR="00CC7D2C" w:rsidRPr="002176B5" w14:paraId="2C686AE1" w14:textId="77777777" w:rsidTr="00822842">
        <w:tc>
          <w:tcPr>
            <w:tcW w:w="1129" w:type="dxa"/>
          </w:tcPr>
          <w:p w14:paraId="244AE8DB"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0330</w:t>
            </w:r>
          </w:p>
        </w:tc>
        <w:tc>
          <w:tcPr>
            <w:tcW w:w="7620" w:type="dxa"/>
          </w:tcPr>
          <w:p w14:paraId="68D3D533" w14:textId="50A51F66" w:rsidR="00CC7D2C" w:rsidRPr="002176B5" w:rsidRDefault="00CC7D2C" w:rsidP="00320EFD">
            <w:pPr>
              <w:pStyle w:val="InstructionsText"/>
              <w:rPr>
                <w:rStyle w:val="FormatvorlageInstructionsTabelleText"/>
                <w:rFonts w:ascii="Times New Roman" w:hAnsi="Times New Roman"/>
                <w:b/>
                <w:sz w:val="24"/>
                <w:u w:val="single"/>
              </w:rPr>
            </w:pPr>
            <w:r w:rsidRPr="002176B5">
              <w:rPr>
                <w:rStyle w:val="InstructionsTabelleberschrift"/>
                <w:rFonts w:ascii="Times New Roman" w:hAnsi="Times New Roman"/>
                <w:sz w:val="24"/>
              </w:rPr>
              <w:t>1.1.1.10.3.</w:t>
            </w:r>
            <w:r w:rsidRPr="002176B5">
              <w:tab/>
            </w:r>
            <w:r w:rsidRPr="002176B5">
              <w:rPr>
                <w:rStyle w:val="InstructionsTabelleberschrift"/>
                <w:rFonts w:ascii="Times New Roman" w:hAnsi="Times New Roman"/>
                <w:sz w:val="24"/>
              </w:rPr>
              <w:t>Odložené daňové záväzky spojené</w:t>
            </w:r>
            <w:r w:rsidR="002176B5">
              <w:rPr>
                <w:rStyle w:val="InstructionsTabelleberschrift"/>
                <w:rFonts w:ascii="Times New Roman" w:hAnsi="Times New Roman"/>
                <w:sz w:val="24"/>
              </w:rPr>
              <w:t xml:space="preserve"> s </w:t>
            </w:r>
            <w:proofErr w:type="spellStart"/>
            <w:r w:rsidRPr="002176B5">
              <w:rPr>
                <w:rStyle w:val="InstructionsTabelleberschrift"/>
                <w:rFonts w:ascii="Times New Roman" w:hAnsi="Times New Roman"/>
                <w:sz w:val="24"/>
              </w:rPr>
              <w:t>goodwillom</w:t>
            </w:r>
            <w:proofErr w:type="spellEnd"/>
          </w:p>
          <w:p w14:paraId="21A6F5D9"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 xml:space="preserve">Článok 37 písm. a) </w:t>
            </w:r>
            <w:r w:rsidRPr="002176B5">
              <w:t>nariadenia (EÚ) č. 575/2013</w:t>
            </w:r>
          </w:p>
          <w:p w14:paraId="1D324406"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 xml:space="preserve">Hodnota odložených daňových záväzkov, ktoré by zanikli, ak by sa kvalita </w:t>
            </w:r>
            <w:proofErr w:type="spellStart"/>
            <w:r w:rsidRPr="002176B5">
              <w:rPr>
                <w:rStyle w:val="FormatvorlageInstructionsTabelleText"/>
                <w:rFonts w:ascii="Times New Roman" w:hAnsi="Times New Roman"/>
                <w:sz w:val="24"/>
              </w:rPr>
              <w:t>goodwillu</w:t>
            </w:r>
            <w:proofErr w:type="spellEnd"/>
            <w:r w:rsidRPr="002176B5">
              <w:rPr>
                <w:rStyle w:val="FormatvorlageInstructionsTabelleText"/>
                <w:rFonts w:ascii="Times New Roman" w:hAnsi="Times New Roman"/>
                <w:sz w:val="24"/>
              </w:rPr>
              <w:t xml:space="preserve"> zhoršila alebo ak by sa podľa uplatniteľného účtovného štandardu ukončilo jeho vykazovanie.</w:t>
            </w:r>
          </w:p>
        </w:tc>
      </w:tr>
      <w:tr w:rsidR="00CC7D2C" w:rsidRPr="002176B5" w14:paraId="4EF2E6CA" w14:textId="77777777" w:rsidTr="00822842">
        <w:tc>
          <w:tcPr>
            <w:tcW w:w="1129" w:type="dxa"/>
          </w:tcPr>
          <w:p w14:paraId="3CD90544"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lastRenderedPageBreak/>
              <w:t>0335</w:t>
            </w:r>
          </w:p>
        </w:tc>
        <w:tc>
          <w:tcPr>
            <w:tcW w:w="7620" w:type="dxa"/>
          </w:tcPr>
          <w:p w14:paraId="6CABDF23" w14:textId="3FAEB75A"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1.1.1.10.4.</w:t>
            </w:r>
            <w:r w:rsidRPr="002176B5">
              <w:tab/>
            </w:r>
            <w:r w:rsidRPr="002176B5">
              <w:rPr>
                <w:rStyle w:val="InstructionsTabelleberschrift"/>
                <w:rFonts w:ascii="Times New Roman" w:hAnsi="Times New Roman"/>
                <w:sz w:val="24"/>
              </w:rPr>
              <w:t xml:space="preserve">Účtovné precenenie </w:t>
            </w:r>
            <w:proofErr w:type="spellStart"/>
            <w:r w:rsidRPr="002176B5">
              <w:rPr>
                <w:rStyle w:val="InstructionsTabelleberschrift"/>
                <w:rFonts w:ascii="Times New Roman" w:hAnsi="Times New Roman"/>
                <w:sz w:val="24"/>
              </w:rPr>
              <w:t>goodwillu</w:t>
            </w:r>
            <w:proofErr w:type="spellEnd"/>
            <w:r w:rsidRPr="002176B5">
              <w:rPr>
                <w:rStyle w:val="InstructionsTabelleberschrift"/>
                <w:rFonts w:ascii="Times New Roman" w:hAnsi="Times New Roman"/>
                <w:sz w:val="24"/>
              </w:rPr>
              <w:t xml:space="preserve"> dcérskych spoločností </w:t>
            </w:r>
            <w:proofErr w:type="spellStart"/>
            <w:r w:rsidRPr="002176B5">
              <w:rPr>
                <w:rStyle w:val="InstructionsTabelleberschrift"/>
                <w:rFonts w:ascii="Times New Roman" w:hAnsi="Times New Roman"/>
                <w:sz w:val="24"/>
              </w:rPr>
              <w:t>prisúditeľného</w:t>
            </w:r>
            <w:proofErr w:type="spellEnd"/>
            <w:r w:rsidRPr="002176B5">
              <w:rPr>
                <w:rStyle w:val="InstructionsTabelleberschrift"/>
                <w:rFonts w:ascii="Times New Roman" w:hAnsi="Times New Roman"/>
                <w:sz w:val="24"/>
              </w:rPr>
              <w:t xml:space="preserve"> tretím osobám odvodené</w:t>
            </w:r>
            <w:r w:rsidR="002176B5">
              <w:rPr>
                <w:rStyle w:val="InstructionsTabelleberschrift"/>
                <w:rFonts w:ascii="Times New Roman" w:hAnsi="Times New Roman"/>
                <w:sz w:val="24"/>
              </w:rPr>
              <w:t xml:space="preserve"> z </w:t>
            </w:r>
            <w:r w:rsidRPr="002176B5">
              <w:rPr>
                <w:rStyle w:val="InstructionsTabelleberschrift"/>
                <w:rFonts w:ascii="Times New Roman" w:hAnsi="Times New Roman"/>
                <w:sz w:val="24"/>
              </w:rPr>
              <w:t>konsolidácie dcérskych spoločností</w:t>
            </w:r>
          </w:p>
          <w:p w14:paraId="189C2EF7"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 xml:space="preserve">Článok 37 písm. c) </w:t>
            </w:r>
            <w:r w:rsidRPr="002176B5">
              <w:t>nariadenia (EÚ) č. 575/2013</w:t>
            </w:r>
          </w:p>
          <w:p w14:paraId="3AC266EA" w14:textId="5F6C6CB8" w:rsidR="00CC7D2C" w:rsidRPr="002176B5" w:rsidRDefault="00CC7D2C" w:rsidP="00320EFD">
            <w:pPr>
              <w:pStyle w:val="InstructionsText"/>
              <w:rPr>
                <w:rStyle w:val="InstructionsTabelleberschrift"/>
                <w:rFonts w:ascii="Times New Roman" w:hAnsi="Times New Roman"/>
                <w:sz w:val="24"/>
              </w:rPr>
            </w:pPr>
            <w:r w:rsidRPr="002176B5">
              <w:rPr>
                <w:rStyle w:val="FormatvorlageInstructionsTabelleText"/>
                <w:rFonts w:ascii="Times New Roman" w:hAnsi="Times New Roman"/>
                <w:sz w:val="24"/>
              </w:rPr>
              <w:t xml:space="preserve">Hodnota účtovného precenenia </w:t>
            </w:r>
            <w:proofErr w:type="spellStart"/>
            <w:r w:rsidRPr="002176B5">
              <w:rPr>
                <w:rStyle w:val="FormatvorlageInstructionsTabelleText"/>
                <w:rFonts w:ascii="Times New Roman" w:hAnsi="Times New Roman"/>
                <w:sz w:val="24"/>
              </w:rPr>
              <w:t>goodwillu</w:t>
            </w:r>
            <w:proofErr w:type="spellEnd"/>
            <w:r w:rsidRPr="002176B5">
              <w:rPr>
                <w:rStyle w:val="FormatvorlageInstructionsTabelleText"/>
                <w:rFonts w:ascii="Times New Roman" w:hAnsi="Times New Roman"/>
                <w:sz w:val="24"/>
              </w:rPr>
              <w:t xml:space="preserve"> dcérskych spoločností </w:t>
            </w:r>
            <w:proofErr w:type="spellStart"/>
            <w:r w:rsidRPr="002176B5">
              <w:rPr>
                <w:rStyle w:val="FormatvorlageInstructionsTabelleText"/>
                <w:rFonts w:ascii="Times New Roman" w:hAnsi="Times New Roman"/>
                <w:sz w:val="24"/>
              </w:rPr>
              <w:t>prisúditeľného</w:t>
            </w:r>
            <w:proofErr w:type="spellEnd"/>
            <w:r w:rsidRPr="002176B5">
              <w:rPr>
                <w:rStyle w:val="FormatvorlageInstructionsTabelleText"/>
                <w:rFonts w:ascii="Times New Roman" w:hAnsi="Times New Roman"/>
                <w:sz w:val="24"/>
              </w:rPr>
              <w:t xml:space="preserve"> iným osobám, než sú podniky zahrnuté do konsolidácie podľa prvej časti hlavy II kapitoly 2, odvodená</w:t>
            </w:r>
            <w:r w:rsidR="002176B5">
              <w:rPr>
                <w:rStyle w:val="FormatvorlageInstructionsTabelleText"/>
                <w:rFonts w:ascii="Times New Roman" w:hAnsi="Times New Roman"/>
                <w:sz w:val="24"/>
              </w:rPr>
              <w:t xml:space="preserve"> z </w:t>
            </w:r>
            <w:r w:rsidRPr="002176B5">
              <w:rPr>
                <w:rStyle w:val="FormatvorlageInstructionsTabelleText"/>
                <w:rFonts w:ascii="Times New Roman" w:hAnsi="Times New Roman"/>
                <w:sz w:val="24"/>
              </w:rPr>
              <w:t>konsolidácie dcérskych spoločností.</w:t>
            </w:r>
          </w:p>
        </w:tc>
      </w:tr>
      <w:tr w:rsidR="00CC7D2C" w:rsidRPr="002176B5" w14:paraId="7744B572" w14:textId="77777777" w:rsidTr="00822842">
        <w:tc>
          <w:tcPr>
            <w:tcW w:w="1129" w:type="dxa"/>
          </w:tcPr>
          <w:p w14:paraId="578CADAC"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0340</w:t>
            </w:r>
          </w:p>
        </w:tc>
        <w:tc>
          <w:tcPr>
            <w:tcW w:w="7620" w:type="dxa"/>
          </w:tcPr>
          <w:p w14:paraId="4AEF749A" w14:textId="77777777" w:rsidR="00CC7D2C" w:rsidRPr="002176B5" w:rsidRDefault="00CC7D2C" w:rsidP="00320EFD">
            <w:pPr>
              <w:pStyle w:val="InstructionsText"/>
              <w:rPr>
                <w:rStyle w:val="FormatvorlageInstructionsTabelleText"/>
                <w:rFonts w:ascii="Times New Roman" w:hAnsi="Times New Roman"/>
                <w:b/>
                <w:sz w:val="24"/>
                <w:u w:val="single"/>
              </w:rPr>
            </w:pPr>
            <w:r w:rsidRPr="002176B5">
              <w:rPr>
                <w:rStyle w:val="InstructionsTabelleberschrift"/>
                <w:rFonts w:ascii="Times New Roman" w:hAnsi="Times New Roman"/>
                <w:sz w:val="24"/>
              </w:rPr>
              <w:t>1.1.1.11.</w:t>
            </w:r>
            <w:r w:rsidRPr="002176B5">
              <w:tab/>
            </w:r>
            <w:r w:rsidRPr="002176B5">
              <w:rPr>
                <w:rStyle w:val="InstructionsTabelleberschrift"/>
                <w:rFonts w:ascii="Times New Roman" w:hAnsi="Times New Roman"/>
                <w:sz w:val="24"/>
              </w:rPr>
              <w:t>(–) Ostatné nehmotné aktíva</w:t>
            </w:r>
          </w:p>
          <w:p w14:paraId="5F591EF8" w14:textId="2B6CC75F"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Článok 4 ods. 1 bod 115, článok 36 ods. 1 písm. b)</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článok 37 písm. a)</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c)</w:t>
            </w:r>
            <w:r w:rsidRPr="002176B5">
              <w:t>nariadenia (EÚ) č. 575/2013</w:t>
            </w:r>
          </w:p>
          <w:p w14:paraId="790606ED"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 xml:space="preserve">Ostatné nehmotné aktíva sú nehmotné aktíva podľa uplatniteľného účtovného štandardu, bez </w:t>
            </w:r>
            <w:proofErr w:type="spellStart"/>
            <w:r w:rsidRPr="002176B5">
              <w:rPr>
                <w:rStyle w:val="FormatvorlageInstructionsTabelleText"/>
                <w:rFonts w:ascii="Times New Roman" w:hAnsi="Times New Roman"/>
                <w:sz w:val="24"/>
              </w:rPr>
              <w:t>goodwillu</w:t>
            </w:r>
            <w:proofErr w:type="spellEnd"/>
            <w:r w:rsidRPr="002176B5">
              <w:rPr>
                <w:rStyle w:val="FormatvorlageInstructionsTabelleText"/>
                <w:rFonts w:ascii="Times New Roman" w:hAnsi="Times New Roman"/>
                <w:sz w:val="24"/>
              </w:rPr>
              <w:t>, tiež podľa uplatniteľného účtovného štandardu.</w:t>
            </w:r>
          </w:p>
        </w:tc>
      </w:tr>
      <w:tr w:rsidR="00CC7D2C" w:rsidRPr="002176B5" w14:paraId="20D6A288" w14:textId="77777777" w:rsidTr="00822842">
        <w:tc>
          <w:tcPr>
            <w:tcW w:w="1129" w:type="dxa"/>
          </w:tcPr>
          <w:p w14:paraId="21F1C04A"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0350</w:t>
            </w:r>
          </w:p>
        </w:tc>
        <w:tc>
          <w:tcPr>
            <w:tcW w:w="7620" w:type="dxa"/>
          </w:tcPr>
          <w:p w14:paraId="526AA3AF" w14:textId="77777777" w:rsidR="00CC7D2C" w:rsidRPr="002176B5" w:rsidRDefault="00CC7D2C" w:rsidP="00320EFD">
            <w:pPr>
              <w:pStyle w:val="InstructionsText"/>
              <w:rPr>
                <w:rStyle w:val="FormatvorlageInstructionsTabelleText"/>
                <w:rFonts w:ascii="Times New Roman" w:hAnsi="Times New Roman"/>
                <w:b/>
                <w:sz w:val="24"/>
                <w:u w:val="single"/>
              </w:rPr>
            </w:pPr>
            <w:r w:rsidRPr="002176B5">
              <w:rPr>
                <w:rStyle w:val="InstructionsTabelleberschrift"/>
                <w:rFonts w:ascii="Times New Roman" w:hAnsi="Times New Roman"/>
                <w:sz w:val="24"/>
              </w:rPr>
              <w:t>1.1.1.11.1.</w:t>
            </w:r>
            <w:r w:rsidRPr="002176B5">
              <w:tab/>
            </w:r>
            <w:r w:rsidRPr="002176B5">
              <w:rPr>
                <w:rStyle w:val="InstructionsTabelleberschrift"/>
                <w:rFonts w:ascii="Times New Roman" w:hAnsi="Times New Roman"/>
                <w:sz w:val="24"/>
              </w:rPr>
              <w:t>(–) Ostatné nehmotné aktíva pred odpočítaním odložených daňových záväzkov</w:t>
            </w:r>
          </w:p>
          <w:p w14:paraId="60165161" w14:textId="58B0F511"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Článok 4 ods. 1 bod 115</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 xml:space="preserve">článok 36 ods. 1 písm. b) </w:t>
            </w:r>
            <w:r w:rsidRPr="002176B5">
              <w:t>nariadenia (EÚ) č. 575/2013</w:t>
            </w:r>
          </w:p>
          <w:p w14:paraId="533CEA27" w14:textId="065512BB"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 xml:space="preserve">Ostatné nehmotné aktíva sú nehmotné aktíva podľa uplatniteľného účtovného štandardu, bez </w:t>
            </w:r>
            <w:proofErr w:type="spellStart"/>
            <w:r w:rsidRPr="002176B5">
              <w:rPr>
                <w:rStyle w:val="FormatvorlageInstructionsTabelleText"/>
                <w:rFonts w:ascii="Times New Roman" w:hAnsi="Times New Roman"/>
                <w:sz w:val="24"/>
              </w:rPr>
              <w:t>goodwillu</w:t>
            </w:r>
            <w:proofErr w:type="spellEnd"/>
            <w:r w:rsidRPr="002176B5">
              <w:rPr>
                <w:rStyle w:val="FormatvorlageInstructionsTabelleText"/>
                <w:rFonts w:ascii="Times New Roman" w:hAnsi="Times New Roman"/>
                <w:sz w:val="24"/>
              </w:rPr>
              <w:t>, tiež</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súlade</w:t>
            </w:r>
            <w:r w:rsidR="002176B5">
              <w:rPr>
                <w:rStyle w:val="FormatvorlageInstructionsTabelleText"/>
                <w:rFonts w:ascii="Times New Roman" w:hAnsi="Times New Roman"/>
                <w:sz w:val="24"/>
              </w:rPr>
              <w:t xml:space="preserve"> s </w:t>
            </w:r>
            <w:r w:rsidRPr="002176B5">
              <w:rPr>
                <w:rStyle w:val="FormatvorlageInstructionsTabelleText"/>
                <w:rFonts w:ascii="Times New Roman" w:hAnsi="Times New Roman"/>
                <w:sz w:val="24"/>
              </w:rPr>
              <w:t>uplatniteľným účtovným štandardom.</w:t>
            </w:r>
          </w:p>
          <w:p w14:paraId="62EFB3EE" w14:textId="4BDCF326"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Hodnota vykazovaná</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tomto riadku zodpovedá hodnote nehmotných aktív zahrnutých</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súvahe</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súlade</w:t>
            </w:r>
            <w:r w:rsidR="002176B5">
              <w:rPr>
                <w:rStyle w:val="FormatvorlageInstructionsTabelleText"/>
                <w:rFonts w:ascii="Times New Roman" w:hAnsi="Times New Roman"/>
                <w:sz w:val="24"/>
              </w:rPr>
              <w:t xml:space="preserve"> s </w:t>
            </w:r>
            <w:r w:rsidRPr="002176B5">
              <w:rPr>
                <w:rStyle w:val="FormatvorlageInstructionsTabelleText"/>
                <w:rFonts w:ascii="Times New Roman" w:hAnsi="Times New Roman"/>
                <w:sz w:val="24"/>
              </w:rPr>
              <w:t xml:space="preserve">uplatniteľným účtovným štandardom okrem </w:t>
            </w:r>
            <w:proofErr w:type="spellStart"/>
            <w:r w:rsidRPr="002176B5">
              <w:rPr>
                <w:rStyle w:val="FormatvorlageInstructionsTabelleText"/>
                <w:rFonts w:ascii="Times New Roman" w:hAnsi="Times New Roman"/>
                <w:sz w:val="24"/>
              </w:rPr>
              <w:t>goodwillu</w:t>
            </w:r>
            <w:proofErr w:type="spellEnd"/>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hodnoty obozretne ocenených softvérových aktív, ktorá nie je odpočítaná od položiek CET1</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súlade</w:t>
            </w:r>
            <w:r w:rsidR="002176B5">
              <w:rPr>
                <w:rStyle w:val="FormatvorlageInstructionsTabelleText"/>
                <w:rFonts w:ascii="Times New Roman" w:hAnsi="Times New Roman"/>
                <w:sz w:val="24"/>
              </w:rPr>
              <w:t xml:space="preserve"> s </w:t>
            </w:r>
            <w:r w:rsidRPr="002176B5">
              <w:rPr>
                <w:rStyle w:val="FormatvorlageInstructionsTabelleText"/>
                <w:rFonts w:ascii="Times New Roman" w:hAnsi="Times New Roman"/>
                <w:sz w:val="24"/>
              </w:rPr>
              <w:t>článkom 36 ods. 1 písm. b) nariadenia (EÚ) č. 575/2013.</w:t>
            </w:r>
          </w:p>
        </w:tc>
      </w:tr>
      <w:tr w:rsidR="00CC7D2C" w:rsidRPr="002176B5" w14:paraId="54A3CD6E" w14:textId="77777777" w:rsidTr="00822842">
        <w:tc>
          <w:tcPr>
            <w:tcW w:w="1129" w:type="dxa"/>
          </w:tcPr>
          <w:p w14:paraId="6525F28D"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0352</w:t>
            </w:r>
          </w:p>
        </w:tc>
        <w:tc>
          <w:tcPr>
            <w:tcW w:w="7620" w:type="dxa"/>
          </w:tcPr>
          <w:p w14:paraId="7BD6FF6F" w14:textId="167078A8" w:rsidR="00CC7D2C" w:rsidRPr="002176B5" w:rsidRDefault="00CC7D2C" w:rsidP="00320EFD">
            <w:pPr>
              <w:pStyle w:val="InstructionsText"/>
              <w:rPr>
                <w:rStyle w:val="FormatvorlageInstructionsTabelleText"/>
                <w:rFonts w:ascii="Times New Roman" w:hAnsi="Times New Roman"/>
                <w:b/>
                <w:sz w:val="24"/>
                <w:u w:val="single"/>
              </w:rPr>
            </w:pPr>
            <w:r w:rsidRPr="002176B5">
              <w:rPr>
                <w:rStyle w:val="InstructionsTabelleberschrift"/>
                <w:rFonts w:ascii="Times New Roman" w:hAnsi="Times New Roman"/>
                <w:sz w:val="24"/>
              </w:rPr>
              <w:t>1.1.1.11.1.1 (–)</w:t>
            </w:r>
            <w:r w:rsidR="002176B5">
              <w:rPr>
                <w:rStyle w:val="InstructionsTabelleberschrift"/>
                <w:rFonts w:ascii="Times New Roman" w:hAnsi="Times New Roman"/>
                <w:sz w:val="24"/>
              </w:rPr>
              <w:t xml:space="preserve"> Z </w:t>
            </w:r>
            <w:r w:rsidRPr="002176B5">
              <w:rPr>
                <w:rStyle w:val="InstructionsTabelleberschrift"/>
                <w:rFonts w:ascii="Times New Roman" w:hAnsi="Times New Roman"/>
                <w:sz w:val="24"/>
              </w:rPr>
              <w:t>čoho: softvérové aktíva účtované ako ostatné nehmotné aktíva pred odpočítaním odložených daňových záväzkov</w:t>
            </w:r>
          </w:p>
          <w:p w14:paraId="02123AF7" w14:textId="315F9358"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 xml:space="preserve">Článok 4 ods. 1 bod 115 </w:t>
            </w:r>
            <w:r w:rsidRPr="002176B5">
              <w:t>nariadenia (EÚ) č. 575/2013</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 xml:space="preserve">článok 36 ods. 1 písm. b) </w:t>
            </w:r>
            <w:r w:rsidRPr="002176B5">
              <w:t>nariadenia (EÚ) č. 575/2013</w:t>
            </w:r>
          </w:p>
          <w:p w14:paraId="106CD01A" w14:textId="4ECB266D"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Hodnota softvérových aktív účtovaných ako nehmotné aktíva, ktorá je odpočítaná od položiek CET1</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súlade</w:t>
            </w:r>
            <w:r w:rsidR="002176B5">
              <w:rPr>
                <w:rStyle w:val="FormatvorlageInstructionsTabelleText"/>
                <w:rFonts w:ascii="Times New Roman" w:hAnsi="Times New Roman"/>
                <w:sz w:val="24"/>
              </w:rPr>
              <w:t xml:space="preserve"> s </w:t>
            </w:r>
            <w:r w:rsidRPr="002176B5">
              <w:rPr>
                <w:rStyle w:val="FormatvorlageInstructionsTabelleText"/>
                <w:rFonts w:ascii="Times New Roman" w:hAnsi="Times New Roman"/>
                <w:sz w:val="24"/>
              </w:rPr>
              <w:t>článkom 36 ods. 1 písm. b) nariadenia (EÚ) č. 575/2013</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článkom 13a delegovaného nariadenia (EÚ) č. 241/2014</w:t>
            </w:r>
            <w:r w:rsidRPr="002176B5">
              <w:t xml:space="preserve">. </w:t>
            </w:r>
            <w:r w:rsidRPr="002176B5">
              <w:rPr>
                <w:rStyle w:val="FormatvorlageInstructionsTabelleText"/>
                <w:rFonts w:ascii="Times New Roman" w:hAnsi="Times New Roman"/>
                <w:sz w:val="24"/>
              </w:rPr>
              <w:t>Vo vykazovanej hodnote sa neposudzujú účinky uplatňovania zaobchádzania stanoveného</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 xml:space="preserve">článku 37 písm. a) </w:t>
            </w:r>
            <w:r w:rsidRPr="002176B5">
              <w:t>nariadenia (EÚ) č. 575/2013</w:t>
            </w:r>
            <w:r w:rsidR="002176B5">
              <w:rPr>
                <w:rStyle w:val="FormatvorlageInstructionsTabelleText"/>
                <w:rFonts w:ascii="Times New Roman" w:hAnsi="Times New Roman"/>
                <w:sz w:val="24"/>
              </w:rPr>
              <w:t xml:space="preserve"> s </w:t>
            </w:r>
            <w:r w:rsidRPr="002176B5">
              <w:rPr>
                <w:rStyle w:val="FormatvorlageInstructionsTabelleText"/>
                <w:rFonts w:ascii="Times New Roman" w:hAnsi="Times New Roman"/>
                <w:sz w:val="24"/>
              </w:rPr>
              <w:t>odkazom na odložené daňové záväzky súvisiace</w:t>
            </w:r>
            <w:r w:rsidR="002176B5">
              <w:rPr>
                <w:rStyle w:val="FormatvorlageInstructionsTabelleText"/>
                <w:rFonts w:ascii="Times New Roman" w:hAnsi="Times New Roman"/>
                <w:sz w:val="24"/>
              </w:rPr>
              <w:t xml:space="preserve"> s </w:t>
            </w:r>
            <w:r w:rsidRPr="002176B5">
              <w:rPr>
                <w:rStyle w:val="FormatvorlageInstructionsTabelleText"/>
                <w:rFonts w:ascii="Times New Roman" w:hAnsi="Times New Roman"/>
                <w:sz w:val="24"/>
              </w:rPr>
              <w:t>uvedenými softvérovými aktívami.</w:t>
            </w:r>
          </w:p>
          <w:p w14:paraId="39783C08" w14:textId="41E877FF" w:rsidR="00CC7D2C" w:rsidRPr="002176B5" w:rsidRDefault="00CC7D2C" w:rsidP="00320EFD">
            <w:pPr>
              <w:pStyle w:val="InstructionsText"/>
              <w:rPr>
                <w:rStyle w:val="InstructionsTabelleberschrift"/>
                <w:rFonts w:ascii="Times New Roman" w:hAnsi="Times New Roman"/>
                <w:sz w:val="24"/>
              </w:rPr>
            </w:pPr>
            <w:r w:rsidRPr="002176B5">
              <w:rPr>
                <w:rStyle w:val="FormatvorlageInstructionsTabelleText"/>
                <w:rFonts w:ascii="Times New Roman" w:hAnsi="Times New Roman"/>
                <w:sz w:val="24"/>
              </w:rPr>
              <w:t>Ak sa inštitúcia rozhodne, že</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plnej miere odpočíta svoje softvérové aktíva</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súlade</w:t>
            </w:r>
            <w:r w:rsidR="002176B5">
              <w:rPr>
                <w:rStyle w:val="FormatvorlageInstructionsTabelleText"/>
                <w:rFonts w:ascii="Times New Roman" w:hAnsi="Times New Roman"/>
                <w:sz w:val="24"/>
              </w:rPr>
              <w:t xml:space="preserve"> s </w:t>
            </w:r>
            <w:r w:rsidRPr="002176B5">
              <w:rPr>
                <w:rStyle w:val="FormatvorlageInstructionsTabelleText"/>
                <w:rFonts w:ascii="Times New Roman" w:hAnsi="Times New Roman"/>
                <w:sz w:val="24"/>
              </w:rPr>
              <w:t xml:space="preserve">článkom 3 </w:t>
            </w:r>
            <w:r w:rsidRPr="002176B5">
              <w:t>nariadenia (EÚ) č. 575/2013</w:t>
            </w:r>
            <w:r w:rsidRPr="002176B5">
              <w:rPr>
                <w:rStyle w:val="FormatvorlageInstructionsTabelleText"/>
                <w:rFonts w:ascii="Times New Roman" w:hAnsi="Times New Roman"/>
                <w:sz w:val="24"/>
              </w:rPr>
              <w:t xml:space="preserve"> namiesto uplatňovania zaobchádzania podľa článku 13a delegovaného nariadenia (EÚ) č. 241/2014, hodnota vykazovaná</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tomto riadku zodpovedá hodnote softvérových aktív účtovaných ako nehmotné aktíva</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súlade</w:t>
            </w:r>
            <w:r w:rsidR="002176B5">
              <w:rPr>
                <w:rStyle w:val="FormatvorlageInstructionsTabelleText"/>
                <w:rFonts w:ascii="Times New Roman" w:hAnsi="Times New Roman"/>
                <w:sz w:val="24"/>
              </w:rPr>
              <w:t xml:space="preserve"> s </w:t>
            </w:r>
            <w:r w:rsidRPr="002176B5">
              <w:rPr>
                <w:rStyle w:val="FormatvorlageInstructionsTabelleText"/>
                <w:rFonts w:ascii="Times New Roman" w:hAnsi="Times New Roman"/>
                <w:sz w:val="24"/>
              </w:rPr>
              <w:t>uplatniteľným účtovným štandardom.</w:t>
            </w:r>
          </w:p>
        </w:tc>
      </w:tr>
      <w:tr w:rsidR="00CC7D2C" w:rsidRPr="002176B5" w14:paraId="28B86AF5" w14:textId="77777777" w:rsidTr="00822842">
        <w:tc>
          <w:tcPr>
            <w:tcW w:w="1129" w:type="dxa"/>
          </w:tcPr>
          <w:p w14:paraId="2B0CDC97"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lastRenderedPageBreak/>
              <w:t>0360</w:t>
            </w:r>
          </w:p>
        </w:tc>
        <w:tc>
          <w:tcPr>
            <w:tcW w:w="7620" w:type="dxa"/>
          </w:tcPr>
          <w:p w14:paraId="2777485A" w14:textId="342B7DE2"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1.1.1.11.2.</w:t>
            </w:r>
            <w:r w:rsidRPr="002176B5">
              <w:tab/>
            </w:r>
            <w:r w:rsidRPr="002176B5">
              <w:rPr>
                <w:rStyle w:val="InstructionsTabelleberschrift"/>
                <w:rFonts w:ascii="Times New Roman" w:hAnsi="Times New Roman"/>
                <w:sz w:val="24"/>
              </w:rPr>
              <w:t>Odložené daňové záväzky spojené</w:t>
            </w:r>
            <w:r w:rsidR="002176B5">
              <w:rPr>
                <w:rStyle w:val="InstructionsTabelleberschrift"/>
                <w:rFonts w:ascii="Times New Roman" w:hAnsi="Times New Roman"/>
                <w:sz w:val="24"/>
              </w:rPr>
              <w:t xml:space="preserve"> s </w:t>
            </w:r>
            <w:r w:rsidRPr="002176B5">
              <w:rPr>
                <w:rStyle w:val="InstructionsTabelleberschrift"/>
                <w:rFonts w:ascii="Times New Roman" w:hAnsi="Times New Roman"/>
                <w:sz w:val="24"/>
              </w:rPr>
              <w:t>ostatnými nehmotnými aktívami</w:t>
            </w:r>
          </w:p>
          <w:p w14:paraId="261F60B7"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 xml:space="preserve">Článok 37 písm. a) </w:t>
            </w:r>
            <w:r w:rsidRPr="002176B5">
              <w:t>nariadenia (EÚ) č. 575/2013</w:t>
            </w:r>
          </w:p>
          <w:p w14:paraId="1CCE12EA" w14:textId="7D65B62A"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 xml:space="preserve">Hodnota odložených daňových záväzkov, ktoré by zanikli, ak by sa hodnota iných nehmotných aktív než </w:t>
            </w:r>
            <w:proofErr w:type="spellStart"/>
            <w:r w:rsidRPr="002176B5">
              <w:rPr>
                <w:rStyle w:val="FormatvorlageInstructionsTabelleText"/>
                <w:rFonts w:ascii="Times New Roman" w:hAnsi="Times New Roman"/>
                <w:sz w:val="24"/>
              </w:rPr>
              <w:t>goodwill</w:t>
            </w:r>
            <w:proofErr w:type="spellEnd"/>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obozretne ocenené softvérové aktíva vyňaté</w:t>
            </w:r>
            <w:r w:rsidR="002176B5">
              <w:rPr>
                <w:rStyle w:val="FormatvorlageInstructionsTabelleText"/>
                <w:rFonts w:ascii="Times New Roman" w:hAnsi="Times New Roman"/>
                <w:sz w:val="24"/>
              </w:rPr>
              <w:t xml:space="preserve"> z </w:t>
            </w:r>
            <w:r w:rsidRPr="002176B5">
              <w:rPr>
                <w:rStyle w:val="FormatvorlageInstructionsTabelleText"/>
                <w:rFonts w:ascii="Times New Roman" w:hAnsi="Times New Roman"/>
                <w:sz w:val="24"/>
              </w:rPr>
              <w:t>odpočtu od položiek CET1</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súlade</w:t>
            </w:r>
            <w:r w:rsidR="002176B5">
              <w:rPr>
                <w:rStyle w:val="FormatvorlageInstructionsTabelleText"/>
                <w:rFonts w:ascii="Times New Roman" w:hAnsi="Times New Roman"/>
                <w:sz w:val="24"/>
              </w:rPr>
              <w:t xml:space="preserve"> s </w:t>
            </w:r>
            <w:r w:rsidRPr="002176B5">
              <w:rPr>
                <w:rStyle w:val="FormatvorlageInstructionsTabelleText"/>
                <w:rFonts w:ascii="Times New Roman" w:hAnsi="Times New Roman"/>
                <w:sz w:val="24"/>
              </w:rPr>
              <w:t>článkom 13a delegovaného nariadenia (EÚ) č. 241/2014 zhoršila alebo ak by sa podľa uplatniteľného účtovného štandardu ukončilo ich vykazovanie.</w:t>
            </w:r>
          </w:p>
        </w:tc>
      </w:tr>
      <w:tr w:rsidR="00CC7D2C" w:rsidRPr="002176B5" w14:paraId="35B2FE40" w14:textId="77777777" w:rsidTr="00822842">
        <w:tc>
          <w:tcPr>
            <w:tcW w:w="1129" w:type="dxa"/>
          </w:tcPr>
          <w:p w14:paraId="45EC0B93"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0362</w:t>
            </w:r>
          </w:p>
        </w:tc>
        <w:tc>
          <w:tcPr>
            <w:tcW w:w="7620" w:type="dxa"/>
          </w:tcPr>
          <w:p w14:paraId="0B84E6B0" w14:textId="77777777"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1.1.1.11.2.1</w:t>
            </w:r>
            <w:r w:rsidRPr="002176B5">
              <w:tab/>
            </w:r>
            <w:r w:rsidRPr="002176B5">
              <w:rPr>
                <w:rStyle w:val="InstructionsTabelleberschrift"/>
                <w:rFonts w:ascii="Times New Roman" w:hAnsi="Times New Roman"/>
                <w:sz w:val="24"/>
              </w:rPr>
              <w:t>Odložené daňové záväzky spojené so softvérovými aktívami účtovanými ako nehmotné aktíva</w:t>
            </w:r>
          </w:p>
          <w:p w14:paraId="0492B114"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 xml:space="preserve">Článok 37 písm. a) </w:t>
            </w:r>
            <w:r w:rsidRPr="002176B5">
              <w:t>nariadenia (EÚ) č. 575/2013</w:t>
            </w:r>
          </w:p>
          <w:p w14:paraId="0A9FF627" w14:textId="24AAA38C" w:rsidR="00CC7D2C" w:rsidRPr="002176B5" w:rsidRDefault="00CC7D2C" w:rsidP="00320EFD">
            <w:pPr>
              <w:pStyle w:val="InstructionsText"/>
              <w:rPr>
                <w:rStyle w:val="InstructionsTabelleberschrift"/>
                <w:rFonts w:ascii="Times New Roman" w:hAnsi="Times New Roman"/>
                <w:sz w:val="24"/>
              </w:rPr>
            </w:pPr>
            <w:r w:rsidRPr="002176B5">
              <w:rPr>
                <w:rStyle w:val="FormatvorlageInstructionsTabelleText"/>
                <w:rFonts w:ascii="Times New Roman" w:hAnsi="Times New Roman"/>
                <w:sz w:val="24"/>
              </w:rPr>
              <w:t>Časť odložených daňových záväzkov, ktorá súvisí</w:t>
            </w:r>
            <w:r w:rsidR="002176B5">
              <w:rPr>
                <w:rStyle w:val="FormatvorlageInstructionsTabelleText"/>
                <w:rFonts w:ascii="Times New Roman" w:hAnsi="Times New Roman"/>
                <w:sz w:val="24"/>
              </w:rPr>
              <w:t xml:space="preserve"> s </w:t>
            </w:r>
            <w:r w:rsidRPr="002176B5">
              <w:rPr>
                <w:rStyle w:val="FormatvorlageInstructionsTabelleText"/>
                <w:rFonts w:ascii="Times New Roman" w:hAnsi="Times New Roman"/>
                <w:sz w:val="24"/>
              </w:rPr>
              <w:t>hodnotou softvérových aktív účtovaných ako nehmotné aktíva, ktorá je odpočítaná od položiek CET1</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súlade</w:t>
            </w:r>
            <w:r w:rsidR="002176B5">
              <w:rPr>
                <w:rStyle w:val="FormatvorlageInstructionsTabelleText"/>
                <w:rFonts w:ascii="Times New Roman" w:hAnsi="Times New Roman"/>
                <w:sz w:val="24"/>
              </w:rPr>
              <w:t xml:space="preserve"> s </w:t>
            </w:r>
            <w:r w:rsidRPr="002176B5">
              <w:rPr>
                <w:rStyle w:val="FormatvorlageInstructionsTabelleText"/>
                <w:rFonts w:ascii="Times New Roman" w:hAnsi="Times New Roman"/>
                <w:sz w:val="24"/>
              </w:rPr>
              <w:t xml:space="preserve">článkom 36 ods. 1 písm. b) </w:t>
            </w:r>
            <w:r w:rsidRPr="002176B5">
              <w:t>nariadenia (EÚ) č. 575/2013</w:t>
            </w:r>
            <w:r w:rsidR="002176B5">
              <w:t xml:space="preserve"> a </w:t>
            </w:r>
            <w:r w:rsidRPr="002176B5">
              <w:t>článkom</w:t>
            </w:r>
            <w:r w:rsidRPr="002176B5">
              <w:rPr>
                <w:rStyle w:val="FormatvorlageInstructionsTabelleText"/>
                <w:rFonts w:ascii="Times New Roman" w:hAnsi="Times New Roman"/>
                <w:sz w:val="24"/>
              </w:rPr>
              <w:t xml:space="preserve"> 13a delegovaného nariadenia (EÚ) č. 241/2014 alebo článkom 3 </w:t>
            </w:r>
            <w:r w:rsidRPr="002176B5">
              <w:t>nariadenia (EÚ) č. 575/2013</w:t>
            </w:r>
            <w:r w:rsidRPr="002176B5">
              <w:rPr>
                <w:rStyle w:val="FormatvorlageInstructionsTabelleText"/>
                <w:rFonts w:ascii="Times New Roman" w:hAnsi="Times New Roman"/>
                <w:sz w:val="24"/>
              </w:rPr>
              <w:t>.</w:t>
            </w:r>
          </w:p>
        </w:tc>
      </w:tr>
      <w:tr w:rsidR="00CC7D2C" w:rsidRPr="002176B5" w14:paraId="70934E08" w14:textId="77777777" w:rsidTr="00822842">
        <w:tc>
          <w:tcPr>
            <w:tcW w:w="1129" w:type="dxa"/>
          </w:tcPr>
          <w:p w14:paraId="2ED0AD0D"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0365</w:t>
            </w:r>
          </w:p>
        </w:tc>
        <w:tc>
          <w:tcPr>
            <w:tcW w:w="7620" w:type="dxa"/>
          </w:tcPr>
          <w:p w14:paraId="168B905C" w14:textId="6FEB3087"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1.1.1.11.3.</w:t>
            </w:r>
            <w:r w:rsidRPr="002176B5">
              <w:tab/>
            </w:r>
            <w:r w:rsidRPr="002176B5">
              <w:rPr>
                <w:rStyle w:val="InstructionsTabelleberschrift"/>
                <w:rFonts w:ascii="Times New Roman" w:hAnsi="Times New Roman"/>
                <w:sz w:val="24"/>
              </w:rPr>
              <w:t xml:space="preserve">Účtovné precenenie ostatných nehmotných aktív dcérskych spoločností, ktoré sú </w:t>
            </w:r>
            <w:proofErr w:type="spellStart"/>
            <w:r w:rsidRPr="002176B5">
              <w:rPr>
                <w:rStyle w:val="InstructionsTabelleberschrift"/>
                <w:rFonts w:ascii="Times New Roman" w:hAnsi="Times New Roman"/>
                <w:sz w:val="24"/>
              </w:rPr>
              <w:t>prisúditeľné</w:t>
            </w:r>
            <w:proofErr w:type="spellEnd"/>
            <w:r w:rsidRPr="002176B5">
              <w:rPr>
                <w:rStyle w:val="InstructionsTabelleberschrift"/>
                <w:rFonts w:ascii="Times New Roman" w:hAnsi="Times New Roman"/>
                <w:sz w:val="24"/>
              </w:rPr>
              <w:t xml:space="preserve"> tretím osobám, odvodené</w:t>
            </w:r>
            <w:r w:rsidR="002176B5">
              <w:rPr>
                <w:rStyle w:val="InstructionsTabelleberschrift"/>
                <w:rFonts w:ascii="Times New Roman" w:hAnsi="Times New Roman"/>
                <w:sz w:val="24"/>
              </w:rPr>
              <w:t xml:space="preserve"> z </w:t>
            </w:r>
            <w:r w:rsidRPr="002176B5">
              <w:rPr>
                <w:rStyle w:val="InstructionsTabelleberschrift"/>
                <w:rFonts w:ascii="Times New Roman" w:hAnsi="Times New Roman"/>
                <w:sz w:val="24"/>
              </w:rPr>
              <w:t>konsolidácie dcérskych spoločností</w:t>
            </w:r>
          </w:p>
          <w:p w14:paraId="032DDB96"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 xml:space="preserve">Článok 37 písm. c) </w:t>
            </w:r>
            <w:r w:rsidRPr="002176B5">
              <w:t>nariadenia (EÚ) č. 575/2013</w:t>
            </w:r>
          </w:p>
          <w:p w14:paraId="114DCBE2" w14:textId="3576B37B" w:rsidR="00CC7D2C" w:rsidRPr="002176B5" w:rsidRDefault="00CC7D2C" w:rsidP="00320EFD">
            <w:pPr>
              <w:pStyle w:val="InstructionsText"/>
              <w:rPr>
                <w:rStyle w:val="InstructionsTabelleberschrift"/>
                <w:rFonts w:ascii="Times New Roman" w:hAnsi="Times New Roman"/>
                <w:sz w:val="24"/>
              </w:rPr>
            </w:pPr>
            <w:r w:rsidRPr="002176B5">
              <w:rPr>
                <w:rStyle w:val="FormatvorlageInstructionsTabelleText"/>
                <w:rFonts w:ascii="Times New Roman" w:hAnsi="Times New Roman"/>
                <w:sz w:val="24"/>
              </w:rPr>
              <w:t xml:space="preserve">Hodnota účtovného precenenia iných nehmotných aktív dcérskych spoločností, než je </w:t>
            </w:r>
            <w:proofErr w:type="spellStart"/>
            <w:r w:rsidRPr="002176B5">
              <w:rPr>
                <w:rStyle w:val="FormatvorlageInstructionsTabelleText"/>
                <w:rFonts w:ascii="Times New Roman" w:hAnsi="Times New Roman"/>
                <w:sz w:val="24"/>
              </w:rPr>
              <w:t>goodwill</w:t>
            </w:r>
            <w:proofErr w:type="spellEnd"/>
            <w:r w:rsidRPr="002176B5">
              <w:rPr>
                <w:rStyle w:val="FormatvorlageInstructionsTabelleText"/>
                <w:rFonts w:ascii="Times New Roman" w:hAnsi="Times New Roman"/>
                <w:sz w:val="24"/>
              </w:rPr>
              <w:t xml:space="preserve">, </w:t>
            </w:r>
            <w:proofErr w:type="spellStart"/>
            <w:r w:rsidRPr="002176B5">
              <w:rPr>
                <w:rStyle w:val="FormatvorlageInstructionsTabelleText"/>
                <w:rFonts w:ascii="Times New Roman" w:hAnsi="Times New Roman"/>
                <w:sz w:val="24"/>
              </w:rPr>
              <w:t>prisúditeľných</w:t>
            </w:r>
            <w:proofErr w:type="spellEnd"/>
            <w:r w:rsidRPr="002176B5">
              <w:rPr>
                <w:rStyle w:val="FormatvorlageInstructionsTabelleText"/>
                <w:rFonts w:ascii="Times New Roman" w:hAnsi="Times New Roman"/>
                <w:sz w:val="24"/>
              </w:rPr>
              <w:t xml:space="preserve"> iným osobám, než sú podniky zahrnuté do konsolidácie podľa prvej časti hlavy II kapitoly 2, odvodená</w:t>
            </w:r>
            <w:r w:rsidR="002176B5">
              <w:rPr>
                <w:rStyle w:val="FormatvorlageInstructionsTabelleText"/>
                <w:rFonts w:ascii="Times New Roman" w:hAnsi="Times New Roman"/>
                <w:sz w:val="24"/>
              </w:rPr>
              <w:t xml:space="preserve"> z </w:t>
            </w:r>
            <w:r w:rsidRPr="002176B5">
              <w:rPr>
                <w:rStyle w:val="FormatvorlageInstructionsTabelleText"/>
                <w:rFonts w:ascii="Times New Roman" w:hAnsi="Times New Roman"/>
                <w:sz w:val="24"/>
              </w:rPr>
              <w:t>konsolidácie dcérskych spoločností.</w:t>
            </w:r>
          </w:p>
        </w:tc>
      </w:tr>
      <w:tr w:rsidR="00CC7D2C" w:rsidRPr="002176B5" w14:paraId="0BF2A120" w14:textId="77777777" w:rsidTr="00822842">
        <w:tc>
          <w:tcPr>
            <w:tcW w:w="1129" w:type="dxa"/>
          </w:tcPr>
          <w:p w14:paraId="5E256AD6"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0370</w:t>
            </w:r>
          </w:p>
        </w:tc>
        <w:tc>
          <w:tcPr>
            <w:tcW w:w="7620" w:type="dxa"/>
          </w:tcPr>
          <w:p w14:paraId="5C807D2A" w14:textId="5A12E80A" w:rsidR="00CC7D2C" w:rsidRPr="002176B5" w:rsidRDefault="00CC7D2C" w:rsidP="00320EFD">
            <w:pPr>
              <w:pStyle w:val="InstructionsText"/>
              <w:rPr>
                <w:rStyle w:val="FormatvorlageInstructionsTabelleText"/>
                <w:rFonts w:ascii="Times New Roman" w:hAnsi="Times New Roman"/>
                <w:b/>
                <w:sz w:val="24"/>
                <w:u w:val="single"/>
              </w:rPr>
            </w:pPr>
            <w:r w:rsidRPr="002176B5">
              <w:rPr>
                <w:rStyle w:val="InstructionsTabelleberschrift"/>
                <w:rFonts w:ascii="Times New Roman" w:hAnsi="Times New Roman"/>
                <w:sz w:val="24"/>
              </w:rPr>
              <w:t>1.1.1.12.</w:t>
            </w:r>
            <w:r w:rsidRPr="002176B5">
              <w:tab/>
            </w:r>
            <w:r w:rsidRPr="002176B5">
              <w:rPr>
                <w:rStyle w:val="InstructionsTabelleberschrift"/>
                <w:rFonts w:ascii="Times New Roman" w:hAnsi="Times New Roman"/>
                <w:sz w:val="24"/>
              </w:rPr>
              <w:t>(–) Odložené daňové pohľadávky, ktoré závisia od budúcej ziskovosti</w:t>
            </w:r>
            <w:r w:rsidR="002176B5">
              <w:rPr>
                <w:rStyle w:val="InstructionsTabelleberschrift"/>
                <w:rFonts w:ascii="Times New Roman" w:hAnsi="Times New Roman"/>
                <w:sz w:val="24"/>
              </w:rPr>
              <w:t xml:space="preserve"> a </w:t>
            </w:r>
            <w:r w:rsidRPr="002176B5">
              <w:rPr>
                <w:rStyle w:val="InstructionsTabelleberschrift"/>
                <w:rFonts w:ascii="Times New Roman" w:hAnsi="Times New Roman"/>
                <w:sz w:val="24"/>
              </w:rPr>
              <w:t>nevyplývajú</w:t>
            </w:r>
            <w:r w:rsidR="002176B5">
              <w:rPr>
                <w:rStyle w:val="InstructionsTabelleberschrift"/>
                <w:rFonts w:ascii="Times New Roman" w:hAnsi="Times New Roman"/>
                <w:sz w:val="24"/>
              </w:rPr>
              <w:t xml:space="preserve"> z </w:t>
            </w:r>
            <w:r w:rsidRPr="002176B5">
              <w:rPr>
                <w:rStyle w:val="InstructionsTabelleberschrift"/>
                <w:rFonts w:ascii="Times New Roman" w:hAnsi="Times New Roman"/>
                <w:sz w:val="24"/>
              </w:rPr>
              <w:t>dočasných rozdielov, po odpočítaní prislúchajúcich daňových záväzkov</w:t>
            </w:r>
          </w:p>
          <w:p w14:paraId="484EA3E7" w14:textId="57AB451E"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Článok 36 ods. 1 písm. c)</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 xml:space="preserve">článok 38 </w:t>
            </w:r>
            <w:r w:rsidRPr="002176B5">
              <w:t>nariadenia (EÚ) č. 575/2013</w:t>
            </w:r>
          </w:p>
        </w:tc>
      </w:tr>
      <w:tr w:rsidR="00CC7D2C" w:rsidRPr="002176B5" w14:paraId="24CD0FAD" w14:textId="77777777" w:rsidTr="00822842">
        <w:tc>
          <w:tcPr>
            <w:tcW w:w="1129" w:type="dxa"/>
          </w:tcPr>
          <w:p w14:paraId="761BF1AF"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0380</w:t>
            </w:r>
          </w:p>
        </w:tc>
        <w:tc>
          <w:tcPr>
            <w:tcW w:w="7620" w:type="dxa"/>
          </w:tcPr>
          <w:p w14:paraId="2913B518" w14:textId="7A88904A" w:rsidR="00CC7D2C" w:rsidRPr="002176B5" w:rsidRDefault="00CC7D2C" w:rsidP="00320EFD">
            <w:pPr>
              <w:pStyle w:val="InstructionsText"/>
              <w:rPr>
                <w:rStyle w:val="FormatvorlageInstructionsTabelleText"/>
                <w:rFonts w:ascii="Times New Roman" w:hAnsi="Times New Roman"/>
                <w:b/>
                <w:sz w:val="24"/>
                <w:u w:val="single"/>
              </w:rPr>
            </w:pPr>
            <w:r w:rsidRPr="002176B5">
              <w:rPr>
                <w:rStyle w:val="InstructionsTabelleberschrift"/>
                <w:rFonts w:ascii="Times New Roman" w:hAnsi="Times New Roman"/>
                <w:sz w:val="24"/>
              </w:rPr>
              <w:t>1.1.1.13.</w:t>
            </w:r>
            <w:r w:rsidRPr="002176B5">
              <w:tab/>
            </w:r>
            <w:r w:rsidRPr="002176B5">
              <w:rPr>
                <w:rStyle w:val="InstructionsTabelleberschrift"/>
                <w:rFonts w:ascii="Times New Roman" w:hAnsi="Times New Roman"/>
                <w:sz w:val="24"/>
              </w:rPr>
              <w:t>(–) Schodok úprav kreditného rizika</w:t>
            </w:r>
            <w:r w:rsidR="002176B5">
              <w:rPr>
                <w:rStyle w:val="InstructionsTabelleberschrift"/>
                <w:rFonts w:ascii="Times New Roman" w:hAnsi="Times New Roman"/>
                <w:sz w:val="24"/>
              </w:rPr>
              <w:t xml:space="preserve"> o </w:t>
            </w:r>
            <w:r w:rsidRPr="002176B5">
              <w:rPr>
                <w:rStyle w:val="InstructionsTabelleberschrift"/>
                <w:rFonts w:ascii="Times New Roman" w:hAnsi="Times New Roman"/>
                <w:sz w:val="24"/>
              </w:rPr>
              <w:t>očakávané straty</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rámci prístupu IRB</w:t>
            </w:r>
          </w:p>
          <w:p w14:paraId="7417308F" w14:textId="4865CD02"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Článok 36 ods. 1 písm. d), články 40, 158</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 xml:space="preserve">159 </w:t>
            </w:r>
            <w:r w:rsidRPr="002176B5">
              <w:t>nariadenia (EÚ) č. 575/2013</w:t>
            </w:r>
          </w:p>
          <w:p w14:paraId="38AECBCB" w14:textId="29F475D5"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Hodnota, ktorá sa má vykázať, sa neznižuje</w:t>
            </w:r>
            <w:r w:rsidR="002176B5">
              <w:rPr>
                <w:rStyle w:val="FormatvorlageInstructionsTabelleText"/>
                <w:rFonts w:ascii="Times New Roman" w:hAnsi="Times New Roman"/>
                <w:sz w:val="24"/>
              </w:rPr>
              <w:t xml:space="preserve"> o </w:t>
            </w:r>
            <w:r w:rsidRPr="002176B5">
              <w:rPr>
                <w:rStyle w:val="FormatvorlageInstructionsTabelleText"/>
                <w:rFonts w:ascii="Times New Roman" w:hAnsi="Times New Roman"/>
                <w:sz w:val="24"/>
              </w:rPr>
              <w:t>zvýšenie výšky odložených daňových pohľadávok, ktoré závisia od budúcej ziskovosti, ani</w:t>
            </w:r>
            <w:r w:rsidR="002176B5">
              <w:rPr>
                <w:rStyle w:val="FormatvorlageInstructionsTabelleText"/>
                <w:rFonts w:ascii="Times New Roman" w:hAnsi="Times New Roman"/>
                <w:sz w:val="24"/>
              </w:rPr>
              <w:t xml:space="preserve"> o </w:t>
            </w:r>
            <w:r w:rsidRPr="002176B5">
              <w:rPr>
                <w:rStyle w:val="FormatvorlageInstructionsTabelleText"/>
                <w:rFonts w:ascii="Times New Roman" w:hAnsi="Times New Roman"/>
                <w:sz w:val="24"/>
              </w:rPr>
              <w:t>iný dodatočný daňový efekt, ktorý by mohol nastať, pokiaľ by sa rezervy zvýšili na úroveň očakávaných strát [článok 40</w:t>
            </w:r>
            <w:r w:rsidRPr="002176B5">
              <w:t xml:space="preserve"> nariadenia (EÚ) č. 575/2013</w:t>
            </w:r>
            <w:r w:rsidRPr="002176B5">
              <w:rPr>
                <w:rStyle w:val="FormatvorlageInstructionsTabelleText"/>
                <w:rFonts w:ascii="Times New Roman" w:hAnsi="Times New Roman"/>
                <w:sz w:val="24"/>
              </w:rPr>
              <w:t>].</w:t>
            </w:r>
          </w:p>
        </w:tc>
      </w:tr>
      <w:tr w:rsidR="00CC7D2C" w:rsidRPr="002176B5" w14:paraId="6B49E9C5" w14:textId="77777777" w:rsidTr="00822842">
        <w:tc>
          <w:tcPr>
            <w:tcW w:w="1129" w:type="dxa"/>
          </w:tcPr>
          <w:p w14:paraId="69DF2D06"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0390</w:t>
            </w:r>
          </w:p>
        </w:tc>
        <w:tc>
          <w:tcPr>
            <w:tcW w:w="7620" w:type="dxa"/>
          </w:tcPr>
          <w:p w14:paraId="31CF1C77" w14:textId="77777777" w:rsidR="00CC7D2C" w:rsidRPr="002176B5" w:rsidRDefault="00CC7D2C" w:rsidP="00320EFD">
            <w:pPr>
              <w:pStyle w:val="InstructionsText"/>
              <w:rPr>
                <w:rStyle w:val="FormatvorlageInstructionsTabelleText"/>
                <w:rFonts w:ascii="Times New Roman" w:hAnsi="Times New Roman"/>
                <w:b/>
                <w:sz w:val="24"/>
                <w:u w:val="single"/>
              </w:rPr>
            </w:pPr>
            <w:r w:rsidRPr="002176B5">
              <w:rPr>
                <w:rStyle w:val="InstructionsTabelleberschrift"/>
                <w:rFonts w:ascii="Times New Roman" w:hAnsi="Times New Roman"/>
                <w:sz w:val="24"/>
              </w:rPr>
              <w:t>1.1.1.14.</w:t>
            </w:r>
            <w:r w:rsidRPr="002176B5">
              <w:tab/>
            </w:r>
            <w:r w:rsidRPr="002176B5">
              <w:rPr>
                <w:rStyle w:val="InstructionsTabelleberschrift"/>
                <w:rFonts w:ascii="Times New Roman" w:hAnsi="Times New Roman"/>
                <w:sz w:val="24"/>
              </w:rPr>
              <w:t>(–) Majetok dôchodkového fondu so stanovenými požitkami</w:t>
            </w:r>
          </w:p>
          <w:p w14:paraId="7183E089" w14:textId="587D90B2"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Článok 4 ods. 1 bod 109, článok 36 ods. 1 písm. e)</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 xml:space="preserve">článok 41 </w:t>
            </w:r>
            <w:r w:rsidRPr="002176B5">
              <w:t>nariadenia (EÚ) č. 575/2013</w:t>
            </w:r>
          </w:p>
        </w:tc>
      </w:tr>
      <w:tr w:rsidR="00CC7D2C" w:rsidRPr="002176B5" w14:paraId="7BDB1D8B" w14:textId="77777777" w:rsidTr="00822842">
        <w:tc>
          <w:tcPr>
            <w:tcW w:w="1129" w:type="dxa"/>
          </w:tcPr>
          <w:p w14:paraId="0D9A0A1A"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lastRenderedPageBreak/>
              <w:t>0400</w:t>
            </w:r>
          </w:p>
        </w:tc>
        <w:tc>
          <w:tcPr>
            <w:tcW w:w="7620" w:type="dxa"/>
          </w:tcPr>
          <w:p w14:paraId="0E63E7BF" w14:textId="77777777" w:rsid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1.1.1.14.1.</w:t>
            </w:r>
            <w:r w:rsidRPr="002176B5">
              <w:tab/>
            </w:r>
            <w:r w:rsidRPr="002176B5">
              <w:rPr>
                <w:rStyle w:val="InstructionsTabelleberschrift"/>
                <w:rFonts w:ascii="Times New Roman" w:hAnsi="Times New Roman"/>
                <w:sz w:val="24"/>
              </w:rPr>
              <w:t>(–) Majetok dôchodkového fondu so stanovenými požitkami</w:t>
            </w:r>
          </w:p>
          <w:p w14:paraId="47851A17" w14:textId="617631DD"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Článok 4 ods. 1 bod 109</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 xml:space="preserve">článok 36 ods. 1 písm. e) </w:t>
            </w:r>
            <w:r w:rsidRPr="002176B5">
              <w:t>nariadenia (EÚ) č. 575/2013</w:t>
            </w:r>
          </w:p>
          <w:p w14:paraId="5846CAEE" w14:textId="7ECBFCD6"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Majetok dôchodkového fondu so stanovenými požitkami sa vymedzuje ako „aktíva dôchodkového fondu alebo programu</w:t>
            </w:r>
            <w:r w:rsidR="002176B5">
              <w:rPr>
                <w:rStyle w:val="FormatvorlageInstructionsTabelleText"/>
                <w:rFonts w:ascii="Times New Roman" w:hAnsi="Times New Roman"/>
                <w:sz w:val="24"/>
              </w:rPr>
              <w:t xml:space="preserve"> s </w:t>
            </w:r>
            <w:r w:rsidRPr="002176B5">
              <w:rPr>
                <w:rStyle w:val="FormatvorlageInstructionsTabelleText"/>
                <w:rFonts w:ascii="Times New Roman" w:hAnsi="Times New Roman"/>
                <w:sz w:val="24"/>
              </w:rPr>
              <w:t>definovanými dávkami, ktoré sa vypočítajú po ich znížení</w:t>
            </w:r>
            <w:r w:rsidR="002176B5">
              <w:rPr>
                <w:rStyle w:val="FormatvorlageInstructionsTabelleText"/>
                <w:rFonts w:ascii="Times New Roman" w:hAnsi="Times New Roman"/>
                <w:sz w:val="24"/>
              </w:rPr>
              <w:t xml:space="preserve"> o </w:t>
            </w:r>
            <w:r w:rsidRPr="002176B5">
              <w:rPr>
                <w:rStyle w:val="FormatvorlageInstructionsTabelleText"/>
                <w:rFonts w:ascii="Times New Roman" w:hAnsi="Times New Roman"/>
                <w:sz w:val="24"/>
              </w:rPr>
              <w:t>výšku záväzkov</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rámci toho istého fondu alebo programu“.</w:t>
            </w:r>
          </w:p>
          <w:p w14:paraId="2EE3FFDA" w14:textId="0ED822CA"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Hodnota vykazovaná</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tomto riadku zodpovedá hodnote vykázanej</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súvahe (ak sa vykazuje osobitne).</w:t>
            </w:r>
          </w:p>
        </w:tc>
      </w:tr>
      <w:tr w:rsidR="00CC7D2C" w:rsidRPr="002176B5" w14:paraId="6670AAD7" w14:textId="77777777" w:rsidTr="00822842">
        <w:tc>
          <w:tcPr>
            <w:tcW w:w="1129" w:type="dxa"/>
          </w:tcPr>
          <w:p w14:paraId="2009450D"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0410</w:t>
            </w:r>
          </w:p>
        </w:tc>
        <w:tc>
          <w:tcPr>
            <w:tcW w:w="7620" w:type="dxa"/>
          </w:tcPr>
          <w:p w14:paraId="1EAAB866" w14:textId="2DD74593" w:rsidR="00CC7D2C" w:rsidRPr="002176B5" w:rsidRDefault="00CC7D2C" w:rsidP="00320EFD">
            <w:pPr>
              <w:pStyle w:val="InstructionsText"/>
              <w:rPr>
                <w:rStyle w:val="FormatvorlageInstructionsTabelleText"/>
                <w:rFonts w:ascii="Times New Roman" w:hAnsi="Times New Roman"/>
                <w:b/>
                <w:sz w:val="24"/>
                <w:u w:val="single"/>
              </w:rPr>
            </w:pPr>
            <w:r w:rsidRPr="002176B5">
              <w:rPr>
                <w:rStyle w:val="InstructionsTabelleberschrift"/>
                <w:rFonts w:ascii="Times New Roman" w:hAnsi="Times New Roman"/>
                <w:sz w:val="24"/>
              </w:rPr>
              <w:t>1.1.1.14.2.</w:t>
            </w:r>
            <w:r w:rsidRPr="002176B5">
              <w:tab/>
            </w:r>
            <w:r w:rsidRPr="002176B5">
              <w:rPr>
                <w:rStyle w:val="InstructionsTabelleberschrift"/>
                <w:rFonts w:ascii="Times New Roman" w:hAnsi="Times New Roman"/>
                <w:sz w:val="24"/>
              </w:rPr>
              <w:t>Odložené daňové záväzky spojené</w:t>
            </w:r>
            <w:r w:rsidR="002176B5">
              <w:rPr>
                <w:rStyle w:val="InstructionsTabelleberschrift"/>
                <w:rFonts w:ascii="Times New Roman" w:hAnsi="Times New Roman"/>
                <w:sz w:val="24"/>
              </w:rPr>
              <w:t xml:space="preserve"> s </w:t>
            </w:r>
            <w:r w:rsidRPr="002176B5">
              <w:rPr>
                <w:rStyle w:val="InstructionsTabelleberschrift"/>
                <w:rFonts w:ascii="Times New Roman" w:hAnsi="Times New Roman"/>
                <w:sz w:val="24"/>
              </w:rPr>
              <w:t>majetkom dôchodkového fondu so stanovenými požitkami</w:t>
            </w:r>
          </w:p>
          <w:p w14:paraId="1670EF22" w14:textId="51EEF9F2"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Článok 4 ods. 1 body 108</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109</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 xml:space="preserve">článok 41 ods. 1 písm. a) </w:t>
            </w:r>
            <w:r w:rsidRPr="002176B5">
              <w:t>nariadenia (EÚ) č. 575/2013</w:t>
            </w:r>
          </w:p>
          <w:p w14:paraId="0592A92C"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Hodnota odložených daňových záväzkov, ktoré by zanikli, ak by sa kvalita majetku dôchodkového fondu so stanovenými požitkami zhoršila alebo ak by sa podľa uplatniteľného účtovného štandardu ukončilo jeho vykazovanie.</w:t>
            </w:r>
          </w:p>
        </w:tc>
      </w:tr>
      <w:tr w:rsidR="00CC7D2C" w:rsidRPr="002176B5" w14:paraId="626DD82F" w14:textId="77777777" w:rsidTr="00822842">
        <w:tc>
          <w:tcPr>
            <w:tcW w:w="1129" w:type="dxa"/>
          </w:tcPr>
          <w:p w14:paraId="0B56DA3E"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0420</w:t>
            </w:r>
          </w:p>
        </w:tc>
        <w:tc>
          <w:tcPr>
            <w:tcW w:w="7620" w:type="dxa"/>
          </w:tcPr>
          <w:p w14:paraId="1DFF31BA" w14:textId="77777777" w:rsidR="00CC7D2C" w:rsidRPr="002176B5" w:rsidRDefault="00CC7D2C" w:rsidP="00320EFD">
            <w:pPr>
              <w:pStyle w:val="InstructionsText"/>
              <w:rPr>
                <w:rStyle w:val="FormatvorlageInstructionsTabelleText"/>
                <w:rFonts w:ascii="Times New Roman" w:hAnsi="Times New Roman"/>
                <w:b/>
                <w:sz w:val="24"/>
                <w:u w:val="single"/>
              </w:rPr>
            </w:pPr>
            <w:r w:rsidRPr="002176B5">
              <w:rPr>
                <w:rStyle w:val="InstructionsTabelleberschrift"/>
                <w:rFonts w:ascii="Times New Roman" w:hAnsi="Times New Roman"/>
                <w:sz w:val="24"/>
              </w:rPr>
              <w:t>1.1.1.14.3.</w:t>
            </w:r>
            <w:r w:rsidRPr="002176B5">
              <w:tab/>
            </w:r>
            <w:r w:rsidRPr="002176B5">
              <w:rPr>
                <w:rStyle w:val="InstructionsTabelleberschrift"/>
                <w:rFonts w:ascii="Times New Roman" w:hAnsi="Times New Roman"/>
                <w:sz w:val="24"/>
              </w:rPr>
              <w:t>Majetok dôchodkového fondu so stanovenými požitkami, ktorý môže inštitúcia neobmedzene využívať</w:t>
            </w:r>
          </w:p>
          <w:p w14:paraId="62235EB2" w14:textId="518BF35A"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Článok 4 ods. 1 bod 109</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 xml:space="preserve">článok 41 ods. 1 písm. b) </w:t>
            </w:r>
            <w:r w:rsidRPr="002176B5">
              <w:t>nariadenia (EÚ) č. 575/2013</w:t>
            </w:r>
          </w:p>
          <w:p w14:paraId="01F4C05D"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Táto položka sa vypĺňa, len keď príslušný orgán vopred udelil súhlas na zníženie výšky majetku dôchodkového fondu so stanovenými požitkami, ktorý sa má odpočítať.</w:t>
            </w:r>
          </w:p>
          <w:p w14:paraId="25846044" w14:textId="71B70FF8"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Aktívam</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tomto riadku sa priradí riziková váha pre požiadavky na kreditné riziko.</w:t>
            </w:r>
          </w:p>
        </w:tc>
      </w:tr>
      <w:tr w:rsidR="00CC7D2C" w:rsidRPr="002176B5" w14:paraId="19AA0A30" w14:textId="77777777" w:rsidTr="00822842">
        <w:tc>
          <w:tcPr>
            <w:tcW w:w="1129" w:type="dxa"/>
          </w:tcPr>
          <w:p w14:paraId="2B0B7EDB"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0430</w:t>
            </w:r>
          </w:p>
        </w:tc>
        <w:tc>
          <w:tcPr>
            <w:tcW w:w="7620" w:type="dxa"/>
          </w:tcPr>
          <w:p w14:paraId="730E7418" w14:textId="77777777" w:rsidR="00CC7D2C" w:rsidRPr="002176B5" w:rsidRDefault="00CC7D2C" w:rsidP="00320EFD">
            <w:pPr>
              <w:pStyle w:val="InstructionsText"/>
              <w:rPr>
                <w:rStyle w:val="FormatvorlageInstructionsTabelleText"/>
                <w:rFonts w:ascii="Times New Roman" w:hAnsi="Times New Roman"/>
                <w:b/>
                <w:sz w:val="24"/>
                <w:u w:val="single"/>
              </w:rPr>
            </w:pPr>
            <w:r w:rsidRPr="002176B5">
              <w:rPr>
                <w:rStyle w:val="InstructionsTabelleberschrift"/>
                <w:rFonts w:ascii="Times New Roman" w:hAnsi="Times New Roman"/>
                <w:sz w:val="24"/>
              </w:rPr>
              <w:t>1.1.1.15.</w:t>
            </w:r>
            <w:r w:rsidRPr="002176B5">
              <w:tab/>
            </w:r>
            <w:r w:rsidRPr="002176B5">
              <w:rPr>
                <w:rStyle w:val="InstructionsTabelleberschrift"/>
                <w:rFonts w:ascii="Times New Roman" w:hAnsi="Times New Roman"/>
                <w:sz w:val="24"/>
              </w:rPr>
              <w:t>(–) Recipročné krížové podiely na kapitáli CET1</w:t>
            </w:r>
          </w:p>
          <w:p w14:paraId="0C88A313" w14:textId="02D66169"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Článok 4 ods. 1 bod 122, článok 36 ods. 1 písm. g)</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 xml:space="preserve">článok 44 </w:t>
            </w:r>
            <w:r w:rsidRPr="002176B5">
              <w:t>nariadenia (EÚ) č. 575/2013</w:t>
            </w:r>
          </w:p>
          <w:p w14:paraId="70E4C82C" w14:textId="0E3E7FA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Podiely na nástrojoch CET1 subjektov finančného sektora [podľa vymedzenia</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článku 4 ods. 1 bode 27</w:t>
            </w:r>
            <w:r w:rsidRPr="002176B5">
              <w:t xml:space="preserve"> nariadenia (EÚ) č. 575/2013</w:t>
            </w:r>
            <w:r w:rsidRPr="002176B5">
              <w:rPr>
                <w:rStyle w:val="FormatvorlageInstructionsTabelleText"/>
                <w:rFonts w:ascii="Times New Roman" w:hAnsi="Times New Roman"/>
                <w:sz w:val="24"/>
              </w:rPr>
              <w:t>], keď existuje recipročný krížový podiel,</w:t>
            </w:r>
            <w:r w:rsidR="002176B5">
              <w:rPr>
                <w:rStyle w:val="FormatvorlageInstructionsTabelleText"/>
                <w:rFonts w:ascii="Times New Roman" w:hAnsi="Times New Roman"/>
                <w:sz w:val="24"/>
              </w:rPr>
              <w:t xml:space="preserve"> o </w:t>
            </w:r>
            <w:r w:rsidRPr="002176B5">
              <w:rPr>
                <w:rStyle w:val="FormatvorlageInstructionsTabelleText"/>
                <w:rFonts w:ascii="Times New Roman" w:hAnsi="Times New Roman"/>
                <w:sz w:val="24"/>
              </w:rPr>
              <w:t>ktorom sa príslušný orgán domnieva, že má umelo zvyšovať vlastné zdroje inštitúcie.</w:t>
            </w:r>
          </w:p>
          <w:p w14:paraId="13E029A3" w14:textId="0C9FE46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Vykazovaná hodnota sa vypočíta na základe brutto dlhých pozícií</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 xml:space="preserve">zahŕňa poistné položky vlastných zdrojov </w:t>
            </w:r>
            <w:proofErr w:type="spellStart"/>
            <w:r w:rsidRPr="002176B5">
              <w:rPr>
                <w:rStyle w:val="FormatvorlageInstructionsTabelleText"/>
                <w:rFonts w:ascii="Times New Roman" w:hAnsi="Times New Roman"/>
                <w:sz w:val="24"/>
              </w:rPr>
              <w:t>Tier</w:t>
            </w:r>
            <w:proofErr w:type="spellEnd"/>
            <w:r w:rsidRPr="002176B5">
              <w:rPr>
                <w:rStyle w:val="FormatvorlageInstructionsTabelleText"/>
                <w:rFonts w:ascii="Times New Roman" w:hAnsi="Times New Roman"/>
                <w:sz w:val="24"/>
              </w:rPr>
              <w:t xml:space="preserve"> 1.</w:t>
            </w:r>
          </w:p>
        </w:tc>
      </w:tr>
      <w:tr w:rsidR="00CC7D2C" w:rsidRPr="002176B5" w14:paraId="4336E454" w14:textId="77777777" w:rsidTr="00822842">
        <w:tc>
          <w:tcPr>
            <w:tcW w:w="1129" w:type="dxa"/>
          </w:tcPr>
          <w:p w14:paraId="2B55A137"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0440</w:t>
            </w:r>
          </w:p>
        </w:tc>
        <w:tc>
          <w:tcPr>
            <w:tcW w:w="7620" w:type="dxa"/>
          </w:tcPr>
          <w:p w14:paraId="00A60C7D" w14:textId="77777777" w:rsid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1.1.1.16.</w:t>
            </w:r>
            <w:r w:rsidRPr="002176B5">
              <w:tab/>
            </w:r>
            <w:r w:rsidRPr="002176B5">
              <w:rPr>
                <w:rStyle w:val="InstructionsTabelleberschrift"/>
                <w:rFonts w:ascii="Times New Roman" w:hAnsi="Times New Roman"/>
                <w:sz w:val="24"/>
              </w:rPr>
              <w:t>(–) Nadbytok odpočtov od položiek AT1 presahujúci kapitál AT1</w:t>
            </w:r>
          </w:p>
          <w:p w14:paraId="6DB76C38" w14:textId="29BE328D"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 xml:space="preserve">Článok 36 ods. 1 písm. j) </w:t>
            </w:r>
            <w:r w:rsidRPr="002176B5">
              <w:t>nariadenia (EÚ) č. 575/2013</w:t>
            </w:r>
          </w:p>
          <w:p w14:paraId="30BFA558" w14:textId="1AEC889D"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Hodnota, ktorá sa má vykázať, sa preberie priamo zo vzoru CA1</w:t>
            </w:r>
            <w:r w:rsidR="002176B5">
              <w:rPr>
                <w:rStyle w:val="FormatvorlageInstructionsTabelleText"/>
                <w:rFonts w:ascii="Times New Roman" w:hAnsi="Times New Roman"/>
                <w:sz w:val="24"/>
              </w:rPr>
              <w:t xml:space="preserve"> z </w:t>
            </w:r>
            <w:r w:rsidRPr="002176B5">
              <w:rPr>
                <w:rStyle w:val="FormatvorlageInstructionsTabelleText"/>
                <w:rFonts w:ascii="Times New Roman" w:hAnsi="Times New Roman"/>
                <w:sz w:val="24"/>
              </w:rPr>
              <w:t>položky „nadbytok odpočtov od položiek AT1 presahujúci kapitál AT1“. Hodnota sa musí odpočítať od CET1.</w:t>
            </w:r>
          </w:p>
        </w:tc>
      </w:tr>
      <w:tr w:rsidR="00CC7D2C" w:rsidRPr="002176B5" w14:paraId="6D33881F" w14:textId="77777777" w:rsidTr="00822842">
        <w:tc>
          <w:tcPr>
            <w:tcW w:w="1129" w:type="dxa"/>
          </w:tcPr>
          <w:p w14:paraId="2BE24FAC"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lastRenderedPageBreak/>
              <w:t>0450</w:t>
            </w:r>
          </w:p>
        </w:tc>
        <w:tc>
          <w:tcPr>
            <w:tcW w:w="7620" w:type="dxa"/>
          </w:tcPr>
          <w:p w14:paraId="24173534" w14:textId="166F9DB6" w:rsidR="00CC7D2C" w:rsidRPr="002176B5" w:rsidRDefault="00CC7D2C" w:rsidP="00320EFD">
            <w:pPr>
              <w:pStyle w:val="InstructionsText"/>
              <w:rPr>
                <w:rStyle w:val="FormatvorlageInstructionsTabelleText"/>
                <w:rFonts w:ascii="Times New Roman" w:hAnsi="Times New Roman"/>
                <w:b/>
                <w:sz w:val="24"/>
                <w:u w:val="single"/>
              </w:rPr>
            </w:pPr>
            <w:r w:rsidRPr="002176B5">
              <w:rPr>
                <w:rStyle w:val="InstructionsTabelleberschrift"/>
                <w:rFonts w:ascii="Times New Roman" w:hAnsi="Times New Roman"/>
                <w:sz w:val="24"/>
              </w:rPr>
              <w:t>1.1.1.17.</w:t>
            </w:r>
            <w:r w:rsidRPr="002176B5">
              <w:tab/>
            </w:r>
            <w:r w:rsidRPr="002176B5">
              <w:rPr>
                <w:rStyle w:val="InstructionsTabelleberschrift"/>
                <w:rFonts w:ascii="Times New Roman" w:hAnsi="Times New Roman"/>
                <w:sz w:val="24"/>
              </w:rPr>
              <w:t>(–) Kvalifikované účasti mimo finančného sektora, na ktoré sa alternatívne môže uplatniť riziková váha 1 250</w:t>
            </w:r>
            <w:r w:rsidR="002176B5">
              <w:rPr>
                <w:rStyle w:val="InstructionsTabelleberschrift"/>
                <w:rFonts w:ascii="Times New Roman" w:hAnsi="Times New Roman"/>
                <w:sz w:val="24"/>
              </w:rPr>
              <w:t> %</w:t>
            </w:r>
          </w:p>
          <w:p w14:paraId="2960DCD1" w14:textId="307FD5D1"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Článok 4 ods. 1 bod 36, článok 36 ods. 1 písm. k) bodu i)</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 xml:space="preserve">články 89 až 91 </w:t>
            </w:r>
            <w:r w:rsidRPr="002176B5">
              <w:t>nariadenia (EÚ) č. 575/2013</w:t>
            </w:r>
          </w:p>
          <w:p w14:paraId="0403F800" w14:textId="10D69FA0"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Kvalifikované účasti sa vymedzujú ako „priamy alebo nepriamy podiel</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podniku, ktorý predstavuje aspoň 10</w:t>
            </w:r>
            <w:r w:rsidR="002176B5">
              <w:t> %</w:t>
            </w:r>
            <w:r w:rsidRPr="002176B5">
              <w:rPr>
                <w:rStyle w:val="FormatvorlageInstructionsTabelleText"/>
                <w:rFonts w:ascii="Times New Roman" w:hAnsi="Times New Roman"/>
                <w:sz w:val="24"/>
              </w:rPr>
              <w:t xml:space="preserve"> základného imania alebo hlasovacích práv, alebo ktorý umožňuje vykonávať významný vplyv na riadenie tohto podniku“.</w:t>
            </w:r>
          </w:p>
          <w:p w14:paraId="274DC2B6" w14:textId="35F0B6C8"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Podľa článku 36 ods. 1 písm. k) bodu i)</w:t>
            </w:r>
            <w:r w:rsidRPr="002176B5">
              <w:t xml:space="preserve"> nariadenia (EÚ) č. 575/2013 </w:t>
            </w:r>
            <w:r w:rsidRPr="002176B5">
              <w:rPr>
                <w:rStyle w:val="FormatvorlageInstructionsTabelleText"/>
                <w:rFonts w:ascii="Times New Roman" w:hAnsi="Times New Roman"/>
                <w:sz w:val="24"/>
              </w:rPr>
              <w:t xml:space="preserve">sa kvalifikované účasti môžu alternatívne odpočítať od CET1 (s použitím tejto položky) alebo sa na </w:t>
            </w:r>
            <w:proofErr w:type="spellStart"/>
            <w:r w:rsidRPr="002176B5">
              <w:rPr>
                <w:rStyle w:val="FormatvorlageInstructionsTabelleText"/>
                <w:rFonts w:ascii="Times New Roman" w:hAnsi="Times New Roman"/>
                <w:sz w:val="24"/>
              </w:rPr>
              <w:t>ne</w:t>
            </w:r>
            <w:proofErr w:type="spellEnd"/>
            <w:r w:rsidRPr="002176B5">
              <w:rPr>
                <w:rStyle w:val="FormatvorlageInstructionsTabelleText"/>
                <w:rFonts w:ascii="Times New Roman" w:hAnsi="Times New Roman"/>
                <w:sz w:val="24"/>
              </w:rPr>
              <w:t xml:space="preserve"> môže uplatniť riziková váha 1 250</w:t>
            </w:r>
            <w:r w:rsidR="002176B5">
              <w:t> %</w:t>
            </w:r>
            <w:r w:rsidRPr="002176B5">
              <w:rPr>
                <w:rStyle w:val="FormatvorlageInstructionsTabelleText"/>
                <w:rFonts w:ascii="Times New Roman" w:hAnsi="Times New Roman"/>
                <w:sz w:val="24"/>
              </w:rPr>
              <w:t>.</w:t>
            </w:r>
          </w:p>
        </w:tc>
      </w:tr>
      <w:tr w:rsidR="00CC7D2C" w:rsidRPr="002176B5" w14:paraId="53EB9EFA" w14:textId="77777777" w:rsidTr="00822842">
        <w:tc>
          <w:tcPr>
            <w:tcW w:w="1129" w:type="dxa"/>
          </w:tcPr>
          <w:p w14:paraId="6CF9FC74"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0460</w:t>
            </w:r>
          </w:p>
        </w:tc>
        <w:tc>
          <w:tcPr>
            <w:tcW w:w="7620" w:type="dxa"/>
          </w:tcPr>
          <w:p w14:paraId="4D56DD42" w14:textId="2EF4ECC9" w:rsidR="00CC7D2C" w:rsidRPr="002176B5" w:rsidRDefault="00CC7D2C" w:rsidP="00320EFD">
            <w:pPr>
              <w:pStyle w:val="InstructionsText"/>
              <w:rPr>
                <w:rStyle w:val="FormatvorlageInstructionsTabelleText"/>
                <w:rFonts w:ascii="Times New Roman" w:hAnsi="Times New Roman"/>
                <w:b/>
                <w:sz w:val="24"/>
                <w:u w:val="single"/>
              </w:rPr>
            </w:pPr>
            <w:r w:rsidRPr="002176B5">
              <w:rPr>
                <w:rStyle w:val="InstructionsTabelleberschrift"/>
                <w:rFonts w:ascii="Times New Roman" w:hAnsi="Times New Roman"/>
                <w:sz w:val="24"/>
              </w:rPr>
              <w:t>1.1.1.18.</w:t>
            </w:r>
            <w:r w:rsidRPr="002176B5">
              <w:tab/>
            </w:r>
            <w:r w:rsidRPr="002176B5">
              <w:rPr>
                <w:rStyle w:val="InstructionsTabelleberschrift"/>
                <w:rFonts w:ascii="Times New Roman" w:hAnsi="Times New Roman"/>
                <w:sz w:val="24"/>
              </w:rPr>
              <w:t xml:space="preserve">(–) </w:t>
            </w:r>
            <w:proofErr w:type="spellStart"/>
            <w:r w:rsidRPr="002176B5">
              <w:rPr>
                <w:rStyle w:val="InstructionsTabelleberschrift"/>
                <w:rFonts w:ascii="Times New Roman" w:hAnsi="Times New Roman"/>
                <w:sz w:val="24"/>
              </w:rPr>
              <w:t>Sekuritizačné</w:t>
            </w:r>
            <w:proofErr w:type="spellEnd"/>
            <w:r w:rsidRPr="002176B5">
              <w:rPr>
                <w:rStyle w:val="InstructionsTabelleberschrift"/>
                <w:rFonts w:ascii="Times New Roman" w:hAnsi="Times New Roman"/>
                <w:sz w:val="24"/>
              </w:rPr>
              <w:t xml:space="preserve"> pozície, na ktoré sa alternatívne môže uplatniť riziková váha</w:t>
            </w:r>
            <w:r w:rsidRPr="002176B5">
              <w:t xml:space="preserve"> </w:t>
            </w:r>
            <w:r w:rsidRPr="002176B5">
              <w:rPr>
                <w:rStyle w:val="InstructionsTabelleberschrift"/>
                <w:rFonts w:ascii="Times New Roman" w:hAnsi="Times New Roman"/>
                <w:sz w:val="24"/>
              </w:rPr>
              <w:t>1 250</w:t>
            </w:r>
            <w:r w:rsidR="002176B5">
              <w:rPr>
                <w:rStyle w:val="InstructionsTabelleberschrift"/>
                <w:rFonts w:ascii="Times New Roman" w:hAnsi="Times New Roman"/>
                <w:sz w:val="24"/>
              </w:rPr>
              <w:t> %</w:t>
            </w:r>
          </w:p>
          <w:p w14:paraId="11A8A352" w14:textId="64B63539" w:rsid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Článok 244 ods. 1 písm. b), článok 245 ods. 1 písm. b)</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 xml:space="preserve">článok 253 ods. 1 </w:t>
            </w:r>
            <w:r w:rsidRPr="002176B5">
              <w:t>nariadenia (EÚ) č. 575/2013</w:t>
            </w:r>
            <w:r w:rsidR="002176B5">
              <w:rPr>
                <w:rStyle w:val="FormatvorlageInstructionsTabelleText"/>
                <w:rFonts w:ascii="Times New Roman" w:hAnsi="Times New Roman"/>
                <w:sz w:val="24"/>
              </w:rPr>
              <w:t>.</w:t>
            </w:r>
          </w:p>
          <w:p w14:paraId="120138C5" w14:textId="1C09D14A"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 xml:space="preserve">V tejto položke sa vykazujú </w:t>
            </w:r>
            <w:proofErr w:type="spellStart"/>
            <w:r w:rsidRPr="002176B5">
              <w:rPr>
                <w:rStyle w:val="FormatvorlageInstructionsTabelleText"/>
                <w:rFonts w:ascii="Times New Roman" w:hAnsi="Times New Roman"/>
                <w:sz w:val="24"/>
              </w:rPr>
              <w:t>sekuritizačné</w:t>
            </w:r>
            <w:proofErr w:type="spellEnd"/>
            <w:r w:rsidRPr="002176B5">
              <w:rPr>
                <w:rStyle w:val="FormatvorlageInstructionsTabelleText"/>
                <w:rFonts w:ascii="Times New Roman" w:hAnsi="Times New Roman"/>
                <w:sz w:val="24"/>
              </w:rPr>
              <w:t xml:space="preserve"> pozície, na ktoré sa vzťahuje riziková váha 1 250</w:t>
            </w:r>
            <w:r w:rsidR="002176B5">
              <w:t> %</w:t>
            </w:r>
            <w:r w:rsidRPr="002176B5">
              <w:rPr>
                <w:rStyle w:val="FormatvorlageInstructionsTabelleText"/>
                <w:rFonts w:ascii="Times New Roman" w:hAnsi="Times New Roman"/>
                <w:sz w:val="24"/>
              </w:rPr>
              <w:t>, ale ktoré sa alternatívne môžu odpočítať od CET1</w:t>
            </w:r>
            <w:r w:rsidRPr="002176B5">
              <w:t xml:space="preserve"> [článok 36 ods. 1 písm. k) bod ii) nariadenia (EÚ) č. 575/2013].</w:t>
            </w:r>
          </w:p>
        </w:tc>
      </w:tr>
      <w:tr w:rsidR="00CC7D2C" w:rsidRPr="002176B5" w14:paraId="07BBECDD" w14:textId="77777777" w:rsidTr="00822842">
        <w:tc>
          <w:tcPr>
            <w:tcW w:w="1129" w:type="dxa"/>
          </w:tcPr>
          <w:p w14:paraId="113ECC9E"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0470</w:t>
            </w:r>
          </w:p>
        </w:tc>
        <w:tc>
          <w:tcPr>
            <w:tcW w:w="7620" w:type="dxa"/>
          </w:tcPr>
          <w:p w14:paraId="313C7D2D" w14:textId="30662BEF" w:rsidR="00CC7D2C" w:rsidRPr="002176B5" w:rsidRDefault="00CC7D2C" w:rsidP="00320EFD">
            <w:pPr>
              <w:pStyle w:val="InstructionsText"/>
              <w:rPr>
                <w:rStyle w:val="FormatvorlageInstructionsTabelleText"/>
                <w:rFonts w:ascii="Times New Roman" w:hAnsi="Times New Roman"/>
                <w:b/>
                <w:sz w:val="24"/>
                <w:u w:val="single"/>
              </w:rPr>
            </w:pPr>
            <w:r w:rsidRPr="002176B5">
              <w:rPr>
                <w:rStyle w:val="InstructionsTabelleberschrift"/>
                <w:rFonts w:ascii="Times New Roman" w:hAnsi="Times New Roman"/>
                <w:sz w:val="24"/>
              </w:rPr>
              <w:t>1.1.1.19.</w:t>
            </w:r>
            <w:r w:rsidRPr="002176B5">
              <w:tab/>
            </w:r>
            <w:r w:rsidRPr="002176B5">
              <w:rPr>
                <w:rStyle w:val="InstructionsTabelleberschrift"/>
                <w:rFonts w:ascii="Times New Roman" w:hAnsi="Times New Roman"/>
                <w:sz w:val="24"/>
              </w:rPr>
              <w:t>(–) Bezodplatné dodania, na ktoré sa alternatívne môže uplatniť riziková váha</w:t>
            </w:r>
            <w:r w:rsidRPr="002176B5">
              <w:t xml:space="preserve"> </w:t>
            </w:r>
            <w:r w:rsidRPr="002176B5">
              <w:rPr>
                <w:rStyle w:val="InstructionsTabelleberschrift"/>
                <w:rFonts w:ascii="Times New Roman" w:hAnsi="Times New Roman"/>
                <w:sz w:val="24"/>
              </w:rPr>
              <w:t>1 250</w:t>
            </w:r>
            <w:r w:rsidR="002176B5">
              <w:rPr>
                <w:rStyle w:val="InstructionsTabelleberschrift"/>
                <w:rFonts w:ascii="Times New Roman" w:hAnsi="Times New Roman"/>
                <w:sz w:val="24"/>
              </w:rPr>
              <w:t> %</w:t>
            </w:r>
          </w:p>
          <w:p w14:paraId="789AEE87" w14:textId="44D55C2A"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Článok 36 ods. 1 písm. k) bod iii)</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článok 379 ods. 3</w:t>
            </w:r>
            <w:r w:rsidRPr="002176B5">
              <w:t>nariadenia (EÚ) č. 575/2013</w:t>
            </w:r>
          </w:p>
          <w:p w14:paraId="6ABDA04F" w14:textId="37D8D280"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Bezodplatné dodania podliehajú rizikovej váhe 1 250</w:t>
            </w:r>
            <w:r w:rsidR="002176B5">
              <w:t> %</w:t>
            </w:r>
            <w:r w:rsidRPr="002176B5">
              <w:rPr>
                <w:rStyle w:val="FormatvorlageInstructionsTabelleText"/>
                <w:rFonts w:ascii="Times New Roman" w:hAnsi="Times New Roman"/>
                <w:sz w:val="24"/>
              </w:rPr>
              <w:t xml:space="preserve"> po 5 dňoch po druhej zmluvnej platbe alebo časti dodania do ukončenia transakcie podľa požiadaviek na vlastné zdroje pre riziko vyrovnania. Alternatívne ich možno odpočítať od CET1 [článok 36 ods. 1 písm. k) bod iii)</w:t>
            </w:r>
            <w:r w:rsidRPr="002176B5">
              <w:t xml:space="preserve"> nariadenia (EÚ) č. 575/2013</w:t>
            </w:r>
            <w:r w:rsidRPr="002176B5">
              <w:rPr>
                <w:rStyle w:val="FormatvorlageInstructionsTabelleText"/>
                <w:rFonts w:ascii="Times New Roman" w:hAnsi="Times New Roman"/>
                <w:sz w:val="24"/>
              </w:rPr>
              <w:t>].</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druhom spomenutom prípade sa vykazujú</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tejto položke.</w:t>
            </w:r>
          </w:p>
        </w:tc>
      </w:tr>
      <w:tr w:rsidR="00CC7D2C" w:rsidRPr="002176B5" w14:paraId="222C2779" w14:textId="77777777" w:rsidTr="00822842">
        <w:tc>
          <w:tcPr>
            <w:tcW w:w="1129" w:type="dxa"/>
          </w:tcPr>
          <w:p w14:paraId="4F7A9EEB"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0471</w:t>
            </w:r>
          </w:p>
        </w:tc>
        <w:tc>
          <w:tcPr>
            <w:tcW w:w="7620" w:type="dxa"/>
          </w:tcPr>
          <w:p w14:paraId="2E2F85E6" w14:textId="4F8478AD"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1.1.1.20.</w:t>
            </w:r>
            <w:r w:rsidRPr="002176B5">
              <w:tab/>
            </w:r>
            <w:r w:rsidRPr="002176B5">
              <w:rPr>
                <w:rStyle w:val="InstructionsTabelleberschrift"/>
                <w:rFonts w:ascii="Times New Roman" w:hAnsi="Times New Roman"/>
                <w:sz w:val="24"/>
              </w:rPr>
              <w:t>(–) Pozície</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koši, pre ktoré inštitúcia nevie stanoviť rizikovú váhu</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rámci prístupu IRB</w:t>
            </w:r>
            <w:r w:rsidR="002176B5">
              <w:rPr>
                <w:rStyle w:val="InstructionsTabelleberschrift"/>
                <w:rFonts w:ascii="Times New Roman" w:hAnsi="Times New Roman"/>
                <w:sz w:val="24"/>
              </w:rPr>
              <w:t xml:space="preserve"> a </w:t>
            </w:r>
            <w:r w:rsidRPr="002176B5">
              <w:rPr>
                <w:rStyle w:val="InstructionsTabelleberschrift"/>
                <w:rFonts w:ascii="Times New Roman" w:hAnsi="Times New Roman"/>
                <w:sz w:val="24"/>
              </w:rPr>
              <w:t>na ktoré sa alternatívne môže uplatniť riziková váha 1 250</w:t>
            </w:r>
            <w:r w:rsidR="002176B5">
              <w:rPr>
                <w:rStyle w:val="InstructionsTabelleberschrift"/>
                <w:rFonts w:ascii="Times New Roman" w:hAnsi="Times New Roman"/>
                <w:sz w:val="24"/>
              </w:rPr>
              <w:t> %</w:t>
            </w:r>
          </w:p>
          <w:p w14:paraId="70308AF0" w14:textId="6A13758C" w:rsidR="00CC7D2C" w:rsidRPr="002176B5" w:rsidRDefault="00CC7D2C" w:rsidP="00320EFD">
            <w:pPr>
              <w:pStyle w:val="InstructionsText"/>
              <w:rPr>
                <w:rStyle w:val="InstructionsTabelleberschrift"/>
                <w:rFonts w:ascii="Times New Roman" w:hAnsi="Times New Roman"/>
                <w:b w:val="0"/>
                <w:sz w:val="24"/>
                <w:u w:val="none"/>
              </w:rPr>
            </w:pPr>
            <w:r w:rsidRPr="002176B5">
              <w:rPr>
                <w:rStyle w:val="InstructionsTabelleberschrift"/>
                <w:rFonts w:ascii="Times New Roman" w:hAnsi="Times New Roman"/>
                <w:b w:val="0"/>
                <w:sz w:val="24"/>
                <w:u w:val="none"/>
              </w:rPr>
              <w:t>Článok 36 ods. 1 písm. k) bod iv)</w:t>
            </w:r>
            <w:r w:rsidR="002176B5">
              <w:rPr>
                <w:rStyle w:val="InstructionsTabelleberschrift"/>
                <w:rFonts w:ascii="Times New Roman" w:hAnsi="Times New Roman"/>
                <w:b w:val="0"/>
                <w:sz w:val="24"/>
                <w:u w:val="none"/>
              </w:rPr>
              <w:t xml:space="preserve"> a </w:t>
            </w:r>
            <w:r w:rsidRPr="002176B5">
              <w:rPr>
                <w:rStyle w:val="InstructionsTabelleberschrift"/>
                <w:rFonts w:ascii="Times New Roman" w:hAnsi="Times New Roman"/>
                <w:b w:val="0"/>
                <w:sz w:val="24"/>
                <w:u w:val="none"/>
              </w:rPr>
              <w:t>článok 153 ods. 8</w:t>
            </w:r>
            <w:r w:rsidRPr="002176B5">
              <w:t>nariadenia (EÚ) č. 575/2013</w:t>
            </w:r>
          </w:p>
          <w:p w14:paraId="114F16D8" w14:textId="7DD0D0E2" w:rsidR="00CC7D2C" w:rsidRPr="002176B5" w:rsidRDefault="00CC7D2C" w:rsidP="00320EFD">
            <w:pPr>
              <w:pStyle w:val="InstructionsText"/>
              <w:rPr>
                <w:rStyle w:val="InstructionsTabelleberschrift"/>
                <w:rFonts w:ascii="Times New Roman" w:hAnsi="Times New Roman"/>
                <w:b w:val="0"/>
                <w:sz w:val="24"/>
                <w:u w:val="none"/>
              </w:rPr>
            </w:pPr>
            <w:r w:rsidRPr="002176B5">
              <w:rPr>
                <w:rStyle w:val="FormatvorlageInstructionsTabelleText"/>
                <w:rFonts w:ascii="Times New Roman" w:hAnsi="Times New Roman"/>
                <w:sz w:val="24"/>
              </w:rPr>
              <w:t>V súlade</w:t>
            </w:r>
            <w:r w:rsidR="002176B5">
              <w:t xml:space="preserve"> s </w:t>
            </w:r>
            <w:r w:rsidRPr="002176B5">
              <w:rPr>
                <w:rStyle w:val="InstructionsTabelleberschrift"/>
                <w:rFonts w:ascii="Times New Roman" w:hAnsi="Times New Roman"/>
                <w:b w:val="0"/>
                <w:sz w:val="24"/>
                <w:u w:val="none"/>
              </w:rPr>
              <w:t>článkom 36 ods. 1 písm. k) bodom iv)</w:t>
            </w:r>
            <w:r w:rsidRPr="002176B5">
              <w:t xml:space="preserve"> nariadenia (EÚ) č. 575/2013</w:t>
            </w:r>
            <w:r w:rsidRPr="002176B5">
              <w:rPr>
                <w:rStyle w:val="FormatvorlageInstructionsTabelleText"/>
                <w:rFonts w:ascii="Times New Roman" w:hAnsi="Times New Roman"/>
                <w:sz w:val="24"/>
              </w:rPr>
              <w:t xml:space="preserve"> možno</w:t>
            </w:r>
            <w:r w:rsidRPr="002176B5">
              <w:t xml:space="preserve"> </w:t>
            </w:r>
            <w:r w:rsidRPr="002176B5">
              <w:rPr>
                <w:rStyle w:val="InstructionsTabelleberschrift"/>
                <w:rFonts w:ascii="Times New Roman" w:hAnsi="Times New Roman"/>
                <w:b w:val="0"/>
                <w:sz w:val="24"/>
                <w:u w:val="none"/>
              </w:rPr>
              <w:t>pozície</w:t>
            </w:r>
            <w:r w:rsidR="002176B5">
              <w:rPr>
                <w:rStyle w:val="InstructionsTabelleberschrift"/>
                <w:rFonts w:ascii="Times New Roman" w:hAnsi="Times New Roman"/>
                <w:b w:val="0"/>
                <w:sz w:val="24"/>
                <w:u w:val="none"/>
              </w:rPr>
              <w:t xml:space="preserve"> v </w:t>
            </w:r>
            <w:r w:rsidRPr="002176B5">
              <w:rPr>
                <w:rStyle w:val="InstructionsTabelleberschrift"/>
                <w:rFonts w:ascii="Times New Roman" w:hAnsi="Times New Roman"/>
                <w:b w:val="0"/>
                <w:sz w:val="24"/>
                <w:u w:val="none"/>
              </w:rPr>
              <w:t>koši, pre ktoré inštitúcia nevie stanoviť rizikovú váhu</w:t>
            </w:r>
            <w:r w:rsidR="002176B5">
              <w:rPr>
                <w:rStyle w:val="InstructionsTabelleberschrift"/>
                <w:rFonts w:ascii="Times New Roman" w:hAnsi="Times New Roman"/>
                <w:b w:val="0"/>
                <w:sz w:val="24"/>
                <w:u w:val="none"/>
              </w:rPr>
              <w:t xml:space="preserve"> v </w:t>
            </w:r>
            <w:r w:rsidRPr="002176B5">
              <w:rPr>
                <w:rStyle w:val="InstructionsTabelleberschrift"/>
                <w:rFonts w:ascii="Times New Roman" w:hAnsi="Times New Roman"/>
                <w:b w:val="0"/>
                <w:sz w:val="24"/>
                <w:u w:val="none"/>
              </w:rPr>
              <w:t>rámci prístupu IRB</w:t>
            </w:r>
            <w:r w:rsidRPr="002176B5">
              <w:t xml:space="preserve">, </w:t>
            </w:r>
            <w:r w:rsidRPr="002176B5">
              <w:rPr>
                <w:rStyle w:val="FormatvorlageInstructionsTabelleText"/>
                <w:rFonts w:ascii="Times New Roman" w:hAnsi="Times New Roman"/>
                <w:sz w:val="24"/>
              </w:rPr>
              <w:t xml:space="preserve">alternatívne odpočítať od CET1 (s použitím tejto položky) alebo sa na </w:t>
            </w:r>
            <w:proofErr w:type="spellStart"/>
            <w:r w:rsidRPr="002176B5">
              <w:rPr>
                <w:rStyle w:val="FormatvorlageInstructionsTabelleText"/>
                <w:rFonts w:ascii="Times New Roman" w:hAnsi="Times New Roman"/>
                <w:sz w:val="24"/>
              </w:rPr>
              <w:t>ne</w:t>
            </w:r>
            <w:proofErr w:type="spellEnd"/>
            <w:r w:rsidRPr="002176B5">
              <w:rPr>
                <w:rStyle w:val="FormatvorlageInstructionsTabelleText"/>
                <w:rFonts w:ascii="Times New Roman" w:hAnsi="Times New Roman"/>
                <w:sz w:val="24"/>
              </w:rPr>
              <w:t xml:space="preserve"> môže uplatniť riziková váha 1 250</w:t>
            </w:r>
            <w:r w:rsidR="002176B5">
              <w:rPr>
                <w:rStyle w:val="FormatvorlageInstructionsTabelleText"/>
                <w:rFonts w:ascii="Times New Roman" w:hAnsi="Times New Roman"/>
                <w:sz w:val="24"/>
              </w:rPr>
              <w:t> %</w:t>
            </w:r>
            <w:r w:rsidRPr="002176B5">
              <w:rPr>
                <w:rStyle w:val="FormatvorlageInstructionsTabelleText"/>
                <w:rFonts w:ascii="Times New Roman" w:hAnsi="Times New Roman"/>
                <w:sz w:val="24"/>
              </w:rPr>
              <w:t>.</w:t>
            </w:r>
          </w:p>
        </w:tc>
      </w:tr>
      <w:tr w:rsidR="00CC7D2C" w:rsidRPr="002176B5" w14:paraId="71C680BD" w14:textId="77777777" w:rsidTr="00822842">
        <w:tc>
          <w:tcPr>
            <w:tcW w:w="1129" w:type="dxa"/>
          </w:tcPr>
          <w:p w14:paraId="12F31FFB"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0472</w:t>
            </w:r>
          </w:p>
        </w:tc>
        <w:tc>
          <w:tcPr>
            <w:tcW w:w="7620" w:type="dxa"/>
          </w:tcPr>
          <w:p w14:paraId="141E9D8E" w14:textId="0F26DFA9"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1.1.1.21.</w:t>
            </w:r>
            <w:r w:rsidRPr="002176B5">
              <w:tab/>
            </w:r>
            <w:r w:rsidRPr="002176B5">
              <w:rPr>
                <w:rStyle w:val="InstructionsTabelleberschrift"/>
                <w:rFonts w:ascii="Times New Roman" w:hAnsi="Times New Roman"/>
                <w:sz w:val="24"/>
              </w:rPr>
              <w:t>(–) Kapitálové expozície</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rámci prístupu interných modelov, na ktoré sa alternatívne môže uplatniť riziková váha</w:t>
            </w:r>
            <w:r w:rsidRPr="002176B5">
              <w:t xml:space="preserve"> </w:t>
            </w:r>
            <w:r w:rsidRPr="002176B5">
              <w:rPr>
                <w:rStyle w:val="InstructionsTabelleberschrift"/>
                <w:rFonts w:ascii="Times New Roman" w:hAnsi="Times New Roman"/>
                <w:sz w:val="24"/>
              </w:rPr>
              <w:t>1 250</w:t>
            </w:r>
            <w:r w:rsidR="002176B5">
              <w:rPr>
                <w:rStyle w:val="InstructionsTabelleberschrift"/>
                <w:rFonts w:ascii="Times New Roman" w:hAnsi="Times New Roman"/>
                <w:sz w:val="24"/>
              </w:rPr>
              <w:t> %</w:t>
            </w:r>
          </w:p>
          <w:p w14:paraId="758EFAFE" w14:textId="731AA5F0" w:rsidR="00CC7D2C" w:rsidRPr="002176B5" w:rsidRDefault="00CC7D2C" w:rsidP="00320EFD">
            <w:pPr>
              <w:pStyle w:val="InstructionsText"/>
              <w:rPr>
                <w:rStyle w:val="InstructionsTabelleberschrift"/>
                <w:rFonts w:ascii="Times New Roman" w:hAnsi="Times New Roman"/>
                <w:b w:val="0"/>
                <w:sz w:val="24"/>
                <w:u w:val="none"/>
              </w:rPr>
            </w:pPr>
            <w:r w:rsidRPr="002176B5">
              <w:rPr>
                <w:rStyle w:val="InstructionsTabelleberschrift"/>
                <w:rFonts w:ascii="Times New Roman" w:hAnsi="Times New Roman"/>
                <w:b w:val="0"/>
                <w:sz w:val="24"/>
                <w:u w:val="none"/>
              </w:rPr>
              <w:t>Článok 36 ods. 1 písm. k) bod v)</w:t>
            </w:r>
            <w:r w:rsidR="002176B5">
              <w:rPr>
                <w:rStyle w:val="InstructionsTabelleberschrift"/>
                <w:rFonts w:ascii="Times New Roman" w:hAnsi="Times New Roman"/>
                <w:b w:val="0"/>
                <w:sz w:val="24"/>
                <w:u w:val="none"/>
              </w:rPr>
              <w:t xml:space="preserve"> a </w:t>
            </w:r>
            <w:r w:rsidRPr="002176B5">
              <w:rPr>
                <w:rStyle w:val="InstructionsTabelleberschrift"/>
                <w:rFonts w:ascii="Times New Roman" w:hAnsi="Times New Roman"/>
                <w:b w:val="0"/>
                <w:sz w:val="24"/>
                <w:u w:val="none"/>
              </w:rPr>
              <w:t>článok 155 ods. 4</w:t>
            </w:r>
            <w:r w:rsidRPr="002176B5">
              <w:t>nariadenia (EÚ) č. 575/2013</w:t>
            </w:r>
          </w:p>
          <w:p w14:paraId="093FDB23" w14:textId="1646DEF8" w:rsidR="00CC7D2C" w:rsidRPr="002176B5" w:rsidRDefault="00CC7D2C" w:rsidP="00320EFD">
            <w:pPr>
              <w:pStyle w:val="InstructionsText"/>
              <w:rPr>
                <w:rStyle w:val="InstructionsTabelleberschrift"/>
                <w:rFonts w:ascii="Times New Roman" w:hAnsi="Times New Roman"/>
                <w:b w:val="0"/>
                <w:sz w:val="24"/>
                <w:u w:val="none"/>
              </w:rPr>
            </w:pPr>
            <w:r w:rsidRPr="002176B5">
              <w:rPr>
                <w:rStyle w:val="FormatvorlageInstructionsTabelleText"/>
                <w:rFonts w:ascii="Times New Roman" w:hAnsi="Times New Roman"/>
                <w:sz w:val="24"/>
              </w:rPr>
              <w:lastRenderedPageBreak/>
              <w:t xml:space="preserve">Podľa článku 36 ods. 1 písm. k) bodu v) </w:t>
            </w:r>
            <w:r w:rsidRPr="002176B5">
              <w:t>nariadenia (EÚ) č. 575/2013</w:t>
            </w:r>
            <w:r w:rsidRPr="002176B5">
              <w:rPr>
                <w:rStyle w:val="FormatvorlageInstructionsTabelleText"/>
                <w:rFonts w:ascii="Times New Roman" w:hAnsi="Times New Roman"/>
                <w:sz w:val="24"/>
              </w:rPr>
              <w:t xml:space="preserve"> </w:t>
            </w:r>
            <w:r w:rsidRPr="002176B5">
              <w:rPr>
                <w:rStyle w:val="InstructionsTabelleberschrift"/>
                <w:rFonts w:ascii="Times New Roman" w:hAnsi="Times New Roman"/>
                <w:b w:val="0"/>
                <w:sz w:val="24"/>
                <w:u w:val="none"/>
              </w:rPr>
              <w:t>sa kapitálové expozície</w:t>
            </w:r>
            <w:r w:rsidR="002176B5">
              <w:rPr>
                <w:rStyle w:val="InstructionsTabelleberschrift"/>
                <w:rFonts w:ascii="Times New Roman" w:hAnsi="Times New Roman"/>
                <w:b w:val="0"/>
                <w:sz w:val="24"/>
                <w:u w:val="none"/>
              </w:rPr>
              <w:t xml:space="preserve"> v </w:t>
            </w:r>
            <w:r w:rsidRPr="002176B5">
              <w:rPr>
                <w:rStyle w:val="InstructionsTabelleberschrift"/>
                <w:rFonts w:ascii="Times New Roman" w:hAnsi="Times New Roman"/>
                <w:b w:val="0"/>
                <w:sz w:val="24"/>
                <w:u w:val="none"/>
              </w:rPr>
              <w:t>rámci prístupu interných modelov</w:t>
            </w:r>
            <w:r w:rsidRPr="002176B5">
              <w:rPr>
                <w:rStyle w:val="FormatvorlageInstructionsTabelleText"/>
                <w:rFonts w:ascii="Times New Roman" w:hAnsi="Times New Roman"/>
                <w:sz w:val="24"/>
              </w:rPr>
              <w:t xml:space="preserve"> môžu alternatívne odpočítať od CET1 (s použitím tejto položky) alebo sa na </w:t>
            </w:r>
            <w:proofErr w:type="spellStart"/>
            <w:r w:rsidRPr="002176B5">
              <w:rPr>
                <w:rStyle w:val="FormatvorlageInstructionsTabelleText"/>
                <w:rFonts w:ascii="Times New Roman" w:hAnsi="Times New Roman"/>
                <w:sz w:val="24"/>
              </w:rPr>
              <w:t>ne</w:t>
            </w:r>
            <w:proofErr w:type="spellEnd"/>
            <w:r w:rsidRPr="002176B5">
              <w:rPr>
                <w:rStyle w:val="FormatvorlageInstructionsTabelleText"/>
                <w:rFonts w:ascii="Times New Roman" w:hAnsi="Times New Roman"/>
                <w:sz w:val="24"/>
              </w:rPr>
              <w:t xml:space="preserve"> môže uplatniť riziková váha 1 250</w:t>
            </w:r>
            <w:r w:rsidR="002176B5">
              <w:t> %</w:t>
            </w:r>
            <w:r w:rsidRPr="002176B5">
              <w:rPr>
                <w:rStyle w:val="FormatvorlageInstructionsTabelleText"/>
                <w:rFonts w:ascii="Times New Roman" w:hAnsi="Times New Roman"/>
                <w:sz w:val="24"/>
              </w:rPr>
              <w:t>.</w:t>
            </w:r>
          </w:p>
        </w:tc>
      </w:tr>
      <w:tr w:rsidR="00CC7D2C" w:rsidRPr="002176B5" w14:paraId="35B2C8E3" w14:textId="77777777" w:rsidTr="00822842">
        <w:tc>
          <w:tcPr>
            <w:tcW w:w="1129" w:type="dxa"/>
          </w:tcPr>
          <w:p w14:paraId="6745C73F"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lastRenderedPageBreak/>
              <w:t>0480</w:t>
            </w:r>
          </w:p>
        </w:tc>
        <w:tc>
          <w:tcPr>
            <w:tcW w:w="7620" w:type="dxa"/>
          </w:tcPr>
          <w:p w14:paraId="7AF9AE00" w14:textId="63C9CDF1" w:rsidR="00CC7D2C" w:rsidRPr="002176B5" w:rsidRDefault="00CC7D2C" w:rsidP="00320EFD">
            <w:pPr>
              <w:pStyle w:val="InstructionsText"/>
              <w:rPr>
                <w:rStyle w:val="FormatvorlageInstructionsTabelleText"/>
                <w:rFonts w:ascii="Times New Roman" w:hAnsi="Times New Roman"/>
                <w:b/>
                <w:sz w:val="24"/>
                <w:u w:val="single"/>
              </w:rPr>
            </w:pPr>
            <w:r w:rsidRPr="002176B5">
              <w:rPr>
                <w:rStyle w:val="InstructionsTabelleberschrift"/>
                <w:rFonts w:ascii="Times New Roman" w:hAnsi="Times New Roman"/>
                <w:sz w:val="24"/>
              </w:rPr>
              <w:t>1.1.1.22.</w:t>
            </w:r>
            <w:r w:rsidRPr="002176B5">
              <w:tab/>
            </w:r>
            <w:r w:rsidRPr="002176B5">
              <w:rPr>
                <w:rStyle w:val="InstructionsTabelleberschrift"/>
                <w:rFonts w:ascii="Times New Roman" w:hAnsi="Times New Roman"/>
                <w:sz w:val="24"/>
              </w:rPr>
              <w:t>(–) Nástroje CET1 subjektov finančného sektora,</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ktorých inštitúcia nemá významnú investíciu</w:t>
            </w:r>
          </w:p>
          <w:p w14:paraId="57952857" w14:textId="15FD6C61"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Článok 4 ods. 1 bod 27, článok 36 ods. 1 písm. h), články 43 až 46, článok 49 ods. 2</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3</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 xml:space="preserve">článok 79 </w:t>
            </w:r>
            <w:r w:rsidRPr="002176B5">
              <w:t>nariadenia (EÚ) č. 575/2013</w:t>
            </w:r>
          </w:p>
          <w:p w14:paraId="103972A4" w14:textId="0BDE6109"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Časť podielov inštitúcie na nástrojoch subjektov finančného sektora [podľa vymedzenia</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 xml:space="preserve">článku 4 ods. 1 bode 27 </w:t>
            </w:r>
            <w:r w:rsidRPr="002176B5">
              <w:t>nariadenia (EÚ) č. 575/2013</w:t>
            </w:r>
            <w:r w:rsidRPr="002176B5">
              <w:rPr>
                <w:rStyle w:val="FormatvorlageInstructionsTabelleText"/>
                <w:rFonts w:ascii="Times New Roman" w:hAnsi="Times New Roman"/>
                <w:sz w:val="24"/>
              </w:rPr>
              <w:t>], keď inštitúcia nemá významnú investíciu, ktorá sa musí odpočítať od CET1.</w:t>
            </w:r>
          </w:p>
          <w:p w14:paraId="06EFB9AD" w14:textId="714023EA"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Pozri alternatívy</w:t>
            </w:r>
            <w:r w:rsidR="002176B5">
              <w:rPr>
                <w:rStyle w:val="FormatvorlageInstructionsTabelleText"/>
                <w:rFonts w:ascii="Times New Roman" w:hAnsi="Times New Roman"/>
                <w:sz w:val="24"/>
              </w:rPr>
              <w:t xml:space="preserve"> k </w:t>
            </w:r>
            <w:r w:rsidRPr="002176B5">
              <w:rPr>
                <w:rStyle w:val="FormatvorlageInstructionsTabelleText"/>
                <w:rFonts w:ascii="Times New Roman" w:hAnsi="Times New Roman"/>
                <w:sz w:val="24"/>
              </w:rPr>
              <w:t>odpočítaniu, keď sa uplatňuje konsolidácia (článok 49 ods. 2</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3).</w:t>
            </w:r>
          </w:p>
        </w:tc>
      </w:tr>
      <w:tr w:rsidR="00CC7D2C" w:rsidRPr="002176B5" w14:paraId="07AF0461" w14:textId="77777777" w:rsidTr="00822842">
        <w:tc>
          <w:tcPr>
            <w:tcW w:w="1129" w:type="dxa"/>
          </w:tcPr>
          <w:p w14:paraId="26D1784B"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0490</w:t>
            </w:r>
          </w:p>
        </w:tc>
        <w:tc>
          <w:tcPr>
            <w:tcW w:w="7620" w:type="dxa"/>
          </w:tcPr>
          <w:p w14:paraId="4D00A831" w14:textId="7F5ABBE9" w:rsidR="00CC7D2C" w:rsidRPr="002176B5" w:rsidRDefault="00CC7D2C" w:rsidP="00320EFD">
            <w:pPr>
              <w:pStyle w:val="InstructionsText"/>
              <w:rPr>
                <w:rStyle w:val="FormatvorlageInstructionsTabelleText"/>
                <w:rFonts w:ascii="Times New Roman" w:hAnsi="Times New Roman"/>
                <w:b/>
                <w:sz w:val="24"/>
                <w:u w:val="single"/>
              </w:rPr>
            </w:pPr>
            <w:r w:rsidRPr="002176B5">
              <w:rPr>
                <w:rStyle w:val="InstructionsTabelleberschrift"/>
                <w:rFonts w:ascii="Times New Roman" w:hAnsi="Times New Roman"/>
                <w:sz w:val="24"/>
              </w:rPr>
              <w:t>1.1.1.23.</w:t>
            </w:r>
            <w:r w:rsidRPr="002176B5">
              <w:tab/>
            </w:r>
            <w:r w:rsidRPr="002176B5">
              <w:rPr>
                <w:rStyle w:val="InstructionsTabelleberschrift"/>
                <w:rFonts w:ascii="Times New Roman" w:hAnsi="Times New Roman"/>
                <w:sz w:val="24"/>
              </w:rPr>
              <w:t>(–) Odpočítateľné odložené daňové pohľadávky, ktoré závisia od budúcej ziskovosti</w:t>
            </w:r>
            <w:r w:rsidR="002176B5">
              <w:rPr>
                <w:rStyle w:val="InstructionsTabelleberschrift"/>
                <w:rFonts w:ascii="Times New Roman" w:hAnsi="Times New Roman"/>
                <w:sz w:val="24"/>
              </w:rPr>
              <w:t xml:space="preserve"> a </w:t>
            </w:r>
            <w:r w:rsidRPr="002176B5">
              <w:rPr>
                <w:rStyle w:val="InstructionsTabelleberschrift"/>
                <w:rFonts w:ascii="Times New Roman" w:hAnsi="Times New Roman"/>
                <w:sz w:val="24"/>
              </w:rPr>
              <w:t>vyplývajú</w:t>
            </w:r>
            <w:r w:rsidR="002176B5">
              <w:rPr>
                <w:rStyle w:val="InstructionsTabelleberschrift"/>
                <w:rFonts w:ascii="Times New Roman" w:hAnsi="Times New Roman"/>
                <w:sz w:val="24"/>
              </w:rPr>
              <w:t xml:space="preserve"> z </w:t>
            </w:r>
            <w:r w:rsidRPr="002176B5">
              <w:rPr>
                <w:rStyle w:val="InstructionsTabelleberschrift"/>
                <w:rFonts w:ascii="Times New Roman" w:hAnsi="Times New Roman"/>
                <w:sz w:val="24"/>
              </w:rPr>
              <w:t>dočasných rozdielov</w:t>
            </w:r>
          </w:p>
          <w:p w14:paraId="2D413C90" w14:textId="17EAC82A"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Článok 36 ods. 1 písm. c), článok 38</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 xml:space="preserve">článok 48 ods. 1 písm. a) </w:t>
            </w:r>
            <w:r w:rsidRPr="002176B5">
              <w:t>nariadenia (EÚ) č. 575/2013</w:t>
            </w:r>
          </w:p>
          <w:p w14:paraId="3ABD3535" w14:textId="58CE3936"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Časť odložených daňových pohľadávok, ktoré závisia od budúcej ziskovosti</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vyplývajú</w:t>
            </w:r>
            <w:r w:rsidR="002176B5">
              <w:rPr>
                <w:rStyle w:val="FormatvorlageInstructionsTabelleText"/>
                <w:rFonts w:ascii="Times New Roman" w:hAnsi="Times New Roman"/>
                <w:sz w:val="24"/>
              </w:rPr>
              <w:t xml:space="preserve"> z </w:t>
            </w:r>
            <w:r w:rsidRPr="002176B5">
              <w:rPr>
                <w:rStyle w:val="FormatvorlageInstructionsTabelleText"/>
                <w:rFonts w:ascii="Times New Roman" w:hAnsi="Times New Roman"/>
                <w:sz w:val="24"/>
              </w:rPr>
              <w:t>dočasných rozdielov (čistá hodnota časti súvisiacich odložených daňových záväzkov pridelenej na odložené daňové pohľadávky, ktoré vyplývajú</w:t>
            </w:r>
            <w:r w:rsidR="002176B5">
              <w:rPr>
                <w:rStyle w:val="FormatvorlageInstructionsTabelleText"/>
                <w:rFonts w:ascii="Times New Roman" w:hAnsi="Times New Roman"/>
                <w:sz w:val="24"/>
              </w:rPr>
              <w:t xml:space="preserve"> z </w:t>
            </w:r>
            <w:r w:rsidRPr="002176B5">
              <w:rPr>
                <w:rStyle w:val="FormatvorlageInstructionsTabelleText"/>
                <w:rFonts w:ascii="Times New Roman" w:hAnsi="Times New Roman"/>
                <w:sz w:val="24"/>
              </w:rPr>
              <w:t>dočasných rozdielov), ktorá sa má podľa článku 38 ods. 5 písm. b)</w:t>
            </w:r>
            <w:r w:rsidRPr="002176B5">
              <w:t xml:space="preserve"> nariadenia (EÚ) č. 575/2013 </w:t>
            </w:r>
            <w:r w:rsidRPr="002176B5">
              <w:rPr>
                <w:rStyle w:val="FormatvorlageInstructionsTabelleText"/>
                <w:rFonts w:ascii="Times New Roman" w:hAnsi="Times New Roman"/>
                <w:sz w:val="24"/>
              </w:rPr>
              <w:t>odpočítať, pričom sa uplatňuje prahová hodnota</w:t>
            </w:r>
            <w:r w:rsidRPr="002176B5">
              <w:t xml:space="preserve"> </w:t>
            </w:r>
            <w:r w:rsidRPr="002176B5">
              <w:rPr>
                <w:rStyle w:val="FormatvorlageInstructionsTabelleText"/>
                <w:rFonts w:ascii="Times New Roman" w:hAnsi="Times New Roman"/>
                <w:sz w:val="24"/>
              </w:rPr>
              <w:t>10</w:t>
            </w:r>
            <w:r w:rsidR="002176B5">
              <w:rPr>
                <w:rStyle w:val="FormatvorlageInstructionsTabelleText"/>
                <w:rFonts w:ascii="Times New Roman" w:hAnsi="Times New Roman"/>
                <w:sz w:val="24"/>
              </w:rPr>
              <w:t> %</w:t>
            </w:r>
            <w:r w:rsidRPr="002176B5">
              <w:rPr>
                <w:rStyle w:val="FormatvorlageInstructionsTabelleText"/>
                <w:rFonts w:ascii="Times New Roman" w:hAnsi="Times New Roman"/>
                <w:sz w:val="24"/>
              </w:rPr>
              <w:t xml:space="preserve"> uvedená</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článku 48 ods. 1 písm. a)</w:t>
            </w:r>
            <w:r w:rsidRPr="002176B5">
              <w:t xml:space="preserve"> uvedeného nariadenia</w:t>
            </w:r>
            <w:r w:rsidRPr="002176B5">
              <w:rPr>
                <w:rStyle w:val="FormatvorlageInstructionsTabelleText"/>
                <w:rFonts w:ascii="Times New Roman" w:hAnsi="Times New Roman"/>
                <w:sz w:val="24"/>
              </w:rPr>
              <w:t>.</w:t>
            </w:r>
          </w:p>
        </w:tc>
      </w:tr>
      <w:tr w:rsidR="00CC7D2C" w:rsidRPr="002176B5" w14:paraId="08DD7DB0" w14:textId="77777777" w:rsidTr="00822842">
        <w:tc>
          <w:tcPr>
            <w:tcW w:w="1129" w:type="dxa"/>
          </w:tcPr>
          <w:p w14:paraId="6047B3B6"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0500</w:t>
            </w:r>
          </w:p>
        </w:tc>
        <w:tc>
          <w:tcPr>
            <w:tcW w:w="7620" w:type="dxa"/>
          </w:tcPr>
          <w:p w14:paraId="39C628FB" w14:textId="1915FCA1" w:rsidR="00CC7D2C" w:rsidRPr="002176B5" w:rsidRDefault="00CC7D2C" w:rsidP="00320EFD">
            <w:pPr>
              <w:pStyle w:val="InstructionsText"/>
              <w:rPr>
                <w:rStyle w:val="FormatvorlageInstructionsTabelleText"/>
                <w:rFonts w:ascii="Times New Roman" w:hAnsi="Times New Roman"/>
                <w:b/>
                <w:sz w:val="24"/>
                <w:u w:val="single"/>
              </w:rPr>
            </w:pPr>
            <w:r w:rsidRPr="002176B5">
              <w:rPr>
                <w:rStyle w:val="InstructionsTabelleberschrift"/>
                <w:rFonts w:ascii="Times New Roman" w:hAnsi="Times New Roman"/>
                <w:sz w:val="24"/>
              </w:rPr>
              <w:t>1.1.1.24.</w:t>
            </w:r>
            <w:r w:rsidRPr="002176B5">
              <w:tab/>
            </w:r>
            <w:r w:rsidRPr="002176B5">
              <w:rPr>
                <w:rStyle w:val="InstructionsTabelleberschrift"/>
                <w:rFonts w:ascii="Times New Roman" w:hAnsi="Times New Roman"/>
                <w:sz w:val="24"/>
              </w:rPr>
              <w:t>(–) Nástroje CET1 subjektov finančného sektora,</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ktorých inštitúcia má významnú investíciu</w:t>
            </w:r>
          </w:p>
          <w:p w14:paraId="021EF330" w14:textId="157FC098"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 xml:space="preserve"> Článok 4 ods. 1 bod 27, článok 36 ods. 1 písm. i), články 43, 45, 47, článok 48 ods. 2 písm. b), článok 49 ods. 1, 2</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3</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 xml:space="preserve">článok 79 </w:t>
            </w:r>
            <w:r w:rsidRPr="002176B5">
              <w:t>nariadenia (EÚ) č. 575/2013</w:t>
            </w:r>
          </w:p>
          <w:p w14:paraId="78642F48" w14:textId="128D597E"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Časť podielov inštitúcie na nástrojoch CET1 subjektov finančného sektora [podľa vymedzenia</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článku 4 ods. 1 bode 27</w:t>
            </w:r>
            <w:r w:rsidRPr="002176B5">
              <w:t xml:space="preserve"> nariadenia (EÚ) č. 575/2013</w:t>
            </w:r>
            <w:r w:rsidRPr="002176B5">
              <w:rPr>
                <w:rStyle w:val="FormatvorlageInstructionsTabelleText"/>
                <w:rFonts w:ascii="Times New Roman" w:hAnsi="Times New Roman"/>
                <w:sz w:val="24"/>
              </w:rPr>
              <w:t>], keď inštitúcia má významnú investíciu, ktorá sa musí odpočítať, pričom sa uplatní prahová hodnota 10</w:t>
            </w:r>
            <w:r w:rsidR="002176B5">
              <w:t> %</w:t>
            </w:r>
            <w:r w:rsidRPr="002176B5">
              <w:rPr>
                <w:rStyle w:val="FormatvorlageInstructionsTabelleText"/>
                <w:rFonts w:ascii="Times New Roman" w:hAnsi="Times New Roman"/>
                <w:sz w:val="24"/>
              </w:rPr>
              <w:t xml:space="preserve"> uvedená</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článku 48 ods. 1 písm. b)</w:t>
            </w:r>
            <w:r w:rsidRPr="002176B5">
              <w:t xml:space="preserve"> uvedeného nariadenia</w:t>
            </w:r>
            <w:r w:rsidRPr="002176B5">
              <w:rPr>
                <w:rStyle w:val="FormatvorlageInstructionsTabelleText"/>
                <w:rFonts w:ascii="Times New Roman" w:hAnsi="Times New Roman"/>
                <w:sz w:val="24"/>
              </w:rPr>
              <w:t>.</w:t>
            </w:r>
          </w:p>
          <w:p w14:paraId="3676DBDD" w14:textId="2C34BBD9"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Pozri alternatívy</w:t>
            </w:r>
            <w:r w:rsidR="002176B5">
              <w:rPr>
                <w:rStyle w:val="FormatvorlageInstructionsTabelleText"/>
                <w:rFonts w:ascii="Times New Roman" w:hAnsi="Times New Roman"/>
                <w:sz w:val="24"/>
              </w:rPr>
              <w:t xml:space="preserve"> k </w:t>
            </w:r>
            <w:r w:rsidRPr="002176B5">
              <w:rPr>
                <w:rStyle w:val="FormatvorlageInstructionsTabelleText"/>
                <w:rFonts w:ascii="Times New Roman" w:hAnsi="Times New Roman"/>
                <w:sz w:val="24"/>
              </w:rPr>
              <w:t>odpočítaniu, keď sa uplatňuje konsolidácia [článok 49 ods. 1, 2</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3</w:t>
            </w:r>
            <w:r w:rsidRPr="002176B5">
              <w:t xml:space="preserve"> nariadenia (EÚ) č. 575/2013</w:t>
            </w:r>
            <w:r w:rsidRPr="002176B5">
              <w:rPr>
                <w:rStyle w:val="FormatvorlageInstructionsTabelleText"/>
                <w:rFonts w:ascii="Times New Roman" w:hAnsi="Times New Roman"/>
                <w:sz w:val="24"/>
              </w:rPr>
              <w:t>].</w:t>
            </w:r>
          </w:p>
        </w:tc>
      </w:tr>
      <w:tr w:rsidR="00CC7D2C" w:rsidRPr="002176B5" w14:paraId="1718B66D" w14:textId="77777777" w:rsidTr="00822842">
        <w:tc>
          <w:tcPr>
            <w:tcW w:w="1129" w:type="dxa"/>
          </w:tcPr>
          <w:p w14:paraId="342B7898"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0510</w:t>
            </w:r>
          </w:p>
        </w:tc>
        <w:tc>
          <w:tcPr>
            <w:tcW w:w="7620" w:type="dxa"/>
          </w:tcPr>
          <w:p w14:paraId="02BE26C8" w14:textId="7993DCF4" w:rsidR="00CC7D2C" w:rsidRPr="002176B5" w:rsidRDefault="00CC7D2C" w:rsidP="00320EFD">
            <w:pPr>
              <w:pStyle w:val="InstructionsText"/>
              <w:rPr>
                <w:rStyle w:val="FormatvorlageInstructionsTabelleText"/>
                <w:rFonts w:ascii="Times New Roman" w:hAnsi="Times New Roman"/>
                <w:b/>
                <w:sz w:val="24"/>
                <w:u w:val="single"/>
              </w:rPr>
            </w:pPr>
            <w:r w:rsidRPr="002176B5">
              <w:rPr>
                <w:rStyle w:val="InstructionsTabelleberschrift"/>
                <w:rFonts w:ascii="Times New Roman" w:hAnsi="Times New Roman"/>
                <w:sz w:val="24"/>
              </w:rPr>
              <w:t>1.1.1.25.</w:t>
            </w:r>
            <w:r w:rsidRPr="002176B5">
              <w:tab/>
            </w:r>
            <w:r w:rsidRPr="002176B5">
              <w:rPr>
                <w:rStyle w:val="InstructionsTabelleberschrift"/>
                <w:rFonts w:ascii="Times New Roman" w:hAnsi="Times New Roman"/>
                <w:sz w:val="24"/>
              </w:rPr>
              <w:t>(–) Hodnota, ktorá presahuje prahovú hodnotu 17,65</w:t>
            </w:r>
            <w:r w:rsidR="002176B5">
              <w:rPr>
                <w:rStyle w:val="InstructionsTabelleberschrift"/>
                <w:rFonts w:ascii="Times New Roman" w:hAnsi="Times New Roman"/>
                <w:sz w:val="24"/>
              </w:rPr>
              <w:t> %</w:t>
            </w:r>
          </w:p>
          <w:p w14:paraId="53E265AD"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 xml:space="preserve">Článok 48 ods. 2 </w:t>
            </w:r>
            <w:r w:rsidRPr="002176B5">
              <w:t>nariadenia (EÚ) č. 575/2013</w:t>
            </w:r>
          </w:p>
          <w:p w14:paraId="2F637F55" w14:textId="168BA4D4"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Časť odložených daňových pohľadávok, ktoré závisia od budúcej ziskovosti</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vyplývajú</w:t>
            </w:r>
            <w:r w:rsidR="002176B5">
              <w:rPr>
                <w:rStyle w:val="FormatvorlageInstructionsTabelleText"/>
                <w:rFonts w:ascii="Times New Roman" w:hAnsi="Times New Roman"/>
                <w:sz w:val="24"/>
              </w:rPr>
              <w:t xml:space="preserve"> z </w:t>
            </w:r>
            <w:r w:rsidRPr="002176B5">
              <w:rPr>
                <w:rStyle w:val="FormatvorlageInstructionsTabelleText"/>
                <w:rFonts w:ascii="Times New Roman" w:hAnsi="Times New Roman"/>
                <w:sz w:val="24"/>
              </w:rPr>
              <w:t>dočasných rozdielov,</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priame, nepriame</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syntetické podiely inštitúcie na nástrojoch CET1 subjektov finančného sektora [podľa vymedzenia</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článku 4 ods. 1 bode 27</w:t>
            </w:r>
            <w:r w:rsidRPr="002176B5">
              <w:t xml:space="preserve"> nariadenia (EÚ) č. 575/2013</w:t>
            </w:r>
            <w:r w:rsidRPr="002176B5">
              <w:rPr>
                <w:rStyle w:val="FormatvorlageInstructionsTabelleText"/>
                <w:rFonts w:ascii="Times New Roman" w:hAnsi="Times New Roman"/>
                <w:sz w:val="24"/>
              </w:rPr>
              <w:t xml:space="preserve">], keď inštitúcia má významnú investíciu, ktorá sa musí </w:t>
            </w:r>
            <w:r w:rsidRPr="002176B5">
              <w:rPr>
                <w:rStyle w:val="FormatvorlageInstructionsTabelleText"/>
                <w:rFonts w:ascii="Times New Roman" w:hAnsi="Times New Roman"/>
                <w:sz w:val="24"/>
              </w:rPr>
              <w:lastRenderedPageBreak/>
              <w:t>odpočítať, pričom sa uplatňuje prahová hodnota 17,65</w:t>
            </w:r>
            <w:r w:rsidR="002176B5">
              <w:rPr>
                <w:rStyle w:val="FormatvorlageInstructionsTabelleText"/>
                <w:rFonts w:ascii="Times New Roman" w:hAnsi="Times New Roman"/>
                <w:sz w:val="24"/>
              </w:rPr>
              <w:t> %</w:t>
            </w:r>
            <w:r w:rsidRPr="002176B5">
              <w:rPr>
                <w:rStyle w:val="FormatvorlageInstructionsTabelleText"/>
                <w:rFonts w:ascii="Times New Roman" w:hAnsi="Times New Roman"/>
                <w:sz w:val="24"/>
              </w:rPr>
              <w:t xml:space="preserve"> uvedená</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článku 48 ods. 2</w:t>
            </w:r>
            <w:r w:rsidRPr="002176B5">
              <w:t xml:space="preserve"> uvedeného nariadenia</w:t>
            </w:r>
            <w:r w:rsidRPr="002176B5">
              <w:rPr>
                <w:rStyle w:val="FormatvorlageInstructionsTabelleText"/>
                <w:rFonts w:ascii="Times New Roman" w:hAnsi="Times New Roman"/>
                <w:sz w:val="24"/>
              </w:rPr>
              <w:t>.</w:t>
            </w:r>
          </w:p>
        </w:tc>
      </w:tr>
      <w:tr w:rsidR="00CC7D2C" w:rsidRPr="002176B5" w14:paraId="3C4AD346" w14:textId="77777777" w:rsidTr="00822842">
        <w:tc>
          <w:tcPr>
            <w:tcW w:w="1129" w:type="dxa"/>
          </w:tcPr>
          <w:p w14:paraId="2A1B1F35"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lastRenderedPageBreak/>
              <w:t>0511</w:t>
            </w:r>
          </w:p>
        </w:tc>
        <w:tc>
          <w:tcPr>
            <w:tcW w:w="7620" w:type="dxa"/>
          </w:tcPr>
          <w:p w14:paraId="6D890327" w14:textId="3B3C760B"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1.1.1.25.1.</w:t>
            </w:r>
            <w:r w:rsidRPr="002176B5">
              <w:tab/>
            </w:r>
            <w:r w:rsidRPr="002176B5">
              <w:rPr>
                <w:rStyle w:val="InstructionsTabelleberschrift"/>
                <w:rFonts w:ascii="Times New Roman" w:hAnsi="Times New Roman"/>
                <w:sz w:val="24"/>
              </w:rPr>
              <w:t>(–) Hodnota, ktorá presahuje prahovú hodnotu 17,65</w:t>
            </w:r>
            <w:r w:rsidR="002176B5">
              <w:rPr>
                <w:rStyle w:val="InstructionsTabelleberschrift"/>
                <w:rFonts w:ascii="Times New Roman" w:hAnsi="Times New Roman"/>
                <w:sz w:val="24"/>
              </w:rPr>
              <w:t> % v </w:t>
            </w:r>
            <w:r w:rsidRPr="002176B5">
              <w:rPr>
                <w:rStyle w:val="InstructionsTabelleberschrift"/>
                <w:rFonts w:ascii="Times New Roman" w:hAnsi="Times New Roman"/>
                <w:sz w:val="24"/>
              </w:rPr>
              <w:t>súvislosti</w:t>
            </w:r>
            <w:r w:rsidR="002176B5">
              <w:rPr>
                <w:rStyle w:val="InstructionsTabelleberschrift"/>
                <w:rFonts w:ascii="Times New Roman" w:hAnsi="Times New Roman"/>
                <w:sz w:val="24"/>
              </w:rPr>
              <w:t xml:space="preserve"> s </w:t>
            </w:r>
            <w:r w:rsidRPr="002176B5">
              <w:rPr>
                <w:rStyle w:val="InstructionsTabelleberschrift"/>
                <w:rFonts w:ascii="Times New Roman" w:hAnsi="Times New Roman"/>
                <w:sz w:val="24"/>
              </w:rPr>
              <w:t>nástrojmi CET1 subjektov finančného sektora,</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ktorých inštitúcia má významnú investíciu</w:t>
            </w:r>
          </w:p>
        </w:tc>
      </w:tr>
      <w:tr w:rsidR="00CC7D2C" w:rsidRPr="002176B5" w14:paraId="7929A46A" w14:textId="77777777" w:rsidTr="00822842">
        <w:tc>
          <w:tcPr>
            <w:tcW w:w="1129" w:type="dxa"/>
          </w:tcPr>
          <w:p w14:paraId="1D97F1AF"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0512</w:t>
            </w:r>
          </w:p>
        </w:tc>
        <w:tc>
          <w:tcPr>
            <w:tcW w:w="7620" w:type="dxa"/>
          </w:tcPr>
          <w:p w14:paraId="691F8476" w14:textId="42D0EFB8"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1.1.1.25.2.</w:t>
            </w:r>
            <w:r w:rsidRPr="002176B5">
              <w:tab/>
            </w:r>
            <w:r w:rsidRPr="002176B5">
              <w:rPr>
                <w:rStyle w:val="InstructionsTabelleberschrift"/>
                <w:rFonts w:ascii="Times New Roman" w:hAnsi="Times New Roman"/>
                <w:sz w:val="24"/>
              </w:rPr>
              <w:t>(–) Hodnota, ktorá presahuje prahovú hodnotu 17,65</w:t>
            </w:r>
            <w:r w:rsidR="002176B5">
              <w:rPr>
                <w:rStyle w:val="InstructionsTabelleberschrift"/>
                <w:rFonts w:ascii="Times New Roman" w:hAnsi="Times New Roman"/>
                <w:sz w:val="24"/>
              </w:rPr>
              <w:t> % v </w:t>
            </w:r>
            <w:r w:rsidRPr="002176B5">
              <w:rPr>
                <w:rStyle w:val="InstructionsTabelleberschrift"/>
                <w:rFonts w:ascii="Times New Roman" w:hAnsi="Times New Roman"/>
                <w:sz w:val="24"/>
              </w:rPr>
              <w:t>súvislosti</w:t>
            </w:r>
            <w:r w:rsidR="002176B5">
              <w:rPr>
                <w:rStyle w:val="InstructionsTabelleberschrift"/>
                <w:rFonts w:ascii="Times New Roman" w:hAnsi="Times New Roman"/>
                <w:sz w:val="24"/>
              </w:rPr>
              <w:t xml:space="preserve"> s </w:t>
            </w:r>
            <w:r w:rsidRPr="002176B5">
              <w:rPr>
                <w:rStyle w:val="InstructionsTabelleberschrift"/>
                <w:rFonts w:ascii="Times New Roman" w:hAnsi="Times New Roman"/>
                <w:sz w:val="24"/>
              </w:rPr>
              <w:t>odloženými daňovými pohľadávkami vyplývajúcimi</w:t>
            </w:r>
            <w:r w:rsidR="002176B5">
              <w:rPr>
                <w:rStyle w:val="InstructionsTabelleberschrift"/>
                <w:rFonts w:ascii="Times New Roman" w:hAnsi="Times New Roman"/>
                <w:sz w:val="24"/>
              </w:rPr>
              <w:t xml:space="preserve"> z </w:t>
            </w:r>
            <w:r w:rsidRPr="002176B5">
              <w:rPr>
                <w:rStyle w:val="InstructionsTabelleberschrift"/>
                <w:rFonts w:ascii="Times New Roman" w:hAnsi="Times New Roman"/>
                <w:sz w:val="24"/>
              </w:rPr>
              <w:t>dočasných rozdielov</w:t>
            </w:r>
          </w:p>
        </w:tc>
      </w:tr>
      <w:tr w:rsidR="00CC7D2C" w:rsidRPr="002176B5" w14:paraId="5E7DD32F" w14:textId="77777777" w:rsidTr="00822842">
        <w:tc>
          <w:tcPr>
            <w:tcW w:w="1129" w:type="dxa"/>
          </w:tcPr>
          <w:p w14:paraId="4D9578E2"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0513</w:t>
            </w:r>
          </w:p>
        </w:tc>
        <w:tc>
          <w:tcPr>
            <w:tcW w:w="7620" w:type="dxa"/>
          </w:tcPr>
          <w:p w14:paraId="7A4B5209" w14:textId="77777777"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1.1.1.25A (–) Nedostatočné krytie pri problémových expozíciách</w:t>
            </w:r>
          </w:p>
          <w:p w14:paraId="36971E9A" w14:textId="5212DA2F" w:rsidR="00CC7D2C" w:rsidRPr="002176B5" w:rsidRDefault="00CC7D2C" w:rsidP="00320EFD">
            <w:pPr>
              <w:pStyle w:val="InstructionsText"/>
              <w:rPr>
                <w:rStyle w:val="InstructionsTabelleberschrift"/>
                <w:rFonts w:ascii="Times New Roman" w:hAnsi="Times New Roman"/>
                <w:sz w:val="24"/>
              </w:rPr>
            </w:pPr>
            <w:r w:rsidRPr="002176B5">
              <w:rPr>
                <w:rStyle w:val="FormatvorlageInstructionsTabelleText"/>
                <w:rFonts w:ascii="Times New Roman" w:hAnsi="Times New Roman"/>
                <w:sz w:val="24"/>
              </w:rPr>
              <w:t xml:space="preserve"> Článok 36 ods. 1 písm. m)</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 xml:space="preserve">článok 47c </w:t>
            </w:r>
            <w:r w:rsidRPr="002176B5">
              <w:t>nariadenia (EÚ) č. 575/2013</w:t>
            </w:r>
          </w:p>
        </w:tc>
      </w:tr>
      <w:tr w:rsidR="00CC7D2C" w:rsidRPr="002176B5" w14:paraId="65DD59D7" w14:textId="77777777" w:rsidTr="00822842">
        <w:tc>
          <w:tcPr>
            <w:tcW w:w="1129" w:type="dxa"/>
          </w:tcPr>
          <w:p w14:paraId="1C1B98BA"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0514</w:t>
            </w:r>
          </w:p>
        </w:tc>
        <w:tc>
          <w:tcPr>
            <w:tcW w:w="7620" w:type="dxa"/>
          </w:tcPr>
          <w:p w14:paraId="69BEEB90" w14:textId="77777777"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1.1.1.25B (–) Schodky prísľubov minimálnej hodnoty</w:t>
            </w:r>
          </w:p>
          <w:p w14:paraId="5C5FE4E7" w14:textId="68BB8CC3" w:rsidR="00CC7D2C" w:rsidRPr="002176B5" w:rsidRDefault="00CC7D2C" w:rsidP="00320EFD">
            <w:pPr>
              <w:pStyle w:val="InstructionsText"/>
              <w:rPr>
                <w:rStyle w:val="InstructionsTabelleberschrift"/>
                <w:rFonts w:ascii="Times New Roman" w:hAnsi="Times New Roman"/>
                <w:sz w:val="24"/>
              </w:rPr>
            </w:pPr>
            <w:r w:rsidRPr="002176B5">
              <w:rPr>
                <w:rStyle w:val="FormatvorlageInstructionsTabelleText"/>
                <w:rFonts w:ascii="Times New Roman" w:hAnsi="Times New Roman"/>
                <w:sz w:val="24"/>
              </w:rPr>
              <w:t>Článok 36 ods. 1 písm. n)</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článok 132c ods. 2</w:t>
            </w:r>
            <w:r w:rsidRPr="002176B5">
              <w:t>nariadenia (EÚ) č. 575/2013</w:t>
            </w:r>
          </w:p>
        </w:tc>
      </w:tr>
      <w:tr w:rsidR="00CC7D2C" w:rsidRPr="002176B5" w14:paraId="081BFBC8" w14:textId="77777777" w:rsidTr="00822842">
        <w:tc>
          <w:tcPr>
            <w:tcW w:w="1129" w:type="dxa"/>
          </w:tcPr>
          <w:p w14:paraId="77CC8AD5"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0515</w:t>
            </w:r>
          </w:p>
        </w:tc>
        <w:tc>
          <w:tcPr>
            <w:tcW w:w="7620" w:type="dxa"/>
          </w:tcPr>
          <w:p w14:paraId="7CF705A3" w14:textId="77777777"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1.1.1.25C (–) Iné predpokladané daňové poplatky</w:t>
            </w:r>
          </w:p>
          <w:p w14:paraId="2BA02C96" w14:textId="77777777" w:rsidR="00CC7D2C" w:rsidRPr="002176B5" w:rsidRDefault="00CC7D2C" w:rsidP="00320EFD">
            <w:pPr>
              <w:pStyle w:val="InstructionsText"/>
              <w:rPr>
                <w:rStyle w:val="FormatvorlageInstructionsTabelleText"/>
                <w:rFonts w:ascii="Times New Roman" w:hAnsi="Times New Roman"/>
                <w:b/>
                <w:sz w:val="24"/>
              </w:rPr>
            </w:pPr>
            <w:r w:rsidRPr="002176B5">
              <w:rPr>
                <w:rStyle w:val="FormatvorlageInstructionsTabelleText"/>
                <w:rFonts w:ascii="Times New Roman" w:hAnsi="Times New Roman"/>
                <w:sz w:val="24"/>
              </w:rPr>
              <w:t xml:space="preserve">Článok 36 ods. 1 písm. l) </w:t>
            </w:r>
            <w:r w:rsidRPr="002176B5">
              <w:t>nariadenia (EÚ) č. 575/2013</w:t>
            </w:r>
          </w:p>
          <w:p w14:paraId="3ADB3F66" w14:textId="4B2996B3" w:rsidR="00CC7D2C" w:rsidRPr="002176B5" w:rsidRDefault="00CC7D2C" w:rsidP="00320EFD">
            <w:pPr>
              <w:pStyle w:val="InstructionsText"/>
              <w:rPr>
                <w:rStyle w:val="InstructionsTabelleberschrift"/>
                <w:rFonts w:ascii="Times New Roman" w:hAnsi="Times New Roman"/>
                <w:sz w:val="24"/>
              </w:rPr>
            </w:pPr>
            <w:r w:rsidRPr="002176B5">
              <w:rPr>
                <w:rStyle w:val="FormatvorlageInstructionsTabelleText"/>
                <w:rFonts w:ascii="Times New Roman" w:hAnsi="Times New Roman"/>
                <w:sz w:val="24"/>
              </w:rPr>
              <w:t>Daňové poplatky súvisiace</w:t>
            </w:r>
            <w:r w:rsidR="002176B5">
              <w:rPr>
                <w:rStyle w:val="FormatvorlageInstructionsTabelleText"/>
                <w:rFonts w:ascii="Times New Roman" w:hAnsi="Times New Roman"/>
                <w:sz w:val="24"/>
              </w:rPr>
              <w:t xml:space="preserve"> s </w:t>
            </w:r>
            <w:r w:rsidRPr="002176B5">
              <w:rPr>
                <w:rStyle w:val="FormatvorlageInstructionsTabelleText"/>
                <w:rFonts w:ascii="Times New Roman" w:hAnsi="Times New Roman"/>
                <w:sz w:val="24"/>
              </w:rPr>
              <w:t>položkami CET1 predpokladané</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momente ich výpočtu okrem daňových poplatkov, ktoré už boli zohľadnené</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ktoromkoľvek inom riadku obsahujúcom položky CET1 tak, že znížili sumu príslušnej položky CET1.</w:t>
            </w:r>
          </w:p>
        </w:tc>
      </w:tr>
      <w:tr w:rsidR="00CC7D2C" w:rsidRPr="002176B5" w14:paraId="6C5A4DA3" w14:textId="77777777" w:rsidTr="00822842">
        <w:tc>
          <w:tcPr>
            <w:tcW w:w="1129" w:type="dxa"/>
          </w:tcPr>
          <w:p w14:paraId="3496E553"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0520</w:t>
            </w:r>
          </w:p>
        </w:tc>
        <w:tc>
          <w:tcPr>
            <w:tcW w:w="7620" w:type="dxa"/>
          </w:tcPr>
          <w:p w14:paraId="1BE86770" w14:textId="77777777" w:rsidR="00CC7D2C" w:rsidRPr="002176B5" w:rsidRDefault="00CC7D2C" w:rsidP="00320EFD">
            <w:pPr>
              <w:pStyle w:val="InstructionsText"/>
              <w:rPr>
                <w:rStyle w:val="FormatvorlageInstructionsTabelleText"/>
                <w:rFonts w:ascii="Times New Roman" w:hAnsi="Times New Roman"/>
                <w:b/>
                <w:sz w:val="24"/>
                <w:u w:val="single"/>
              </w:rPr>
            </w:pPr>
            <w:r w:rsidRPr="002176B5">
              <w:rPr>
                <w:rStyle w:val="InstructionsTabelleberschrift"/>
                <w:rFonts w:ascii="Times New Roman" w:hAnsi="Times New Roman"/>
                <w:sz w:val="24"/>
              </w:rPr>
              <w:t>1.1.1.26.</w:t>
            </w:r>
            <w:r w:rsidRPr="002176B5">
              <w:tab/>
            </w:r>
            <w:r w:rsidRPr="002176B5">
              <w:rPr>
                <w:rStyle w:val="InstructionsTabelleberschrift"/>
                <w:rFonts w:ascii="Times New Roman" w:hAnsi="Times New Roman"/>
                <w:sz w:val="24"/>
              </w:rPr>
              <w:t>Ostatné prechodné úpravy kapitálu CET1</w:t>
            </w:r>
          </w:p>
          <w:p w14:paraId="3DD4F5B3" w14:textId="6047BD65"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Články 469 až 478</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 xml:space="preserve">článok 481 </w:t>
            </w:r>
            <w:r w:rsidRPr="002176B5">
              <w:t>nariadenia (EÚ) č. 575/2013</w:t>
            </w:r>
          </w:p>
          <w:p w14:paraId="2DE2AED8"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Úpravy odpočtov na základe prechodných ustanovení. Vykazovaná hodnota sa získa priamo zo vzoru CA5.</w:t>
            </w:r>
          </w:p>
        </w:tc>
      </w:tr>
      <w:tr w:rsidR="00CC7D2C" w:rsidRPr="002176B5" w14:paraId="5736C556" w14:textId="77777777" w:rsidTr="00822842">
        <w:tc>
          <w:tcPr>
            <w:tcW w:w="1129" w:type="dxa"/>
          </w:tcPr>
          <w:p w14:paraId="5F6156C1"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0524</w:t>
            </w:r>
          </w:p>
        </w:tc>
        <w:tc>
          <w:tcPr>
            <w:tcW w:w="7620" w:type="dxa"/>
          </w:tcPr>
          <w:p w14:paraId="344A23B9" w14:textId="77777777"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1.1.1.27.</w:t>
            </w:r>
            <w:r w:rsidRPr="002176B5">
              <w:tab/>
            </w:r>
            <w:r w:rsidRPr="002176B5">
              <w:rPr>
                <w:rStyle w:val="InstructionsTabelleberschrift"/>
                <w:rFonts w:ascii="Times New Roman" w:hAnsi="Times New Roman"/>
                <w:sz w:val="24"/>
              </w:rPr>
              <w:t>(–) Dodatočné odpočty kapitálu CET1 na základe článku 3 nariadenia (EÚ) č. 575/2013</w:t>
            </w:r>
          </w:p>
          <w:p w14:paraId="1B49427B" w14:textId="77777777" w:rsidR="00CC7D2C" w:rsidRPr="002176B5" w:rsidRDefault="00CC7D2C" w:rsidP="00320EFD">
            <w:pPr>
              <w:pStyle w:val="InstructionsText"/>
              <w:rPr>
                <w:rStyle w:val="InstructionsTabelleberschrift"/>
                <w:rFonts w:ascii="Times New Roman" w:hAnsi="Times New Roman"/>
                <w:b w:val="0"/>
                <w:sz w:val="24"/>
                <w:u w:val="none"/>
              </w:rPr>
            </w:pPr>
            <w:r w:rsidRPr="002176B5">
              <w:rPr>
                <w:rStyle w:val="InstructionsTabelleberschrift"/>
                <w:rFonts w:ascii="Times New Roman" w:hAnsi="Times New Roman"/>
                <w:b w:val="0"/>
                <w:sz w:val="24"/>
                <w:u w:val="none"/>
              </w:rPr>
              <w:t xml:space="preserve">Článok 3 </w:t>
            </w:r>
            <w:r w:rsidRPr="002176B5">
              <w:t>nariadenia (EÚ) č. 575/2013</w:t>
            </w:r>
          </w:p>
          <w:p w14:paraId="64882D17" w14:textId="33A30972" w:rsidR="00CC7D2C" w:rsidRPr="002176B5" w:rsidRDefault="00CC7D2C" w:rsidP="00320EFD">
            <w:pPr>
              <w:pStyle w:val="InstructionsText"/>
              <w:rPr>
                <w:rStyle w:val="InstructionsTabelleberschrift"/>
                <w:rFonts w:ascii="Times New Roman" w:hAnsi="Times New Roman"/>
                <w:b w:val="0"/>
                <w:sz w:val="24"/>
                <w:u w:val="none"/>
              </w:rPr>
            </w:pPr>
            <w:r w:rsidRPr="002176B5">
              <w:rPr>
                <w:rStyle w:val="InstructionsTabelleberschrift"/>
                <w:rFonts w:ascii="Times New Roman" w:hAnsi="Times New Roman"/>
                <w:b w:val="0"/>
                <w:sz w:val="24"/>
                <w:u w:val="none"/>
              </w:rPr>
              <w:t>Ak sa inštitúcia rozhodne, že</w:t>
            </w:r>
            <w:r w:rsidR="002176B5">
              <w:rPr>
                <w:rStyle w:val="InstructionsTabelleberschrift"/>
                <w:rFonts w:ascii="Times New Roman" w:hAnsi="Times New Roman"/>
                <w:b w:val="0"/>
                <w:sz w:val="24"/>
                <w:u w:val="none"/>
              </w:rPr>
              <w:t xml:space="preserve"> v </w:t>
            </w:r>
            <w:r w:rsidRPr="002176B5">
              <w:rPr>
                <w:rStyle w:val="InstructionsTabelleberschrift"/>
                <w:rFonts w:ascii="Times New Roman" w:hAnsi="Times New Roman"/>
                <w:b w:val="0"/>
                <w:sz w:val="24"/>
                <w:u w:val="none"/>
              </w:rPr>
              <w:t>plnej miere odpočíta svoje softvérové aktíva</w:t>
            </w:r>
            <w:r w:rsidR="002176B5">
              <w:rPr>
                <w:rStyle w:val="InstructionsTabelleberschrift"/>
                <w:rFonts w:ascii="Times New Roman" w:hAnsi="Times New Roman"/>
                <w:b w:val="0"/>
                <w:sz w:val="24"/>
                <w:u w:val="none"/>
              </w:rPr>
              <w:t xml:space="preserve"> v </w:t>
            </w:r>
            <w:r w:rsidRPr="002176B5">
              <w:rPr>
                <w:rStyle w:val="InstructionsTabelleberschrift"/>
                <w:rFonts w:ascii="Times New Roman" w:hAnsi="Times New Roman"/>
                <w:b w:val="0"/>
                <w:sz w:val="24"/>
                <w:u w:val="none"/>
              </w:rPr>
              <w:t>súlade</w:t>
            </w:r>
            <w:r w:rsidR="002176B5">
              <w:rPr>
                <w:rStyle w:val="InstructionsTabelleberschrift"/>
                <w:rFonts w:ascii="Times New Roman" w:hAnsi="Times New Roman"/>
                <w:b w:val="0"/>
                <w:sz w:val="24"/>
                <w:u w:val="none"/>
              </w:rPr>
              <w:t xml:space="preserve"> s </w:t>
            </w:r>
            <w:r w:rsidRPr="002176B5">
              <w:rPr>
                <w:rStyle w:val="InstructionsTabelleberschrift"/>
                <w:rFonts w:ascii="Times New Roman" w:hAnsi="Times New Roman"/>
                <w:b w:val="0"/>
                <w:sz w:val="24"/>
                <w:u w:val="none"/>
              </w:rPr>
              <w:t xml:space="preserve">článkom 3 </w:t>
            </w:r>
            <w:r w:rsidRPr="002176B5">
              <w:t>nariadenia (EÚ) č. 575/2013</w:t>
            </w:r>
            <w:r w:rsidRPr="002176B5">
              <w:rPr>
                <w:rStyle w:val="InstructionsTabelleberschrift"/>
                <w:rFonts w:ascii="Times New Roman" w:hAnsi="Times New Roman"/>
                <w:b w:val="0"/>
                <w:sz w:val="24"/>
                <w:u w:val="none"/>
              </w:rPr>
              <w:t xml:space="preserve"> namiesto uplatňovania zaobchádzania podľa článku 13a delegovaného nariadenia (EÚ) č. 241/2014, dodatočná odpočítaná hodnota sa nevykazuje</w:t>
            </w:r>
            <w:r w:rsidR="002176B5">
              <w:rPr>
                <w:rStyle w:val="InstructionsTabelleberschrift"/>
                <w:rFonts w:ascii="Times New Roman" w:hAnsi="Times New Roman"/>
                <w:b w:val="0"/>
                <w:sz w:val="24"/>
                <w:u w:val="none"/>
              </w:rPr>
              <w:t xml:space="preserve"> v </w:t>
            </w:r>
            <w:r w:rsidRPr="002176B5">
              <w:rPr>
                <w:rStyle w:val="InstructionsTabelleberschrift"/>
                <w:rFonts w:ascii="Times New Roman" w:hAnsi="Times New Roman"/>
                <w:b w:val="0"/>
                <w:sz w:val="24"/>
                <w:u w:val="none"/>
              </w:rPr>
              <w:t>tomto riadku, ale</w:t>
            </w:r>
            <w:r w:rsidR="002176B5">
              <w:rPr>
                <w:rStyle w:val="InstructionsTabelleberschrift"/>
                <w:rFonts w:ascii="Times New Roman" w:hAnsi="Times New Roman"/>
                <w:b w:val="0"/>
                <w:sz w:val="24"/>
                <w:u w:val="none"/>
              </w:rPr>
              <w:t xml:space="preserve"> v </w:t>
            </w:r>
            <w:r w:rsidRPr="002176B5">
              <w:rPr>
                <w:rStyle w:val="InstructionsTabelleberschrift"/>
                <w:rFonts w:ascii="Times New Roman" w:hAnsi="Times New Roman"/>
                <w:b w:val="0"/>
                <w:sz w:val="24"/>
                <w:u w:val="none"/>
              </w:rPr>
              <w:t>riadku 0352.</w:t>
            </w:r>
          </w:p>
        </w:tc>
      </w:tr>
      <w:tr w:rsidR="00CC7D2C" w:rsidRPr="002176B5" w14:paraId="662A8EF0" w14:textId="77777777" w:rsidTr="00822842">
        <w:tc>
          <w:tcPr>
            <w:tcW w:w="1129" w:type="dxa"/>
          </w:tcPr>
          <w:p w14:paraId="6B3D695A"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0529</w:t>
            </w:r>
          </w:p>
        </w:tc>
        <w:tc>
          <w:tcPr>
            <w:tcW w:w="7620" w:type="dxa"/>
          </w:tcPr>
          <w:p w14:paraId="2DFF9E3A" w14:textId="77777777"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1.1.1.28.</w:t>
            </w:r>
            <w:r w:rsidRPr="002176B5">
              <w:tab/>
            </w:r>
            <w:r w:rsidRPr="002176B5">
              <w:rPr>
                <w:rStyle w:val="InstructionsTabelleberschrift"/>
                <w:rFonts w:ascii="Times New Roman" w:hAnsi="Times New Roman"/>
                <w:sz w:val="24"/>
              </w:rPr>
              <w:t>Prvky alebo odpočty kapitálu CET1 – iné</w:t>
            </w:r>
          </w:p>
          <w:p w14:paraId="24A898AB" w14:textId="2A24BCB1" w:rsidR="002176B5" w:rsidRDefault="00CC7D2C" w:rsidP="00320EFD">
            <w:pPr>
              <w:pStyle w:val="InstructionsText"/>
              <w:rPr>
                <w:rStyle w:val="InstructionsTabelleberschrift"/>
                <w:rFonts w:ascii="Times New Roman" w:hAnsi="Times New Roman"/>
                <w:b w:val="0"/>
                <w:sz w:val="24"/>
                <w:u w:val="none"/>
              </w:rPr>
            </w:pPr>
            <w:r w:rsidRPr="002176B5">
              <w:rPr>
                <w:rStyle w:val="InstructionsTabelleberschrift"/>
                <w:rFonts w:ascii="Times New Roman" w:hAnsi="Times New Roman"/>
                <w:b w:val="0"/>
                <w:sz w:val="24"/>
                <w:u w:val="none"/>
              </w:rPr>
              <w:t>Týmto riadkom sa má poskytovať flexibilita výlučne na účely vykazovania. Vypĺňa sa len</w:t>
            </w:r>
            <w:r w:rsidR="002176B5">
              <w:rPr>
                <w:rStyle w:val="InstructionsTabelleberschrift"/>
                <w:rFonts w:ascii="Times New Roman" w:hAnsi="Times New Roman"/>
                <w:b w:val="0"/>
                <w:sz w:val="24"/>
                <w:u w:val="none"/>
              </w:rPr>
              <w:t xml:space="preserve"> v </w:t>
            </w:r>
            <w:r w:rsidRPr="002176B5">
              <w:rPr>
                <w:rStyle w:val="InstructionsTabelleberschrift"/>
                <w:rFonts w:ascii="Times New Roman" w:hAnsi="Times New Roman"/>
                <w:b w:val="0"/>
                <w:sz w:val="24"/>
                <w:u w:val="none"/>
              </w:rPr>
              <w:t>ojedinelých prípadoch, keď nebolo prijaté konečné rozhodnutie</w:t>
            </w:r>
            <w:r w:rsidR="002176B5">
              <w:rPr>
                <w:rStyle w:val="InstructionsTabelleberschrift"/>
                <w:rFonts w:ascii="Times New Roman" w:hAnsi="Times New Roman"/>
                <w:b w:val="0"/>
                <w:sz w:val="24"/>
                <w:u w:val="none"/>
              </w:rPr>
              <w:t xml:space="preserve"> o </w:t>
            </w:r>
            <w:r w:rsidRPr="002176B5">
              <w:rPr>
                <w:rStyle w:val="InstructionsTabelleberschrift"/>
                <w:rFonts w:ascii="Times New Roman" w:hAnsi="Times New Roman"/>
                <w:b w:val="0"/>
                <w:sz w:val="24"/>
                <w:u w:val="none"/>
              </w:rPr>
              <w:t>vykázaní určitých kapitálových položiek/odpočtov</w:t>
            </w:r>
            <w:r w:rsidR="002176B5">
              <w:rPr>
                <w:rStyle w:val="InstructionsTabelleberschrift"/>
                <w:rFonts w:ascii="Times New Roman" w:hAnsi="Times New Roman"/>
                <w:b w:val="0"/>
                <w:sz w:val="24"/>
                <w:u w:val="none"/>
              </w:rPr>
              <w:t xml:space="preserve"> v </w:t>
            </w:r>
            <w:r w:rsidRPr="002176B5">
              <w:rPr>
                <w:rStyle w:val="InstructionsTabelleberschrift"/>
                <w:rFonts w:ascii="Times New Roman" w:hAnsi="Times New Roman"/>
                <w:b w:val="0"/>
                <w:sz w:val="24"/>
                <w:u w:val="none"/>
              </w:rPr>
              <w:t>aktuálnom vzore CA1. Tento riadok sa preto vypĺňa, len keď prvok kapitálu CET1 alebo odpočet od prvku CET1 nie je možné priradiť</w:t>
            </w:r>
            <w:r w:rsidR="002176B5">
              <w:rPr>
                <w:rStyle w:val="InstructionsTabelleberschrift"/>
                <w:rFonts w:ascii="Times New Roman" w:hAnsi="Times New Roman"/>
                <w:b w:val="0"/>
                <w:sz w:val="24"/>
                <w:u w:val="none"/>
              </w:rPr>
              <w:t xml:space="preserve"> k </w:t>
            </w:r>
            <w:r w:rsidRPr="002176B5">
              <w:rPr>
                <w:rStyle w:val="InstructionsTabelleberschrift"/>
                <w:rFonts w:ascii="Times New Roman" w:hAnsi="Times New Roman"/>
                <w:b w:val="0"/>
                <w:sz w:val="24"/>
                <w:u w:val="none"/>
              </w:rPr>
              <w:t>žiadnemu</w:t>
            </w:r>
            <w:r w:rsidR="002176B5">
              <w:rPr>
                <w:rStyle w:val="InstructionsTabelleberschrift"/>
                <w:rFonts w:ascii="Times New Roman" w:hAnsi="Times New Roman"/>
                <w:b w:val="0"/>
                <w:sz w:val="24"/>
                <w:u w:val="none"/>
              </w:rPr>
              <w:t xml:space="preserve"> z </w:t>
            </w:r>
            <w:r w:rsidRPr="002176B5">
              <w:rPr>
                <w:rStyle w:val="InstructionsTabelleberschrift"/>
                <w:rFonts w:ascii="Times New Roman" w:hAnsi="Times New Roman"/>
                <w:b w:val="0"/>
                <w:sz w:val="24"/>
                <w:u w:val="none"/>
              </w:rPr>
              <w:t>riadkov 020 až 524</w:t>
            </w:r>
            <w:r w:rsidR="002176B5">
              <w:rPr>
                <w:rStyle w:val="InstructionsTabelleberschrift"/>
                <w:rFonts w:ascii="Times New Roman" w:hAnsi="Times New Roman"/>
                <w:b w:val="0"/>
                <w:sz w:val="24"/>
                <w:u w:val="none"/>
              </w:rPr>
              <w:t>.</w:t>
            </w:r>
          </w:p>
          <w:p w14:paraId="5B36F38F" w14:textId="0D8E3C36" w:rsidR="00CC7D2C" w:rsidRPr="002176B5" w:rsidRDefault="00CC7D2C" w:rsidP="00320EFD">
            <w:pPr>
              <w:pStyle w:val="InstructionsText"/>
              <w:rPr>
                <w:rStyle w:val="InstructionsTabelleberschrift"/>
                <w:rFonts w:ascii="Times New Roman" w:hAnsi="Times New Roman"/>
                <w:b w:val="0"/>
                <w:sz w:val="24"/>
                <w:u w:val="none"/>
              </w:rPr>
            </w:pPr>
            <w:r w:rsidRPr="002176B5">
              <w:rPr>
                <w:rStyle w:val="InstructionsTabelleberschrift"/>
                <w:rFonts w:ascii="Times New Roman" w:hAnsi="Times New Roman"/>
                <w:b w:val="0"/>
                <w:sz w:val="24"/>
                <w:u w:val="none"/>
              </w:rPr>
              <w:t>Tento riadok sa nepoužíva na začlenenie kapitálových položiek/odpočtov, ktoré nepokrýva</w:t>
            </w:r>
            <w:r w:rsidRPr="002176B5">
              <w:t xml:space="preserve"> nariadenie (EÚ) č. 575/2013</w:t>
            </w:r>
            <w:r w:rsidRPr="002176B5">
              <w:rPr>
                <w:rStyle w:val="InstructionsTabelleberschrift"/>
                <w:rFonts w:ascii="Times New Roman" w:hAnsi="Times New Roman"/>
                <w:b w:val="0"/>
                <w:sz w:val="24"/>
                <w:u w:val="none"/>
              </w:rPr>
              <w:t xml:space="preserve">, do výpočtu pomerov platobnej schopnosti [napr. začlenenie vnútroštátnych kapitálových </w:t>
            </w:r>
            <w:r w:rsidRPr="002176B5">
              <w:rPr>
                <w:rStyle w:val="InstructionsTabelleberschrift"/>
                <w:rFonts w:ascii="Times New Roman" w:hAnsi="Times New Roman"/>
                <w:b w:val="0"/>
                <w:sz w:val="24"/>
                <w:u w:val="none"/>
              </w:rPr>
              <w:lastRenderedPageBreak/>
              <w:t>položiek/odpočtov, ktoré nepatria do rozsahu pôsobnosti</w:t>
            </w:r>
            <w:r w:rsidRPr="002176B5">
              <w:t xml:space="preserve"> nariadenia (EÚ) č. 575/2013</w:t>
            </w:r>
            <w:r w:rsidRPr="002176B5">
              <w:rPr>
                <w:rStyle w:val="InstructionsTabelleberschrift"/>
                <w:rFonts w:ascii="Times New Roman" w:hAnsi="Times New Roman"/>
                <w:b w:val="0"/>
                <w:sz w:val="24"/>
                <w:u w:val="none"/>
              </w:rPr>
              <w:t>)].</w:t>
            </w:r>
          </w:p>
        </w:tc>
      </w:tr>
      <w:tr w:rsidR="00CC7D2C" w:rsidRPr="002176B5" w14:paraId="6407D659" w14:textId="77777777" w:rsidTr="00822842">
        <w:tc>
          <w:tcPr>
            <w:tcW w:w="1129" w:type="dxa"/>
          </w:tcPr>
          <w:p w14:paraId="09BA6CCD"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lastRenderedPageBreak/>
              <w:t>0530</w:t>
            </w:r>
          </w:p>
        </w:tc>
        <w:tc>
          <w:tcPr>
            <w:tcW w:w="7620" w:type="dxa"/>
          </w:tcPr>
          <w:p w14:paraId="4FEC9F42" w14:textId="77777777" w:rsidR="00CC7D2C" w:rsidRPr="002176B5" w:rsidRDefault="00CC7D2C" w:rsidP="00320EFD">
            <w:pPr>
              <w:pStyle w:val="InstructionsText"/>
              <w:rPr>
                <w:rStyle w:val="FormatvorlageInstructionsTabelleText"/>
                <w:rFonts w:ascii="Times New Roman" w:hAnsi="Times New Roman"/>
                <w:b/>
                <w:sz w:val="24"/>
                <w:u w:val="single"/>
              </w:rPr>
            </w:pPr>
            <w:r w:rsidRPr="002176B5">
              <w:rPr>
                <w:rStyle w:val="InstructionsTabelleberschrift"/>
                <w:rFonts w:ascii="Times New Roman" w:hAnsi="Times New Roman"/>
                <w:sz w:val="24"/>
              </w:rPr>
              <w:t>1.1.2.</w:t>
            </w:r>
            <w:r w:rsidRPr="002176B5">
              <w:tab/>
            </w:r>
            <w:r w:rsidRPr="002176B5">
              <w:rPr>
                <w:rStyle w:val="InstructionsTabelleberschrift"/>
                <w:rFonts w:ascii="Times New Roman" w:hAnsi="Times New Roman"/>
                <w:sz w:val="24"/>
              </w:rPr>
              <w:t>DODATOČNÝ KAPITÁL TIER 1</w:t>
            </w:r>
          </w:p>
          <w:p w14:paraId="43A675F3"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 xml:space="preserve">Článok 61 </w:t>
            </w:r>
            <w:r w:rsidRPr="002176B5">
              <w:t>nariadenia (EÚ) č. 575/2013</w:t>
            </w:r>
          </w:p>
        </w:tc>
      </w:tr>
      <w:tr w:rsidR="00CC7D2C" w:rsidRPr="002176B5" w14:paraId="623CCD0F" w14:textId="77777777" w:rsidTr="00822842">
        <w:tc>
          <w:tcPr>
            <w:tcW w:w="1129" w:type="dxa"/>
          </w:tcPr>
          <w:p w14:paraId="1BB703D4"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0540</w:t>
            </w:r>
          </w:p>
        </w:tc>
        <w:tc>
          <w:tcPr>
            <w:tcW w:w="7620" w:type="dxa"/>
          </w:tcPr>
          <w:p w14:paraId="571A9A48" w14:textId="307002F9" w:rsidR="00CC7D2C" w:rsidRPr="002176B5" w:rsidRDefault="00CC7D2C" w:rsidP="00320EFD">
            <w:pPr>
              <w:pStyle w:val="InstructionsText"/>
              <w:rPr>
                <w:rStyle w:val="FormatvorlageInstructionsTabelleText"/>
                <w:rFonts w:ascii="Times New Roman" w:hAnsi="Times New Roman"/>
                <w:b/>
                <w:sz w:val="24"/>
                <w:u w:val="single"/>
              </w:rPr>
            </w:pPr>
            <w:r w:rsidRPr="002176B5">
              <w:rPr>
                <w:rStyle w:val="InstructionsTabelleberschrift"/>
                <w:rFonts w:ascii="Times New Roman" w:hAnsi="Times New Roman"/>
                <w:sz w:val="24"/>
              </w:rPr>
              <w:t>1.1.2.1.</w:t>
            </w:r>
            <w:r w:rsidRPr="002176B5">
              <w:tab/>
            </w:r>
            <w:r w:rsidRPr="002176B5">
              <w:rPr>
                <w:rStyle w:val="InstructionsTabelleberschrift"/>
                <w:rFonts w:ascii="Times New Roman" w:hAnsi="Times New Roman"/>
                <w:sz w:val="24"/>
              </w:rPr>
              <w:t>Kapitálové nástroje</w:t>
            </w:r>
            <w:r w:rsidR="002176B5">
              <w:rPr>
                <w:rStyle w:val="InstructionsTabelleberschrift"/>
                <w:rFonts w:ascii="Times New Roman" w:hAnsi="Times New Roman"/>
                <w:sz w:val="24"/>
              </w:rPr>
              <w:t xml:space="preserve"> a </w:t>
            </w:r>
            <w:r w:rsidRPr="002176B5">
              <w:rPr>
                <w:rStyle w:val="InstructionsTabelleberschrift"/>
                <w:rFonts w:ascii="Times New Roman" w:hAnsi="Times New Roman"/>
                <w:sz w:val="24"/>
              </w:rPr>
              <w:t>emisné ážiá prípustné ako kapitál AT1</w:t>
            </w:r>
          </w:p>
          <w:p w14:paraId="329D93D3" w14:textId="77FCFBF5"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Článok 51 písm. a), články 52, 53</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54, článok 56 písm. a)</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 xml:space="preserve">článok 57 </w:t>
            </w:r>
            <w:r w:rsidRPr="002176B5">
              <w:t>nariadenia (EÚ) č. 575/2013</w:t>
            </w:r>
          </w:p>
        </w:tc>
      </w:tr>
      <w:tr w:rsidR="00CC7D2C" w:rsidRPr="002176B5" w14:paraId="573719AB" w14:textId="77777777" w:rsidTr="00822842">
        <w:tc>
          <w:tcPr>
            <w:tcW w:w="1129" w:type="dxa"/>
          </w:tcPr>
          <w:p w14:paraId="51939642"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0551</w:t>
            </w:r>
          </w:p>
        </w:tc>
        <w:tc>
          <w:tcPr>
            <w:tcW w:w="7620" w:type="dxa"/>
          </w:tcPr>
          <w:p w14:paraId="25F84BB4" w14:textId="77777777" w:rsidR="00CC7D2C" w:rsidRPr="002176B5" w:rsidRDefault="00CC7D2C" w:rsidP="00320EFD">
            <w:pPr>
              <w:pStyle w:val="InstructionsText"/>
              <w:rPr>
                <w:rStyle w:val="FormatvorlageInstructionsTabelleText"/>
                <w:rFonts w:ascii="Times New Roman" w:hAnsi="Times New Roman"/>
                <w:b/>
                <w:sz w:val="24"/>
                <w:u w:val="single"/>
              </w:rPr>
            </w:pPr>
            <w:r w:rsidRPr="002176B5">
              <w:rPr>
                <w:rStyle w:val="InstructionsTabelleberschrift"/>
                <w:rFonts w:ascii="Times New Roman" w:hAnsi="Times New Roman"/>
                <w:sz w:val="24"/>
              </w:rPr>
              <w:t>1.1.2.1.1.</w:t>
            </w:r>
            <w:r w:rsidRPr="002176B5">
              <w:tab/>
            </w:r>
            <w:r w:rsidRPr="002176B5">
              <w:rPr>
                <w:rStyle w:val="InstructionsTabelleberschrift"/>
                <w:rFonts w:ascii="Times New Roman" w:hAnsi="Times New Roman"/>
                <w:sz w:val="24"/>
              </w:rPr>
              <w:t>Úplne splatené, priamo emitované kapitálové nástroje</w:t>
            </w:r>
          </w:p>
          <w:p w14:paraId="417CF72E" w14:textId="78A25E38"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Článok 51 písm. a)</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články 52, 53</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54</w:t>
            </w:r>
            <w:r w:rsidRPr="002176B5">
              <w:t>nariadenia (EÚ) č. 575/2013</w:t>
            </w:r>
          </w:p>
          <w:p w14:paraId="722381CA" w14:textId="14D0D77E"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Vykazovaná hodnota nezahŕňa emisné ážio súvisiace</w:t>
            </w:r>
            <w:r w:rsidR="002176B5">
              <w:rPr>
                <w:rStyle w:val="FormatvorlageInstructionsTabelleText"/>
                <w:rFonts w:ascii="Times New Roman" w:hAnsi="Times New Roman"/>
                <w:sz w:val="24"/>
              </w:rPr>
              <w:t xml:space="preserve"> s </w:t>
            </w:r>
            <w:r w:rsidRPr="002176B5">
              <w:rPr>
                <w:rStyle w:val="FormatvorlageInstructionsTabelleText"/>
                <w:rFonts w:ascii="Times New Roman" w:hAnsi="Times New Roman"/>
                <w:sz w:val="24"/>
              </w:rPr>
              <w:t>nástrojmi.</w:t>
            </w:r>
          </w:p>
        </w:tc>
      </w:tr>
      <w:tr w:rsidR="00CC7D2C" w:rsidRPr="002176B5" w14:paraId="3A7700CF" w14:textId="77777777" w:rsidTr="00822842">
        <w:tc>
          <w:tcPr>
            <w:tcW w:w="1129" w:type="dxa"/>
          </w:tcPr>
          <w:p w14:paraId="77E0958D"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0560</w:t>
            </w:r>
          </w:p>
        </w:tc>
        <w:tc>
          <w:tcPr>
            <w:tcW w:w="7620" w:type="dxa"/>
          </w:tcPr>
          <w:p w14:paraId="7DD639A8" w14:textId="77777777" w:rsidR="00CC7D2C" w:rsidRPr="002176B5" w:rsidRDefault="00CC7D2C" w:rsidP="00320EFD">
            <w:pPr>
              <w:pStyle w:val="InstructionsText"/>
              <w:rPr>
                <w:rStyle w:val="FormatvorlageInstructionsTabelleText"/>
                <w:rFonts w:ascii="Times New Roman" w:hAnsi="Times New Roman"/>
                <w:b/>
                <w:sz w:val="24"/>
                <w:u w:val="single"/>
              </w:rPr>
            </w:pPr>
            <w:r w:rsidRPr="002176B5">
              <w:rPr>
                <w:rStyle w:val="InstructionsTabelleberschrift"/>
                <w:rFonts w:ascii="Times New Roman" w:hAnsi="Times New Roman"/>
                <w:sz w:val="24"/>
              </w:rPr>
              <w:t>1.1.2.1.2. (*)</w:t>
            </w:r>
            <w:r w:rsidRPr="002176B5">
              <w:tab/>
            </w:r>
            <w:r w:rsidRPr="002176B5">
              <w:rPr>
                <w:rStyle w:val="InstructionsTabelleberschrift"/>
                <w:rFonts w:ascii="Times New Roman" w:hAnsi="Times New Roman"/>
                <w:sz w:val="24"/>
              </w:rPr>
              <w:t>Doplňujúca položka: neprípustné kapitálové nástroje</w:t>
            </w:r>
          </w:p>
          <w:p w14:paraId="1E6ED08E" w14:textId="54C3EF82"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Článok 52 ods. 1 písm. c), e)</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f)</w:t>
            </w:r>
            <w:r w:rsidRPr="002176B5">
              <w:t xml:space="preserve"> nariadenia (EÚ) č. 575/2013</w:t>
            </w:r>
          </w:p>
          <w:p w14:paraId="1C438811" w14:textId="12DB8004"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Podmienky</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týchto písmenách vyjadrujú rôzne situácie kapitálu, ktoré sa môžu zmeniť, preto hodnota vykazovaná</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tomto riadku môže byť</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ďalších obdobiach prípustná.</w:t>
            </w:r>
          </w:p>
          <w:p w14:paraId="65C7BBA8" w14:textId="173E8375"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Vykazovaná hodnota nezahŕňa emisné ážio súvisiace</w:t>
            </w:r>
            <w:r w:rsidR="002176B5">
              <w:rPr>
                <w:rStyle w:val="FormatvorlageInstructionsTabelleText"/>
                <w:rFonts w:ascii="Times New Roman" w:hAnsi="Times New Roman"/>
                <w:sz w:val="24"/>
              </w:rPr>
              <w:t xml:space="preserve"> s </w:t>
            </w:r>
            <w:r w:rsidRPr="002176B5">
              <w:rPr>
                <w:rStyle w:val="FormatvorlageInstructionsTabelleText"/>
                <w:rFonts w:ascii="Times New Roman" w:hAnsi="Times New Roman"/>
                <w:sz w:val="24"/>
              </w:rPr>
              <w:t>nástrojmi.</w:t>
            </w:r>
          </w:p>
        </w:tc>
      </w:tr>
      <w:tr w:rsidR="00CC7D2C" w:rsidRPr="002176B5" w14:paraId="6A57CE01" w14:textId="77777777" w:rsidTr="00822842">
        <w:tc>
          <w:tcPr>
            <w:tcW w:w="1129" w:type="dxa"/>
          </w:tcPr>
          <w:p w14:paraId="0266EACE"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0571</w:t>
            </w:r>
          </w:p>
        </w:tc>
        <w:tc>
          <w:tcPr>
            <w:tcW w:w="7620" w:type="dxa"/>
          </w:tcPr>
          <w:p w14:paraId="414AA000" w14:textId="77777777" w:rsidR="00CC7D2C" w:rsidRPr="002176B5" w:rsidRDefault="00CC7D2C" w:rsidP="00320EFD">
            <w:pPr>
              <w:pStyle w:val="InstructionsText"/>
              <w:rPr>
                <w:rStyle w:val="FormatvorlageInstructionsTabelleText"/>
                <w:rFonts w:ascii="Times New Roman" w:hAnsi="Times New Roman"/>
                <w:b/>
                <w:sz w:val="24"/>
                <w:u w:val="single"/>
              </w:rPr>
            </w:pPr>
            <w:r w:rsidRPr="002176B5">
              <w:rPr>
                <w:rStyle w:val="InstructionsTabelleberschrift"/>
                <w:rFonts w:ascii="Times New Roman" w:hAnsi="Times New Roman"/>
                <w:sz w:val="24"/>
              </w:rPr>
              <w:t>1.1.2.1.3.</w:t>
            </w:r>
            <w:r w:rsidRPr="002176B5">
              <w:tab/>
            </w:r>
            <w:r w:rsidRPr="002176B5">
              <w:rPr>
                <w:rStyle w:val="InstructionsTabelleberschrift"/>
                <w:rFonts w:ascii="Times New Roman" w:hAnsi="Times New Roman"/>
                <w:sz w:val="24"/>
              </w:rPr>
              <w:t>Emisné ážio</w:t>
            </w:r>
          </w:p>
          <w:p w14:paraId="66E8FE8F"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 xml:space="preserve">Článok 51 písm. b) </w:t>
            </w:r>
            <w:r w:rsidRPr="002176B5">
              <w:t>nariadenia (EÚ) č. 575/2013</w:t>
            </w:r>
          </w:p>
          <w:p w14:paraId="137AADA3" w14:textId="43194429"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Emisné ážio má ten istý význam ako</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uplatniteľnom účtovnom štandarde.</w:t>
            </w:r>
          </w:p>
          <w:p w14:paraId="6463F917" w14:textId="4AE66CA1"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Hodnota, ktorá sa má vykázať</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tejto položke, zodpovedá časti súvisiacej</w:t>
            </w:r>
            <w:r w:rsidR="002176B5">
              <w:rPr>
                <w:rStyle w:val="FormatvorlageInstructionsTabelleText"/>
                <w:rFonts w:ascii="Times New Roman" w:hAnsi="Times New Roman"/>
                <w:sz w:val="24"/>
              </w:rPr>
              <w:t xml:space="preserve"> s </w:t>
            </w:r>
            <w:r w:rsidRPr="002176B5">
              <w:rPr>
                <w:rStyle w:val="FormatvorlageInstructionsTabelleText"/>
                <w:rFonts w:ascii="Times New Roman" w:hAnsi="Times New Roman"/>
                <w:sz w:val="24"/>
              </w:rPr>
              <w:t>„úplne splatenými</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priamo emitovanými kapitálovými nástrojmi“.</w:t>
            </w:r>
          </w:p>
        </w:tc>
      </w:tr>
      <w:tr w:rsidR="00CC7D2C" w:rsidRPr="002176B5" w14:paraId="58ACF44C" w14:textId="77777777" w:rsidTr="00822842">
        <w:tc>
          <w:tcPr>
            <w:tcW w:w="1129" w:type="dxa"/>
          </w:tcPr>
          <w:p w14:paraId="4586F6B9"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0580</w:t>
            </w:r>
          </w:p>
        </w:tc>
        <w:tc>
          <w:tcPr>
            <w:tcW w:w="7620" w:type="dxa"/>
          </w:tcPr>
          <w:p w14:paraId="65B3E26F" w14:textId="77777777" w:rsidR="00CC7D2C" w:rsidRPr="002176B5" w:rsidRDefault="00CC7D2C" w:rsidP="00320EFD">
            <w:pPr>
              <w:pStyle w:val="InstructionsText"/>
              <w:rPr>
                <w:rStyle w:val="FormatvorlageInstructionsTabelleText"/>
                <w:rFonts w:ascii="Times New Roman" w:hAnsi="Times New Roman"/>
                <w:b/>
                <w:sz w:val="24"/>
                <w:u w:val="single"/>
              </w:rPr>
            </w:pPr>
            <w:r w:rsidRPr="002176B5">
              <w:rPr>
                <w:rStyle w:val="InstructionsTabelleberschrift"/>
                <w:rFonts w:ascii="Times New Roman" w:hAnsi="Times New Roman"/>
                <w:sz w:val="24"/>
              </w:rPr>
              <w:t>1.1.2.1.4.</w:t>
            </w:r>
            <w:r w:rsidRPr="002176B5">
              <w:tab/>
            </w:r>
            <w:r w:rsidRPr="002176B5">
              <w:rPr>
                <w:rStyle w:val="InstructionsTabelleberschrift"/>
                <w:rFonts w:ascii="Times New Roman" w:hAnsi="Times New Roman"/>
                <w:sz w:val="24"/>
              </w:rPr>
              <w:t>(–) Nástroje vlastného AT1</w:t>
            </w:r>
          </w:p>
          <w:p w14:paraId="4102A440" w14:textId="758A435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Článok 52 ods. 1 písm. b), článok 56 písm. a)</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 xml:space="preserve">článok 57 </w:t>
            </w:r>
            <w:r w:rsidRPr="002176B5">
              <w:t>nariadenia (EÚ) č. 575/2013</w:t>
            </w:r>
          </w:p>
          <w:p w14:paraId="1D64029E" w14:textId="28D4CFC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Nástroje vlastného AT1 držané vykazujúcou inštitúciou alebo skupinou</w:t>
            </w:r>
            <w:r w:rsidR="002176B5">
              <w:rPr>
                <w:rStyle w:val="FormatvorlageInstructionsTabelleText"/>
                <w:rFonts w:ascii="Times New Roman" w:hAnsi="Times New Roman"/>
                <w:sz w:val="24"/>
              </w:rPr>
              <w:t xml:space="preserve"> k </w:t>
            </w:r>
            <w:r w:rsidRPr="002176B5">
              <w:rPr>
                <w:rStyle w:val="FormatvorlageInstructionsTabelleText"/>
                <w:rFonts w:ascii="Times New Roman" w:hAnsi="Times New Roman"/>
                <w:sz w:val="24"/>
              </w:rPr>
              <w:t>dátumu vykazovania</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hodnoty nástrojov AT1, ktoré sa majú odpočítať</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súlade</w:t>
            </w:r>
            <w:r w:rsidR="002176B5">
              <w:rPr>
                <w:rStyle w:val="FormatvorlageInstructionsTabelleText"/>
                <w:rFonts w:ascii="Times New Roman" w:hAnsi="Times New Roman"/>
                <w:sz w:val="24"/>
              </w:rPr>
              <w:t xml:space="preserve"> s </w:t>
            </w:r>
            <w:r w:rsidRPr="002176B5">
              <w:rPr>
                <w:rStyle w:val="FormatvorlageInstructionsTabelleText"/>
                <w:rFonts w:ascii="Times New Roman" w:hAnsi="Times New Roman"/>
                <w:sz w:val="24"/>
              </w:rPr>
              <w:t>článkom 28 ods. 2 delegovaného nariadenia (EÚ) č. 241/2014.</w:t>
            </w:r>
            <w:r w:rsidR="002176B5">
              <w:rPr>
                <w:rStyle w:val="FormatvorlageInstructionsTabelleText"/>
                <w:rFonts w:ascii="Times New Roman" w:hAnsi="Times New Roman"/>
                <w:sz w:val="24"/>
              </w:rPr>
              <w:t xml:space="preserve"> S </w:t>
            </w:r>
            <w:r w:rsidRPr="002176B5">
              <w:rPr>
                <w:rStyle w:val="FormatvorlageInstructionsTabelleText"/>
                <w:rFonts w:ascii="Times New Roman" w:hAnsi="Times New Roman"/>
                <w:sz w:val="24"/>
              </w:rPr>
              <w:t>výhradou výnimiek</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 xml:space="preserve">článku 57 </w:t>
            </w:r>
            <w:r w:rsidRPr="002176B5">
              <w:t>nariadenia (EÚ) č. 575/2013</w:t>
            </w:r>
            <w:r w:rsidRPr="002176B5">
              <w:rPr>
                <w:rStyle w:val="FormatvorlageInstructionsTabelleText"/>
                <w:rFonts w:ascii="Times New Roman" w:hAnsi="Times New Roman"/>
                <w:sz w:val="24"/>
              </w:rPr>
              <w:t>.</w:t>
            </w:r>
          </w:p>
          <w:p w14:paraId="20C5394C"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V tomto riadku sa nevykazujú podiely na akciách zahrnuté ako „neprípustné kapitálové nástroje“.</w:t>
            </w:r>
          </w:p>
          <w:p w14:paraId="4933E08A" w14:textId="6A7F83E4"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Vykazovaná hodnota zahŕňa emisné ážio súvisiace</w:t>
            </w:r>
            <w:r w:rsidR="002176B5">
              <w:rPr>
                <w:rStyle w:val="FormatvorlageInstructionsTabelleText"/>
                <w:rFonts w:ascii="Times New Roman" w:hAnsi="Times New Roman"/>
                <w:sz w:val="24"/>
              </w:rPr>
              <w:t xml:space="preserve"> s </w:t>
            </w:r>
            <w:r w:rsidRPr="002176B5">
              <w:rPr>
                <w:rStyle w:val="FormatvorlageInstructionsTabelleText"/>
                <w:rFonts w:ascii="Times New Roman" w:hAnsi="Times New Roman"/>
                <w:sz w:val="24"/>
              </w:rPr>
              <w:t>vlastnými akciami.</w:t>
            </w:r>
          </w:p>
          <w:p w14:paraId="6639F65B" w14:textId="57B26CAC"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Položky 1.1.2.1.4 až 1.1.2.1.4.3 nezahŕňajú skutočné alebo podmienené záväzky kúpiť nástroje vlastného AT1. Skutočné alebo podmienené záväzky kúpiť nástroje vlastného AT1 sa vykazujú osobitne</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položke 1.1.2.1.5.</w:t>
            </w:r>
          </w:p>
        </w:tc>
      </w:tr>
      <w:tr w:rsidR="00CC7D2C" w:rsidRPr="002176B5" w14:paraId="73E21D37" w14:textId="77777777" w:rsidTr="00822842">
        <w:tc>
          <w:tcPr>
            <w:tcW w:w="1129" w:type="dxa"/>
          </w:tcPr>
          <w:p w14:paraId="7E24EF62"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0590</w:t>
            </w:r>
          </w:p>
        </w:tc>
        <w:tc>
          <w:tcPr>
            <w:tcW w:w="7620" w:type="dxa"/>
          </w:tcPr>
          <w:p w14:paraId="6A007264" w14:textId="77777777" w:rsidR="00CC7D2C" w:rsidRPr="002176B5" w:rsidRDefault="00CC7D2C" w:rsidP="00320EFD">
            <w:pPr>
              <w:pStyle w:val="InstructionsText"/>
              <w:rPr>
                <w:rStyle w:val="FormatvorlageInstructionsTabelleText"/>
                <w:rFonts w:ascii="Times New Roman" w:hAnsi="Times New Roman"/>
                <w:b/>
                <w:sz w:val="24"/>
                <w:u w:val="single"/>
              </w:rPr>
            </w:pPr>
            <w:r w:rsidRPr="002176B5">
              <w:rPr>
                <w:rStyle w:val="InstructionsTabelleberschrift"/>
                <w:rFonts w:ascii="Times New Roman" w:hAnsi="Times New Roman"/>
                <w:sz w:val="24"/>
              </w:rPr>
              <w:t>1.1.2.1.4.1.</w:t>
            </w:r>
            <w:r w:rsidRPr="002176B5">
              <w:tab/>
            </w:r>
            <w:r w:rsidRPr="002176B5">
              <w:rPr>
                <w:rStyle w:val="InstructionsTabelleberschrift"/>
                <w:rFonts w:ascii="Times New Roman" w:hAnsi="Times New Roman"/>
                <w:sz w:val="24"/>
              </w:rPr>
              <w:t>(–) Priame podiely na nástrojoch AT1</w:t>
            </w:r>
          </w:p>
          <w:p w14:paraId="2E3166D5" w14:textId="6AD61A9A"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lastRenderedPageBreak/>
              <w:t xml:space="preserve"> Článok 4 ods. 1 bod 144, článok 52 ods. 1 písm. b), článok 56 písm. a)</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článok 57</w:t>
            </w:r>
            <w:r w:rsidRPr="002176B5">
              <w:t>nariadenia (EÚ) č. 575/2013</w:t>
            </w:r>
          </w:p>
          <w:p w14:paraId="3842C090" w14:textId="273C41FA"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 xml:space="preserve">Nástroje dodatočného kapitálu </w:t>
            </w:r>
            <w:proofErr w:type="spellStart"/>
            <w:r w:rsidRPr="002176B5">
              <w:rPr>
                <w:rStyle w:val="FormatvorlageInstructionsTabelleText"/>
                <w:rFonts w:ascii="Times New Roman" w:hAnsi="Times New Roman"/>
                <w:sz w:val="24"/>
              </w:rPr>
              <w:t>Tier</w:t>
            </w:r>
            <w:proofErr w:type="spellEnd"/>
            <w:r w:rsidRPr="002176B5">
              <w:rPr>
                <w:rStyle w:val="FormatvorlageInstructionsTabelleText"/>
                <w:rFonts w:ascii="Times New Roman" w:hAnsi="Times New Roman"/>
                <w:sz w:val="24"/>
              </w:rPr>
              <w:t xml:space="preserve"> 1 zahrnuté</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položke 1.1.2.1.1 držané inštitúciami konsolidovanej skupiny</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hodnoty nástrojov AT1, ktoré sa majú odpočítať</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súlade</w:t>
            </w:r>
            <w:r w:rsidR="002176B5">
              <w:rPr>
                <w:rStyle w:val="FormatvorlageInstructionsTabelleText"/>
                <w:rFonts w:ascii="Times New Roman" w:hAnsi="Times New Roman"/>
                <w:sz w:val="24"/>
              </w:rPr>
              <w:t xml:space="preserve"> s </w:t>
            </w:r>
            <w:r w:rsidRPr="002176B5">
              <w:rPr>
                <w:rStyle w:val="FormatvorlageInstructionsTabelleText"/>
                <w:rFonts w:ascii="Times New Roman" w:hAnsi="Times New Roman"/>
                <w:sz w:val="24"/>
              </w:rPr>
              <w:t xml:space="preserve">článkom 28 ods. 2 delegovaného nariadenia (EÚ) č. 241/2014. </w:t>
            </w:r>
          </w:p>
        </w:tc>
      </w:tr>
      <w:tr w:rsidR="00CC7D2C" w:rsidRPr="002176B5" w14:paraId="62EF8C25" w14:textId="77777777" w:rsidTr="00822842">
        <w:tc>
          <w:tcPr>
            <w:tcW w:w="1129" w:type="dxa"/>
          </w:tcPr>
          <w:p w14:paraId="4487BD11"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lastRenderedPageBreak/>
              <w:t>0620</w:t>
            </w:r>
          </w:p>
        </w:tc>
        <w:tc>
          <w:tcPr>
            <w:tcW w:w="7620" w:type="dxa"/>
          </w:tcPr>
          <w:p w14:paraId="266D1935" w14:textId="77777777" w:rsidR="00CC7D2C" w:rsidRPr="002176B5" w:rsidRDefault="00CC7D2C" w:rsidP="00320EFD">
            <w:pPr>
              <w:pStyle w:val="InstructionsText"/>
              <w:rPr>
                <w:rStyle w:val="FormatvorlageInstructionsTabelleText"/>
                <w:rFonts w:ascii="Times New Roman" w:hAnsi="Times New Roman"/>
                <w:b/>
                <w:sz w:val="24"/>
                <w:u w:val="single"/>
              </w:rPr>
            </w:pPr>
            <w:r w:rsidRPr="002176B5">
              <w:rPr>
                <w:rStyle w:val="InstructionsTabelleberschrift"/>
                <w:rFonts w:ascii="Times New Roman" w:hAnsi="Times New Roman"/>
                <w:sz w:val="24"/>
              </w:rPr>
              <w:t>1.1.2.1.4.2.</w:t>
            </w:r>
            <w:r w:rsidRPr="002176B5">
              <w:tab/>
            </w:r>
            <w:r w:rsidRPr="002176B5">
              <w:rPr>
                <w:rStyle w:val="InstructionsTabelleberschrift"/>
                <w:rFonts w:ascii="Times New Roman" w:hAnsi="Times New Roman"/>
                <w:sz w:val="24"/>
              </w:rPr>
              <w:t>(–) Nepriame podiely na nástrojoch AT1</w:t>
            </w:r>
          </w:p>
          <w:p w14:paraId="426CCC89" w14:textId="39690E4E"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Článok 52 ods. 1 písm. b) bod ii), článok 56 písm. a)</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 xml:space="preserve">článok 57 </w:t>
            </w:r>
            <w:r w:rsidRPr="002176B5">
              <w:t>nariadenia (EÚ) č. 575/2013</w:t>
            </w:r>
          </w:p>
        </w:tc>
      </w:tr>
      <w:tr w:rsidR="00CC7D2C" w:rsidRPr="002176B5" w14:paraId="68C6D4A4" w14:textId="77777777" w:rsidTr="00822842">
        <w:tc>
          <w:tcPr>
            <w:tcW w:w="1129" w:type="dxa"/>
          </w:tcPr>
          <w:p w14:paraId="1AE04242"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0621</w:t>
            </w:r>
          </w:p>
        </w:tc>
        <w:tc>
          <w:tcPr>
            <w:tcW w:w="7620" w:type="dxa"/>
          </w:tcPr>
          <w:p w14:paraId="285A9726" w14:textId="77777777" w:rsidR="00CC7D2C" w:rsidRPr="002176B5" w:rsidRDefault="00CC7D2C" w:rsidP="00320EFD">
            <w:pPr>
              <w:pStyle w:val="InstructionsText"/>
            </w:pPr>
            <w:r w:rsidRPr="002176B5">
              <w:rPr>
                <w:rStyle w:val="InstructionsTabelleberschrift"/>
                <w:rFonts w:ascii="Times New Roman" w:hAnsi="Times New Roman"/>
                <w:sz w:val="24"/>
              </w:rPr>
              <w:t>1.1.2.1.4.3.</w:t>
            </w:r>
            <w:r w:rsidRPr="002176B5">
              <w:tab/>
            </w:r>
            <w:r w:rsidRPr="002176B5">
              <w:rPr>
                <w:rStyle w:val="InstructionsTabelleberschrift"/>
                <w:rFonts w:ascii="Times New Roman" w:hAnsi="Times New Roman"/>
                <w:sz w:val="24"/>
              </w:rPr>
              <w:t>(–) Syntetické podiely na nástrojoch AT1</w:t>
            </w:r>
          </w:p>
          <w:p w14:paraId="366556FC" w14:textId="2C9F0C45" w:rsidR="00CC7D2C" w:rsidRPr="002176B5" w:rsidRDefault="00CC7D2C" w:rsidP="00320EFD">
            <w:pPr>
              <w:pStyle w:val="InstructionsText"/>
              <w:rPr>
                <w:rStyle w:val="InstructionsTabelleberschrift"/>
                <w:rFonts w:ascii="Times New Roman" w:hAnsi="Times New Roman"/>
                <w:b w:val="0"/>
                <w:bCs w:val="0"/>
                <w:sz w:val="24"/>
                <w:u w:val="none"/>
              </w:rPr>
            </w:pPr>
            <w:r w:rsidRPr="002176B5">
              <w:t xml:space="preserve"> Článok 4 ods. 1 bod 126, článok 52 ods. 1 písm. b), článok 56 písm. a)</w:t>
            </w:r>
            <w:r w:rsidR="002176B5">
              <w:t xml:space="preserve"> a </w:t>
            </w:r>
            <w:r w:rsidRPr="002176B5">
              <w:rPr>
                <w:rStyle w:val="FormatvorlageInstructionsTabelleText"/>
                <w:rFonts w:ascii="Times New Roman" w:hAnsi="Times New Roman"/>
                <w:sz w:val="24"/>
              </w:rPr>
              <w:t>článok 57</w:t>
            </w:r>
            <w:r w:rsidRPr="002176B5">
              <w:t>nariadenia (EÚ) č. 575/2013</w:t>
            </w:r>
          </w:p>
        </w:tc>
      </w:tr>
      <w:tr w:rsidR="00CC7D2C" w:rsidRPr="002176B5" w14:paraId="32E83E14" w14:textId="77777777" w:rsidTr="00822842">
        <w:tc>
          <w:tcPr>
            <w:tcW w:w="1129" w:type="dxa"/>
          </w:tcPr>
          <w:p w14:paraId="2ED88247"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0622</w:t>
            </w:r>
          </w:p>
        </w:tc>
        <w:tc>
          <w:tcPr>
            <w:tcW w:w="7620" w:type="dxa"/>
          </w:tcPr>
          <w:p w14:paraId="430AAA72" w14:textId="77777777" w:rsidR="00CC7D2C" w:rsidRPr="002176B5" w:rsidRDefault="00CC7D2C" w:rsidP="00320EFD">
            <w:pPr>
              <w:pStyle w:val="InstructionsText"/>
              <w:rPr>
                <w:rStyle w:val="FormatvorlageInstructionsTabelleText"/>
                <w:rFonts w:ascii="Times New Roman" w:hAnsi="Times New Roman"/>
                <w:b/>
                <w:sz w:val="24"/>
                <w:u w:val="single"/>
              </w:rPr>
            </w:pPr>
            <w:r w:rsidRPr="002176B5">
              <w:rPr>
                <w:rStyle w:val="InstructionsTabelleberschrift"/>
                <w:rFonts w:ascii="Times New Roman" w:hAnsi="Times New Roman"/>
                <w:sz w:val="24"/>
              </w:rPr>
              <w:t>1.1.2.1.5.</w:t>
            </w:r>
            <w:r w:rsidRPr="002176B5">
              <w:tab/>
            </w:r>
            <w:r w:rsidRPr="002176B5">
              <w:rPr>
                <w:rStyle w:val="InstructionsTabelleberschrift"/>
                <w:rFonts w:ascii="Times New Roman" w:hAnsi="Times New Roman"/>
                <w:sz w:val="24"/>
              </w:rPr>
              <w:t>(–) Skutočné alebo podmienené záväzky kúpiť nástroje vlastného AT1</w:t>
            </w:r>
          </w:p>
          <w:p w14:paraId="0B39AA4A" w14:textId="4BBD9A5C"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Článok 56 písm. a)</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 xml:space="preserve">článok 57 </w:t>
            </w:r>
            <w:r w:rsidRPr="002176B5">
              <w:t>nariadenia (EÚ) č. 575/2013</w:t>
            </w:r>
          </w:p>
          <w:p w14:paraId="3E468850" w14:textId="1105F460"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b w:val="0"/>
                <w:u w:val="none"/>
              </w:rPr>
              <w:t xml:space="preserve">Podľa </w:t>
            </w:r>
            <w:r w:rsidRPr="002176B5">
              <w:rPr>
                <w:rStyle w:val="FormatvorlageInstructionsTabelleText"/>
              </w:rPr>
              <w:t>článku 56 písm. a)</w:t>
            </w:r>
            <w:r w:rsidRPr="002176B5">
              <w:t xml:space="preserve"> nariadenia (EÚ) č. 575/2013</w:t>
            </w:r>
            <w:r w:rsidRPr="002176B5">
              <w:rPr>
                <w:rStyle w:val="InstructionsTabelleberschrift"/>
                <w:rFonts w:ascii="Times New Roman" w:hAnsi="Times New Roman"/>
                <w:b w:val="0"/>
                <w:sz w:val="24"/>
                <w:u w:val="none"/>
              </w:rPr>
              <w:t>sa odpočítavajú „</w:t>
            </w:r>
            <w:r w:rsidRPr="002176B5">
              <w:t xml:space="preserve">nástroje vlastného dodatočného kapitálu </w:t>
            </w:r>
            <w:proofErr w:type="spellStart"/>
            <w:r w:rsidRPr="002176B5">
              <w:t>Tier</w:t>
            </w:r>
            <w:proofErr w:type="spellEnd"/>
            <w:r w:rsidRPr="002176B5">
              <w:t xml:space="preserve"> 1, ktoré by inštitúcia mohla byť povinná odkúpiť</w:t>
            </w:r>
            <w:r w:rsidR="002176B5">
              <w:t xml:space="preserve"> v </w:t>
            </w:r>
            <w:r w:rsidRPr="002176B5">
              <w:t>dôsledku existujúcich zmluvných záväzkov“.</w:t>
            </w:r>
          </w:p>
        </w:tc>
      </w:tr>
      <w:tr w:rsidR="00CC7D2C" w:rsidRPr="002176B5" w14:paraId="582FD4C2" w14:textId="77777777" w:rsidTr="00822842">
        <w:tc>
          <w:tcPr>
            <w:tcW w:w="1129" w:type="dxa"/>
          </w:tcPr>
          <w:p w14:paraId="12A25704"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0660</w:t>
            </w:r>
          </w:p>
        </w:tc>
        <w:tc>
          <w:tcPr>
            <w:tcW w:w="7620" w:type="dxa"/>
          </w:tcPr>
          <w:p w14:paraId="78F0EE72" w14:textId="47596820" w:rsidR="00CC7D2C" w:rsidRPr="002176B5" w:rsidRDefault="00CC7D2C" w:rsidP="00320EFD">
            <w:pPr>
              <w:pStyle w:val="InstructionsText"/>
              <w:rPr>
                <w:rStyle w:val="FormatvorlageInstructionsTabelleText"/>
                <w:rFonts w:ascii="Times New Roman" w:hAnsi="Times New Roman"/>
                <w:b/>
                <w:sz w:val="24"/>
                <w:u w:val="single"/>
              </w:rPr>
            </w:pPr>
            <w:r w:rsidRPr="002176B5">
              <w:rPr>
                <w:rStyle w:val="InstructionsTabelleberschrift"/>
                <w:rFonts w:ascii="Times New Roman" w:hAnsi="Times New Roman"/>
                <w:sz w:val="24"/>
              </w:rPr>
              <w:t>1.1.2.2.</w:t>
            </w:r>
            <w:r w:rsidRPr="002176B5">
              <w:tab/>
            </w:r>
            <w:r w:rsidRPr="002176B5">
              <w:rPr>
                <w:rStyle w:val="InstructionsTabelleberschrift"/>
                <w:rFonts w:ascii="Times New Roman" w:hAnsi="Times New Roman"/>
                <w:sz w:val="24"/>
              </w:rPr>
              <w:t>Prechodné úpravy na základe nástrojov kapitálu AT1, ktoré sa zachovali</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predchádzajúcom stave</w:t>
            </w:r>
          </w:p>
          <w:p w14:paraId="4DF87BE2" w14:textId="120C1B13"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Článok 483 ods. 4</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5, články 484 až 487, články 489</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491</w:t>
            </w:r>
            <w:r w:rsidRPr="002176B5">
              <w:t>nariadenia (EÚ) č. 575/2013</w:t>
            </w:r>
          </w:p>
          <w:p w14:paraId="50B5594E" w14:textId="307E6331"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Hodnota kapitálových nástrojov, ktoré sa prechodne zachovali</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predchádzajúcom stave ako AT1. Vykazovaná hodnota sa získa priamo zo vzoru CA5.</w:t>
            </w:r>
          </w:p>
        </w:tc>
      </w:tr>
      <w:tr w:rsidR="00CC7D2C" w:rsidRPr="002176B5" w14:paraId="16377810" w14:textId="77777777" w:rsidTr="00822842">
        <w:tc>
          <w:tcPr>
            <w:tcW w:w="1129" w:type="dxa"/>
          </w:tcPr>
          <w:p w14:paraId="3E0204FF"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0670</w:t>
            </w:r>
          </w:p>
        </w:tc>
        <w:tc>
          <w:tcPr>
            <w:tcW w:w="7620" w:type="dxa"/>
          </w:tcPr>
          <w:p w14:paraId="6E868167" w14:textId="30E2E3F1" w:rsidR="00CC7D2C" w:rsidRPr="002176B5" w:rsidRDefault="00CC7D2C" w:rsidP="00320EFD">
            <w:pPr>
              <w:pStyle w:val="InstructionsText"/>
              <w:rPr>
                <w:rStyle w:val="FormatvorlageInstructionsTabelleText"/>
                <w:rFonts w:ascii="Times New Roman" w:hAnsi="Times New Roman"/>
                <w:b/>
                <w:sz w:val="24"/>
                <w:u w:val="single"/>
              </w:rPr>
            </w:pPr>
            <w:r w:rsidRPr="002176B5">
              <w:rPr>
                <w:rStyle w:val="InstructionsTabelleberschrift"/>
                <w:rFonts w:ascii="Times New Roman" w:hAnsi="Times New Roman"/>
                <w:sz w:val="24"/>
              </w:rPr>
              <w:t>1.1.2.3.</w:t>
            </w:r>
            <w:r w:rsidRPr="002176B5">
              <w:tab/>
            </w:r>
            <w:r w:rsidRPr="002176B5">
              <w:rPr>
                <w:rStyle w:val="InstructionsTabelleberschrift"/>
                <w:rFonts w:ascii="Times New Roman" w:hAnsi="Times New Roman"/>
                <w:sz w:val="24"/>
              </w:rPr>
              <w:t>Nástroje emitované dcérskymi spoločnosťami, ktoré sa uznali</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kapitáli AT1</w:t>
            </w:r>
          </w:p>
          <w:p w14:paraId="391F334C" w14:textId="7E80AF5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Články 83, 85</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 xml:space="preserve">86 </w:t>
            </w:r>
            <w:r w:rsidRPr="002176B5">
              <w:t>nariadenia (EÚ) č. 575/2013</w:t>
            </w:r>
          </w:p>
          <w:p w14:paraId="7CFFAD38"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Súčet všetkých hodnôt kvalifikovaného kapitálu T1 dcérskych spoločností, ktorý sa zahŕňa do konsolidovaného AT1.</w:t>
            </w:r>
          </w:p>
          <w:p w14:paraId="77A5298A"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Zahrnie sa kvalifikovaný kapitál AT1 emitovaný účelovo vytvoreným subjektom [článok 83</w:t>
            </w:r>
            <w:r w:rsidRPr="002176B5">
              <w:t xml:space="preserve"> nariadenia (EÚ) č. 575/2013</w:t>
            </w:r>
            <w:r w:rsidRPr="002176B5">
              <w:rPr>
                <w:rStyle w:val="FormatvorlageInstructionsTabelleText"/>
                <w:rFonts w:ascii="Times New Roman" w:hAnsi="Times New Roman"/>
                <w:sz w:val="24"/>
              </w:rPr>
              <w:t>].</w:t>
            </w:r>
          </w:p>
        </w:tc>
      </w:tr>
      <w:tr w:rsidR="00CC7D2C" w:rsidRPr="002176B5" w14:paraId="4EB0390C" w14:textId="77777777" w:rsidTr="00822842">
        <w:tc>
          <w:tcPr>
            <w:tcW w:w="1129" w:type="dxa"/>
          </w:tcPr>
          <w:p w14:paraId="6905CB10"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0680</w:t>
            </w:r>
          </w:p>
        </w:tc>
        <w:tc>
          <w:tcPr>
            <w:tcW w:w="7620" w:type="dxa"/>
          </w:tcPr>
          <w:p w14:paraId="1E4C0912" w14:textId="7D067524" w:rsidR="00CC7D2C" w:rsidRPr="002176B5" w:rsidRDefault="00CC7D2C" w:rsidP="00320EFD">
            <w:pPr>
              <w:pStyle w:val="InstructionsText"/>
              <w:rPr>
                <w:rStyle w:val="FormatvorlageInstructionsTabelleText"/>
                <w:rFonts w:ascii="Times New Roman" w:hAnsi="Times New Roman"/>
                <w:b/>
                <w:sz w:val="24"/>
                <w:u w:val="single"/>
              </w:rPr>
            </w:pPr>
            <w:r w:rsidRPr="002176B5">
              <w:rPr>
                <w:rStyle w:val="InstructionsTabelleberschrift"/>
                <w:rFonts w:ascii="Times New Roman" w:hAnsi="Times New Roman"/>
                <w:sz w:val="24"/>
              </w:rPr>
              <w:t>1.1.2.4.</w:t>
            </w:r>
            <w:r w:rsidRPr="002176B5">
              <w:tab/>
            </w:r>
            <w:r w:rsidRPr="002176B5">
              <w:rPr>
                <w:rStyle w:val="InstructionsTabelleberschrift"/>
                <w:rFonts w:ascii="Times New Roman" w:hAnsi="Times New Roman"/>
                <w:sz w:val="24"/>
              </w:rPr>
              <w:t>Prechodné úpravy na základe dodatočného vykázania nástrojov emitovaných dcérskymi spoločnosťami</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kapitáli AT1</w:t>
            </w:r>
          </w:p>
          <w:p w14:paraId="6604AC5D"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 xml:space="preserve">Článok 480 </w:t>
            </w:r>
            <w:r w:rsidRPr="002176B5">
              <w:t>nariadenia (EÚ) č. 575/2013</w:t>
            </w:r>
          </w:p>
          <w:p w14:paraId="5C5547CC"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Úpravy kvalifikovaného kapitálu T1 zahrnutého do konsolidovaného kapitálu AT1 na základe prechodných ustanovení. Táto položka sa získa priamo zo vzoru CA5.</w:t>
            </w:r>
          </w:p>
        </w:tc>
      </w:tr>
      <w:tr w:rsidR="00CC7D2C" w:rsidRPr="002176B5" w14:paraId="2E31DA4D" w14:textId="77777777" w:rsidTr="00822842">
        <w:tc>
          <w:tcPr>
            <w:tcW w:w="1129" w:type="dxa"/>
          </w:tcPr>
          <w:p w14:paraId="59895654"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0690</w:t>
            </w:r>
          </w:p>
        </w:tc>
        <w:tc>
          <w:tcPr>
            <w:tcW w:w="7620" w:type="dxa"/>
          </w:tcPr>
          <w:p w14:paraId="04C1AD9C" w14:textId="77777777" w:rsidR="00CC7D2C" w:rsidRPr="002176B5" w:rsidRDefault="00CC7D2C" w:rsidP="00320EFD">
            <w:pPr>
              <w:pStyle w:val="InstructionsText"/>
              <w:rPr>
                <w:rStyle w:val="FormatvorlageInstructionsTabelleText"/>
                <w:rFonts w:ascii="Times New Roman" w:hAnsi="Times New Roman"/>
                <w:b/>
                <w:sz w:val="24"/>
                <w:u w:val="single"/>
              </w:rPr>
            </w:pPr>
            <w:r w:rsidRPr="002176B5">
              <w:rPr>
                <w:rStyle w:val="InstructionsTabelleberschrift"/>
                <w:rFonts w:ascii="Times New Roman" w:hAnsi="Times New Roman"/>
                <w:sz w:val="24"/>
              </w:rPr>
              <w:t>1.1.2.5.</w:t>
            </w:r>
            <w:r w:rsidRPr="002176B5">
              <w:tab/>
            </w:r>
            <w:r w:rsidRPr="002176B5">
              <w:rPr>
                <w:rStyle w:val="InstructionsTabelleberschrift"/>
                <w:rFonts w:ascii="Times New Roman" w:hAnsi="Times New Roman"/>
                <w:sz w:val="24"/>
              </w:rPr>
              <w:t>(–) Recipročné krížové podiely na kapitáli AT1</w:t>
            </w:r>
          </w:p>
          <w:p w14:paraId="152DEC07" w14:textId="3353A40E"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 xml:space="preserve"> Článok 4 ods. 1 bod 122, článok 56 písm. b)</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 xml:space="preserve">článok 58 </w:t>
            </w:r>
            <w:r w:rsidRPr="002176B5">
              <w:t>nariadenia (EÚ) č. 575/2013</w:t>
            </w:r>
          </w:p>
          <w:p w14:paraId="1DC47E6B" w14:textId="641D7693"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lastRenderedPageBreak/>
              <w:t>Podiely na nástrojoch AT1 subjektov finančného sektora [podľa vymedzenia</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článku 4 ods. 1 bode 27</w:t>
            </w:r>
            <w:r w:rsidRPr="002176B5">
              <w:t xml:space="preserve"> nariadenia (EÚ) č. 575/2013</w:t>
            </w:r>
            <w:r w:rsidRPr="002176B5">
              <w:rPr>
                <w:rStyle w:val="FormatvorlageInstructionsTabelleText"/>
                <w:rFonts w:ascii="Times New Roman" w:hAnsi="Times New Roman"/>
                <w:sz w:val="24"/>
              </w:rPr>
              <w:t>], keď existuje recipročný krížový podiel,</w:t>
            </w:r>
            <w:r w:rsidR="002176B5">
              <w:rPr>
                <w:rStyle w:val="FormatvorlageInstructionsTabelleText"/>
                <w:rFonts w:ascii="Times New Roman" w:hAnsi="Times New Roman"/>
                <w:sz w:val="24"/>
              </w:rPr>
              <w:t xml:space="preserve"> o </w:t>
            </w:r>
            <w:r w:rsidRPr="002176B5">
              <w:rPr>
                <w:rStyle w:val="FormatvorlageInstructionsTabelleText"/>
                <w:rFonts w:ascii="Times New Roman" w:hAnsi="Times New Roman"/>
                <w:sz w:val="24"/>
              </w:rPr>
              <w:t>ktorom sa príslušný orgán domnieva, že má umelo zvyšovať vlastné zdroje inštitúcie.</w:t>
            </w:r>
          </w:p>
          <w:p w14:paraId="1632995A" w14:textId="0E6439A1"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Vykazovaná hodnota sa vypočíta na základe brutto dlhých pozícií</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 xml:space="preserve">zahŕňa dodatočné poistné položky vlastných zdrojov </w:t>
            </w:r>
            <w:proofErr w:type="spellStart"/>
            <w:r w:rsidRPr="002176B5">
              <w:rPr>
                <w:rStyle w:val="FormatvorlageInstructionsTabelleText"/>
                <w:rFonts w:ascii="Times New Roman" w:hAnsi="Times New Roman"/>
                <w:sz w:val="24"/>
              </w:rPr>
              <w:t>Tier</w:t>
            </w:r>
            <w:proofErr w:type="spellEnd"/>
            <w:r w:rsidRPr="002176B5">
              <w:rPr>
                <w:rStyle w:val="FormatvorlageInstructionsTabelleText"/>
                <w:rFonts w:ascii="Times New Roman" w:hAnsi="Times New Roman"/>
                <w:sz w:val="24"/>
              </w:rPr>
              <w:t xml:space="preserve"> 1.</w:t>
            </w:r>
          </w:p>
        </w:tc>
      </w:tr>
      <w:tr w:rsidR="00CC7D2C" w:rsidRPr="002176B5" w14:paraId="1EC9825C" w14:textId="77777777" w:rsidTr="00822842">
        <w:tc>
          <w:tcPr>
            <w:tcW w:w="1129" w:type="dxa"/>
          </w:tcPr>
          <w:p w14:paraId="49909630"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lastRenderedPageBreak/>
              <w:t>0700</w:t>
            </w:r>
          </w:p>
        </w:tc>
        <w:tc>
          <w:tcPr>
            <w:tcW w:w="7620" w:type="dxa"/>
          </w:tcPr>
          <w:p w14:paraId="4ADE7D96" w14:textId="0D6C90E6" w:rsidR="00CC7D2C" w:rsidRPr="002176B5" w:rsidRDefault="00CC7D2C" w:rsidP="00320EFD">
            <w:pPr>
              <w:pStyle w:val="InstructionsText"/>
              <w:rPr>
                <w:rStyle w:val="FormatvorlageInstructionsTabelleText"/>
                <w:rFonts w:ascii="Times New Roman" w:hAnsi="Times New Roman"/>
                <w:b/>
                <w:sz w:val="24"/>
                <w:u w:val="single"/>
              </w:rPr>
            </w:pPr>
            <w:r w:rsidRPr="002176B5">
              <w:rPr>
                <w:rStyle w:val="InstructionsTabelleberschrift"/>
                <w:rFonts w:ascii="Times New Roman" w:hAnsi="Times New Roman"/>
                <w:sz w:val="24"/>
              </w:rPr>
              <w:t>1.1.2.6.</w:t>
            </w:r>
            <w:r w:rsidRPr="002176B5">
              <w:tab/>
            </w:r>
            <w:r w:rsidRPr="002176B5">
              <w:rPr>
                <w:rStyle w:val="InstructionsTabelleberschrift"/>
                <w:rFonts w:ascii="Times New Roman" w:hAnsi="Times New Roman"/>
                <w:sz w:val="24"/>
              </w:rPr>
              <w:t>(–) Nástroje AT1 subjektov finančného sektora,</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ktorých inštitúcia nemá významnú investíciu</w:t>
            </w:r>
          </w:p>
          <w:p w14:paraId="5484CEA4" w14:textId="417C13F6"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Článok 4 ods. 1 bod 27, článok 56 písm. c), články 59, 60</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 xml:space="preserve">79 </w:t>
            </w:r>
            <w:r w:rsidRPr="002176B5">
              <w:t>nariadenia (EÚ) č. 575/2013</w:t>
            </w:r>
          </w:p>
          <w:p w14:paraId="05F839AE" w14:textId="1F2D906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Časť podielov inštitúcie na nástrojoch subjektov finančného sektora [podľa vymedzenia</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 xml:space="preserve">článku 4 ods. 1 bode 27 </w:t>
            </w:r>
            <w:r w:rsidRPr="002176B5">
              <w:t>nariadenia (EÚ) č. 575/2013</w:t>
            </w:r>
            <w:r w:rsidRPr="002176B5">
              <w:rPr>
                <w:rStyle w:val="FormatvorlageInstructionsTabelleText"/>
                <w:rFonts w:ascii="Times New Roman" w:hAnsi="Times New Roman"/>
                <w:sz w:val="24"/>
              </w:rPr>
              <w:t>], keď inštitúcia nemá významnú investíciu, ktorá sa musí odpočítať od AT1.</w:t>
            </w:r>
          </w:p>
        </w:tc>
      </w:tr>
      <w:tr w:rsidR="00CC7D2C" w:rsidRPr="002176B5" w14:paraId="41E5F99E" w14:textId="77777777" w:rsidTr="00822842">
        <w:tc>
          <w:tcPr>
            <w:tcW w:w="1129" w:type="dxa"/>
          </w:tcPr>
          <w:p w14:paraId="339AB51A"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0710</w:t>
            </w:r>
          </w:p>
        </w:tc>
        <w:tc>
          <w:tcPr>
            <w:tcW w:w="7620" w:type="dxa"/>
          </w:tcPr>
          <w:p w14:paraId="51226A54" w14:textId="33F619E9" w:rsidR="00CC7D2C" w:rsidRPr="002176B5" w:rsidRDefault="00CC7D2C" w:rsidP="00320EFD">
            <w:pPr>
              <w:pStyle w:val="InstructionsText"/>
              <w:rPr>
                <w:rStyle w:val="FormatvorlageInstructionsTabelleText"/>
                <w:rFonts w:ascii="Times New Roman" w:hAnsi="Times New Roman"/>
                <w:b/>
                <w:sz w:val="24"/>
                <w:u w:val="single"/>
              </w:rPr>
            </w:pPr>
            <w:r w:rsidRPr="002176B5">
              <w:rPr>
                <w:rStyle w:val="InstructionsTabelleberschrift"/>
                <w:rFonts w:ascii="Times New Roman" w:hAnsi="Times New Roman"/>
                <w:sz w:val="24"/>
              </w:rPr>
              <w:t>1.1.2.7.</w:t>
            </w:r>
            <w:r w:rsidRPr="002176B5">
              <w:tab/>
            </w:r>
            <w:r w:rsidRPr="002176B5">
              <w:rPr>
                <w:rStyle w:val="InstructionsTabelleberschrift"/>
                <w:rFonts w:ascii="Times New Roman" w:hAnsi="Times New Roman"/>
                <w:sz w:val="24"/>
              </w:rPr>
              <w:t>(–) Nástroje AT1 subjektov finančného sektora,</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ktorých inštitúcia má významnú investíciu</w:t>
            </w:r>
          </w:p>
          <w:p w14:paraId="30560816" w14:textId="0F97BF3B"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Článok 4 ods. 1 bod 27, článok 56 písm. d), články 59</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 xml:space="preserve">79 </w:t>
            </w:r>
            <w:r w:rsidRPr="002176B5">
              <w:t>nariadenia (EÚ) č. 575/2013</w:t>
            </w:r>
          </w:p>
          <w:p w14:paraId="6F80F939" w14:textId="4A848F26"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Podiely inštitúcie na nástrojoch AT1 subjektov finančného sektora [podľa vymedzenia</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článku 4 ods. 1 bode 27</w:t>
            </w:r>
            <w:r w:rsidRPr="002176B5">
              <w:t xml:space="preserve"> nariadenia (EÚ) č. 575/2013</w:t>
            </w:r>
            <w:r w:rsidRPr="002176B5">
              <w:rPr>
                <w:rStyle w:val="FormatvorlageInstructionsTabelleText"/>
                <w:rFonts w:ascii="Times New Roman" w:hAnsi="Times New Roman"/>
                <w:sz w:val="24"/>
              </w:rPr>
              <w:t>], keď inštitúcia má významnú investíciu, sa odpočítajú</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plnej výške.</w:t>
            </w:r>
          </w:p>
        </w:tc>
      </w:tr>
      <w:tr w:rsidR="00CC7D2C" w:rsidRPr="002176B5" w14:paraId="25A9DEF2" w14:textId="77777777" w:rsidTr="00822842">
        <w:tc>
          <w:tcPr>
            <w:tcW w:w="1129" w:type="dxa"/>
          </w:tcPr>
          <w:p w14:paraId="2EA5EA42"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0720</w:t>
            </w:r>
          </w:p>
        </w:tc>
        <w:tc>
          <w:tcPr>
            <w:tcW w:w="7620" w:type="dxa"/>
          </w:tcPr>
          <w:p w14:paraId="2E5CCA4D" w14:textId="77777777" w:rsid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1.1.2.8.</w:t>
            </w:r>
            <w:r w:rsidRPr="002176B5">
              <w:tab/>
            </w:r>
            <w:r w:rsidRPr="002176B5">
              <w:rPr>
                <w:rStyle w:val="InstructionsTabelleberschrift"/>
                <w:rFonts w:ascii="Times New Roman" w:hAnsi="Times New Roman"/>
                <w:sz w:val="24"/>
              </w:rPr>
              <w:t>(–) Nadbytok odpočtov od položiek T2 presahujúci kapitál T2</w:t>
            </w:r>
          </w:p>
          <w:p w14:paraId="01E05C03" w14:textId="7D39D2E6"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 xml:space="preserve">Článok 56 písm. e) </w:t>
            </w:r>
            <w:r w:rsidRPr="002176B5">
              <w:t>nariadenia (EÚ) č. 575/2013</w:t>
            </w:r>
          </w:p>
          <w:p w14:paraId="1736A021" w14:textId="481BCB95"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Hodnota, ktorá sa má vykázať, sa získa priamo zo vzoru CA1</w:t>
            </w:r>
            <w:r w:rsidR="002176B5">
              <w:rPr>
                <w:rStyle w:val="FormatvorlageInstructionsTabelleText"/>
                <w:rFonts w:ascii="Times New Roman" w:hAnsi="Times New Roman"/>
                <w:sz w:val="24"/>
              </w:rPr>
              <w:t xml:space="preserve"> z </w:t>
            </w:r>
            <w:r w:rsidRPr="002176B5">
              <w:rPr>
                <w:rStyle w:val="FormatvorlageInstructionsTabelleText"/>
                <w:rFonts w:ascii="Times New Roman" w:hAnsi="Times New Roman"/>
                <w:sz w:val="24"/>
              </w:rPr>
              <w:t>položky „nadbytok odpočtov od položiek T2 presahujúci kapitál T2“ (odpočítané</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AT1).</w:t>
            </w:r>
          </w:p>
        </w:tc>
      </w:tr>
      <w:tr w:rsidR="00CC7D2C" w:rsidRPr="002176B5" w14:paraId="72D816DB" w14:textId="77777777" w:rsidTr="00822842">
        <w:tc>
          <w:tcPr>
            <w:tcW w:w="1129" w:type="dxa"/>
          </w:tcPr>
          <w:p w14:paraId="00DAA2F0"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0730</w:t>
            </w:r>
          </w:p>
        </w:tc>
        <w:tc>
          <w:tcPr>
            <w:tcW w:w="7620" w:type="dxa"/>
          </w:tcPr>
          <w:p w14:paraId="5EA98D6E" w14:textId="77777777"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1.1.2.9.</w:t>
            </w:r>
            <w:r w:rsidRPr="002176B5">
              <w:tab/>
            </w:r>
            <w:r w:rsidRPr="002176B5">
              <w:rPr>
                <w:rStyle w:val="InstructionsTabelleberschrift"/>
                <w:rFonts w:ascii="Times New Roman" w:hAnsi="Times New Roman"/>
                <w:sz w:val="24"/>
              </w:rPr>
              <w:t>Ostatné prechodné úpravy kapitálu AT1</w:t>
            </w:r>
          </w:p>
          <w:p w14:paraId="29A3904D" w14:textId="6B4239D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Články 472, 474, 475, 478</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481</w:t>
            </w:r>
            <w:r w:rsidRPr="002176B5">
              <w:t xml:space="preserve"> nariadenia (EÚ) č. 575/2013</w:t>
            </w:r>
          </w:p>
          <w:p w14:paraId="02E3A907"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Úpravy na základe prechodných ustanovení. Vykazovaná hodnota sa získa priamo zo vzoru CA5.</w:t>
            </w:r>
          </w:p>
        </w:tc>
      </w:tr>
      <w:tr w:rsidR="00CC7D2C" w:rsidRPr="002176B5" w14:paraId="4D2C1ED3" w14:textId="77777777" w:rsidTr="00822842">
        <w:tc>
          <w:tcPr>
            <w:tcW w:w="1129" w:type="dxa"/>
          </w:tcPr>
          <w:p w14:paraId="66F1BAEE"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0740</w:t>
            </w:r>
          </w:p>
        </w:tc>
        <w:tc>
          <w:tcPr>
            <w:tcW w:w="7620" w:type="dxa"/>
          </w:tcPr>
          <w:p w14:paraId="629D3877" w14:textId="74B56015" w:rsidR="00CC7D2C" w:rsidRPr="002176B5" w:rsidRDefault="00CC7D2C" w:rsidP="00320EFD">
            <w:pPr>
              <w:pStyle w:val="InstructionsText"/>
              <w:rPr>
                <w:rStyle w:val="FormatvorlageInstructionsTabelleText"/>
                <w:rFonts w:ascii="Times New Roman" w:hAnsi="Times New Roman"/>
                <w:b/>
                <w:sz w:val="24"/>
                <w:u w:val="single"/>
              </w:rPr>
            </w:pPr>
            <w:r w:rsidRPr="002176B5">
              <w:rPr>
                <w:rStyle w:val="InstructionsTabelleberschrift"/>
                <w:rFonts w:ascii="Times New Roman" w:hAnsi="Times New Roman"/>
                <w:sz w:val="24"/>
              </w:rPr>
              <w:t>1.1.2.10.</w:t>
            </w:r>
            <w:r w:rsidRPr="002176B5">
              <w:tab/>
            </w:r>
            <w:r w:rsidRPr="002176B5">
              <w:rPr>
                <w:rStyle w:val="InstructionsTabelleberschrift"/>
                <w:rFonts w:ascii="Times New Roman" w:hAnsi="Times New Roman"/>
                <w:sz w:val="24"/>
              </w:rPr>
              <w:t>Nadbytok odpočtov od položiek AT1 presahujúci kapitál AT1 (odpočítané</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CET1)</w:t>
            </w:r>
          </w:p>
          <w:p w14:paraId="448C1EAC"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 xml:space="preserve">Článok 36 ods. 1 písm. j) </w:t>
            </w:r>
            <w:r w:rsidRPr="002176B5">
              <w:t>nariadenia (EÚ) č. 575/2013</w:t>
            </w:r>
          </w:p>
          <w:p w14:paraId="4E818679" w14:textId="5176F234"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 xml:space="preserve">Dodatočný kapitál </w:t>
            </w:r>
            <w:proofErr w:type="spellStart"/>
            <w:r w:rsidRPr="002176B5">
              <w:rPr>
                <w:rStyle w:val="FormatvorlageInstructionsTabelleText"/>
                <w:rFonts w:ascii="Times New Roman" w:hAnsi="Times New Roman"/>
                <w:sz w:val="24"/>
              </w:rPr>
              <w:t>Tier</w:t>
            </w:r>
            <w:proofErr w:type="spellEnd"/>
            <w:r w:rsidRPr="002176B5">
              <w:rPr>
                <w:rStyle w:val="FormatvorlageInstructionsTabelleText"/>
                <w:rFonts w:ascii="Times New Roman" w:hAnsi="Times New Roman"/>
                <w:sz w:val="24"/>
              </w:rPr>
              <w:t xml:space="preserve"> 1 nemôže byť záporný, ale je možné, aby odpočty AT1 boli väčšie než kapitál AT1 plus súvisiace emisné ážio.</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tomto prípade sa AT1 musí rovnať nule</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nadbytok odpočtov AT1 sa musí odpočítať od CET1.</w:t>
            </w:r>
          </w:p>
          <w:p w14:paraId="5A10AF90"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Touto položkou sa dosiahne, že súčet položiek 1.1.2.1 až 1.1.2.12 nie je nikdy nižší než nula. Keď je táto položka kladná, položka 1.1.1.16 je inverznou hodnotou tohto čísla.</w:t>
            </w:r>
          </w:p>
        </w:tc>
      </w:tr>
      <w:tr w:rsidR="00CC7D2C" w:rsidRPr="002176B5" w14:paraId="76E516A8" w14:textId="77777777" w:rsidTr="00822842">
        <w:tc>
          <w:tcPr>
            <w:tcW w:w="1129" w:type="dxa"/>
          </w:tcPr>
          <w:p w14:paraId="30A753A1"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lastRenderedPageBreak/>
              <w:t>0744</w:t>
            </w:r>
          </w:p>
        </w:tc>
        <w:tc>
          <w:tcPr>
            <w:tcW w:w="7620" w:type="dxa"/>
          </w:tcPr>
          <w:p w14:paraId="1E400C33" w14:textId="77777777"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1.1.2.11.</w:t>
            </w:r>
            <w:r w:rsidRPr="002176B5">
              <w:tab/>
            </w:r>
            <w:r w:rsidRPr="002176B5">
              <w:rPr>
                <w:rStyle w:val="InstructionsTabelleberschrift"/>
                <w:rFonts w:ascii="Times New Roman" w:hAnsi="Times New Roman"/>
                <w:sz w:val="24"/>
              </w:rPr>
              <w:t>(–) Dodatočné odpočty kapitálu AT1 na základe článku 3 nariadenia (EÚ) č. 575/2013</w:t>
            </w:r>
          </w:p>
          <w:p w14:paraId="1A20C9A9" w14:textId="77777777" w:rsidR="00CC7D2C" w:rsidRPr="002176B5" w:rsidRDefault="00CC7D2C" w:rsidP="00320EFD">
            <w:pPr>
              <w:pStyle w:val="InstructionsText"/>
              <w:rPr>
                <w:rStyle w:val="InstructionsTabelleberschrift"/>
                <w:rFonts w:ascii="Times New Roman" w:hAnsi="Times New Roman"/>
                <w:b w:val="0"/>
                <w:sz w:val="24"/>
                <w:u w:val="none"/>
              </w:rPr>
            </w:pPr>
            <w:r w:rsidRPr="002176B5">
              <w:rPr>
                <w:rStyle w:val="InstructionsTabelleberschrift"/>
                <w:rFonts w:ascii="Times New Roman" w:hAnsi="Times New Roman"/>
                <w:b w:val="0"/>
                <w:sz w:val="24"/>
                <w:u w:val="none"/>
              </w:rPr>
              <w:t xml:space="preserve">Článok 3 </w:t>
            </w:r>
            <w:r w:rsidRPr="002176B5">
              <w:t>nariadenia (EÚ) č. 575/2013</w:t>
            </w:r>
          </w:p>
        </w:tc>
      </w:tr>
      <w:tr w:rsidR="00CC7D2C" w:rsidRPr="002176B5" w14:paraId="14CFF964" w14:textId="77777777" w:rsidTr="00822842">
        <w:tc>
          <w:tcPr>
            <w:tcW w:w="1129" w:type="dxa"/>
          </w:tcPr>
          <w:p w14:paraId="4DA3290F"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0748</w:t>
            </w:r>
          </w:p>
        </w:tc>
        <w:tc>
          <w:tcPr>
            <w:tcW w:w="7620" w:type="dxa"/>
          </w:tcPr>
          <w:p w14:paraId="076B125F" w14:textId="77777777" w:rsidR="00CC7D2C" w:rsidRPr="002176B5" w:rsidRDefault="00CC7D2C" w:rsidP="00320EFD">
            <w:pPr>
              <w:pStyle w:val="InstructionsText"/>
              <w:rPr>
                <w:rStyle w:val="InstructionsTabelleberschrift"/>
                <w:rFonts w:ascii="Times New Roman" w:hAnsi="Times New Roman"/>
                <w:b w:val="0"/>
                <w:sz w:val="24"/>
                <w:u w:val="none"/>
              </w:rPr>
            </w:pPr>
            <w:r w:rsidRPr="002176B5">
              <w:rPr>
                <w:rStyle w:val="InstructionsTabelleberschrift"/>
                <w:rFonts w:ascii="Times New Roman" w:hAnsi="Times New Roman"/>
                <w:sz w:val="24"/>
              </w:rPr>
              <w:t>1.1.2.12.</w:t>
            </w:r>
            <w:r w:rsidRPr="002176B5">
              <w:tab/>
            </w:r>
            <w:r w:rsidRPr="002176B5">
              <w:rPr>
                <w:rStyle w:val="InstructionsTabelleberschrift"/>
                <w:rFonts w:ascii="Times New Roman" w:hAnsi="Times New Roman"/>
                <w:sz w:val="24"/>
              </w:rPr>
              <w:t>Prvky alebo odpočty kapitálu AT1 – iné</w:t>
            </w:r>
          </w:p>
          <w:p w14:paraId="546E966C" w14:textId="451F915F" w:rsidR="002176B5" w:rsidRDefault="00CC7D2C" w:rsidP="00320EFD">
            <w:pPr>
              <w:pStyle w:val="InstructionsText"/>
              <w:rPr>
                <w:rStyle w:val="InstructionsTabelleberschrift"/>
                <w:rFonts w:ascii="Times New Roman" w:hAnsi="Times New Roman"/>
                <w:b w:val="0"/>
                <w:sz w:val="24"/>
                <w:u w:val="none"/>
              </w:rPr>
            </w:pPr>
            <w:r w:rsidRPr="002176B5">
              <w:rPr>
                <w:rStyle w:val="InstructionsTabelleberschrift"/>
                <w:rFonts w:ascii="Times New Roman" w:hAnsi="Times New Roman"/>
                <w:b w:val="0"/>
                <w:sz w:val="24"/>
                <w:u w:val="none"/>
              </w:rPr>
              <w:t>Týmto riadkom sa má poskytovať flexibilita výlučne na účely vykazovania. Vypĺňa sa len</w:t>
            </w:r>
            <w:r w:rsidR="002176B5">
              <w:rPr>
                <w:rStyle w:val="InstructionsTabelleberschrift"/>
                <w:rFonts w:ascii="Times New Roman" w:hAnsi="Times New Roman"/>
                <w:b w:val="0"/>
                <w:sz w:val="24"/>
                <w:u w:val="none"/>
              </w:rPr>
              <w:t xml:space="preserve"> v </w:t>
            </w:r>
            <w:r w:rsidRPr="002176B5">
              <w:rPr>
                <w:rStyle w:val="InstructionsTabelleberschrift"/>
                <w:rFonts w:ascii="Times New Roman" w:hAnsi="Times New Roman"/>
                <w:b w:val="0"/>
                <w:sz w:val="24"/>
                <w:u w:val="none"/>
              </w:rPr>
              <w:t>ojedinelých prípadoch, keď nebolo prijaté konečné rozhodnutie</w:t>
            </w:r>
            <w:r w:rsidR="002176B5">
              <w:rPr>
                <w:rStyle w:val="InstructionsTabelleberschrift"/>
                <w:rFonts w:ascii="Times New Roman" w:hAnsi="Times New Roman"/>
                <w:b w:val="0"/>
                <w:sz w:val="24"/>
                <w:u w:val="none"/>
              </w:rPr>
              <w:t xml:space="preserve"> o </w:t>
            </w:r>
            <w:r w:rsidRPr="002176B5">
              <w:rPr>
                <w:rStyle w:val="InstructionsTabelleberschrift"/>
                <w:rFonts w:ascii="Times New Roman" w:hAnsi="Times New Roman"/>
                <w:b w:val="0"/>
                <w:sz w:val="24"/>
                <w:u w:val="none"/>
              </w:rPr>
              <w:t>vykázaní určitých kapitálových položiek/odpočtov</w:t>
            </w:r>
            <w:r w:rsidR="002176B5">
              <w:rPr>
                <w:rStyle w:val="InstructionsTabelleberschrift"/>
                <w:rFonts w:ascii="Times New Roman" w:hAnsi="Times New Roman"/>
                <w:b w:val="0"/>
                <w:sz w:val="24"/>
                <w:u w:val="none"/>
              </w:rPr>
              <w:t xml:space="preserve"> v </w:t>
            </w:r>
            <w:r w:rsidRPr="002176B5">
              <w:rPr>
                <w:rStyle w:val="InstructionsTabelleberschrift"/>
                <w:rFonts w:ascii="Times New Roman" w:hAnsi="Times New Roman"/>
                <w:b w:val="0"/>
                <w:sz w:val="24"/>
                <w:u w:val="none"/>
              </w:rPr>
              <w:t>aktuálnom vzore CA1. Tento riadok sa preto vypĺňa, len keď prvok kapitálu AT1 alebo odpočet od prvku AT1 nie je možné priradiť</w:t>
            </w:r>
            <w:r w:rsidR="002176B5">
              <w:rPr>
                <w:rStyle w:val="InstructionsTabelleberschrift"/>
                <w:rFonts w:ascii="Times New Roman" w:hAnsi="Times New Roman"/>
                <w:b w:val="0"/>
                <w:sz w:val="24"/>
                <w:u w:val="none"/>
              </w:rPr>
              <w:t xml:space="preserve"> k </w:t>
            </w:r>
            <w:r w:rsidRPr="002176B5">
              <w:rPr>
                <w:rStyle w:val="InstructionsTabelleberschrift"/>
                <w:rFonts w:ascii="Times New Roman" w:hAnsi="Times New Roman"/>
                <w:b w:val="0"/>
                <w:sz w:val="24"/>
                <w:u w:val="none"/>
              </w:rPr>
              <w:t>žiadnemu</w:t>
            </w:r>
            <w:r w:rsidR="002176B5">
              <w:rPr>
                <w:rStyle w:val="InstructionsTabelleberschrift"/>
                <w:rFonts w:ascii="Times New Roman" w:hAnsi="Times New Roman"/>
                <w:b w:val="0"/>
                <w:sz w:val="24"/>
                <w:u w:val="none"/>
              </w:rPr>
              <w:t xml:space="preserve"> z </w:t>
            </w:r>
            <w:r w:rsidRPr="002176B5">
              <w:rPr>
                <w:rStyle w:val="InstructionsTabelleberschrift"/>
                <w:rFonts w:ascii="Times New Roman" w:hAnsi="Times New Roman"/>
                <w:b w:val="0"/>
                <w:sz w:val="24"/>
                <w:u w:val="none"/>
              </w:rPr>
              <w:t>riadkov 530 až 744</w:t>
            </w:r>
            <w:r w:rsidR="002176B5">
              <w:rPr>
                <w:rStyle w:val="InstructionsTabelleberschrift"/>
                <w:rFonts w:ascii="Times New Roman" w:hAnsi="Times New Roman"/>
                <w:b w:val="0"/>
                <w:sz w:val="24"/>
                <w:u w:val="none"/>
              </w:rPr>
              <w:t>.</w:t>
            </w:r>
          </w:p>
          <w:p w14:paraId="437FB1AC" w14:textId="72F5A2AC" w:rsidR="00CC7D2C" w:rsidRPr="002176B5" w:rsidRDefault="00CC7D2C" w:rsidP="00320EFD">
            <w:pPr>
              <w:pStyle w:val="InstructionsText"/>
              <w:rPr>
                <w:rStyle w:val="InstructionsTabelleberschrift"/>
                <w:rFonts w:ascii="Times New Roman" w:hAnsi="Times New Roman"/>
                <w:b w:val="0"/>
                <w:sz w:val="24"/>
                <w:u w:val="none"/>
              </w:rPr>
            </w:pPr>
            <w:r w:rsidRPr="002176B5">
              <w:rPr>
                <w:rStyle w:val="InstructionsTabelleberschrift"/>
                <w:rFonts w:ascii="Times New Roman" w:hAnsi="Times New Roman"/>
                <w:b w:val="0"/>
                <w:sz w:val="24"/>
                <w:u w:val="none"/>
              </w:rPr>
              <w:t>Tento riadok sa nepoužíva na začlenenie kapitálových položiek/odpočtov, ktoré nepokrýva</w:t>
            </w:r>
            <w:r w:rsidRPr="002176B5">
              <w:t xml:space="preserve"> nariadenie (EÚ) č. 575/2013</w:t>
            </w:r>
            <w:r w:rsidRPr="002176B5">
              <w:rPr>
                <w:rStyle w:val="InstructionsTabelleberschrift"/>
                <w:rFonts w:ascii="Times New Roman" w:hAnsi="Times New Roman"/>
                <w:b w:val="0"/>
                <w:sz w:val="24"/>
                <w:u w:val="none"/>
              </w:rPr>
              <w:t>, do výpočtu pomerov platobnej schopnosti (napr. začlenenie vnútroštátnych kapitálových položiek/odpočtov, ktoré nepatria do rozsahu pôsobnosti</w:t>
            </w:r>
            <w:r w:rsidRPr="002176B5">
              <w:t xml:space="preserve"> uvedeného nariadenia</w:t>
            </w:r>
            <w:r w:rsidRPr="002176B5">
              <w:rPr>
                <w:rStyle w:val="InstructionsTabelleberschrift"/>
                <w:rFonts w:ascii="Times New Roman" w:hAnsi="Times New Roman"/>
                <w:b w:val="0"/>
                <w:sz w:val="24"/>
                <w:u w:val="none"/>
              </w:rPr>
              <w:t>).</w:t>
            </w:r>
          </w:p>
        </w:tc>
      </w:tr>
      <w:tr w:rsidR="00CC7D2C" w:rsidRPr="002176B5" w14:paraId="0D98E6DF" w14:textId="77777777" w:rsidTr="00822842">
        <w:tc>
          <w:tcPr>
            <w:tcW w:w="1129" w:type="dxa"/>
          </w:tcPr>
          <w:p w14:paraId="099F2602"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0750</w:t>
            </w:r>
          </w:p>
        </w:tc>
        <w:tc>
          <w:tcPr>
            <w:tcW w:w="7620" w:type="dxa"/>
          </w:tcPr>
          <w:p w14:paraId="3981C270" w14:textId="77777777" w:rsidR="00CC7D2C" w:rsidRPr="002176B5" w:rsidRDefault="00CC7D2C" w:rsidP="00320EFD">
            <w:pPr>
              <w:pStyle w:val="InstructionsText"/>
              <w:rPr>
                <w:rStyle w:val="FormatvorlageInstructionsTabelleText"/>
                <w:rFonts w:ascii="Times New Roman" w:hAnsi="Times New Roman"/>
                <w:b/>
                <w:sz w:val="24"/>
                <w:u w:val="single"/>
              </w:rPr>
            </w:pPr>
            <w:r w:rsidRPr="002176B5">
              <w:rPr>
                <w:rStyle w:val="InstructionsTabelleberschrift"/>
                <w:rFonts w:ascii="Times New Roman" w:hAnsi="Times New Roman"/>
                <w:sz w:val="24"/>
              </w:rPr>
              <w:t>1.2.</w:t>
            </w:r>
            <w:r w:rsidRPr="002176B5">
              <w:tab/>
            </w:r>
            <w:r w:rsidRPr="002176B5">
              <w:rPr>
                <w:rStyle w:val="InstructionsTabelleberschrift"/>
                <w:rFonts w:ascii="Times New Roman" w:hAnsi="Times New Roman"/>
                <w:sz w:val="24"/>
              </w:rPr>
              <w:t>KAPITÁL TIER 2</w:t>
            </w:r>
          </w:p>
          <w:p w14:paraId="420D26DE"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 xml:space="preserve">Článok 71 </w:t>
            </w:r>
            <w:r w:rsidRPr="002176B5">
              <w:t>nariadenia (EÚ) č. 575/2013</w:t>
            </w:r>
          </w:p>
        </w:tc>
      </w:tr>
      <w:tr w:rsidR="00CC7D2C" w:rsidRPr="002176B5" w14:paraId="56549326" w14:textId="77777777" w:rsidTr="00822842">
        <w:tc>
          <w:tcPr>
            <w:tcW w:w="1129" w:type="dxa"/>
          </w:tcPr>
          <w:p w14:paraId="3DDDB2C8"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0760</w:t>
            </w:r>
          </w:p>
        </w:tc>
        <w:tc>
          <w:tcPr>
            <w:tcW w:w="7620" w:type="dxa"/>
          </w:tcPr>
          <w:p w14:paraId="7D207E37" w14:textId="5841FFC4" w:rsidR="00CC7D2C" w:rsidRPr="002176B5" w:rsidRDefault="00CC7D2C" w:rsidP="00320EFD">
            <w:pPr>
              <w:pStyle w:val="InstructionsText"/>
              <w:rPr>
                <w:rStyle w:val="FormatvorlageInstructionsTabelleText"/>
                <w:rFonts w:ascii="Times New Roman" w:hAnsi="Times New Roman"/>
                <w:b/>
                <w:sz w:val="24"/>
                <w:u w:val="single"/>
              </w:rPr>
            </w:pPr>
            <w:r w:rsidRPr="002176B5">
              <w:rPr>
                <w:rStyle w:val="InstructionsTabelleberschrift"/>
                <w:rFonts w:ascii="Times New Roman" w:hAnsi="Times New Roman"/>
                <w:sz w:val="24"/>
              </w:rPr>
              <w:t>1.2.1.</w:t>
            </w:r>
            <w:r w:rsidRPr="002176B5">
              <w:tab/>
            </w:r>
            <w:r w:rsidRPr="002176B5">
              <w:rPr>
                <w:rStyle w:val="InstructionsTabelleberschrift"/>
                <w:rFonts w:ascii="Times New Roman" w:hAnsi="Times New Roman"/>
                <w:sz w:val="24"/>
              </w:rPr>
              <w:t>Kapitálové nástroje</w:t>
            </w:r>
            <w:r w:rsidR="002176B5">
              <w:rPr>
                <w:rStyle w:val="InstructionsTabelleberschrift"/>
                <w:rFonts w:ascii="Times New Roman" w:hAnsi="Times New Roman"/>
                <w:sz w:val="24"/>
              </w:rPr>
              <w:t xml:space="preserve"> a </w:t>
            </w:r>
            <w:r w:rsidRPr="002176B5">
              <w:rPr>
                <w:rStyle w:val="InstructionsTabelleberschrift"/>
                <w:rFonts w:ascii="Times New Roman" w:hAnsi="Times New Roman"/>
                <w:sz w:val="24"/>
              </w:rPr>
              <w:t>emisné ážiá prípustné ako kapitál T2</w:t>
            </w:r>
          </w:p>
          <w:p w14:paraId="629702D5" w14:textId="06C6A2F4"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Článok 62 písm. a), články 63 až 65, článok 66 písm. a)</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 xml:space="preserve">článok 67 </w:t>
            </w:r>
            <w:r w:rsidRPr="002176B5">
              <w:t>nariadenia (EÚ) č. 575/2013</w:t>
            </w:r>
          </w:p>
        </w:tc>
      </w:tr>
      <w:tr w:rsidR="00CC7D2C" w:rsidRPr="002176B5" w14:paraId="5D1B7DAB" w14:textId="77777777" w:rsidTr="00822842">
        <w:tc>
          <w:tcPr>
            <w:tcW w:w="1129" w:type="dxa"/>
          </w:tcPr>
          <w:p w14:paraId="059DF69E"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0771</w:t>
            </w:r>
          </w:p>
        </w:tc>
        <w:tc>
          <w:tcPr>
            <w:tcW w:w="7620" w:type="dxa"/>
          </w:tcPr>
          <w:p w14:paraId="180ACEC3" w14:textId="77777777" w:rsidR="00CC7D2C" w:rsidRPr="002176B5" w:rsidRDefault="00CC7D2C" w:rsidP="00320EFD">
            <w:pPr>
              <w:pStyle w:val="InstructionsText"/>
              <w:rPr>
                <w:rStyle w:val="FormatvorlageInstructionsTabelleText"/>
                <w:rFonts w:ascii="Times New Roman" w:hAnsi="Times New Roman"/>
                <w:b/>
                <w:sz w:val="24"/>
                <w:u w:val="single"/>
              </w:rPr>
            </w:pPr>
            <w:r w:rsidRPr="002176B5">
              <w:rPr>
                <w:rStyle w:val="InstructionsTabelleberschrift"/>
                <w:rFonts w:ascii="Times New Roman" w:hAnsi="Times New Roman"/>
                <w:sz w:val="24"/>
              </w:rPr>
              <w:t>1.2.1.1.</w:t>
            </w:r>
            <w:r w:rsidRPr="002176B5">
              <w:tab/>
            </w:r>
            <w:r w:rsidRPr="002176B5">
              <w:rPr>
                <w:rStyle w:val="InstructionsTabelleberschrift"/>
                <w:rFonts w:ascii="Times New Roman" w:hAnsi="Times New Roman"/>
                <w:sz w:val="24"/>
              </w:rPr>
              <w:t>Úplne splatené, priamo emitované kapitálové nástroje</w:t>
            </w:r>
          </w:p>
          <w:p w14:paraId="71AACDA1" w14:textId="208A42FD"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Článok 62 písm. a), články 63</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65</w:t>
            </w:r>
            <w:r w:rsidRPr="002176B5">
              <w:t>nariadenia (EÚ) č. 575/2013</w:t>
            </w:r>
          </w:p>
          <w:p w14:paraId="1CF9BBC9" w14:textId="34CCE7C0" w:rsid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Vykazovaná hodnota nezahŕňa emisné ážio súvisiace</w:t>
            </w:r>
            <w:r w:rsidR="002176B5">
              <w:rPr>
                <w:rStyle w:val="FormatvorlageInstructionsTabelleText"/>
                <w:rFonts w:ascii="Times New Roman" w:hAnsi="Times New Roman"/>
                <w:sz w:val="24"/>
              </w:rPr>
              <w:t xml:space="preserve"> s </w:t>
            </w:r>
            <w:r w:rsidRPr="002176B5">
              <w:rPr>
                <w:rStyle w:val="FormatvorlageInstructionsTabelleText"/>
                <w:rFonts w:ascii="Times New Roman" w:hAnsi="Times New Roman"/>
                <w:sz w:val="24"/>
              </w:rPr>
              <w:t>nástrojmi</w:t>
            </w:r>
            <w:r w:rsidR="002176B5">
              <w:rPr>
                <w:rStyle w:val="FormatvorlageInstructionsTabelleText"/>
                <w:rFonts w:ascii="Times New Roman" w:hAnsi="Times New Roman"/>
                <w:sz w:val="24"/>
              </w:rPr>
              <w:t>.</w:t>
            </w:r>
          </w:p>
          <w:p w14:paraId="41546109" w14:textId="3D86944C"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Kapitálové nástroje môžu pozostávať</w:t>
            </w:r>
            <w:r w:rsidR="002176B5">
              <w:rPr>
                <w:rStyle w:val="FormatvorlageInstructionsTabelleText"/>
                <w:rFonts w:ascii="Times New Roman" w:hAnsi="Times New Roman"/>
                <w:sz w:val="24"/>
              </w:rPr>
              <w:t xml:space="preserve"> z </w:t>
            </w:r>
            <w:r w:rsidRPr="002176B5">
              <w:rPr>
                <w:rStyle w:val="FormatvorlageInstructionsTabelleText"/>
                <w:rFonts w:ascii="Times New Roman" w:hAnsi="Times New Roman"/>
                <w:sz w:val="24"/>
              </w:rPr>
              <w:t>vlastného imania alebo záväzkov vrátane podriadených úverov, ktoré spĺňajú kritériá prípustnosti.</w:t>
            </w:r>
          </w:p>
        </w:tc>
      </w:tr>
      <w:tr w:rsidR="00CC7D2C" w:rsidRPr="002176B5" w14:paraId="0562750A" w14:textId="77777777" w:rsidTr="00822842">
        <w:tc>
          <w:tcPr>
            <w:tcW w:w="1129" w:type="dxa"/>
          </w:tcPr>
          <w:p w14:paraId="02B0FC71"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0780</w:t>
            </w:r>
          </w:p>
        </w:tc>
        <w:tc>
          <w:tcPr>
            <w:tcW w:w="7620" w:type="dxa"/>
          </w:tcPr>
          <w:p w14:paraId="5AD11D11" w14:textId="77777777" w:rsidR="00CC7D2C" w:rsidRPr="002176B5" w:rsidRDefault="00CC7D2C" w:rsidP="00320EFD">
            <w:pPr>
              <w:pStyle w:val="InstructionsText"/>
              <w:rPr>
                <w:rStyle w:val="FormatvorlageInstructionsTabelleText"/>
                <w:rFonts w:ascii="Times New Roman" w:hAnsi="Times New Roman"/>
                <w:b/>
                <w:sz w:val="24"/>
                <w:u w:val="single"/>
              </w:rPr>
            </w:pPr>
            <w:r w:rsidRPr="002176B5">
              <w:rPr>
                <w:rStyle w:val="InstructionsTabelleberschrift"/>
                <w:rFonts w:ascii="Times New Roman" w:hAnsi="Times New Roman"/>
                <w:sz w:val="24"/>
              </w:rPr>
              <w:t>1.2.1.2. (*)</w:t>
            </w:r>
            <w:r w:rsidRPr="002176B5">
              <w:tab/>
            </w:r>
            <w:r w:rsidRPr="002176B5">
              <w:rPr>
                <w:rStyle w:val="InstructionsTabelleberschrift"/>
                <w:rFonts w:ascii="Times New Roman" w:hAnsi="Times New Roman"/>
                <w:sz w:val="24"/>
              </w:rPr>
              <w:t>Doplňujúca položka: neprípustné</w:t>
            </w:r>
            <w:r w:rsidRPr="002176B5">
              <w:t xml:space="preserve"> </w:t>
            </w:r>
            <w:r w:rsidRPr="002176B5">
              <w:rPr>
                <w:rStyle w:val="InstructionsTabelleberschrift"/>
                <w:rFonts w:ascii="Times New Roman" w:hAnsi="Times New Roman"/>
                <w:sz w:val="24"/>
              </w:rPr>
              <w:t>kapitálové nástroje</w:t>
            </w:r>
          </w:p>
          <w:p w14:paraId="235500DA" w14:textId="330EC7C3"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Článok 63 písm. c), e)</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f)</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článok 64</w:t>
            </w:r>
            <w:r w:rsidRPr="002176B5">
              <w:t xml:space="preserve"> nariadenia (EÚ) č. 575/2013</w:t>
            </w:r>
          </w:p>
          <w:p w14:paraId="0F0E765A" w14:textId="259CD3A4"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Podmienky</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týchto písmenách vyjadrujú rôzne situácie kapitálu, ktoré sa môžu zmeniť, preto hodnota vykazovaná</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tomto riadku môže byť</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ďalších obdobiach prípustná.</w:t>
            </w:r>
          </w:p>
          <w:p w14:paraId="38DF154A" w14:textId="37E19BB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Vykazovaná hodnota nezahŕňa emisné ážio súvisiace</w:t>
            </w:r>
            <w:r w:rsidR="002176B5">
              <w:rPr>
                <w:rStyle w:val="FormatvorlageInstructionsTabelleText"/>
                <w:rFonts w:ascii="Times New Roman" w:hAnsi="Times New Roman"/>
                <w:sz w:val="24"/>
              </w:rPr>
              <w:t xml:space="preserve"> s </w:t>
            </w:r>
            <w:r w:rsidRPr="002176B5">
              <w:rPr>
                <w:rStyle w:val="FormatvorlageInstructionsTabelleText"/>
                <w:rFonts w:ascii="Times New Roman" w:hAnsi="Times New Roman"/>
                <w:sz w:val="24"/>
              </w:rPr>
              <w:t>nástrojmi.</w:t>
            </w:r>
          </w:p>
          <w:p w14:paraId="6140935E" w14:textId="20CEB720"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Kapitálové nástroje môžu pozostávať</w:t>
            </w:r>
            <w:r w:rsidR="002176B5">
              <w:rPr>
                <w:rStyle w:val="FormatvorlageInstructionsTabelleText"/>
                <w:rFonts w:ascii="Times New Roman" w:hAnsi="Times New Roman"/>
                <w:sz w:val="24"/>
              </w:rPr>
              <w:t xml:space="preserve"> z </w:t>
            </w:r>
            <w:r w:rsidRPr="002176B5">
              <w:rPr>
                <w:rStyle w:val="FormatvorlageInstructionsTabelleText"/>
                <w:rFonts w:ascii="Times New Roman" w:hAnsi="Times New Roman"/>
                <w:sz w:val="24"/>
              </w:rPr>
              <w:t>vlastného imania alebo záväzkov vrátane podriadených úverov.</w:t>
            </w:r>
          </w:p>
        </w:tc>
      </w:tr>
      <w:tr w:rsidR="00CC7D2C" w:rsidRPr="002176B5" w14:paraId="320D14E4" w14:textId="77777777" w:rsidTr="00822842">
        <w:tc>
          <w:tcPr>
            <w:tcW w:w="1129" w:type="dxa"/>
          </w:tcPr>
          <w:p w14:paraId="2D30A5B9"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0791</w:t>
            </w:r>
          </w:p>
        </w:tc>
        <w:tc>
          <w:tcPr>
            <w:tcW w:w="7620" w:type="dxa"/>
          </w:tcPr>
          <w:p w14:paraId="3E5280AD" w14:textId="77777777" w:rsidR="00CC7D2C" w:rsidRPr="002176B5" w:rsidRDefault="00CC7D2C" w:rsidP="00320EFD">
            <w:pPr>
              <w:pStyle w:val="InstructionsText"/>
              <w:rPr>
                <w:rStyle w:val="FormatvorlageInstructionsTabelleText"/>
                <w:rFonts w:ascii="Times New Roman" w:hAnsi="Times New Roman"/>
                <w:b/>
                <w:sz w:val="24"/>
                <w:u w:val="single"/>
              </w:rPr>
            </w:pPr>
            <w:r w:rsidRPr="002176B5">
              <w:rPr>
                <w:rStyle w:val="InstructionsTabelleberschrift"/>
                <w:rFonts w:ascii="Times New Roman" w:hAnsi="Times New Roman"/>
                <w:sz w:val="24"/>
              </w:rPr>
              <w:t>1.2.1.3.</w:t>
            </w:r>
            <w:r w:rsidRPr="002176B5">
              <w:tab/>
            </w:r>
            <w:r w:rsidRPr="002176B5">
              <w:rPr>
                <w:rStyle w:val="InstructionsTabelleberschrift"/>
                <w:rFonts w:ascii="Times New Roman" w:hAnsi="Times New Roman"/>
                <w:sz w:val="24"/>
              </w:rPr>
              <w:t>Emisné ážio</w:t>
            </w:r>
          </w:p>
          <w:p w14:paraId="7E1F37D9" w14:textId="2DBB0F40"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Článok 62 písm. b)</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 xml:space="preserve">článok 65 </w:t>
            </w:r>
            <w:r w:rsidRPr="002176B5">
              <w:t>nariadenia (EÚ) č. 575/2013</w:t>
            </w:r>
          </w:p>
          <w:p w14:paraId="79D1AD3C" w14:textId="3D823B75" w:rsid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Emisné ážio má ten istý význam ako</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uplatniteľnom účtovnom štandarde</w:t>
            </w:r>
            <w:r w:rsidR="002176B5">
              <w:rPr>
                <w:rStyle w:val="FormatvorlageInstructionsTabelleText"/>
                <w:rFonts w:ascii="Times New Roman" w:hAnsi="Times New Roman"/>
                <w:sz w:val="24"/>
              </w:rPr>
              <w:t>.</w:t>
            </w:r>
          </w:p>
          <w:p w14:paraId="566D16B5" w14:textId="783A2BAF"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Hodnota, ktorá sa má vykázať</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tejto položke, zodpovedá časti súvisiacej</w:t>
            </w:r>
            <w:r w:rsidR="002176B5">
              <w:rPr>
                <w:rStyle w:val="FormatvorlageInstructionsTabelleText"/>
                <w:rFonts w:ascii="Times New Roman" w:hAnsi="Times New Roman"/>
                <w:sz w:val="24"/>
              </w:rPr>
              <w:t xml:space="preserve"> s </w:t>
            </w:r>
            <w:r w:rsidRPr="002176B5">
              <w:rPr>
                <w:rStyle w:val="FormatvorlageInstructionsTabelleText"/>
                <w:rFonts w:ascii="Times New Roman" w:hAnsi="Times New Roman"/>
                <w:sz w:val="24"/>
              </w:rPr>
              <w:t>„úplne splatenými</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priamo emitovanými kapitálovými nástrojmi“.</w:t>
            </w:r>
          </w:p>
        </w:tc>
      </w:tr>
      <w:tr w:rsidR="00CC7D2C" w:rsidRPr="002176B5" w14:paraId="0AD5B5F9" w14:textId="77777777" w:rsidTr="00822842">
        <w:tc>
          <w:tcPr>
            <w:tcW w:w="1129" w:type="dxa"/>
          </w:tcPr>
          <w:p w14:paraId="3AE74153"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0800</w:t>
            </w:r>
          </w:p>
        </w:tc>
        <w:tc>
          <w:tcPr>
            <w:tcW w:w="7620" w:type="dxa"/>
          </w:tcPr>
          <w:p w14:paraId="54C1E677" w14:textId="77777777" w:rsidR="00CC7D2C" w:rsidRPr="002176B5" w:rsidRDefault="00CC7D2C" w:rsidP="00320EFD">
            <w:pPr>
              <w:pStyle w:val="InstructionsText"/>
              <w:rPr>
                <w:rStyle w:val="FormatvorlageInstructionsTabelleText"/>
                <w:rFonts w:ascii="Times New Roman" w:hAnsi="Times New Roman"/>
                <w:b/>
                <w:sz w:val="24"/>
                <w:u w:val="single"/>
              </w:rPr>
            </w:pPr>
            <w:r w:rsidRPr="002176B5">
              <w:rPr>
                <w:rStyle w:val="InstructionsTabelleberschrift"/>
                <w:rFonts w:ascii="Times New Roman" w:hAnsi="Times New Roman"/>
                <w:sz w:val="24"/>
              </w:rPr>
              <w:t>1.2.1.4.</w:t>
            </w:r>
            <w:r w:rsidRPr="002176B5">
              <w:tab/>
            </w:r>
            <w:r w:rsidRPr="002176B5">
              <w:rPr>
                <w:rStyle w:val="InstructionsTabelleberschrift"/>
                <w:rFonts w:ascii="Times New Roman" w:hAnsi="Times New Roman"/>
                <w:sz w:val="24"/>
              </w:rPr>
              <w:t>(–) Nástroje vlastného T2</w:t>
            </w:r>
          </w:p>
          <w:p w14:paraId="2DB350DA" w14:textId="3362C90C"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lastRenderedPageBreak/>
              <w:t xml:space="preserve"> Článok 63 písm. b) bod i), článok 66 písm. a)</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 xml:space="preserve">článok 67 </w:t>
            </w:r>
            <w:r w:rsidRPr="002176B5">
              <w:t>nariadenia (EÚ) č. 575/2013</w:t>
            </w:r>
          </w:p>
          <w:p w14:paraId="53318B11" w14:textId="576D52D0"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Nástroje vlastného T2 držané vykazujúcou inštitúciou alebo skupinou</w:t>
            </w:r>
            <w:r w:rsidR="002176B5">
              <w:rPr>
                <w:rStyle w:val="FormatvorlageInstructionsTabelleText"/>
                <w:rFonts w:ascii="Times New Roman" w:hAnsi="Times New Roman"/>
                <w:sz w:val="24"/>
              </w:rPr>
              <w:t xml:space="preserve"> k </w:t>
            </w:r>
            <w:r w:rsidRPr="002176B5">
              <w:rPr>
                <w:rStyle w:val="FormatvorlageInstructionsTabelleText"/>
                <w:rFonts w:ascii="Times New Roman" w:hAnsi="Times New Roman"/>
                <w:sz w:val="24"/>
              </w:rPr>
              <w:t>dátumu vykazovania</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hodnoty nástrojov T2, ktoré sa majú odpočítať</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súlade</w:t>
            </w:r>
            <w:r w:rsidR="002176B5">
              <w:rPr>
                <w:rStyle w:val="FormatvorlageInstructionsTabelleText"/>
                <w:rFonts w:ascii="Times New Roman" w:hAnsi="Times New Roman"/>
                <w:sz w:val="24"/>
              </w:rPr>
              <w:t xml:space="preserve"> s </w:t>
            </w:r>
            <w:r w:rsidRPr="002176B5">
              <w:rPr>
                <w:rStyle w:val="FormatvorlageInstructionsTabelleText"/>
                <w:rFonts w:ascii="Times New Roman" w:hAnsi="Times New Roman"/>
                <w:sz w:val="24"/>
              </w:rPr>
              <w:t>článkom 28 ods. 2 delegovaného nariadenia (EÚ) č. 241/2014.</w:t>
            </w:r>
            <w:r w:rsidR="002176B5">
              <w:rPr>
                <w:rStyle w:val="FormatvorlageInstructionsTabelleText"/>
                <w:rFonts w:ascii="Times New Roman" w:hAnsi="Times New Roman"/>
                <w:sz w:val="24"/>
              </w:rPr>
              <w:t xml:space="preserve"> S </w:t>
            </w:r>
            <w:r w:rsidRPr="002176B5">
              <w:rPr>
                <w:rStyle w:val="FormatvorlageInstructionsTabelleText"/>
                <w:rFonts w:ascii="Times New Roman" w:hAnsi="Times New Roman"/>
                <w:sz w:val="24"/>
              </w:rPr>
              <w:t>výhradou výnimiek</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 xml:space="preserve">článku 67 </w:t>
            </w:r>
            <w:r w:rsidRPr="002176B5">
              <w:t>nariadenia (EÚ) č. 575/2013</w:t>
            </w:r>
            <w:r w:rsidRPr="002176B5">
              <w:rPr>
                <w:rStyle w:val="FormatvorlageInstructionsTabelleText"/>
                <w:rFonts w:ascii="Times New Roman" w:hAnsi="Times New Roman"/>
                <w:sz w:val="24"/>
              </w:rPr>
              <w:t>.</w:t>
            </w:r>
          </w:p>
          <w:p w14:paraId="2EB0FD25"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V tomto riadku sa nevykazujú podiely na akciách zahrnuté ako „neprípustné kapitálové nástroje“.</w:t>
            </w:r>
          </w:p>
          <w:p w14:paraId="56EC327B" w14:textId="765458F6"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Vykazovaná hodnota zahŕňa emisné ážio súvisiace</w:t>
            </w:r>
            <w:r w:rsidR="002176B5">
              <w:rPr>
                <w:rStyle w:val="FormatvorlageInstructionsTabelleText"/>
                <w:rFonts w:ascii="Times New Roman" w:hAnsi="Times New Roman"/>
                <w:sz w:val="24"/>
              </w:rPr>
              <w:t xml:space="preserve"> s </w:t>
            </w:r>
            <w:r w:rsidRPr="002176B5">
              <w:rPr>
                <w:rStyle w:val="FormatvorlageInstructionsTabelleText"/>
                <w:rFonts w:ascii="Times New Roman" w:hAnsi="Times New Roman"/>
                <w:sz w:val="24"/>
              </w:rPr>
              <w:t>vlastnými akciami.</w:t>
            </w:r>
          </w:p>
          <w:p w14:paraId="3E5981CF" w14:textId="5AB7F134"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Položky 1.2.1.4 až 1.2.1.4.3 nezahŕňajú skutočné alebo podmienené záväzky kúpiť nástroje vlastného T2. Skutočné alebo podmienené záväzky kúpiť nástroje vlastného T2 sa vykazujú osobitne</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položke 1.2.1.5.</w:t>
            </w:r>
          </w:p>
        </w:tc>
      </w:tr>
      <w:tr w:rsidR="00CC7D2C" w:rsidRPr="002176B5" w14:paraId="4BC336FD" w14:textId="77777777" w:rsidTr="00822842">
        <w:tc>
          <w:tcPr>
            <w:tcW w:w="1129" w:type="dxa"/>
          </w:tcPr>
          <w:p w14:paraId="43B2C7C8"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lastRenderedPageBreak/>
              <w:t>0810</w:t>
            </w:r>
          </w:p>
        </w:tc>
        <w:tc>
          <w:tcPr>
            <w:tcW w:w="7620" w:type="dxa"/>
          </w:tcPr>
          <w:p w14:paraId="3CA71195" w14:textId="77777777" w:rsidR="00CC7D2C" w:rsidRPr="002176B5" w:rsidRDefault="00CC7D2C" w:rsidP="00320EFD">
            <w:pPr>
              <w:pStyle w:val="InstructionsText"/>
              <w:rPr>
                <w:rStyle w:val="FormatvorlageInstructionsTabelleText"/>
                <w:rFonts w:ascii="Times New Roman" w:hAnsi="Times New Roman"/>
                <w:b/>
                <w:sz w:val="24"/>
                <w:u w:val="single"/>
              </w:rPr>
            </w:pPr>
            <w:r w:rsidRPr="002176B5">
              <w:rPr>
                <w:rStyle w:val="InstructionsTabelleberschrift"/>
                <w:rFonts w:ascii="Times New Roman" w:hAnsi="Times New Roman"/>
                <w:sz w:val="24"/>
              </w:rPr>
              <w:t>1.2.1.4.1.</w:t>
            </w:r>
            <w:r w:rsidRPr="002176B5">
              <w:tab/>
            </w:r>
            <w:r w:rsidRPr="002176B5">
              <w:rPr>
                <w:rStyle w:val="InstructionsTabelleberschrift"/>
                <w:rFonts w:ascii="Times New Roman" w:hAnsi="Times New Roman"/>
                <w:sz w:val="24"/>
              </w:rPr>
              <w:t>(–) Priame podiely na nástrojoch T2</w:t>
            </w:r>
          </w:p>
          <w:p w14:paraId="705A575E" w14:textId="0E9B8D09"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Článok 63 písm. b), článok 66 písm. a)</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 xml:space="preserve">článok 67 </w:t>
            </w:r>
            <w:r w:rsidRPr="002176B5">
              <w:t>nariadenia (EÚ) č. 575/2013</w:t>
            </w:r>
          </w:p>
          <w:p w14:paraId="54D6B3F9" w14:textId="0A6B5DDA"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 xml:space="preserve">Nástroje kapitálu </w:t>
            </w:r>
            <w:proofErr w:type="spellStart"/>
            <w:r w:rsidRPr="002176B5">
              <w:rPr>
                <w:rStyle w:val="FormatvorlageInstructionsTabelleText"/>
                <w:rFonts w:ascii="Times New Roman" w:hAnsi="Times New Roman"/>
                <w:sz w:val="24"/>
              </w:rPr>
              <w:t>Tier</w:t>
            </w:r>
            <w:proofErr w:type="spellEnd"/>
            <w:r w:rsidRPr="002176B5">
              <w:rPr>
                <w:rStyle w:val="FormatvorlageInstructionsTabelleText"/>
                <w:rFonts w:ascii="Times New Roman" w:hAnsi="Times New Roman"/>
                <w:sz w:val="24"/>
              </w:rPr>
              <w:t xml:space="preserve"> 2 zahrnuté</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položke 1.2.1.1 držané inštitúciami konsolidovanej skupiny</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hodnoty nástrojov T2, ktoré sa majú odpočítať</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súlade</w:t>
            </w:r>
            <w:r w:rsidR="002176B5">
              <w:rPr>
                <w:rStyle w:val="FormatvorlageInstructionsTabelleText"/>
                <w:rFonts w:ascii="Times New Roman" w:hAnsi="Times New Roman"/>
                <w:sz w:val="24"/>
              </w:rPr>
              <w:t xml:space="preserve"> s </w:t>
            </w:r>
            <w:r w:rsidRPr="002176B5">
              <w:rPr>
                <w:rStyle w:val="FormatvorlageInstructionsTabelleText"/>
                <w:rFonts w:ascii="Times New Roman" w:hAnsi="Times New Roman"/>
                <w:sz w:val="24"/>
              </w:rPr>
              <w:t xml:space="preserve">článkom 28 ods. 2 delegovaného nariadenia (EÚ) č. 241/2014. </w:t>
            </w:r>
          </w:p>
        </w:tc>
      </w:tr>
      <w:tr w:rsidR="00CC7D2C" w:rsidRPr="002176B5" w14:paraId="6AC511C9" w14:textId="77777777" w:rsidTr="00822842">
        <w:tc>
          <w:tcPr>
            <w:tcW w:w="1129" w:type="dxa"/>
          </w:tcPr>
          <w:p w14:paraId="1B217874"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0840</w:t>
            </w:r>
          </w:p>
        </w:tc>
        <w:tc>
          <w:tcPr>
            <w:tcW w:w="7620" w:type="dxa"/>
          </w:tcPr>
          <w:p w14:paraId="6E16CD3C" w14:textId="77777777" w:rsidR="00CC7D2C" w:rsidRPr="002176B5" w:rsidRDefault="00CC7D2C" w:rsidP="00320EFD">
            <w:pPr>
              <w:pStyle w:val="InstructionsText"/>
              <w:rPr>
                <w:rStyle w:val="FormatvorlageInstructionsTabelleText"/>
                <w:rFonts w:ascii="Times New Roman" w:hAnsi="Times New Roman"/>
                <w:b/>
                <w:sz w:val="24"/>
                <w:u w:val="single"/>
              </w:rPr>
            </w:pPr>
            <w:r w:rsidRPr="002176B5">
              <w:rPr>
                <w:rStyle w:val="InstructionsTabelleberschrift"/>
                <w:rFonts w:ascii="Times New Roman" w:hAnsi="Times New Roman"/>
                <w:sz w:val="24"/>
              </w:rPr>
              <w:t>1.2.1.4.2.</w:t>
            </w:r>
            <w:r w:rsidRPr="002176B5">
              <w:tab/>
            </w:r>
            <w:r w:rsidRPr="002176B5">
              <w:rPr>
                <w:rStyle w:val="InstructionsTabelleberschrift"/>
                <w:rFonts w:ascii="Times New Roman" w:hAnsi="Times New Roman"/>
                <w:sz w:val="24"/>
              </w:rPr>
              <w:t>(–) Nepriame podiely na nástrojoch T2</w:t>
            </w:r>
          </w:p>
          <w:p w14:paraId="7BCC617E" w14:textId="0B06949C"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 xml:space="preserve"> Článok 4 ods. 1 bod 114, článok 63 písm. b), článok 66 písm. a)</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článok 67</w:t>
            </w:r>
            <w:r w:rsidRPr="002176B5">
              <w:t>nariadenia (EÚ) č. 575/2013</w:t>
            </w:r>
          </w:p>
        </w:tc>
      </w:tr>
      <w:tr w:rsidR="00CC7D2C" w:rsidRPr="002176B5" w14:paraId="49F7D7F3" w14:textId="77777777" w:rsidTr="00822842">
        <w:tc>
          <w:tcPr>
            <w:tcW w:w="1129" w:type="dxa"/>
          </w:tcPr>
          <w:p w14:paraId="25484555"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0841</w:t>
            </w:r>
          </w:p>
        </w:tc>
        <w:tc>
          <w:tcPr>
            <w:tcW w:w="7620" w:type="dxa"/>
          </w:tcPr>
          <w:p w14:paraId="6098845A" w14:textId="77777777" w:rsidR="00CC7D2C" w:rsidRPr="002176B5" w:rsidRDefault="00CC7D2C" w:rsidP="00320EFD">
            <w:pPr>
              <w:pStyle w:val="InstructionsText"/>
              <w:rPr>
                <w:rStyle w:val="FormatvorlageInstructionsTabelleText"/>
                <w:rFonts w:ascii="Times New Roman" w:hAnsi="Times New Roman"/>
                <w:b/>
                <w:sz w:val="24"/>
                <w:u w:val="single"/>
              </w:rPr>
            </w:pPr>
            <w:r w:rsidRPr="002176B5">
              <w:rPr>
                <w:rStyle w:val="InstructionsTabelleberschrift"/>
                <w:rFonts w:ascii="Times New Roman" w:hAnsi="Times New Roman"/>
                <w:sz w:val="24"/>
              </w:rPr>
              <w:t>1.2.1.4.3.</w:t>
            </w:r>
            <w:r w:rsidRPr="002176B5">
              <w:tab/>
            </w:r>
            <w:r w:rsidRPr="002176B5">
              <w:rPr>
                <w:rStyle w:val="InstructionsTabelleberschrift"/>
                <w:rFonts w:ascii="Times New Roman" w:hAnsi="Times New Roman"/>
                <w:sz w:val="24"/>
              </w:rPr>
              <w:t>(–) Syntetické podiely na nástrojoch T2</w:t>
            </w:r>
          </w:p>
          <w:p w14:paraId="561A4C8E" w14:textId="435D06EA" w:rsidR="00CC7D2C" w:rsidRPr="002176B5" w:rsidRDefault="00CC7D2C" w:rsidP="00320EFD">
            <w:pPr>
              <w:pStyle w:val="InstructionsText"/>
              <w:rPr>
                <w:rStyle w:val="InstructionsTabelleberschrift"/>
                <w:rFonts w:ascii="Times New Roman" w:hAnsi="Times New Roman"/>
                <w:b w:val="0"/>
                <w:sz w:val="24"/>
                <w:u w:val="none"/>
              </w:rPr>
            </w:pPr>
            <w:r w:rsidRPr="002176B5">
              <w:rPr>
                <w:rStyle w:val="FormatvorlageInstructionsTabelleText"/>
                <w:rFonts w:ascii="Times New Roman" w:hAnsi="Times New Roman"/>
                <w:sz w:val="24"/>
              </w:rPr>
              <w:t>Článok 4 ods. 1 bod 126, článok 63 písm. b), článok 66 písm. a)</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článok 67</w:t>
            </w:r>
            <w:r w:rsidRPr="002176B5">
              <w:t>nariadenia (EÚ) č. 575/2013</w:t>
            </w:r>
          </w:p>
        </w:tc>
      </w:tr>
      <w:tr w:rsidR="00CC7D2C" w:rsidRPr="002176B5" w14:paraId="5150E3CB" w14:textId="77777777" w:rsidTr="00822842">
        <w:tc>
          <w:tcPr>
            <w:tcW w:w="1129" w:type="dxa"/>
          </w:tcPr>
          <w:p w14:paraId="4424627D"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0842</w:t>
            </w:r>
          </w:p>
        </w:tc>
        <w:tc>
          <w:tcPr>
            <w:tcW w:w="7620" w:type="dxa"/>
          </w:tcPr>
          <w:p w14:paraId="42E32DC0" w14:textId="77777777" w:rsidR="00CC7D2C" w:rsidRPr="002176B5" w:rsidRDefault="00CC7D2C" w:rsidP="00320EFD">
            <w:pPr>
              <w:pStyle w:val="InstructionsText"/>
              <w:rPr>
                <w:rStyle w:val="InstructionsTabelleberschrift"/>
                <w:rFonts w:ascii="Times New Roman" w:hAnsi="Times New Roman"/>
                <w:b w:val="0"/>
                <w:sz w:val="24"/>
              </w:rPr>
            </w:pPr>
            <w:r w:rsidRPr="002176B5">
              <w:rPr>
                <w:rStyle w:val="InstructionsTabelleberschrift"/>
                <w:rFonts w:ascii="Times New Roman" w:hAnsi="Times New Roman"/>
                <w:sz w:val="24"/>
              </w:rPr>
              <w:t>1.2.1.5.</w:t>
            </w:r>
            <w:r w:rsidRPr="002176B5">
              <w:tab/>
            </w:r>
            <w:r w:rsidRPr="002176B5">
              <w:rPr>
                <w:rStyle w:val="InstructionsTabelleberschrift"/>
                <w:rFonts w:ascii="Times New Roman" w:hAnsi="Times New Roman"/>
                <w:sz w:val="24"/>
              </w:rPr>
              <w:t>(–) Skutočné alebo podmienené záväzky kúpiť nástroje vlastného T2</w:t>
            </w:r>
          </w:p>
          <w:p w14:paraId="205EFE83" w14:textId="2341F496"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Článok 66 písm. a)</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 xml:space="preserve">článok 67 </w:t>
            </w:r>
            <w:r w:rsidRPr="002176B5">
              <w:t>nariadenia (EÚ) č. 575/2013</w:t>
            </w:r>
          </w:p>
          <w:p w14:paraId="7756A04F" w14:textId="571817D4" w:rsidR="00CC7D2C" w:rsidRPr="002176B5" w:rsidRDefault="00CC7D2C" w:rsidP="00320EFD">
            <w:pPr>
              <w:pStyle w:val="InstructionsText"/>
              <w:rPr>
                <w:rStyle w:val="InstructionsTabelleberschrift"/>
                <w:rFonts w:ascii="Times New Roman" w:hAnsi="Times New Roman"/>
                <w:b w:val="0"/>
                <w:bCs w:val="0"/>
                <w:sz w:val="24"/>
                <w:u w:val="none"/>
              </w:rPr>
            </w:pPr>
            <w:r w:rsidRPr="002176B5">
              <w:rPr>
                <w:rStyle w:val="InstructionsTabelleberschrift"/>
                <w:b w:val="0"/>
                <w:u w:val="none"/>
              </w:rPr>
              <w:t xml:space="preserve">Podľa </w:t>
            </w:r>
            <w:r w:rsidRPr="002176B5">
              <w:rPr>
                <w:rStyle w:val="FormatvorlageInstructionsTabelleText"/>
              </w:rPr>
              <w:t xml:space="preserve">článku 66 písm. a) </w:t>
            </w:r>
            <w:r w:rsidRPr="002176B5">
              <w:t>nariadenia (EÚ) č. 575/2013</w:t>
            </w:r>
            <w:r w:rsidRPr="002176B5">
              <w:rPr>
                <w:rStyle w:val="InstructionsTabelleberschrift"/>
                <w:rFonts w:ascii="Times New Roman" w:hAnsi="Times New Roman"/>
                <w:b w:val="0"/>
                <w:sz w:val="24"/>
                <w:u w:val="none"/>
              </w:rPr>
              <w:t>sa odpočítavajú „</w:t>
            </w:r>
            <w:r w:rsidRPr="002176B5">
              <w:t xml:space="preserve">nástroje vlastného kapitálu </w:t>
            </w:r>
            <w:proofErr w:type="spellStart"/>
            <w:r w:rsidRPr="002176B5">
              <w:t>Tier</w:t>
            </w:r>
            <w:proofErr w:type="spellEnd"/>
            <w:r w:rsidRPr="002176B5">
              <w:t xml:space="preserve"> 2, ktoré by inštitúcia mohla byť povinná odkúpiť</w:t>
            </w:r>
            <w:r w:rsidR="002176B5">
              <w:t xml:space="preserve"> v </w:t>
            </w:r>
            <w:r w:rsidRPr="002176B5">
              <w:t>dôsledku existujúcich zmluvných záväzkov“.</w:t>
            </w:r>
          </w:p>
        </w:tc>
      </w:tr>
      <w:tr w:rsidR="00CC7D2C" w:rsidRPr="002176B5" w14:paraId="74C787B7" w14:textId="77777777" w:rsidTr="00822842">
        <w:tc>
          <w:tcPr>
            <w:tcW w:w="1129" w:type="dxa"/>
          </w:tcPr>
          <w:p w14:paraId="273FCE92"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0880</w:t>
            </w:r>
          </w:p>
        </w:tc>
        <w:tc>
          <w:tcPr>
            <w:tcW w:w="7620" w:type="dxa"/>
          </w:tcPr>
          <w:p w14:paraId="2E8B9BB0" w14:textId="77777777" w:rsid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1.2.2.</w:t>
            </w:r>
            <w:r w:rsidRPr="002176B5">
              <w:tab/>
            </w:r>
            <w:r w:rsidRPr="002176B5">
              <w:rPr>
                <w:rStyle w:val="InstructionsTabelleberschrift"/>
                <w:rFonts w:ascii="Times New Roman" w:hAnsi="Times New Roman"/>
                <w:sz w:val="24"/>
              </w:rPr>
              <w:t>Prechodné úpravy na základe nástrojov kapitálu T2, ktoré sa zachovali</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predchádzajúcom stave</w:t>
            </w:r>
          </w:p>
          <w:p w14:paraId="3907A268" w14:textId="38C9BE05"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Článok 483 ods. 6</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7, články 484, 486, 488, 490</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491</w:t>
            </w:r>
            <w:r w:rsidRPr="002176B5">
              <w:t>nariadenia (EÚ) č. 575/2013</w:t>
            </w:r>
          </w:p>
          <w:p w14:paraId="74EE4B31" w14:textId="281B1CBC"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Hodnota kapitálových nástrojov, ktoré sa prechodne zachovali</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predchádzajúcom stave ako T2. Vykazovaná hodnota sa získa priamo zo vzoru CA5.</w:t>
            </w:r>
          </w:p>
        </w:tc>
      </w:tr>
      <w:tr w:rsidR="00CC7D2C" w:rsidRPr="002176B5" w14:paraId="3804921C" w14:textId="77777777" w:rsidTr="00822842">
        <w:tc>
          <w:tcPr>
            <w:tcW w:w="1129" w:type="dxa"/>
          </w:tcPr>
          <w:p w14:paraId="25AE6D7F"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0890</w:t>
            </w:r>
          </w:p>
        </w:tc>
        <w:tc>
          <w:tcPr>
            <w:tcW w:w="7620" w:type="dxa"/>
          </w:tcPr>
          <w:p w14:paraId="2FAB57E9" w14:textId="70E70785" w:rsidR="00CC7D2C" w:rsidRPr="002176B5" w:rsidRDefault="00CC7D2C" w:rsidP="00320EFD">
            <w:pPr>
              <w:pStyle w:val="InstructionsText"/>
              <w:rPr>
                <w:rStyle w:val="FormatvorlageInstructionsTabelleText"/>
                <w:rFonts w:ascii="Times New Roman" w:hAnsi="Times New Roman"/>
                <w:b/>
                <w:sz w:val="24"/>
                <w:u w:val="single"/>
              </w:rPr>
            </w:pPr>
            <w:r w:rsidRPr="002176B5">
              <w:rPr>
                <w:rStyle w:val="InstructionsTabelleberschrift"/>
                <w:rFonts w:ascii="Times New Roman" w:hAnsi="Times New Roman"/>
                <w:sz w:val="24"/>
              </w:rPr>
              <w:t>1.2.3.</w:t>
            </w:r>
            <w:r w:rsidRPr="002176B5">
              <w:tab/>
            </w:r>
            <w:r w:rsidRPr="002176B5">
              <w:rPr>
                <w:rStyle w:val="InstructionsTabelleberschrift"/>
                <w:rFonts w:ascii="Times New Roman" w:hAnsi="Times New Roman"/>
                <w:sz w:val="24"/>
              </w:rPr>
              <w:t>Nástroje emitované dcérskymi spoločnosťami, ktoré sa uznali</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kapitáli T2</w:t>
            </w:r>
          </w:p>
          <w:p w14:paraId="5B585704" w14:textId="34876EF9"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Články 83, 87</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 xml:space="preserve">88 </w:t>
            </w:r>
            <w:r w:rsidRPr="002176B5">
              <w:t>nariadenia (EÚ) č. 575/2013</w:t>
            </w:r>
          </w:p>
          <w:p w14:paraId="670F1855"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lastRenderedPageBreak/>
              <w:t>Súčet všetkých hodnôt kvalifikovaných vlastných zdrojov dcérskych spoločností, ktoré sa zahrnuli do konsolidovaného T2.</w:t>
            </w:r>
          </w:p>
          <w:p w14:paraId="49255397"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 xml:space="preserve">Zahrnie sa kvalifikovaný kapitál </w:t>
            </w:r>
            <w:proofErr w:type="spellStart"/>
            <w:r w:rsidRPr="002176B5">
              <w:rPr>
                <w:rStyle w:val="FormatvorlageInstructionsTabelleText"/>
                <w:rFonts w:ascii="Times New Roman" w:hAnsi="Times New Roman"/>
                <w:sz w:val="24"/>
              </w:rPr>
              <w:t>Tier</w:t>
            </w:r>
            <w:proofErr w:type="spellEnd"/>
            <w:r w:rsidRPr="002176B5">
              <w:rPr>
                <w:rStyle w:val="FormatvorlageInstructionsTabelleText"/>
                <w:rFonts w:ascii="Times New Roman" w:hAnsi="Times New Roman"/>
                <w:sz w:val="24"/>
              </w:rPr>
              <w:t> 2 emitovaný účelovo vytvoreným subjektom [článok 83</w:t>
            </w:r>
            <w:r w:rsidRPr="002176B5">
              <w:t xml:space="preserve"> nariadenia (EÚ) č. 575/2013</w:t>
            </w:r>
            <w:r w:rsidRPr="002176B5">
              <w:rPr>
                <w:rStyle w:val="FormatvorlageInstructionsTabelleText"/>
                <w:rFonts w:ascii="Times New Roman" w:hAnsi="Times New Roman"/>
                <w:sz w:val="24"/>
              </w:rPr>
              <w:t>].</w:t>
            </w:r>
          </w:p>
        </w:tc>
      </w:tr>
      <w:tr w:rsidR="00CC7D2C" w:rsidRPr="002176B5" w14:paraId="664A0254" w14:textId="77777777" w:rsidTr="00822842">
        <w:tc>
          <w:tcPr>
            <w:tcW w:w="1129" w:type="dxa"/>
          </w:tcPr>
          <w:p w14:paraId="2266163D"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lastRenderedPageBreak/>
              <w:t>0900</w:t>
            </w:r>
          </w:p>
        </w:tc>
        <w:tc>
          <w:tcPr>
            <w:tcW w:w="7620" w:type="dxa"/>
          </w:tcPr>
          <w:p w14:paraId="416FE260" w14:textId="44FB3785" w:rsidR="00CC7D2C" w:rsidRPr="002176B5" w:rsidRDefault="00CC7D2C" w:rsidP="00320EFD">
            <w:pPr>
              <w:pStyle w:val="InstructionsText"/>
              <w:rPr>
                <w:rStyle w:val="FormatvorlageInstructionsTabelleText"/>
                <w:rFonts w:ascii="Times New Roman" w:hAnsi="Times New Roman"/>
                <w:b/>
                <w:sz w:val="24"/>
                <w:u w:val="single"/>
              </w:rPr>
            </w:pPr>
            <w:r w:rsidRPr="002176B5">
              <w:rPr>
                <w:rStyle w:val="InstructionsTabelleberschrift"/>
                <w:rFonts w:ascii="Times New Roman" w:hAnsi="Times New Roman"/>
                <w:sz w:val="24"/>
              </w:rPr>
              <w:t>1.2.4.</w:t>
            </w:r>
            <w:r w:rsidRPr="002176B5">
              <w:tab/>
            </w:r>
            <w:r w:rsidRPr="002176B5">
              <w:rPr>
                <w:rStyle w:val="InstructionsTabelleberschrift"/>
                <w:rFonts w:ascii="Times New Roman" w:hAnsi="Times New Roman"/>
                <w:sz w:val="24"/>
              </w:rPr>
              <w:t>Prechodné úpravy na základe dodatočného vykázania nástrojov emitovaných dcérskymi spoločnosťami</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kapitáli T2</w:t>
            </w:r>
          </w:p>
          <w:p w14:paraId="7C4C49E6"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 xml:space="preserve">Článok 480 </w:t>
            </w:r>
            <w:r w:rsidRPr="002176B5">
              <w:t>nariadenia (EÚ) č. 575/2013</w:t>
            </w:r>
          </w:p>
          <w:p w14:paraId="15BBF245"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Úpravy kvalifikovaných vlastných zdrojov zahrnutých do konsolidovaného kapitálu T2 na základe prechodných ustanovení. Táto položka sa získa priamo zo vzoru CA5.</w:t>
            </w:r>
          </w:p>
        </w:tc>
      </w:tr>
      <w:tr w:rsidR="00CC7D2C" w:rsidRPr="002176B5" w14:paraId="6A638479" w14:textId="77777777" w:rsidTr="00822842">
        <w:tc>
          <w:tcPr>
            <w:tcW w:w="1129" w:type="dxa"/>
          </w:tcPr>
          <w:p w14:paraId="4048325F"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0910</w:t>
            </w:r>
          </w:p>
        </w:tc>
        <w:tc>
          <w:tcPr>
            <w:tcW w:w="7620" w:type="dxa"/>
          </w:tcPr>
          <w:p w14:paraId="2CC148E5" w14:textId="77777777" w:rsidR="00CC7D2C" w:rsidRPr="002176B5" w:rsidRDefault="00CC7D2C" w:rsidP="00320EFD">
            <w:pPr>
              <w:pStyle w:val="InstructionsText"/>
              <w:rPr>
                <w:rStyle w:val="FormatvorlageInstructionsTabelleText"/>
                <w:rFonts w:ascii="Times New Roman" w:hAnsi="Times New Roman"/>
                <w:b/>
                <w:sz w:val="24"/>
                <w:u w:val="single"/>
              </w:rPr>
            </w:pPr>
            <w:r w:rsidRPr="002176B5">
              <w:rPr>
                <w:rStyle w:val="InstructionsTabelleberschrift"/>
                <w:rFonts w:ascii="Times New Roman" w:hAnsi="Times New Roman"/>
                <w:sz w:val="24"/>
              </w:rPr>
              <w:t>1.2.5.</w:t>
            </w:r>
            <w:r w:rsidRPr="002176B5">
              <w:tab/>
            </w:r>
            <w:r w:rsidRPr="002176B5">
              <w:rPr>
                <w:rStyle w:val="InstructionsTabelleberschrift"/>
                <w:rFonts w:ascii="Times New Roman" w:hAnsi="Times New Roman"/>
                <w:sz w:val="24"/>
              </w:rPr>
              <w:t>Nadbytok rezerv nad prípustnými očakávanými stratami pri prístupe IRB</w:t>
            </w:r>
          </w:p>
          <w:p w14:paraId="0E163FA1"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 xml:space="preserve">Článok 62 písm. d) </w:t>
            </w:r>
            <w:r w:rsidRPr="002176B5">
              <w:t>nariadenia (EÚ) č. 575/2013</w:t>
            </w:r>
          </w:p>
          <w:p w14:paraId="0693AD14" w14:textId="38139812"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V prípade inštitúcií, ktoré vypočítavajú hodnoty rizikovo vážených expozícií</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súlade</w:t>
            </w:r>
            <w:r w:rsidR="002176B5">
              <w:rPr>
                <w:rStyle w:val="FormatvorlageInstructionsTabelleText"/>
                <w:rFonts w:ascii="Times New Roman" w:hAnsi="Times New Roman"/>
                <w:sz w:val="24"/>
              </w:rPr>
              <w:t xml:space="preserve"> s </w:t>
            </w:r>
            <w:r w:rsidRPr="002176B5">
              <w:rPr>
                <w:rStyle w:val="FormatvorlageInstructionsTabelleText"/>
                <w:rFonts w:ascii="Times New Roman" w:hAnsi="Times New Roman"/>
                <w:sz w:val="24"/>
              </w:rPr>
              <w:t>prístupom IRB, obsahuje táto položka kladné hodnoty vyplývajúce</w:t>
            </w:r>
            <w:r w:rsidR="002176B5">
              <w:rPr>
                <w:rStyle w:val="FormatvorlageInstructionsTabelleText"/>
                <w:rFonts w:ascii="Times New Roman" w:hAnsi="Times New Roman"/>
                <w:sz w:val="24"/>
              </w:rPr>
              <w:t xml:space="preserve"> z </w:t>
            </w:r>
            <w:r w:rsidRPr="002176B5">
              <w:rPr>
                <w:rStyle w:val="FormatvorlageInstructionsTabelleText"/>
                <w:rFonts w:ascii="Times New Roman" w:hAnsi="Times New Roman"/>
                <w:sz w:val="24"/>
              </w:rPr>
              <w:t>porovnania rezerv</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očakávaných strát, ktoré sú prípustné ako kapitál T2.</w:t>
            </w:r>
          </w:p>
        </w:tc>
      </w:tr>
      <w:tr w:rsidR="00CC7D2C" w:rsidRPr="002176B5" w14:paraId="408881FB" w14:textId="77777777" w:rsidTr="00822842">
        <w:tc>
          <w:tcPr>
            <w:tcW w:w="1129" w:type="dxa"/>
          </w:tcPr>
          <w:p w14:paraId="06DDF63E"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0920</w:t>
            </w:r>
          </w:p>
        </w:tc>
        <w:tc>
          <w:tcPr>
            <w:tcW w:w="7620" w:type="dxa"/>
          </w:tcPr>
          <w:p w14:paraId="0C3C6BAA" w14:textId="6A03390F" w:rsidR="00CC7D2C" w:rsidRPr="002176B5" w:rsidRDefault="00CC7D2C" w:rsidP="00320EFD">
            <w:pPr>
              <w:pStyle w:val="InstructionsText"/>
              <w:rPr>
                <w:rStyle w:val="FormatvorlageInstructionsTabelleText"/>
                <w:rFonts w:ascii="Times New Roman" w:hAnsi="Times New Roman"/>
                <w:b/>
                <w:sz w:val="24"/>
                <w:u w:val="single"/>
              </w:rPr>
            </w:pPr>
            <w:r w:rsidRPr="002176B5">
              <w:rPr>
                <w:rStyle w:val="InstructionsTabelleberschrift"/>
                <w:rFonts w:ascii="Times New Roman" w:hAnsi="Times New Roman"/>
                <w:sz w:val="24"/>
              </w:rPr>
              <w:t>1.2.6.</w:t>
            </w:r>
            <w:r w:rsidRPr="002176B5">
              <w:tab/>
            </w:r>
            <w:r w:rsidRPr="002176B5">
              <w:rPr>
                <w:rStyle w:val="InstructionsTabelleberschrift"/>
                <w:rFonts w:ascii="Times New Roman" w:hAnsi="Times New Roman"/>
                <w:sz w:val="24"/>
              </w:rPr>
              <w:t>Všeobecné úpravy kreditného rizika</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rámci štandardizovaného prístupu</w:t>
            </w:r>
          </w:p>
          <w:p w14:paraId="04FB02A6"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 xml:space="preserve">Článok 62 písm. c) </w:t>
            </w:r>
            <w:r w:rsidRPr="002176B5">
              <w:t>nariadenia (EÚ) č. 575/2013</w:t>
            </w:r>
          </w:p>
          <w:p w14:paraId="2CA13C06" w14:textId="532B8FF1"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V prípade inštitúcií, ktoré vypočítavajú hodnoty rizikovo vážených expozícií</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súlade so štandardizovaným prístupom, obsahuje táto položka všeobecné úpravy kreditného rizika prípustné ako kapitál T2.</w:t>
            </w:r>
          </w:p>
        </w:tc>
      </w:tr>
      <w:tr w:rsidR="00CC7D2C" w:rsidRPr="002176B5" w14:paraId="38A9300A" w14:textId="77777777" w:rsidTr="00822842">
        <w:tc>
          <w:tcPr>
            <w:tcW w:w="1129" w:type="dxa"/>
          </w:tcPr>
          <w:p w14:paraId="4FEF3ED1"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0930</w:t>
            </w:r>
          </w:p>
        </w:tc>
        <w:tc>
          <w:tcPr>
            <w:tcW w:w="7620" w:type="dxa"/>
          </w:tcPr>
          <w:p w14:paraId="2849C074" w14:textId="77777777" w:rsidR="00CC7D2C" w:rsidRPr="002176B5" w:rsidRDefault="00CC7D2C" w:rsidP="00320EFD">
            <w:pPr>
              <w:pStyle w:val="InstructionsText"/>
              <w:rPr>
                <w:rStyle w:val="FormatvorlageInstructionsTabelleText"/>
                <w:rFonts w:ascii="Times New Roman" w:hAnsi="Times New Roman"/>
                <w:b/>
                <w:sz w:val="24"/>
                <w:u w:val="single"/>
              </w:rPr>
            </w:pPr>
            <w:r w:rsidRPr="002176B5">
              <w:rPr>
                <w:rStyle w:val="InstructionsTabelleberschrift"/>
                <w:rFonts w:ascii="Times New Roman" w:hAnsi="Times New Roman"/>
                <w:sz w:val="24"/>
              </w:rPr>
              <w:t>1.2.7.</w:t>
            </w:r>
            <w:r w:rsidRPr="002176B5">
              <w:tab/>
            </w:r>
            <w:r w:rsidRPr="002176B5">
              <w:rPr>
                <w:rStyle w:val="InstructionsTabelleberschrift"/>
                <w:rFonts w:ascii="Times New Roman" w:hAnsi="Times New Roman"/>
                <w:sz w:val="24"/>
              </w:rPr>
              <w:t>(–) Recipročné krížové podiely na kapitáli T2</w:t>
            </w:r>
          </w:p>
          <w:p w14:paraId="3068E487" w14:textId="2479F68B"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Článok 4 ods. 1 bod 122, článok 66 písm. b)</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 xml:space="preserve">článok 68 </w:t>
            </w:r>
            <w:r w:rsidRPr="002176B5">
              <w:t>nariadenia (EÚ) č. 575/2013</w:t>
            </w:r>
          </w:p>
          <w:p w14:paraId="4313E656" w14:textId="667879F5"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Podiely na nástrojoch T2 subjektov finančného sektora [podľa vymedzenia</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článku 4 ods. 1 bode 27</w:t>
            </w:r>
            <w:r w:rsidRPr="002176B5">
              <w:t xml:space="preserve"> nariadenia (EÚ) č. 575/2013</w:t>
            </w:r>
            <w:r w:rsidRPr="002176B5">
              <w:rPr>
                <w:rStyle w:val="FormatvorlageInstructionsTabelleText"/>
                <w:rFonts w:ascii="Times New Roman" w:hAnsi="Times New Roman"/>
                <w:sz w:val="24"/>
              </w:rPr>
              <w:t>], keď existuje recipročný krížový podiel,</w:t>
            </w:r>
            <w:r w:rsidR="002176B5">
              <w:rPr>
                <w:rStyle w:val="FormatvorlageInstructionsTabelleText"/>
                <w:rFonts w:ascii="Times New Roman" w:hAnsi="Times New Roman"/>
                <w:sz w:val="24"/>
              </w:rPr>
              <w:t xml:space="preserve"> o </w:t>
            </w:r>
            <w:r w:rsidRPr="002176B5">
              <w:rPr>
                <w:rStyle w:val="FormatvorlageInstructionsTabelleText"/>
                <w:rFonts w:ascii="Times New Roman" w:hAnsi="Times New Roman"/>
                <w:sz w:val="24"/>
              </w:rPr>
              <w:t>ktorom sa príslušný orgán domnieva, že má umelo zvyšovať vlastné zdroje inštitúcie.</w:t>
            </w:r>
          </w:p>
          <w:p w14:paraId="6D783C2B" w14:textId="0EA17333"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Vykazovaná hodnota sa vypočíta na základe brutto dlhých pozícií</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 xml:space="preserve">zahŕňa poistné položky vlastných zdrojov </w:t>
            </w:r>
            <w:proofErr w:type="spellStart"/>
            <w:r w:rsidRPr="002176B5">
              <w:rPr>
                <w:rStyle w:val="FormatvorlageInstructionsTabelleText"/>
                <w:rFonts w:ascii="Times New Roman" w:hAnsi="Times New Roman"/>
                <w:sz w:val="24"/>
              </w:rPr>
              <w:t>Tier</w:t>
            </w:r>
            <w:proofErr w:type="spellEnd"/>
            <w:r w:rsidRPr="002176B5">
              <w:rPr>
                <w:rStyle w:val="FormatvorlageInstructionsTabelleText"/>
                <w:rFonts w:ascii="Times New Roman" w:hAnsi="Times New Roman"/>
                <w:sz w:val="24"/>
              </w:rPr>
              <w:t xml:space="preserve"> 2</w:t>
            </w:r>
            <w:r w:rsidR="002176B5">
              <w:rPr>
                <w:rStyle w:val="FormatvorlageInstructionsTabelleText"/>
                <w:rFonts w:ascii="Times New Roman" w:hAnsi="Times New Roman"/>
                <w:sz w:val="24"/>
              </w:rPr>
              <w:t xml:space="preserve"> a </w:t>
            </w:r>
            <w:proofErr w:type="spellStart"/>
            <w:r w:rsidRPr="002176B5">
              <w:rPr>
                <w:rStyle w:val="FormatvorlageInstructionsTabelleText"/>
                <w:rFonts w:ascii="Times New Roman" w:hAnsi="Times New Roman"/>
                <w:sz w:val="24"/>
              </w:rPr>
              <w:t>Tier</w:t>
            </w:r>
            <w:proofErr w:type="spellEnd"/>
            <w:r w:rsidRPr="002176B5">
              <w:rPr>
                <w:rStyle w:val="FormatvorlageInstructionsTabelleText"/>
                <w:rFonts w:ascii="Times New Roman" w:hAnsi="Times New Roman"/>
                <w:sz w:val="24"/>
              </w:rPr>
              <w:t xml:space="preserve"> 3.</w:t>
            </w:r>
          </w:p>
        </w:tc>
      </w:tr>
      <w:tr w:rsidR="00CC7D2C" w:rsidRPr="002176B5" w14:paraId="30FBE5EE" w14:textId="77777777" w:rsidTr="00822842">
        <w:tc>
          <w:tcPr>
            <w:tcW w:w="1129" w:type="dxa"/>
          </w:tcPr>
          <w:p w14:paraId="4DA4B132"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0940</w:t>
            </w:r>
          </w:p>
        </w:tc>
        <w:tc>
          <w:tcPr>
            <w:tcW w:w="7620" w:type="dxa"/>
          </w:tcPr>
          <w:p w14:paraId="422EA288" w14:textId="05F8CFF2" w:rsidR="00CC7D2C" w:rsidRPr="002176B5" w:rsidRDefault="00CC7D2C" w:rsidP="00320EFD">
            <w:pPr>
              <w:pStyle w:val="InstructionsText"/>
              <w:rPr>
                <w:rStyle w:val="FormatvorlageInstructionsTabelleText"/>
                <w:rFonts w:ascii="Times New Roman" w:hAnsi="Times New Roman"/>
                <w:b/>
                <w:sz w:val="24"/>
                <w:u w:val="single"/>
              </w:rPr>
            </w:pPr>
            <w:r w:rsidRPr="002176B5">
              <w:rPr>
                <w:rStyle w:val="InstructionsTabelleberschrift"/>
                <w:rFonts w:ascii="Times New Roman" w:hAnsi="Times New Roman"/>
                <w:sz w:val="24"/>
              </w:rPr>
              <w:t>1.2.8.</w:t>
            </w:r>
            <w:r w:rsidRPr="002176B5">
              <w:tab/>
            </w:r>
            <w:r w:rsidRPr="002176B5">
              <w:rPr>
                <w:rStyle w:val="InstructionsTabelleberschrift"/>
                <w:rFonts w:ascii="Times New Roman" w:hAnsi="Times New Roman"/>
                <w:sz w:val="24"/>
              </w:rPr>
              <w:t>(–) Nástroje T2 subjektov finančného sektora,</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ktorých inštitúcia nemá významnú investíciu</w:t>
            </w:r>
          </w:p>
          <w:p w14:paraId="121E0D4E" w14:textId="734AAE1A"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Článok 4 ods. 1 bod 27, článok 66 písm. c), články 68 až 70</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 xml:space="preserve">článok 79 </w:t>
            </w:r>
            <w:r w:rsidRPr="002176B5">
              <w:t>nariadenia (EÚ) č. 575/2013</w:t>
            </w:r>
          </w:p>
          <w:p w14:paraId="25F13145" w14:textId="110543CA"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Časť podielov inštitúcie na nástrojoch subjektov finančného sektora [podľa vymedzenia</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 xml:space="preserve">článku 4 ods. 1 bode 27 </w:t>
            </w:r>
            <w:r w:rsidRPr="002176B5">
              <w:t>nariadenia (EÚ) č. 575/2013</w:t>
            </w:r>
            <w:r w:rsidRPr="002176B5">
              <w:rPr>
                <w:rStyle w:val="FormatvorlageInstructionsTabelleText"/>
                <w:rFonts w:ascii="Times New Roman" w:hAnsi="Times New Roman"/>
                <w:sz w:val="24"/>
              </w:rPr>
              <w:t>], keď inštitúcia nemá významnú investíciu, ktorá sa musí odpočítať od T2.</w:t>
            </w:r>
          </w:p>
        </w:tc>
      </w:tr>
      <w:tr w:rsidR="00CC7D2C" w:rsidRPr="002176B5" w14:paraId="40F8C2BA" w14:textId="77777777" w:rsidTr="00822842">
        <w:tc>
          <w:tcPr>
            <w:tcW w:w="1129" w:type="dxa"/>
          </w:tcPr>
          <w:p w14:paraId="4AB0A856"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0950</w:t>
            </w:r>
          </w:p>
        </w:tc>
        <w:tc>
          <w:tcPr>
            <w:tcW w:w="7620" w:type="dxa"/>
          </w:tcPr>
          <w:p w14:paraId="7636D304" w14:textId="19A24088" w:rsidR="00CC7D2C" w:rsidRPr="002176B5" w:rsidRDefault="00CC7D2C" w:rsidP="00320EFD">
            <w:pPr>
              <w:pStyle w:val="InstructionsText"/>
              <w:rPr>
                <w:rStyle w:val="FormatvorlageInstructionsTabelleText"/>
                <w:rFonts w:ascii="Times New Roman" w:hAnsi="Times New Roman"/>
                <w:b/>
                <w:sz w:val="24"/>
                <w:u w:val="single"/>
              </w:rPr>
            </w:pPr>
            <w:r w:rsidRPr="002176B5">
              <w:rPr>
                <w:rStyle w:val="InstructionsTabelleberschrift"/>
                <w:rFonts w:ascii="Times New Roman" w:hAnsi="Times New Roman"/>
                <w:sz w:val="24"/>
              </w:rPr>
              <w:t>1.2.9.</w:t>
            </w:r>
            <w:r w:rsidRPr="002176B5">
              <w:tab/>
            </w:r>
            <w:r w:rsidRPr="002176B5">
              <w:rPr>
                <w:rStyle w:val="InstructionsTabelleberschrift"/>
                <w:rFonts w:ascii="Times New Roman" w:hAnsi="Times New Roman"/>
                <w:sz w:val="24"/>
              </w:rPr>
              <w:t>(–) Nástroje T2 subjektov finančného sektora,</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ktorých inštitúcia má významnú investíciu</w:t>
            </w:r>
          </w:p>
          <w:p w14:paraId="304A303F" w14:textId="6809F2F8"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lastRenderedPageBreak/>
              <w:t>Článok 4 ods. 1 bod 27, článok 66 písm. d), články 68, 69</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 xml:space="preserve">79 </w:t>
            </w:r>
            <w:r w:rsidRPr="002176B5">
              <w:t>nariadenia (EÚ) č. 575/2013</w:t>
            </w:r>
          </w:p>
          <w:p w14:paraId="2929BB07" w14:textId="321035E0"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Podiely inštitúcie na nástrojoch T2 subjektov finančného sektora [podľa vymedzenia</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článku 4 ods. 1 bode 27</w:t>
            </w:r>
            <w:r w:rsidRPr="002176B5">
              <w:t xml:space="preserve"> nariadenia (EÚ) č. 575/2013</w:t>
            </w:r>
            <w:r w:rsidRPr="002176B5">
              <w:rPr>
                <w:rStyle w:val="FormatvorlageInstructionsTabelleText"/>
                <w:rFonts w:ascii="Times New Roman" w:hAnsi="Times New Roman"/>
                <w:sz w:val="24"/>
              </w:rPr>
              <w:t>], keď inštitúcia má významnú investíciu, sa odpočítajú</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plnej výške.</w:t>
            </w:r>
          </w:p>
        </w:tc>
      </w:tr>
      <w:tr w:rsidR="00CC7D2C" w:rsidRPr="002176B5" w14:paraId="642376D3" w14:textId="77777777" w:rsidTr="00822842">
        <w:tc>
          <w:tcPr>
            <w:tcW w:w="1129" w:type="dxa"/>
          </w:tcPr>
          <w:p w14:paraId="2253227A"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lastRenderedPageBreak/>
              <w:t>0955</w:t>
            </w:r>
          </w:p>
        </w:tc>
        <w:tc>
          <w:tcPr>
            <w:tcW w:w="7620" w:type="dxa"/>
          </w:tcPr>
          <w:p w14:paraId="6A5E720B" w14:textId="77777777"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1.2.9A</w:t>
            </w:r>
            <w:r w:rsidRPr="002176B5">
              <w:tab/>
            </w:r>
            <w:r w:rsidRPr="002176B5">
              <w:rPr>
                <w:rStyle w:val="InstructionsTabelleberschrift"/>
                <w:rFonts w:ascii="Times New Roman" w:hAnsi="Times New Roman"/>
                <w:sz w:val="24"/>
              </w:rPr>
              <w:t>(–) Nadbytok odpočtov od oprávnených záväzkov presahujúci oprávnené záväzky</w:t>
            </w:r>
          </w:p>
          <w:p w14:paraId="4449F407" w14:textId="77777777" w:rsidR="00CC7D2C" w:rsidRPr="002176B5" w:rsidRDefault="00CC7D2C" w:rsidP="00320EFD">
            <w:pPr>
              <w:pStyle w:val="InstructionsText"/>
              <w:rPr>
                <w:rStyle w:val="InstructionsTabelleberschrift"/>
                <w:rFonts w:ascii="Times New Roman" w:hAnsi="Times New Roman"/>
                <w:sz w:val="24"/>
              </w:rPr>
            </w:pPr>
            <w:r w:rsidRPr="002176B5">
              <w:rPr>
                <w:rStyle w:val="FormatvorlageInstructionsTabelleText"/>
                <w:rFonts w:ascii="Times New Roman" w:hAnsi="Times New Roman"/>
                <w:sz w:val="24"/>
              </w:rPr>
              <w:t>Článok 66 písm. e)</w:t>
            </w:r>
            <w:r w:rsidRPr="002176B5">
              <w:t xml:space="preserve"> nariadenia (EÚ) č. 575/2013</w:t>
            </w:r>
          </w:p>
        </w:tc>
      </w:tr>
      <w:tr w:rsidR="00CC7D2C" w:rsidRPr="002176B5" w14:paraId="4C3FB305" w14:textId="77777777" w:rsidTr="00822842">
        <w:tc>
          <w:tcPr>
            <w:tcW w:w="1129" w:type="dxa"/>
          </w:tcPr>
          <w:p w14:paraId="3F926507"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0960</w:t>
            </w:r>
          </w:p>
        </w:tc>
        <w:tc>
          <w:tcPr>
            <w:tcW w:w="7620" w:type="dxa"/>
          </w:tcPr>
          <w:p w14:paraId="6E3A985B" w14:textId="77777777" w:rsidR="00CC7D2C" w:rsidRPr="002176B5" w:rsidRDefault="00CC7D2C" w:rsidP="00320EFD">
            <w:pPr>
              <w:pStyle w:val="InstructionsText"/>
              <w:rPr>
                <w:rStyle w:val="FormatvorlageInstructionsTabelleText"/>
                <w:rFonts w:ascii="Times New Roman" w:hAnsi="Times New Roman"/>
                <w:b/>
                <w:sz w:val="24"/>
                <w:u w:val="single"/>
              </w:rPr>
            </w:pPr>
            <w:r w:rsidRPr="002176B5">
              <w:rPr>
                <w:rStyle w:val="InstructionsTabelleberschrift"/>
                <w:rFonts w:ascii="Times New Roman" w:hAnsi="Times New Roman"/>
                <w:sz w:val="24"/>
              </w:rPr>
              <w:t>1.2.10.</w:t>
            </w:r>
            <w:r w:rsidRPr="002176B5">
              <w:tab/>
            </w:r>
            <w:r w:rsidRPr="002176B5">
              <w:rPr>
                <w:rStyle w:val="InstructionsTabelleberschrift"/>
                <w:rFonts w:ascii="Times New Roman" w:hAnsi="Times New Roman"/>
                <w:sz w:val="24"/>
              </w:rPr>
              <w:t>Ostatné prechodné úpravy kapitálu T2</w:t>
            </w:r>
          </w:p>
          <w:p w14:paraId="58F3BA97" w14:textId="01ECF178"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Články 472, 476, 477, 478</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481</w:t>
            </w:r>
            <w:r w:rsidRPr="002176B5">
              <w:t xml:space="preserve"> nariadenia (EÚ) č. 575/2013</w:t>
            </w:r>
          </w:p>
          <w:p w14:paraId="194A237A"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Úpravy na základe prechodných ustanovení. Vykazovaná hodnota sa získa priamo zo vzoru CA5.</w:t>
            </w:r>
          </w:p>
        </w:tc>
      </w:tr>
      <w:tr w:rsidR="00CC7D2C" w:rsidRPr="002176B5" w14:paraId="448B7EB5" w14:textId="77777777" w:rsidTr="00822842">
        <w:tc>
          <w:tcPr>
            <w:tcW w:w="1129" w:type="dxa"/>
          </w:tcPr>
          <w:p w14:paraId="42C3AD65"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0970</w:t>
            </w:r>
          </w:p>
        </w:tc>
        <w:tc>
          <w:tcPr>
            <w:tcW w:w="7620" w:type="dxa"/>
          </w:tcPr>
          <w:p w14:paraId="67DFC8B7" w14:textId="309BB0FC" w:rsidR="00CC7D2C" w:rsidRPr="002176B5" w:rsidRDefault="00CC7D2C" w:rsidP="00320EFD">
            <w:pPr>
              <w:pStyle w:val="InstructionsText"/>
              <w:rPr>
                <w:rStyle w:val="FormatvorlageInstructionsTabelleText"/>
                <w:rFonts w:ascii="Times New Roman" w:hAnsi="Times New Roman"/>
                <w:b/>
                <w:sz w:val="24"/>
                <w:u w:val="single"/>
              </w:rPr>
            </w:pPr>
            <w:r w:rsidRPr="002176B5">
              <w:rPr>
                <w:rStyle w:val="InstructionsTabelleberschrift"/>
                <w:rFonts w:ascii="Times New Roman" w:hAnsi="Times New Roman"/>
                <w:sz w:val="24"/>
              </w:rPr>
              <w:t>1.2.11.</w:t>
            </w:r>
            <w:r w:rsidRPr="002176B5">
              <w:tab/>
            </w:r>
            <w:r w:rsidRPr="002176B5">
              <w:rPr>
                <w:rStyle w:val="InstructionsTabelleberschrift"/>
                <w:rFonts w:ascii="Times New Roman" w:hAnsi="Times New Roman"/>
                <w:sz w:val="24"/>
              </w:rPr>
              <w:t>Nadbytok odpočtov od položiek T2 presahujúci kapitál T2 (odpočítané</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AT1)</w:t>
            </w:r>
          </w:p>
          <w:p w14:paraId="0F240A32"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 xml:space="preserve">Článok 56 písm. e) </w:t>
            </w:r>
            <w:r w:rsidRPr="002176B5">
              <w:t>nariadenia (EÚ) č. 575/2013</w:t>
            </w:r>
          </w:p>
          <w:p w14:paraId="74A7E159" w14:textId="43956B2B" w:rsidR="00CC7D2C" w:rsidRPr="002176B5" w:rsidRDefault="00CC7D2C" w:rsidP="00320EFD">
            <w:pPr>
              <w:pStyle w:val="InstructionsText"/>
              <w:rPr>
                <w:rStyle w:val="FormatvorlageInstructionsTabelleText"/>
                <w:rFonts w:ascii="Times New Roman" w:hAnsi="Times New Roman"/>
                <w:sz w:val="24"/>
              </w:rPr>
            </w:pPr>
            <w:proofErr w:type="spellStart"/>
            <w:r w:rsidRPr="002176B5">
              <w:rPr>
                <w:rStyle w:val="FormatvorlageInstructionsTabelleText"/>
                <w:rFonts w:ascii="Times New Roman" w:hAnsi="Times New Roman"/>
                <w:sz w:val="24"/>
              </w:rPr>
              <w:t>Tier</w:t>
            </w:r>
            <w:proofErr w:type="spellEnd"/>
            <w:r w:rsidRPr="002176B5">
              <w:rPr>
                <w:rStyle w:val="FormatvorlageInstructionsTabelleText"/>
                <w:rFonts w:ascii="Times New Roman" w:hAnsi="Times New Roman"/>
                <w:sz w:val="24"/>
              </w:rPr>
              <w:t xml:space="preserve"> 2 nemôže byť záporný, ale je možné, že odpočty T2 sú väčšie než kapitál T2 plus súvisiace emisné ážio.</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tomto prípade je T2 rovné nule</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nadbytok odpočtov T2 sa odpočíta od AT1.</w:t>
            </w:r>
          </w:p>
          <w:p w14:paraId="677D1495"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Touto položkou sa dosiahne, že súčet položiek 1.2.1 až 1.2.13 nie je nikdy nižší než nula. Keď je táto položka kladná, položka 1.1.2.8 je inverznou hodnotou tohto čísla.</w:t>
            </w:r>
          </w:p>
        </w:tc>
      </w:tr>
      <w:tr w:rsidR="00CC7D2C" w:rsidRPr="002176B5" w14:paraId="12D626E6" w14:textId="77777777" w:rsidTr="00822842">
        <w:tc>
          <w:tcPr>
            <w:tcW w:w="1129" w:type="dxa"/>
          </w:tcPr>
          <w:p w14:paraId="3688B2C8" w14:textId="77777777" w:rsidR="00CC7D2C" w:rsidRPr="002176B5" w:rsidDel="00BD687C"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0974</w:t>
            </w:r>
          </w:p>
        </w:tc>
        <w:tc>
          <w:tcPr>
            <w:tcW w:w="7620" w:type="dxa"/>
          </w:tcPr>
          <w:p w14:paraId="353F7202" w14:textId="77777777"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1.2.12.</w:t>
            </w:r>
            <w:r w:rsidRPr="002176B5">
              <w:tab/>
            </w:r>
            <w:r w:rsidRPr="002176B5">
              <w:rPr>
                <w:rStyle w:val="InstructionsTabelleberschrift"/>
                <w:rFonts w:ascii="Times New Roman" w:hAnsi="Times New Roman"/>
                <w:sz w:val="24"/>
              </w:rPr>
              <w:t>(–) Dodatočné odpočty kapitálu T2 na základe článku 3 nariadenia (EÚ) č. 575/2013</w:t>
            </w:r>
          </w:p>
          <w:p w14:paraId="5E0577EA" w14:textId="77777777" w:rsidR="00CC7D2C" w:rsidRPr="002176B5" w:rsidRDefault="00CC7D2C" w:rsidP="00320EFD">
            <w:pPr>
              <w:pStyle w:val="InstructionsText"/>
              <w:rPr>
                <w:rStyle w:val="InstructionsTabelleberschrift"/>
                <w:rFonts w:ascii="Times New Roman" w:hAnsi="Times New Roman"/>
                <w:b w:val="0"/>
                <w:sz w:val="24"/>
                <w:u w:val="none"/>
              </w:rPr>
            </w:pPr>
            <w:r w:rsidRPr="002176B5">
              <w:rPr>
                <w:rStyle w:val="InstructionsTabelleberschrift"/>
                <w:rFonts w:ascii="Times New Roman" w:hAnsi="Times New Roman"/>
                <w:b w:val="0"/>
                <w:sz w:val="24"/>
                <w:u w:val="none"/>
              </w:rPr>
              <w:t xml:space="preserve">Článok 3 </w:t>
            </w:r>
            <w:r w:rsidRPr="002176B5">
              <w:t>nariadenia (EÚ) č. 575/2013</w:t>
            </w:r>
          </w:p>
        </w:tc>
      </w:tr>
      <w:tr w:rsidR="00CC7D2C" w:rsidRPr="002176B5" w14:paraId="597E0397" w14:textId="77777777" w:rsidTr="00822842">
        <w:tc>
          <w:tcPr>
            <w:tcW w:w="1129" w:type="dxa"/>
          </w:tcPr>
          <w:p w14:paraId="3C9F05B2"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0978</w:t>
            </w:r>
          </w:p>
        </w:tc>
        <w:tc>
          <w:tcPr>
            <w:tcW w:w="7620" w:type="dxa"/>
          </w:tcPr>
          <w:p w14:paraId="08180394" w14:textId="77777777" w:rsid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1.2.13.</w:t>
            </w:r>
            <w:r w:rsidRPr="002176B5">
              <w:tab/>
            </w:r>
            <w:r w:rsidRPr="002176B5">
              <w:rPr>
                <w:rStyle w:val="InstructionsTabelleberschrift"/>
                <w:rFonts w:ascii="Times New Roman" w:hAnsi="Times New Roman"/>
                <w:sz w:val="24"/>
              </w:rPr>
              <w:t>Prvky alebo odpočty kapitálu T2 – iné</w:t>
            </w:r>
          </w:p>
          <w:p w14:paraId="3B516A29" w14:textId="3CE0688F" w:rsidR="002176B5" w:rsidRDefault="00CC7D2C" w:rsidP="00320EFD">
            <w:pPr>
              <w:pStyle w:val="InstructionsText"/>
              <w:rPr>
                <w:rStyle w:val="InstructionsTabelleberschrift"/>
                <w:rFonts w:ascii="Times New Roman" w:hAnsi="Times New Roman"/>
                <w:b w:val="0"/>
                <w:sz w:val="24"/>
                <w:u w:val="none"/>
              </w:rPr>
            </w:pPr>
            <w:r w:rsidRPr="002176B5">
              <w:rPr>
                <w:rStyle w:val="InstructionsTabelleberschrift"/>
                <w:rFonts w:ascii="Times New Roman" w:hAnsi="Times New Roman"/>
                <w:b w:val="0"/>
                <w:sz w:val="24"/>
                <w:u w:val="none"/>
              </w:rPr>
              <w:t>Týmto riadkom sa poskytuje flexibilita výlučne na účely vykazovania. Vypĺňa sa len</w:t>
            </w:r>
            <w:r w:rsidR="002176B5">
              <w:rPr>
                <w:rStyle w:val="InstructionsTabelleberschrift"/>
                <w:rFonts w:ascii="Times New Roman" w:hAnsi="Times New Roman"/>
                <w:b w:val="0"/>
                <w:sz w:val="24"/>
                <w:u w:val="none"/>
              </w:rPr>
              <w:t xml:space="preserve"> v </w:t>
            </w:r>
            <w:r w:rsidRPr="002176B5">
              <w:rPr>
                <w:rStyle w:val="InstructionsTabelleberschrift"/>
                <w:rFonts w:ascii="Times New Roman" w:hAnsi="Times New Roman"/>
                <w:b w:val="0"/>
                <w:sz w:val="24"/>
                <w:u w:val="none"/>
              </w:rPr>
              <w:t>ojedinelých prípadoch, keď nebolo prijaté konečné rozhodnutie</w:t>
            </w:r>
            <w:r w:rsidR="002176B5">
              <w:rPr>
                <w:rStyle w:val="InstructionsTabelleberschrift"/>
                <w:rFonts w:ascii="Times New Roman" w:hAnsi="Times New Roman"/>
                <w:b w:val="0"/>
                <w:sz w:val="24"/>
                <w:u w:val="none"/>
              </w:rPr>
              <w:t xml:space="preserve"> o </w:t>
            </w:r>
            <w:r w:rsidRPr="002176B5">
              <w:rPr>
                <w:rStyle w:val="InstructionsTabelleberschrift"/>
                <w:rFonts w:ascii="Times New Roman" w:hAnsi="Times New Roman"/>
                <w:b w:val="0"/>
                <w:sz w:val="24"/>
                <w:u w:val="none"/>
              </w:rPr>
              <w:t>vykázaní určitých kapitálových položiek/odpočtov</w:t>
            </w:r>
            <w:r w:rsidR="002176B5">
              <w:rPr>
                <w:rStyle w:val="InstructionsTabelleberschrift"/>
                <w:rFonts w:ascii="Times New Roman" w:hAnsi="Times New Roman"/>
                <w:b w:val="0"/>
                <w:sz w:val="24"/>
                <w:u w:val="none"/>
              </w:rPr>
              <w:t xml:space="preserve"> v </w:t>
            </w:r>
            <w:r w:rsidRPr="002176B5">
              <w:rPr>
                <w:rStyle w:val="InstructionsTabelleberschrift"/>
                <w:rFonts w:ascii="Times New Roman" w:hAnsi="Times New Roman"/>
                <w:b w:val="0"/>
                <w:sz w:val="24"/>
                <w:u w:val="none"/>
              </w:rPr>
              <w:t>aktuálnom vzore CA1. Tento riadok sa preto vypĺňa, len keď prvok kapitálu T2 alebo odpočet od prvku T2 nie je možné priradiť</w:t>
            </w:r>
            <w:r w:rsidR="002176B5">
              <w:rPr>
                <w:rStyle w:val="InstructionsTabelleberschrift"/>
                <w:rFonts w:ascii="Times New Roman" w:hAnsi="Times New Roman"/>
                <w:b w:val="0"/>
                <w:sz w:val="24"/>
                <w:u w:val="none"/>
              </w:rPr>
              <w:t xml:space="preserve"> k </w:t>
            </w:r>
            <w:r w:rsidRPr="002176B5">
              <w:rPr>
                <w:rStyle w:val="InstructionsTabelleberschrift"/>
                <w:rFonts w:ascii="Times New Roman" w:hAnsi="Times New Roman"/>
                <w:b w:val="0"/>
                <w:sz w:val="24"/>
                <w:u w:val="none"/>
              </w:rPr>
              <w:t>žiadnemu</w:t>
            </w:r>
            <w:r w:rsidR="002176B5">
              <w:rPr>
                <w:rStyle w:val="InstructionsTabelleberschrift"/>
                <w:rFonts w:ascii="Times New Roman" w:hAnsi="Times New Roman"/>
                <w:b w:val="0"/>
                <w:sz w:val="24"/>
                <w:u w:val="none"/>
              </w:rPr>
              <w:t xml:space="preserve"> z </w:t>
            </w:r>
            <w:r w:rsidRPr="002176B5">
              <w:rPr>
                <w:rStyle w:val="InstructionsTabelleberschrift"/>
                <w:rFonts w:ascii="Times New Roman" w:hAnsi="Times New Roman"/>
                <w:b w:val="0"/>
                <w:sz w:val="24"/>
                <w:u w:val="none"/>
              </w:rPr>
              <w:t>riadkov 750 až 974</w:t>
            </w:r>
            <w:r w:rsidR="002176B5">
              <w:rPr>
                <w:rStyle w:val="InstructionsTabelleberschrift"/>
                <w:rFonts w:ascii="Times New Roman" w:hAnsi="Times New Roman"/>
                <w:b w:val="0"/>
                <w:sz w:val="24"/>
                <w:u w:val="none"/>
              </w:rPr>
              <w:t>.</w:t>
            </w:r>
          </w:p>
          <w:p w14:paraId="06CF4B07" w14:textId="7BEFD87F" w:rsidR="00CC7D2C" w:rsidRPr="002176B5" w:rsidRDefault="00CC7D2C" w:rsidP="00320EFD">
            <w:pPr>
              <w:pStyle w:val="InstructionsText"/>
              <w:rPr>
                <w:rStyle w:val="InstructionsTabelleberschrift"/>
                <w:rFonts w:ascii="Times New Roman" w:hAnsi="Times New Roman"/>
                <w:b w:val="0"/>
                <w:sz w:val="24"/>
                <w:u w:val="none"/>
              </w:rPr>
            </w:pPr>
            <w:r w:rsidRPr="002176B5">
              <w:rPr>
                <w:rStyle w:val="InstructionsTabelleberschrift"/>
                <w:rFonts w:ascii="Times New Roman" w:hAnsi="Times New Roman"/>
                <w:b w:val="0"/>
                <w:sz w:val="24"/>
                <w:u w:val="none"/>
              </w:rPr>
              <w:t>Tento riadok sa nepoužíva na začlenenie kapitálových položiek/odpočtov, ktoré nepokrýva</w:t>
            </w:r>
            <w:r w:rsidRPr="002176B5">
              <w:t xml:space="preserve"> nariadenie (EÚ) č. 575/2013</w:t>
            </w:r>
            <w:r w:rsidRPr="002176B5">
              <w:rPr>
                <w:rStyle w:val="InstructionsTabelleberschrift"/>
                <w:rFonts w:ascii="Times New Roman" w:hAnsi="Times New Roman"/>
                <w:b w:val="0"/>
                <w:sz w:val="24"/>
                <w:u w:val="none"/>
              </w:rPr>
              <w:t>, do výpočtu pomerov platobnej schopnosti (napr. začlenenie vnútroštátnych kapitálových položiek/odpočtov, ktoré nepatria do rozsahu pôsobnosti</w:t>
            </w:r>
            <w:r w:rsidRPr="002176B5">
              <w:t xml:space="preserve"> uvedeného nariadenia</w:t>
            </w:r>
            <w:r w:rsidRPr="002176B5">
              <w:rPr>
                <w:rStyle w:val="InstructionsTabelleberschrift"/>
                <w:rFonts w:ascii="Times New Roman" w:hAnsi="Times New Roman"/>
                <w:b w:val="0"/>
                <w:sz w:val="24"/>
                <w:u w:val="none"/>
              </w:rPr>
              <w:t>).</w:t>
            </w:r>
          </w:p>
        </w:tc>
      </w:tr>
    </w:tbl>
    <w:p w14:paraId="525C8C99" w14:textId="77777777" w:rsidR="00CC7D2C" w:rsidRPr="002176B5" w:rsidRDefault="00CC7D2C" w:rsidP="00320EFD">
      <w:pPr>
        <w:pStyle w:val="InstructionsText"/>
      </w:pPr>
    </w:p>
    <w:p w14:paraId="7741A84B" w14:textId="77777777" w:rsidR="002176B5" w:rsidRDefault="00CC7D2C" w:rsidP="00D1404A">
      <w:pPr>
        <w:pStyle w:val="Instructionsberschrift2"/>
        <w:numPr>
          <w:ilvl w:val="0"/>
          <w:numId w:val="0"/>
        </w:numPr>
        <w:ind w:left="357" w:hanging="357"/>
      </w:pPr>
      <w:bookmarkStart w:id="20" w:name="_Toc473560875"/>
      <w:bookmarkStart w:id="21" w:name="_Toc151714363"/>
      <w:bookmarkStart w:id="22" w:name="_Toc308175823"/>
      <w:bookmarkStart w:id="23" w:name="_Toc360188327"/>
      <w:r w:rsidRPr="002176B5">
        <w:rPr>
          <w:u w:val="none"/>
        </w:rPr>
        <w:t>1.3.</w:t>
      </w:r>
      <w:r w:rsidRPr="002176B5">
        <w:tab/>
        <w:t>C 02.00 – POŽIADAVKY NA VLASTNÉ ZDROJE (CA2)</w:t>
      </w:r>
      <w:bookmarkEnd w:id="20"/>
      <w:bookmarkEnd w:id="21"/>
      <w:bookmarkEnd w:id="22"/>
      <w:bookmarkEnd w:id="23"/>
    </w:p>
    <w:p w14:paraId="3B2D3B11" w14:textId="1C4DFF23" w:rsidR="00CC7D2C" w:rsidRPr="002176B5" w:rsidRDefault="00CC7D2C" w:rsidP="00D1404A">
      <w:pPr>
        <w:pStyle w:val="Instructionsberschrift2"/>
        <w:numPr>
          <w:ilvl w:val="0"/>
          <w:numId w:val="0"/>
        </w:numPr>
        <w:ind w:left="357" w:hanging="357"/>
      </w:pPr>
      <w:bookmarkStart w:id="24" w:name="_Toc308175824"/>
      <w:bookmarkStart w:id="25" w:name="_Toc310414970"/>
      <w:bookmarkStart w:id="26" w:name="_Toc360188328"/>
      <w:bookmarkStart w:id="27" w:name="_Toc473560876"/>
      <w:bookmarkStart w:id="28" w:name="_Toc151714364"/>
      <w:r w:rsidRPr="002176B5">
        <w:rPr>
          <w:u w:val="none"/>
        </w:rPr>
        <w:t>1.3.1.</w:t>
      </w:r>
      <w:r w:rsidRPr="002176B5">
        <w:tab/>
        <w:t xml:space="preserve">Pokyny týkajúce sa konkrétnych </w:t>
      </w:r>
      <w:bookmarkEnd w:id="24"/>
      <w:bookmarkEnd w:id="25"/>
      <w:r w:rsidRPr="002176B5">
        <w:t>pozícií</w:t>
      </w:r>
      <w:bookmarkEnd w:id="26"/>
      <w:bookmarkEnd w:id="27"/>
      <w:bookmarkEnd w:id="28"/>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CC7D2C" w:rsidRPr="002176B5" w14:paraId="15DFC929" w14:textId="77777777" w:rsidTr="00822842">
        <w:tc>
          <w:tcPr>
            <w:tcW w:w="1591" w:type="dxa"/>
            <w:shd w:val="clear" w:color="auto" w:fill="D9D9D9"/>
          </w:tcPr>
          <w:p w14:paraId="513FD64A" w14:textId="77777777" w:rsidR="00CC7D2C" w:rsidRPr="002176B5" w:rsidRDefault="00CC7D2C" w:rsidP="00320EFD">
            <w:pPr>
              <w:pStyle w:val="InstructionsText"/>
            </w:pPr>
            <w:r w:rsidRPr="002176B5">
              <w:t>Stĺpce</w:t>
            </w:r>
          </w:p>
        </w:tc>
        <w:tc>
          <w:tcPr>
            <w:tcW w:w="7274" w:type="dxa"/>
            <w:shd w:val="clear" w:color="auto" w:fill="D9D9D9"/>
          </w:tcPr>
          <w:p w14:paraId="190CA9EE" w14:textId="05DD2829" w:rsidR="00CC7D2C" w:rsidRPr="002176B5" w:rsidRDefault="00CC7D2C" w:rsidP="00320EFD">
            <w:pPr>
              <w:pStyle w:val="InstructionsText"/>
            </w:pPr>
            <w:r w:rsidRPr="002176B5">
              <w:t>Odkazy na právne predpisy</w:t>
            </w:r>
            <w:r w:rsidR="002176B5">
              <w:t xml:space="preserve"> a </w:t>
            </w:r>
            <w:r w:rsidRPr="002176B5">
              <w:t>pokyny</w:t>
            </w:r>
          </w:p>
        </w:tc>
      </w:tr>
      <w:tr w:rsidR="00CC7D2C" w:rsidRPr="002176B5" w14:paraId="7F96D842" w14:textId="77777777" w:rsidTr="00822842">
        <w:tc>
          <w:tcPr>
            <w:tcW w:w="1591" w:type="dxa"/>
          </w:tcPr>
          <w:p w14:paraId="4534D820" w14:textId="77777777" w:rsidR="00CC7D2C" w:rsidRPr="002176B5" w:rsidRDefault="00CC7D2C" w:rsidP="00320EFD">
            <w:pPr>
              <w:pStyle w:val="InstructionsText"/>
            </w:pPr>
            <w:r w:rsidRPr="002176B5">
              <w:lastRenderedPageBreak/>
              <w:t>0010</w:t>
            </w:r>
          </w:p>
        </w:tc>
        <w:tc>
          <w:tcPr>
            <w:tcW w:w="7274" w:type="dxa"/>
          </w:tcPr>
          <w:p w14:paraId="1754203D" w14:textId="77777777" w:rsidR="00CC7D2C" w:rsidRPr="002176B5" w:rsidRDefault="00CC7D2C" w:rsidP="00320EFD">
            <w:pPr>
              <w:pStyle w:val="InstructionsText"/>
            </w:pPr>
            <w:r w:rsidRPr="002176B5">
              <w:rPr>
                <w:rStyle w:val="InstructionsTabelleberschrift"/>
                <w:rFonts w:ascii="Times New Roman" w:hAnsi="Times New Roman"/>
                <w:sz w:val="24"/>
              </w:rPr>
              <w:t>CELKOVÁ HODNOTA RIZIKOVEJ EXPOZÍCIE</w:t>
            </w:r>
          </w:p>
          <w:p w14:paraId="11658B1F" w14:textId="22DC3D3D" w:rsidR="00CC7D2C" w:rsidRPr="002176B5" w:rsidRDefault="00CC7D2C" w:rsidP="00320EFD">
            <w:pPr>
              <w:pStyle w:val="InstructionsText"/>
            </w:pPr>
            <w:r w:rsidRPr="002176B5">
              <w:t>Článok 92 ods. 3</w:t>
            </w:r>
            <w:r w:rsidR="002176B5">
              <w:t xml:space="preserve"> a </w:t>
            </w:r>
            <w:r w:rsidRPr="002176B5">
              <w:t>články 95, 96</w:t>
            </w:r>
            <w:r w:rsidR="002176B5">
              <w:t xml:space="preserve"> a </w:t>
            </w:r>
            <w:r w:rsidRPr="002176B5">
              <w:t>98 nariadenia (EÚ) č. 575/2013</w:t>
            </w:r>
          </w:p>
        </w:tc>
      </w:tr>
      <w:tr w:rsidR="00CC7D2C" w:rsidRPr="002176B5" w14:paraId="2613C879" w14:textId="77777777" w:rsidTr="00822842">
        <w:tc>
          <w:tcPr>
            <w:tcW w:w="1591" w:type="dxa"/>
          </w:tcPr>
          <w:p w14:paraId="58F35E6D" w14:textId="77777777" w:rsidR="00CC7D2C" w:rsidRPr="002176B5" w:rsidRDefault="00CC7D2C" w:rsidP="00320EFD">
            <w:pPr>
              <w:pStyle w:val="InstructionsText"/>
            </w:pPr>
            <w:r w:rsidRPr="002176B5">
              <w:t>0020</w:t>
            </w:r>
          </w:p>
        </w:tc>
        <w:tc>
          <w:tcPr>
            <w:tcW w:w="7274" w:type="dxa"/>
          </w:tcPr>
          <w:p w14:paraId="0B7A5E95" w14:textId="77777777" w:rsidR="00CC7D2C" w:rsidRPr="002176B5" w:rsidRDefault="00CC7D2C" w:rsidP="00320EFD">
            <w:pPr>
              <w:pStyle w:val="InstructionsText"/>
            </w:pPr>
            <w:r w:rsidRPr="002176B5">
              <w:rPr>
                <w:rStyle w:val="InstructionsTabelleberschrift"/>
                <w:rFonts w:ascii="Times New Roman" w:hAnsi="Times New Roman"/>
                <w:sz w:val="24"/>
              </w:rPr>
              <w:t>SPODNÁ HRANICA PRE VÝSTUPNÉ HODNOTY S-TREA</w:t>
            </w:r>
          </w:p>
          <w:p w14:paraId="1D5124AF" w14:textId="1A71A92D" w:rsidR="00CC7D2C" w:rsidRPr="002176B5" w:rsidRDefault="00C32586" w:rsidP="00320EFD">
            <w:pPr>
              <w:pStyle w:val="InstructionsText"/>
            </w:pPr>
            <w:r w:rsidRPr="002176B5">
              <w:t>Inštitúcie, na ktoré sa vzťahuje spodná hranica pre výstupné hodnoty podľa článku 92 ods. 3 nariadenia (EÚ) č. 575/2013, vykazujú štandardizovanú celkovú hodnotu rizikovej expozície (S-TREA) vypočítanú</w:t>
            </w:r>
            <w:r w:rsidR="002176B5">
              <w:t xml:space="preserve"> v </w:t>
            </w:r>
            <w:r w:rsidRPr="002176B5">
              <w:t>súlade</w:t>
            </w:r>
            <w:r w:rsidR="002176B5">
              <w:t xml:space="preserve"> s </w:t>
            </w:r>
            <w:r w:rsidRPr="002176B5">
              <w:t>článkom 92 ods. 5. Tento stĺpec sa uplatňuje len na inštitúcie, ktoré používajú interné modely.</w:t>
            </w:r>
          </w:p>
          <w:p w14:paraId="4831FC09" w14:textId="1C8B9A35" w:rsidR="00585ABC" w:rsidRPr="002176B5" w:rsidRDefault="00585ABC" w:rsidP="00320EFD">
            <w:pPr>
              <w:pStyle w:val="InstructionsText"/>
            </w:pPr>
            <w:r w:rsidRPr="002176B5">
              <w:t>V riadkoch,</w:t>
            </w:r>
            <w:r w:rsidR="002176B5">
              <w:t xml:space="preserve"> v </w:t>
            </w:r>
            <w:r w:rsidRPr="002176B5">
              <w:t>ktorých sa používajú prístupy interných modelov na výpočet RWEA, sa vykazujú štandardizované hodnoty týchto expozícií.</w:t>
            </w:r>
          </w:p>
          <w:p w14:paraId="708B2B94" w14:textId="5AC21DA4" w:rsidR="00585ABC" w:rsidRPr="002176B5" w:rsidRDefault="00585ABC" w:rsidP="00320EFD">
            <w:pPr>
              <w:pStyle w:val="InstructionsText"/>
            </w:pPr>
            <w:r w:rsidRPr="002176B5">
              <w:t>V riadkoch,</w:t>
            </w:r>
            <w:r w:rsidR="002176B5">
              <w:t xml:space="preserve"> v </w:t>
            </w:r>
            <w:r w:rsidRPr="002176B5">
              <w:t>ktorých sa používajú štandardizované prístupy na výpočet RWEA, sa vykazujú tie isté hodnoty, ktoré sa vykazujú</w:t>
            </w:r>
            <w:r w:rsidR="002176B5">
              <w:t xml:space="preserve"> v </w:t>
            </w:r>
            <w:r w:rsidRPr="002176B5">
              <w:t>stĺpci 0010 pre tieto expozície.</w:t>
            </w:r>
          </w:p>
        </w:tc>
      </w:tr>
    </w:tbl>
    <w:p w14:paraId="463DA206" w14:textId="77777777" w:rsidR="00CC7D2C" w:rsidRPr="002176B5" w:rsidRDefault="00CC7D2C" w:rsidP="00CC7D2C">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CC7D2C" w:rsidRPr="002176B5" w14:paraId="7F6FFF94" w14:textId="77777777" w:rsidTr="00822842">
        <w:tc>
          <w:tcPr>
            <w:tcW w:w="1591" w:type="dxa"/>
            <w:shd w:val="clear" w:color="auto" w:fill="D9D9D9" w:themeFill="background1" w:themeFillShade="D9"/>
          </w:tcPr>
          <w:p w14:paraId="457D9A2B" w14:textId="77777777" w:rsidR="00CC7D2C" w:rsidRPr="002176B5" w:rsidRDefault="00CC7D2C" w:rsidP="00320EFD">
            <w:pPr>
              <w:pStyle w:val="InstructionsText"/>
            </w:pPr>
            <w:r w:rsidRPr="002176B5">
              <w:t>Riadok</w:t>
            </w:r>
          </w:p>
        </w:tc>
        <w:tc>
          <w:tcPr>
            <w:tcW w:w="7274" w:type="dxa"/>
            <w:shd w:val="clear" w:color="auto" w:fill="D9D9D9" w:themeFill="background1" w:themeFillShade="D9"/>
          </w:tcPr>
          <w:p w14:paraId="7E90433A" w14:textId="2CD3494A" w:rsidR="00CC7D2C" w:rsidRPr="002176B5" w:rsidRDefault="00CC7D2C" w:rsidP="00320EFD">
            <w:pPr>
              <w:pStyle w:val="InstructionsText"/>
            </w:pPr>
            <w:r w:rsidRPr="002176B5">
              <w:t>Odkazy na právne predpisy</w:t>
            </w:r>
            <w:r w:rsidR="002176B5">
              <w:t xml:space="preserve"> a </w:t>
            </w:r>
            <w:r w:rsidRPr="002176B5">
              <w:t>pokyny</w:t>
            </w:r>
          </w:p>
        </w:tc>
      </w:tr>
      <w:tr w:rsidR="00CC7D2C" w:rsidRPr="002176B5" w14:paraId="6A905D22" w14:textId="77777777" w:rsidTr="00822842">
        <w:tc>
          <w:tcPr>
            <w:tcW w:w="1591" w:type="dxa"/>
          </w:tcPr>
          <w:p w14:paraId="06ACC62F" w14:textId="77777777" w:rsidR="00CC7D2C" w:rsidRPr="002176B5" w:rsidRDefault="00CC7D2C" w:rsidP="00320EFD">
            <w:pPr>
              <w:pStyle w:val="InstructionsText"/>
            </w:pPr>
            <w:r w:rsidRPr="002176B5">
              <w:t>0010</w:t>
            </w:r>
          </w:p>
        </w:tc>
        <w:tc>
          <w:tcPr>
            <w:tcW w:w="7274" w:type="dxa"/>
          </w:tcPr>
          <w:p w14:paraId="2D3B9E77" w14:textId="77777777" w:rsidR="00CC7D2C" w:rsidRPr="002176B5" w:rsidRDefault="00CC7D2C" w:rsidP="00320EFD">
            <w:pPr>
              <w:pStyle w:val="InstructionsText"/>
            </w:pPr>
            <w:r w:rsidRPr="002176B5">
              <w:rPr>
                <w:rStyle w:val="InstructionsTabelleberschrift"/>
                <w:rFonts w:ascii="Times New Roman" w:hAnsi="Times New Roman"/>
                <w:sz w:val="24"/>
              </w:rPr>
              <w:t>1.</w:t>
            </w:r>
            <w:r w:rsidRPr="002176B5">
              <w:tab/>
            </w:r>
            <w:r w:rsidRPr="002176B5">
              <w:rPr>
                <w:rStyle w:val="InstructionsTabelleberschrift"/>
                <w:rFonts w:ascii="Times New Roman" w:hAnsi="Times New Roman"/>
                <w:sz w:val="24"/>
              </w:rPr>
              <w:t>CELKOVÁ HODNOTA RIZIKOVEJ EXPOZÍCIE</w:t>
            </w:r>
          </w:p>
          <w:p w14:paraId="633B0735" w14:textId="36CE357C" w:rsidR="00CC7D2C" w:rsidRPr="002176B5" w:rsidRDefault="00CC7D2C" w:rsidP="00320EFD">
            <w:pPr>
              <w:pStyle w:val="InstructionsText"/>
            </w:pPr>
            <w:r w:rsidRPr="002176B5">
              <w:t>Článok 92 ods. 3</w:t>
            </w:r>
            <w:r w:rsidR="002176B5">
              <w:t xml:space="preserve"> a </w:t>
            </w:r>
            <w:r w:rsidRPr="002176B5">
              <w:t>články 95, 96</w:t>
            </w:r>
            <w:r w:rsidR="002176B5">
              <w:t xml:space="preserve"> a </w:t>
            </w:r>
            <w:r w:rsidRPr="002176B5">
              <w:t>98 nariadenia (EÚ) č. 575/2013</w:t>
            </w:r>
          </w:p>
        </w:tc>
      </w:tr>
      <w:tr w:rsidR="00CC7D2C" w:rsidRPr="002176B5" w14:paraId="30DD54FA" w14:textId="77777777" w:rsidTr="00822842">
        <w:tc>
          <w:tcPr>
            <w:tcW w:w="1591" w:type="dxa"/>
          </w:tcPr>
          <w:p w14:paraId="3F51DC3C" w14:textId="77777777" w:rsidR="00CC7D2C" w:rsidRPr="002176B5" w:rsidRDefault="00CC7D2C" w:rsidP="00320EFD">
            <w:pPr>
              <w:pStyle w:val="InstructionsText"/>
            </w:pPr>
            <w:r w:rsidRPr="002176B5">
              <w:t>0020</w:t>
            </w:r>
          </w:p>
        </w:tc>
        <w:tc>
          <w:tcPr>
            <w:tcW w:w="7274" w:type="dxa"/>
          </w:tcPr>
          <w:p w14:paraId="427ABF71" w14:textId="716098D7" w:rsidR="00CC7D2C" w:rsidRPr="002176B5" w:rsidRDefault="00CC7D2C" w:rsidP="00320EFD">
            <w:pPr>
              <w:pStyle w:val="InstructionsText"/>
            </w:pPr>
            <w:r w:rsidRPr="002176B5">
              <w:rPr>
                <w:rStyle w:val="InstructionsTabelleberschrift"/>
                <w:rFonts w:ascii="Times New Roman" w:hAnsi="Times New Roman"/>
                <w:sz w:val="24"/>
              </w:rPr>
              <w:t>1.*</w:t>
            </w:r>
            <w:r w:rsidRPr="002176B5">
              <w:tab/>
            </w:r>
            <w:r w:rsidRPr="002176B5">
              <w:rPr>
                <w:rStyle w:val="InstructionsTabelleberschrift"/>
                <w:rFonts w:ascii="Times New Roman" w:hAnsi="Times New Roman"/>
                <w:sz w:val="24"/>
              </w:rPr>
              <w:t>Z čoho: investičné spoločnosti podľa článku 95 ods. 2</w:t>
            </w:r>
            <w:r w:rsidR="002176B5">
              <w:rPr>
                <w:rStyle w:val="InstructionsTabelleberschrift"/>
                <w:rFonts w:ascii="Times New Roman" w:hAnsi="Times New Roman"/>
                <w:sz w:val="24"/>
              </w:rPr>
              <w:t xml:space="preserve"> a </w:t>
            </w:r>
            <w:r w:rsidRPr="002176B5">
              <w:rPr>
                <w:rStyle w:val="InstructionsTabelleberschrift"/>
                <w:rFonts w:ascii="Times New Roman" w:hAnsi="Times New Roman"/>
                <w:sz w:val="24"/>
              </w:rPr>
              <w:t>článku 98 nariadenia (EÚ) č. 575/2013</w:t>
            </w:r>
          </w:p>
          <w:p w14:paraId="7A0F1D20" w14:textId="6AC07CA8" w:rsidR="00CC7D2C" w:rsidRPr="002176B5" w:rsidRDefault="00CC7D2C" w:rsidP="00320EFD">
            <w:pPr>
              <w:pStyle w:val="InstructionsText"/>
            </w:pPr>
            <w:r w:rsidRPr="002176B5">
              <w:t xml:space="preserve">V prípade investičných spoločností podľa článku 95 ods. </w:t>
            </w:r>
            <w:r w:rsidRPr="002176B5">
              <w:rPr>
                <w:rStyle w:val="FormatvorlageInstructionsTabelleText"/>
                <w:rFonts w:ascii="Times New Roman" w:hAnsi="Times New Roman"/>
                <w:sz w:val="24"/>
              </w:rPr>
              <w:t>2</w:t>
            </w:r>
            <w:r w:rsidR="002176B5">
              <w:t xml:space="preserve"> a </w:t>
            </w:r>
            <w:r w:rsidRPr="002176B5">
              <w:t>článku 98 nariadenia (EÚ) č. 575/2013</w:t>
            </w:r>
          </w:p>
        </w:tc>
      </w:tr>
      <w:tr w:rsidR="00CC7D2C" w:rsidRPr="002176B5" w14:paraId="0735DAB8" w14:textId="77777777" w:rsidTr="00822842">
        <w:tc>
          <w:tcPr>
            <w:tcW w:w="1591" w:type="dxa"/>
          </w:tcPr>
          <w:p w14:paraId="3611DA81" w14:textId="77777777" w:rsidR="00CC7D2C" w:rsidRPr="002176B5" w:rsidRDefault="00CC7D2C" w:rsidP="00320EFD">
            <w:pPr>
              <w:pStyle w:val="InstructionsText"/>
            </w:pPr>
            <w:r w:rsidRPr="002176B5">
              <w:t>0030</w:t>
            </w:r>
          </w:p>
        </w:tc>
        <w:tc>
          <w:tcPr>
            <w:tcW w:w="7274" w:type="dxa"/>
          </w:tcPr>
          <w:p w14:paraId="65F85EFA" w14:textId="0EFCD643" w:rsidR="00CC7D2C" w:rsidRPr="002176B5" w:rsidRDefault="00CC7D2C" w:rsidP="00320EFD">
            <w:pPr>
              <w:pStyle w:val="InstructionsText"/>
            </w:pPr>
            <w:r w:rsidRPr="002176B5">
              <w:rPr>
                <w:rStyle w:val="InstructionsTabelleberschrift"/>
                <w:rFonts w:ascii="Times New Roman" w:hAnsi="Times New Roman"/>
                <w:sz w:val="24"/>
              </w:rPr>
              <w:t>1.**</w:t>
            </w:r>
            <w:r w:rsidRPr="002176B5">
              <w:tab/>
            </w:r>
            <w:r w:rsidRPr="002176B5">
              <w:rPr>
                <w:rStyle w:val="InstructionsTabelleberschrift"/>
                <w:rFonts w:ascii="Times New Roman" w:hAnsi="Times New Roman"/>
                <w:sz w:val="24"/>
              </w:rPr>
              <w:t>Z čoho: investičné spoločnosti podľa článku 96 ods. 2</w:t>
            </w:r>
            <w:r w:rsidR="002176B5">
              <w:rPr>
                <w:rStyle w:val="InstructionsTabelleberschrift"/>
                <w:rFonts w:ascii="Times New Roman" w:hAnsi="Times New Roman"/>
                <w:sz w:val="24"/>
              </w:rPr>
              <w:t xml:space="preserve"> a </w:t>
            </w:r>
            <w:r w:rsidRPr="002176B5">
              <w:rPr>
                <w:rStyle w:val="InstructionsTabelleberschrift"/>
                <w:rFonts w:ascii="Times New Roman" w:hAnsi="Times New Roman"/>
                <w:sz w:val="24"/>
              </w:rPr>
              <w:t>článku 97 nariadenia (EÚ) č. 575/2013</w:t>
            </w:r>
          </w:p>
          <w:p w14:paraId="04608E0A" w14:textId="6CFE7B93" w:rsidR="00CC7D2C" w:rsidRPr="002176B5" w:rsidRDefault="00CC7D2C" w:rsidP="00320EFD">
            <w:pPr>
              <w:pStyle w:val="InstructionsText"/>
            </w:pPr>
            <w:r w:rsidRPr="002176B5">
              <w:t xml:space="preserve">V prípade investičných spoločností podľa článku 96 ods. </w:t>
            </w:r>
            <w:r w:rsidRPr="002176B5">
              <w:rPr>
                <w:rStyle w:val="FormatvorlageInstructionsTabelleText"/>
                <w:rFonts w:ascii="Times New Roman" w:hAnsi="Times New Roman"/>
                <w:sz w:val="24"/>
              </w:rPr>
              <w:t>2</w:t>
            </w:r>
            <w:r w:rsidR="002176B5">
              <w:t xml:space="preserve"> a </w:t>
            </w:r>
            <w:r w:rsidRPr="002176B5">
              <w:t>článku 97 nariadenia (EÚ) č. 575/2013</w:t>
            </w:r>
          </w:p>
        </w:tc>
      </w:tr>
      <w:tr w:rsidR="00CC7D2C" w:rsidRPr="002176B5" w14:paraId="0E4D7646" w14:textId="77777777" w:rsidTr="00822842">
        <w:tc>
          <w:tcPr>
            <w:tcW w:w="1591" w:type="dxa"/>
          </w:tcPr>
          <w:p w14:paraId="38148A74" w14:textId="77777777" w:rsidR="00CC7D2C" w:rsidRPr="002176B5" w:rsidRDefault="00CC7D2C" w:rsidP="00320EFD">
            <w:pPr>
              <w:pStyle w:val="InstructionsText"/>
            </w:pPr>
            <w:r w:rsidRPr="002176B5">
              <w:rPr>
                <w:rStyle w:val="FormatvorlageInstructionsTabelleText"/>
                <w:rFonts w:ascii="Times New Roman" w:hAnsi="Times New Roman"/>
                <w:sz w:val="24"/>
              </w:rPr>
              <w:t>0035</w:t>
            </w:r>
          </w:p>
        </w:tc>
        <w:tc>
          <w:tcPr>
            <w:tcW w:w="7274" w:type="dxa"/>
          </w:tcPr>
          <w:p w14:paraId="0710542B" w14:textId="77777777" w:rsidR="00CC7D2C" w:rsidRPr="002176B5" w:rsidRDefault="00CC7D2C" w:rsidP="00320EFD">
            <w:pPr>
              <w:pStyle w:val="InstructionsText"/>
            </w:pPr>
            <w:r w:rsidRPr="002176B5">
              <w:rPr>
                <w:rStyle w:val="InstructionsTabelleberschrift"/>
                <w:rFonts w:ascii="Times New Roman" w:hAnsi="Times New Roman"/>
                <w:sz w:val="24"/>
              </w:rPr>
              <w:t>1***</w:t>
            </w:r>
            <w:r w:rsidRPr="002176B5">
              <w:tab/>
            </w:r>
            <w:r w:rsidRPr="002176B5">
              <w:rPr>
                <w:rStyle w:val="InstructionsTabelleberschrift"/>
                <w:rFonts w:ascii="Times New Roman" w:hAnsi="Times New Roman"/>
                <w:sz w:val="24"/>
              </w:rPr>
              <w:t>Z čoho: úprava spodnej hranice</w:t>
            </w:r>
          </w:p>
          <w:p w14:paraId="1879A8CD" w14:textId="62C1B2D9" w:rsidR="00CC7D2C" w:rsidRPr="002176B5" w:rsidRDefault="00A8011A" w:rsidP="00320EFD">
            <w:pPr>
              <w:pStyle w:val="InstructionsText"/>
              <w:rPr>
                <w:rStyle w:val="InstructionsTabelleberschrift"/>
                <w:rFonts w:ascii="Times New Roman" w:hAnsi="Times New Roman"/>
                <w:sz w:val="24"/>
              </w:rPr>
            </w:pPr>
            <w:r w:rsidRPr="002176B5">
              <w:t>Inštitúcie, na ktoré sa vzťahuje spodná hranica pre výstupné hodnoty podľa článku 92 ods. 3 nariadenia (EÚ) č. 575/2013, vykazujú rozdiel medzi hodnotu vykázanou</w:t>
            </w:r>
            <w:r w:rsidR="002176B5">
              <w:t xml:space="preserve"> v </w:t>
            </w:r>
            <w:r w:rsidRPr="002176B5">
              <w:t>riadku 0010</w:t>
            </w:r>
            <w:r w:rsidR="002176B5">
              <w:t xml:space="preserve"> a </w:t>
            </w:r>
            <w:r w:rsidRPr="002176B5">
              <w:t>hodnotou vykázanou</w:t>
            </w:r>
            <w:r w:rsidR="002176B5">
              <w:t xml:space="preserve"> v </w:t>
            </w:r>
            <w:r w:rsidRPr="002176B5">
              <w:t>riadku 0036. Suma je buď kladná alebo sa rovná nule.</w:t>
            </w:r>
          </w:p>
        </w:tc>
      </w:tr>
      <w:tr w:rsidR="00CC7D2C" w:rsidRPr="002176B5" w14:paraId="0490D187" w14:textId="77777777" w:rsidTr="00822842">
        <w:tc>
          <w:tcPr>
            <w:tcW w:w="1591" w:type="dxa"/>
          </w:tcPr>
          <w:p w14:paraId="4CBF1EF1" w14:textId="77777777" w:rsidR="00CC7D2C" w:rsidRPr="002176B5" w:rsidRDefault="00CC7D2C" w:rsidP="00320EFD">
            <w:pPr>
              <w:pStyle w:val="InstructionsText"/>
            </w:pPr>
            <w:r w:rsidRPr="002176B5">
              <w:rPr>
                <w:rStyle w:val="FormatvorlageInstructionsTabelleText"/>
                <w:rFonts w:ascii="Times New Roman" w:hAnsi="Times New Roman"/>
                <w:sz w:val="24"/>
              </w:rPr>
              <w:t>0036</w:t>
            </w:r>
          </w:p>
        </w:tc>
        <w:tc>
          <w:tcPr>
            <w:tcW w:w="7274" w:type="dxa"/>
          </w:tcPr>
          <w:p w14:paraId="5B12D047" w14:textId="543C58BD" w:rsidR="00CC7D2C" w:rsidRPr="002176B5" w:rsidRDefault="00C32586"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1a. CELKOVÁ HODNOTA RIZIKOVEJ EXPOZÍCIE PRED UPLATNENÍM SPODNEJ HRANICE</w:t>
            </w:r>
          </w:p>
          <w:p w14:paraId="7BCD0DA1" w14:textId="197973A5" w:rsidR="00CC7D2C" w:rsidRPr="002176B5" w:rsidRDefault="00A8011A" w:rsidP="00320EFD">
            <w:pPr>
              <w:pStyle w:val="InstructionsText"/>
              <w:rPr>
                <w:rStyle w:val="InstructionsTabelleberschrift"/>
                <w:rFonts w:ascii="Times New Roman" w:hAnsi="Times New Roman"/>
                <w:sz w:val="24"/>
              </w:rPr>
            </w:pPr>
            <w:r w:rsidRPr="002176B5">
              <w:t>Inštitúcie, na ktoré sa vzťahuje spodná hranica pre výstupné hodnoty podľa článku 92 ods. 3 nariadenia (EÚ) č. 575/2013, vykazujú výšku TREA bez spodnej hranice</w:t>
            </w:r>
            <w:r w:rsidR="002176B5">
              <w:t xml:space="preserve"> v </w:t>
            </w:r>
            <w:r w:rsidRPr="002176B5">
              <w:t>zmysle vymedzenia</w:t>
            </w:r>
            <w:r w:rsidR="002176B5">
              <w:t xml:space="preserve"> v </w:t>
            </w:r>
            <w:r w:rsidRPr="002176B5">
              <w:t>článku 92 ods. 4 nariadenia (EÚ) č. 575/2013.</w:t>
            </w:r>
          </w:p>
        </w:tc>
      </w:tr>
      <w:tr w:rsidR="00CC7D2C" w:rsidRPr="002176B5" w14:paraId="7CE92C62" w14:textId="77777777" w:rsidTr="00822842">
        <w:tc>
          <w:tcPr>
            <w:tcW w:w="1591" w:type="dxa"/>
          </w:tcPr>
          <w:p w14:paraId="42C2DB38"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0040</w:t>
            </w:r>
          </w:p>
        </w:tc>
        <w:tc>
          <w:tcPr>
            <w:tcW w:w="7274" w:type="dxa"/>
          </w:tcPr>
          <w:p w14:paraId="4860CF81" w14:textId="47399731" w:rsidR="00CC7D2C" w:rsidRPr="002176B5" w:rsidRDefault="00CC7D2C" w:rsidP="00320EFD">
            <w:pPr>
              <w:pStyle w:val="InstructionsText"/>
              <w:rPr>
                <w:rStyle w:val="FormatvorlageInstructionsTabelleText"/>
                <w:rFonts w:ascii="Times New Roman" w:hAnsi="Times New Roman"/>
                <w:b/>
                <w:sz w:val="24"/>
                <w:u w:val="single"/>
              </w:rPr>
            </w:pPr>
            <w:r w:rsidRPr="002176B5">
              <w:rPr>
                <w:rStyle w:val="InstructionsTabelleberschrift"/>
                <w:rFonts w:ascii="Times New Roman" w:hAnsi="Times New Roman"/>
                <w:sz w:val="24"/>
              </w:rPr>
              <w:t>1.1.</w:t>
            </w:r>
            <w:r w:rsidRPr="002176B5">
              <w:tab/>
            </w:r>
            <w:r w:rsidRPr="002176B5">
              <w:rPr>
                <w:rStyle w:val="InstructionsTabelleberschrift"/>
                <w:rFonts w:ascii="Times New Roman" w:hAnsi="Times New Roman"/>
                <w:sz w:val="24"/>
              </w:rPr>
              <w:t xml:space="preserve">HODNOTY RIZIKOVO VÁŽENÝCH EXPOZÍCIÍ PRE KREDITNÉ RIZIKO, KREDITNÉ RIZIKO PROTISTRANY A RIZIKO ZNÍŽENIA KVALITY </w:t>
            </w:r>
            <w:r w:rsidRPr="002176B5">
              <w:rPr>
                <w:rStyle w:val="InstructionsTabelleberschrift"/>
                <w:rFonts w:ascii="Times New Roman" w:hAnsi="Times New Roman"/>
                <w:sz w:val="24"/>
              </w:rPr>
              <w:lastRenderedPageBreak/>
              <w:t>POHĽADÁVOK</w:t>
            </w:r>
            <w:r w:rsidR="002176B5">
              <w:rPr>
                <w:rStyle w:val="InstructionsTabelleberschrift"/>
                <w:rFonts w:ascii="Times New Roman" w:hAnsi="Times New Roman"/>
                <w:sz w:val="24"/>
              </w:rPr>
              <w:t xml:space="preserve"> Z </w:t>
            </w:r>
            <w:r w:rsidRPr="002176B5">
              <w:rPr>
                <w:rStyle w:val="InstructionsTabelleberschrift"/>
                <w:rFonts w:ascii="Times New Roman" w:hAnsi="Times New Roman"/>
                <w:sz w:val="24"/>
              </w:rPr>
              <w:t>INÝCH AKO KREDITNÝCH DÔVODOV A BEZODPLATNÉ DODANIE</w:t>
            </w:r>
          </w:p>
          <w:p w14:paraId="450571BD" w14:textId="11D1E09B"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Článok 92 ods. 3</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 xml:space="preserve">článok 92 ods. 4 písm. a) </w:t>
            </w:r>
            <w:r w:rsidRPr="002176B5">
              <w:t>nariadenia (EÚ) č. 575/2013</w:t>
            </w:r>
          </w:p>
        </w:tc>
      </w:tr>
      <w:tr w:rsidR="00CC7D2C" w:rsidRPr="002176B5" w14:paraId="4731F084" w14:textId="77777777" w:rsidTr="00822842">
        <w:tc>
          <w:tcPr>
            <w:tcW w:w="1591" w:type="dxa"/>
          </w:tcPr>
          <w:p w14:paraId="1858ABCE"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lastRenderedPageBreak/>
              <w:t>0050</w:t>
            </w:r>
          </w:p>
        </w:tc>
        <w:tc>
          <w:tcPr>
            <w:tcW w:w="7274" w:type="dxa"/>
          </w:tcPr>
          <w:p w14:paraId="1CC3CF96" w14:textId="77777777"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1.1.1.</w:t>
            </w:r>
            <w:r w:rsidRPr="002176B5">
              <w:tab/>
            </w:r>
            <w:r w:rsidRPr="002176B5">
              <w:rPr>
                <w:rStyle w:val="InstructionsTabelleberschrift"/>
                <w:rFonts w:ascii="Times New Roman" w:hAnsi="Times New Roman"/>
                <w:sz w:val="24"/>
              </w:rPr>
              <w:t>Štandardizovaný prístup (SA)</w:t>
            </w:r>
          </w:p>
          <w:p w14:paraId="1EFF677D" w14:textId="5B47386F" w:rsidR="00CC7D2C" w:rsidRPr="002176B5" w:rsidRDefault="00CC7D2C" w:rsidP="00320EFD">
            <w:pPr>
              <w:pStyle w:val="InstructionsText"/>
              <w:rPr>
                <w:rStyle w:val="FormatvorlageInstructionsTabelleText"/>
                <w:rFonts w:ascii="Times New Roman" w:hAnsi="Times New Roman"/>
                <w:sz w:val="24"/>
              </w:rPr>
            </w:pPr>
            <w:r w:rsidRPr="002176B5">
              <w:rPr>
                <w:rStyle w:val="InstructionsTabelleberschrift"/>
                <w:rFonts w:ascii="Times New Roman" w:hAnsi="Times New Roman"/>
                <w:b w:val="0"/>
                <w:sz w:val="24"/>
                <w:u w:val="none"/>
              </w:rPr>
              <w:t>Vzory CR SA</w:t>
            </w:r>
            <w:r w:rsidR="002176B5">
              <w:rPr>
                <w:rStyle w:val="InstructionsTabelleberschrift"/>
                <w:rFonts w:ascii="Times New Roman" w:hAnsi="Times New Roman"/>
                <w:b w:val="0"/>
                <w:sz w:val="24"/>
                <w:u w:val="none"/>
              </w:rPr>
              <w:t xml:space="preserve"> a </w:t>
            </w:r>
            <w:r w:rsidRPr="002176B5">
              <w:rPr>
                <w:rStyle w:val="InstructionsTabelleberschrift"/>
                <w:rFonts w:ascii="Times New Roman" w:hAnsi="Times New Roman"/>
                <w:b w:val="0"/>
                <w:sz w:val="24"/>
                <w:u w:val="none"/>
              </w:rPr>
              <w:t>SEC SA na úrovni celkových expozícií</w:t>
            </w:r>
          </w:p>
        </w:tc>
      </w:tr>
      <w:tr w:rsidR="00CC7D2C" w:rsidRPr="002176B5" w14:paraId="164F9776" w14:textId="77777777" w:rsidTr="00822842">
        <w:tc>
          <w:tcPr>
            <w:tcW w:w="1591" w:type="dxa"/>
          </w:tcPr>
          <w:p w14:paraId="61E4C414"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0051</w:t>
            </w:r>
          </w:p>
        </w:tc>
        <w:tc>
          <w:tcPr>
            <w:tcW w:w="7274" w:type="dxa"/>
          </w:tcPr>
          <w:p w14:paraId="20432216" w14:textId="77777777"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1.1.1.*</w:t>
            </w:r>
            <w:r w:rsidRPr="002176B5">
              <w:tab/>
            </w:r>
            <w:r w:rsidRPr="002176B5">
              <w:rPr>
                <w:rStyle w:val="InstructionsTabelleberschrift"/>
                <w:rFonts w:ascii="Times New Roman" w:hAnsi="Times New Roman"/>
                <w:sz w:val="24"/>
              </w:rPr>
              <w:t xml:space="preserve">Z čoho: dodatočné prísnejšie </w:t>
            </w:r>
            <w:proofErr w:type="spellStart"/>
            <w:r w:rsidRPr="002176B5">
              <w:rPr>
                <w:rStyle w:val="InstructionsTabelleberschrift"/>
                <w:rFonts w:ascii="Times New Roman" w:hAnsi="Times New Roman"/>
                <w:sz w:val="24"/>
              </w:rPr>
              <w:t>prudenciálne</w:t>
            </w:r>
            <w:proofErr w:type="spellEnd"/>
            <w:r w:rsidRPr="002176B5">
              <w:rPr>
                <w:rStyle w:val="InstructionsTabelleberschrift"/>
                <w:rFonts w:ascii="Times New Roman" w:hAnsi="Times New Roman"/>
                <w:sz w:val="24"/>
              </w:rPr>
              <w:t xml:space="preserve"> požiadavky na základe článku 124 nariadenia (EÚ) č. 575/2013</w:t>
            </w:r>
          </w:p>
          <w:p w14:paraId="4A7F7245" w14:textId="0064792C" w:rsidR="00CC7D2C" w:rsidRPr="002176B5" w:rsidRDefault="00CC7D2C" w:rsidP="00320EFD">
            <w:pPr>
              <w:pStyle w:val="InstructionsText"/>
              <w:rPr>
                <w:rStyle w:val="InstructionsTabelleberschrift"/>
                <w:rFonts w:ascii="Times New Roman" w:hAnsi="Times New Roman"/>
                <w:sz w:val="24"/>
              </w:rPr>
            </w:pPr>
            <w:r w:rsidRPr="002176B5">
              <w:t xml:space="preserve">Inštitúcie vykazujú dodatočné hodnoty rizikových expozícií potrebné na splnenie prísnejších </w:t>
            </w:r>
            <w:proofErr w:type="spellStart"/>
            <w:r w:rsidRPr="002176B5">
              <w:t>prudenciálnych</w:t>
            </w:r>
            <w:proofErr w:type="spellEnd"/>
            <w:r w:rsidRPr="002176B5">
              <w:t xml:space="preserve"> požiadaviek, ako im boli oznámené po konzultácii</w:t>
            </w:r>
            <w:r w:rsidR="002176B5">
              <w:t xml:space="preserve"> s </w:t>
            </w:r>
            <w:r w:rsidRPr="002176B5">
              <w:t>EBA,</w:t>
            </w:r>
            <w:r w:rsidR="002176B5">
              <w:t xml:space="preserve"> v </w:t>
            </w:r>
            <w:r w:rsidRPr="002176B5">
              <w:t>súlade</w:t>
            </w:r>
            <w:r w:rsidR="002176B5">
              <w:t xml:space="preserve"> s </w:t>
            </w:r>
            <w:r w:rsidRPr="002176B5">
              <w:t>článkom 124 ods. 8 až 13 nariadenia (EÚ) č. 575/2013.</w:t>
            </w:r>
          </w:p>
        </w:tc>
      </w:tr>
      <w:tr w:rsidR="00CC7D2C" w:rsidRPr="002176B5" w14:paraId="3EBE6B21" w14:textId="77777777" w:rsidTr="00822842">
        <w:tc>
          <w:tcPr>
            <w:tcW w:w="1591" w:type="dxa"/>
          </w:tcPr>
          <w:p w14:paraId="06724DE8"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0060</w:t>
            </w:r>
          </w:p>
        </w:tc>
        <w:tc>
          <w:tcPr>
            <w:tcW w:w="7274" w:type="dxa"/>
          </w:tcPr>
          <w:p w14:paraId="6A236E0F" w14:textId="77777777" w:rsidR="00CC7D2C" w:rsidRPr="002176B5" w:rsidRDefault="00CC7D2C" w:rsidP="00320EFD">
            <w:pPr>
              <w:pStyle w:val="InstructionsText"/>
              <w:rPr>
                <w:rStyle w:val="FormatvorlageInstructionsTabelleText"/>
                <w:rFonts w:ascii="Times New Roman" w:hAnsi="Times New Roman"/>
                <w:b/>
                <w:sz w:val="24"/>
                <w:u w:val="single"/>
              </w:rPr>
            </w:pPr>
            <w:r w:rsidRPr="002176B5">
              <w:rPr>
                <w:rStyle w:val="InstructionsTabelleberschrift"/>
                <w:rFonts w:ascii="Times New Roman" w:hAnsi="Times New Roman"/>
                <w:sz w:val="24"/>
              </w:rPr>
              <w:t>1.1.1.1.</w:t>
            </w:r>
            <w:r w:rsidRPr="002176B5">
              <w:tab/>
            </w:r>
            <w:r w:rsidRPr="002176B5">
              <w:rPr>
                <w:rStyle w:val="InstructionsTabelleberschrift"/>
                <w:rFonts w:ascii="Times New Roman" w:hAnsi="Times New Roman"/>
                <w:sz w:val="24"/>
              </w:rPr>
              <w:t xml:space="preserve">Triedy expozícií SA bez </w:t>
            </w:r>
            <w:proofErr w:type="spellStart"/>
            <w:r w:rsidRPr="002176B5">
              <w:rPr>
                <w:rStyle w:val="InstructionsTabelleberschrift"/>
                <w:rFonts w:ascii="Times New Roman" w:hAnsi="Times New Roman"/>
                <w:sz w:val="24"/>
              </w:rPr>
              <w:t>sekuritizačných</w:t>
            </w:r>
            <w:proofErr w:type="spellEnd"/>
            <w:r w:rsidRPr="002176B5">
              <w:rPr>
                <w:rStyle w:val="InstructionsTabelleberschrift"/>
                <w:rFonts w:ascii="Times New Roman" w:hAnsi="Times New Roman"/>
                <w:sz w:val="24"/>
              </w:rPr>
              <w:t xml:space="preserve"> pozícií</w:t>
            </w:r>
          </w:p>
          <w:p w14:paraId="6C4218CD" w14:textId="1127644B"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 xml:space="preserve">Vzor CR SA na úrovni celkových expozícií Triedy expozícií SA </w:t>
            </w:r>
            <w:r w:rsidRPr="002176B5">
              <w:rPr>
                <w:rStyle w:val="InstructionsTabelleberschrift"/>
                <w:rFonts w:ascii="Times New Roman" w:hAnsi="Times New Roman"/>
                <w:b w:val="0"/>
                <w:sz w:val="24"/>
                <w:u w:val="none"/>
              </w:rPr>
              <w:t>sú</w:t>
            </w:r>
            <w:r w:rsidRPr="002176B5">
              <w:rPr>
                <w:rStyle w:val="FormatvorlageInstructionsTabelleText"/>
                <w:rFonts w:ascii="Times New Roman" w:hAnsi="Times New Roman"/>
                <w:sz w:val="24"/>
              </w:rPr>
              <w:t xml:space="preserve"> triedy uvedené</w:t>
            </w:r>
            <w:r w:rsidR="002176B5">
              <w:rPr>
                <w:rStyle w:val="FormatvorlageInstructionsTabelleText"/>
                <w:rFonts w:ascii="Times New Roman" w:hAnsi="Times New Roman"/>
                <w:sz w:val="24"/>
              </w:rPr>
              <w:t xml:space="preserve"> v </w:t>
            </w:r>
            <w:r w:rsidRPr="002176B5">
              <w:t>článku 112 nariadenia (EÚ) č. 575/2013</w:t>
            </w:r>
            <w:r w:rsidRPr="002176B5">
              <w:rPr>
                <w:rStyle w:val="FormatvorlageInstructionsTabelleText"/>
                <w:rFonts w:ascii="Times New Roman" w:hAnsi="Times New Roman"/>
                <w:sz w:val="24"/>
              </w:rPr>
              <w:t xml:space="preserve"> bez </w:t>
            </w:r>
            <w:proofErr w:type="spellStart"/>
            <w:r w:rsidRPr="002176B5">
              <w:rPr>
                <w:rStyle w:val="FormatvorlageInstructionsTabelleText"/>
                <w:rFonts w:ascii="Times New Roman" w:hAnsi="Times New Roman"/>
                <w:sz w:val="24"/>
              </w:rPr>
              <w:t>sekuritizačných</w:t>
            </w:r>
            <w:proofErr w:type="spellEnd"/>
            <w:r w:rsidRPr="002176B5">
              <w:rPr>
                <w:rStyle w:val="FormatvorlageInstructionsTabelleText"/>
                <w:rFonts w:ascii="Times New Roman" w:hAnsi="Times New Roman"/>
                <w:sz w:val="24"/>
              </w:rPr>
              <w:t xml:space="preserve"> pozícií.</w:t>
            </w:r>
          </w:p>
        </w:tc>
      </w:tr>
      <w:tr w:rsidR="00CC7D2C" w:rsidRPr="002176B5" w14:paraId="3611F5D6" w14:textId="77777777" w:rsidTr="00822842">
        <w:tc>
          <w:tcPr>
            <w:tcW w:w="1591" w:type="dxa"/>
          </w:tcPr>
          <w:p w14:paraId="2A20B82B"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0070</w:t>
            </w:r>
          </w:p>
        </w:tc>
        <w:tc>
          <w:tcPr>
            <w:tcW w:w="7274" w:type="dxa"/>
          </w:tcPr>
          <w:p w14:paraId="444601AB" w14:textId="77777777" w:rsidR="00CC7D2C" w:rsidRPr="002176B5" w:rsidRDefault="00CC7D2C" w:rsidP="00320EFD">
            <w:pPr>
              <w:pStyle w:val="InstructionsText"/>
              <w:rPr>
                <w:rStyle w:val="FormatvorlageInstructionsTabelleText"/>
                <w:rFonts w:ascii="Times New Roman" w:hAnsi="Times New Roman"/>
                <w:b/>
                <w:sz w:val="24"/>
                <w:u w:val="single"/>
              </w:rPr>
            </w:pPr>
            <w:r w:rsidRPr="002176B5">
              <w:rPr>
                <w:rStyle w:val="InstructionsTabelleberschrift"/>
                <w:rFonts w:ascii="Times New Roman" w:hAnsi="Times New Roman"/>
                <w:sz w:val="24"/>
              </w:rPr>
              <w:t>1.1.1.1.01.</w:t>
            </w:r>
            <w:r w:rsidRPr="002176B5">
              <w:tab/>
            </w:r>
            <w:r w:rsidRPr="002176B5">
              <w:rPr>
                <w:rStyle w:val="InstructionsTabelleberschrift"/>
                <w:rFonts w:ascii="Times New Roman" w:hAnsi="Times New Roman"/>
                <w:sz w:val="24"/>
              </w:rPr>
              <w:t>Ústredné vlády alebo centrálne banky</w:t>
            </w:r>
          </w:p>
          <w:p w14:paraId="4CBAD1DD" w14:textId="77777777" w:rsidR="00CC7D2C" w:rsidRPr="002176B5" w:rsidRDefault="00CC7D2C" w:rsidP="00320EFD">
            <w:pPr>
              <w:pStyle w:val="InstructionsText"/>
              <w:rPr>
                <w:rStyle w:val="FormatvorlageInstructionsTabelleText"/>
                <w:rFonts w:ascii="Times New Roman" w:hAnsi="Times New Roman"/>
                <w:bCs w:val="0"/>
                <w:sz w:val="24"/>
              </w:rPr>
            </w:pPr>
            <w:r w:rsidRPr="002176B5">
              <w:rPr>
                <w:rStyle w:val="FormatvorlageInstructionsTabelleText"/>
                <w:rFonts w:ascii="Times New Roman" w:hAnsi="Times New Roman"/>
                <w:sz w:val="24"/>
              </w:rPr>
              <w:t>Pozri vzor CR SA.</w:t>
            </w:r>
          </w:p>
        </w:tc>
      </w:tr>
      <w:tr w:rsidR="00CC7D2C" w:rsidRPr="002176B5" w14:paraId="723BD91B" w14:textId="77777777" w:rsidTr="00822842">
        <w:tc>
          <w:tcPr>
            <w:tcW w:w="1591" w:type="dxa"/>
          </w:tcPr>
          <w:p w14:paraId="6A10D174"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0080</w:t>
            </w:r>
          </w:p>
        </w:tc>
        <w:tc>
          <w:tcPr>
            <w:tcW w:w="7274" w:type="dxa"/>
          </w:tcPr>
          <w:p w14:paraId="2240509E" w14:textId="77777777" w:rsidR="00CC7D2C" w:rsidRPr="002176B5" w:rsidRDefault="00CC7D2C" w:rsidP="00320EFD">
            <w:pPr>
              <w:pStyle w:val="InstructionsText"/>
              <w:rPr>
                <w:rStyle w:val="FormatvorlageInstructionsTabelleText"/>
                <w:rFonts w:ascii="Times New Roman" w:hAnsi="Times New Roman"/>
                <w:b/>
                <w:sz w:val="24"/>
                <w:u w:val="single"/>
              </w:rPr>
            </w:pPr>
            <w:r w:rsidRPr="002176B5">
              <w:rPr>
                <w:rStyle w:val="InstructionsTabelleberschrift"/>
                <w:rFonts w:ascii="Times New Roman" w:hAnsi="Times New Roman"/>
                <w:sz w:val="24"/>
              </w:rPr>
              <w:t>1.1.1.1.02.</w:t>
            </w:r>
            <w:r w:rsidRPr="002176B5">
              <w:tab/>
            </w:r>
            <w:r w:rsidRPr="002176B5">
              <w:rPr>
                <w:rStyle w:val="InstructionsTabelleberschrift"/>
                <w:rFonts w:ascii="Times New Roman" w:hAnsi="Times New Roman"/>
                <w:sz w:val="24"/>
              </w:rPr>
              <w:t>Regionálne vlády alebo miestne orgány</w:t>
            </w:r>
          </w:p>
          <w:p w14:paraId="18619272"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Pozri vzor CR SA.</w:t>
            </w:r>
          </w:p>
        </w:tc>
      </w:tr>
      <w:tr w:rsidR="00CC7D2C" w:rsidRPr="002176B5" w14:paraId="37F4543A" w14:textId="77777777" w:rsidTr="00822842">
        <w:tc>
          <w:tcPr>
            <w:tcW w:w="1591" w:type="dxa"/>
          </w:tcPr>
          <w:p w14:paraId="7D04DBC3"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0090</w:t>
            </w:r>
          </w:p>
        </w:tc>
        <w:tc>
          <w:tcPr>
            <w:tcW w:w="7274" w:type="dxa"/>
          </w:tcPr>
          <w:p w14:paraId="3E6FCAE4" w14:textId="77777777" w:rsidR="00CC7D2C" w:rsidRPr="002176B5" w:rsidRDefault="00CC7D2C" w:rsidP="00320EFD">
            <w:pPr>
              <w:pStyle w:val="InstructionsText"/>
              <w:rPr>
                <w:rStyle w:val="FormatvorlageInstructionsTabelleText"/>
                <w:rFonts w:ascii="Times New Roman" w:hAnsi="Times New Roman"/>
                <w:b/>
                <w:bCs w:val="0"/>
                <w:sz w:val="24"/>
                <w:u w:val="single"/>
              </w:rPr>
            </w:pPr>
            <w:r w:rsidRPr="002176B5">
              <w:rPr>
                <w:rStyle w:val="InstructionsTabelleberschrift"/>
                <w:rFonts w:ascii="Times New Roman" w:hAnsi="Times New Roman"/>
                <w:sz w:val="24"/>
              </w:rPr>
              <w:t>1.1.1.1.03.</w:t>
            </w:r>
            <w:r w:rsidRPr="002176B5">
              <w:tab/>
            </w:r>
            <w:r w:rsidRPr="002176B5">
              <w:rPr>
                <w:rStyle w:val="InstructionsTabelleberschrift"/>
                <w:rFonts w:ascii="Times New Roman" w:hAnsi="Times New Roman"/>
                <w:sz w:val="24"/>
              </w:rPr>
              <w:t>Subjekty verejného sektora</w:t>
            </w:r>
          </w:p>
          <w:p w14:paraId="61C75AD4"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Pozri vzor CR SA.</w:t>
            </w:r>
          </w:p>
        </w:tc>
      </w:tr>
      <w:tr w:rsidR="00CC7D2C" w:rsidRPr="002176B5" w14:paraId="56784A18" w14:textId="77777777" w:rsidTr="00822842">
        <w:tc>
          <w:tcPr>
            <w:tcW w:w="1591" w:type="dxa"/>
          </w:tcPr>
          <w:p w14:paraId="33500D69"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0100</w:t>
            </w:r>
          </w:p>
        </w:tc>
        <w:tc>
          <w:tcPr>
            <w:tcW w:w="7274" w:type="dxa"/>
          </w:tcPr>
          <w:p w14:paraId="211F54E8" w14:textId="77777777" w:rsidR="00CC7D2C" w:rsidRPr="002176B5" w:rsidRDefault="00CC7D2C" w:rsidP="00320EFD">
            <w:pPr>
              <w:pStyle w:val="InstructionsText"/>
              <w:rPr>
                <w:rStyle w:val="FormatvorlageInstructionsTabelleText"/>
                <w:rFonts w:ascii="Times New Roman" w:hAnsi="Times New Roman"/>
                <w:b/>
                <w:sz w:val="24"/>
                <w:u w:val="single"/>
              </w:rPr>
            </w:pPr>
            <w:r w:rsidRPr="002176B5">
              <w:rPr>
                <w:rStyle w:val="InstructionsTabelleberschrift"/>
                <w:rFonts w:ascii="Times New Roman" w:hAnsi="Times New Roman"/>
                <w:sz w:val="24"/>
              </w:rPr>
              <w:t>1.1.1.1.04.</w:t>
            </w:r>
            <w:r w:rsidRPr="002176B5">
              <w:tab/>
            </w:r>
            <w:r w:rsidRPr="002176B5">
              <w:rPr>
                <w:rStyle w:val="InstructionsTabelleberschrift"/>
                <w:rFonts w:ascii="Times New Roman" w:hAnsi="Times New Roman"/>
                <w:sz w:val="24"/>
              </w:rPr>
              <w:t>Multilaterálne rozvojové banky</w:t>
            </w:r>
          </w:p>
          <w:p w14:paraId="4A090100"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 xml:space="preserve">Pozri vzor CR SA. </w:t>
            </w:r>
          </w:p>
        </w:tc>
      </w:tr>
      <w:tr w:rsidR="00CC7D2C" w:rsidRPr="002176B5" w14:paraId="2C61CB0F" w14:textId="77777777" w:rsidTr="00822842">
        <w:tc>
          <w:tcPr>
            <w:tcW w:w="1591" w:type="dxa"/>
          </w:tcPr>
          <w:p w14:paraId="5FBF668A"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0110</w:t>
            </w:r>
          </w:p>
        </w:tc>
        <w:tc>
          <w:tcPr>
            <w:tcW w:w="7274" w:type="dxa"/>
          </w:tcPr>
          <w:p w14:paraId="4CCDA495" w14:textId="77777777" w:rsidR="00CC7D2C" w:rsidRPr="002176B5" w:rsidRDefault="00CC7D2C" w:rsidP="00320EFD">
            <w:pPr>
              <w:pStyle w:val="InstructionsText"/>
              <w:rPr>
                <w:rStyle w:val="FormatvorlageInstructionsTabelleText"/>
                <w:rFonts w:ascii="Times New Roman" w:hAnsi="Times New Roman"/>
                <w:b/>
                <w:sz w:val="24"/>
                <w:u w:val="single"/>
              </w:rPr>
            </w:pPr>
            <w:r w:rsidRPr="002176B5">
              <w:rPr>
                <w:rStyle w:val="InstructionsTabelleberschrift"/>
                <w:rFonts w:ascii="Times New Roman" w:hAnsi="Times New Roman"/>
                <w:sz w:val="24"/>
              </w:rPr>
              <w:t>1.1.1.1.05.</w:t>
            </w:r>
            <w:r w:rsidRPr="002176B5">
              <w:tab/>
            </w:r>
            <w:r w:rsidRPr="002176B5">
              <w:rPr>
                <w:rStyle w:val="InstructionsTabelleberschrift"/>
                <w:rFonts w:ascii="Times New Roman" w:hAnsi="Times New Roman"/>
                <w:sz w:val="24"/>
              </w:rPr>
              <w:t>Medzinárodné organizácie</w:t>
            </w:r>
          </w:p>
          <w:p w14:paraId="082FC9EA"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Pozri vzor CR SA.</w:t>
            </w:r>
          </w:p>
        </w:tc>
      </w:tr>
      <w:tr w:rsidR="00CC7D2C" w:rsidRPr="002176B5" w14:paraId="4CEC5BAE" w14:textId="77777777" w:rsidTr="00822842">
        <w:tc>
          <w:tcPr>
            <w:tcW w:w="1591" w:type="dxa"/>
          </w:tcPr>
          <w:p w14:paraId="3EB7C901"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0120</w:t>
            </w:r>
          </w:p>
        </w:tc>
        <w:tc>
          <w:tcPr>
            <w:tcW w:w="7274" w:type="dxa"/>
          </w:tcPr>
          <w:p w14:paraId="2BA6FAF0" w14:textId="77777777" w:rsidR="00CC7D2C" w:rsidRPr="002176B5" w:rsidRDefault="00CC7D2C" w:rsidP="00320EFD">
            <w:pPr>
              <w:pStyle w:val="InstructionsText"/>
              <w:rPr>
                <w:rStyle w:val="FormatvorlageInstructionsTabelleText"/>
                <w:rFonts w:ascii="Times New Roman" w:hAnsi="Times New Roman"/>
                <w:b/>
                <w:sz w:val="24"/>
                <w:u w:val="single"/>
              </w:rPr>
            </w:pPr>
            <w:r w:rsidRPr="002176B5">
              <w:rPr>
                <w:rStyle w:val="InstructionsTabelleberschrift"/>
                <w:rFonts w:ascii="Times New Roman" w:hAnsi="Times New Roman"/>
                <w:sz w:val="24"/>
              </w:rPr>
              <w:t>1.1.1.1.06.</w:t>
            </w:r>
            <w:r w:rsidRPr="002176B5">
              <w:tab/>
            </w:r>
            <w:r w:rsidRPr="002176B5">
              <w:rPr>
                <w:rStyle w:val="InstructionsTabelleberschrift"/>
                <w:rFonts w:ascii="Times New Roman" w:hAnsi="Times New Roman"/>
                <w:sz w:val="24"/>
              </w:rPr>
              <w:t>Inštitúcie</w:t>
            </w:r>
          </w:p>
          <w:p w14:paraId="3FF59F48"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Pozri vzor CR SA.</w:t>
            </w:r>
          </w:p>
        </w:tc>
      </w:tr>
      <w:tr w:rsidR="00CC7D2C" w:rsidRPr="002176B5" w14:paraId="6945F529" w14:textId="77777777" w:rsidTr="00822842">
        <w:tc>
          <w:tcPr>
            <w:tcW w:w="1591" w:type="dxa"/>
          </w:tcPr>
          <w:p w14:paraId="228609D7"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0125</w:t>
            </w:r>
          </w:p>
        </w:tc>
        <w:tc>
          <w:tcPr>
            <w:tcW w:w="7274" w:type="dxa"/>
          </w:tcPr>
          <w:p w14:paraId="0B34389A" w14:textId="77777777" w:rsidR="00CC7D2C" w:rsidRPr="002176B5" w:rsidRDefault="00CC7D2C" w:rsidP="00320EFD">
            <w:pPr>
              <w:pStyle w:val="InstructionsText"/>
              <w:rPr>
                <w:rStyle w:val="FormatvorlageInstructionsTabelleText"/>
                <w:rFonts w:ascii="Times New Roman" w:hAnsi="Times New Roman"/>
                <w:b/>
                <w:sz w:val="24"/>
                <w:u w:val="single"/>
              </w:rPr>
            </w:pPr>
            <w:r w:rsidRPr="002176B5">
              <w:rPr>
                <w:rStyle w:val="InstructionsTabelleberschrift"/>
                <w:rFonts w:ascii="Times New Roman" w:hAnsi="Times New Roman"/>
                <w:sz w:val="24"/>
              </w:rPr>
              <w:t>1.1.1.1.07a</w:t>
            </w:r>
            <w:r w:rsidRPr="002176B5">
              <w:tab/>
            </w:r>
            <w:r w:rsidRPr="002176B5">
              <w:rPr>
                <w:rStyle w:val="InstructionsTabelleberschrift"/>
                <w:rFonts w:ascii="Times New Roman" w:hAnsi="Times New Roman"/>
                <w:sz w:val="24"/>
              </w:rPr>
              <w:t>Podnikateľské subjekty – iné</w:t>
            </w:r>
          </w:p>
          <w:p w14:paraId="6D6C27F6" w14:textId="77777777" w:rsidR="00CC7D2C" w:rsidRPr="002176B5" w:rsidRDefault="00CC7D2C" w:rsidP="00320EFD">
            <w:pPr>
              <w:pStyle w:val="InstructionsText"/>
              <w:rPr>
                <w:rStyle w:val="InstructionsTabelleberschrift"/>
                <w:rFonts w:ascii="Times New Roman" w:hAnsi="Times New Roman"/>
                <w:sz w:val="24"/>
              </w:rPr>
            </w:pPr>
            <w:r w:rsidRPr="002176B5">
              <w:rPr>
                <w:rStyle w:val="FormatvorlageInstructionsTabelleText"/>
                <w:rFonts w:ascii="Times New Roman" w:hAnsi="Times New Roman"/>
                <w:sz w:val="24"/>
              </w:rPr>
              <w:t>Pozri vzor CR SA.</w:t>
            </w:r>
          </w:p>
        </w:tc>
      </w:tr>
      <w:tr w:rsidR="00CC7D2C" w:rsidRPr="002176B5" w14:paraId="3D16DA9C" w14:textId="77777777" w:rsidTr="00822842">
        <w:tc>
          <w:tcPr>
            <w:tcW w:w="1591" w:type="dxa"/>
          </w:tcPr>
          <w:p w14:paraId="67436B66"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0131</w:t>
            </w:r>
          </w:p>
        </w:tc>
        <w:tc>
          <w:tcPr>
            <w:tcW w:w="7274" w:type="dxa"/>
          </w:tcPr>
          <w:p w14:paraId="207C1680" w14:textId="77777777" w:rsidR="00CC7D2C" w:rsidRPr="002176B5" w:rsidRDefault="00CC7D2C" w:rsidP="00320EFD">
            <w:pPr>
              <w:pStyle w:val="InstructionsText"/>
              <w:rPr>
                <w:rStyle w:val="FormatvorlageInstructionsTabelleText"/>
                <w:rFonts w:ascii="Times New Roman" w:hAnsi="Times New Roman"/>
                <w:b/>
                <w:sz w:val="24"/>
                <w:u w:val="single"/>
              </w:rPr>
            </w:pPr>
            <w:r w:rsidRPr="002176B5">
              <w:rPr>
                <w:rStyle w:val="InstructionsTabelleberschrift"/>
                <w:rFonts w:ascii="Times New Roman" w:hAnsi="Times New Roman"/>
                <w:sz w:val="24"/>
              </w:rPr>
              <w:t>1.1.1.1.07b</w:t>
            </w:r>
            <w:r w:rsidRPr="002176B5">
              <w:tab/>
            </w:r>
            <w:r w:rsidRPr="002176B5">
              <w:rPr>
                <w:rStyle w:val="InstructionsTabelleberschrift"/>
                <w:rFonts w:ascii="Times New Roman" w:hAnsi="Times New Roman"/>
                <w:sz w:val="24"/>
              </w:rPr>
              <w:t>Podnikateľské subjekty – špecializované financovanie</w:t>
            </w:r>
          </w:p>
          <w:p w14:paraId="5377FC4C" w14:textId="77777777" w:rsidR="00CC7D2C" w:rsidRPr="002176B5" w:rsidRDefault="00CC7D2C" w:rsidP="00320EFD">
            <w:pPr>
              <w:pStyle w:val="InstructionsText"/>
              <w:rPr>
                <w:rStyle w:val="InstructionsTabelleberschrift"/>
                <w:rFonts w:ascii="Times New Roman" w:hAnsi="Times New Roman"/>
                <w:sz w:val="24"/>
              </w:rPr>
            </w:pPr>
            <w:r w:rsidRPr="002176B5">
              <w:rPr>
                <w:rStyle w:val="FormatvorlageInstructionsTabelleText"/>
                <w:rFonts w:ascii="Times New Roman" w:hAnsi="Times New Roman"/>
                <w:sz w:val="24"/>
              </w:rPr>
              <w:t>Pozri vzor CR SA.</w:t>
            </w:r>
          </w:p>
        </w:tc>
      </w:tr>
      <w:tr w:rsidR="00CC7D2C" w:rsidRPr="002176B5" w14:paraId="48BCB216" w14:textId="77777777" w:rsidTr="00822842">
        <w:tc>
          <w:tcPr>
            <w:tcW w:w="1591" w:type="dxa"/>
          </w:tcPr>
          <w:p w14:paraId="30CD54D6"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0140</w:t>
            </w:r>
          </w:p>
        </w:tc>
        <w:tc>
          <w:tcPr>
            <w:tcW w:w="7274" w:type="dxa"/>
          </w:tcPr>
          <w:p w14:paraId="503C5821" w14:textId="77777777" w:rsidR="00CC7D2C" w:rsidRPr="002176B5" w:rsidRDefault="00CC7D2C" w:rsidP="00320EFD">
            <w:pPr>
              <w:pStyle w:val="InstructionsText"/>
              <w:rPr>
                <w:rStyle w:val="FormatvorlageInstructionsTabelleText"/>
                <w:rFonts w:ascii="Times New Roman" w:hAnsi="Times New Roman"/>
                <w:b/>
                <w:bCs w:val="0"/>
                <w:sz w:val="24"/>
                <w:u w:val="single"/>
              </w:rPr>
            </w:pPr>
            <w:r w:rsidRPr="002176B5">
              <w:rPr>
                <w:rStyle w:val="InstructionsTabelleberschrift"/>
                <w:rFonts w:ascii="Times New Roman" w:hAnsi="Times New Roman"/>
                <w:sz w:val="24"/>
              </w:rPr>
              <w:t>1.1.1.1.08.</w:t>
            </w:r>
            <w:r w:rsidRPr="002176B5">
              <w:tab/>
            </w:r>
            <w:proofErr w:type="spellStart"/>
            <w:r w:rsidRPr="002176B5">
              <w:rPr>
                <w:rStyle w:val="InstructionsTabelleberschrift"/>
                <w:rFonts w:ascii="Times New Roman" w:hAnsi="Times New Roman"/>
                <w:sz w:val="24"/>
              </w:rPr>
              <w:t>Retailové</w:t>
            </w:r>
            <w:proofErr w:type="spellEnd"/>
            <w:r w:rsidRPr="002176B5">
              <w:rPr>
                <w:rStyle w:val="InstructionsTabelleberschrift"/>
                <w:rFonts w:ascii="Times New Roman" w:hAnsi="Times New Roman"/>
                <w:sz w:val="24"/>
              </w:rPr>
              <w:t xml:space="preserve"> subjekty</w:t>
            </w:r>
          </w:p>
          <w:p w14:paraId="360DC148"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Pozri vzor CR SA.</w:t>
            </w:r>
          </w:p>
        </w:tc>
      </w:tr>
      <w:tr w:rsidR="00CC7D2C" w:rsidRPr="002176B5" w14:paraId="546D0D73" w14:textId="77777777" w:rsidTr="00822842">
        <w:tc>
          <w:tcPr>
            <w:tcW w:w="1591" w:type="dxa"/>
          </w:tcPr>
          <w:p w14:paraId="0A08C20C"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0150</w:t>
            </w:r>
          </w:p>
        </w:tc>
        <w:tc>
          <w:tcPr>
            <w:tcW w:w="7274" w:type="dxa"/>
          </w:tcPr>
          <w:p w14:paraId="0D0907DA" w14:textId="5DCD1169" w:rsidR="00CC7D2C" w:rsidRPr="002176B5" w:rsidRDefault="00CC7D2C" w:rsidP="00320EFD">
            <w:pPr>
              <w:pStyle w:val="InstructionsText"/>
              <w:rPr>
                <w:rStyle w:val="InstructionsTabelleberschrift"/>
                <w:rFonts w:ascii="Times New Roman" w:hAnsi="Times New Roman"/>
                <w:bCs w:val="0"/>
                <w:sz w:val="24"/>
              </w:rPr>
            </w:pPr>
            <w:r w:rsidRPr="002176B5">
              <w:rPr>
                <w:rStyle w:val="InstructionsTabelleberschrift"/>
                <w:rFonts w:ascii="Times New Roman" w:hAnsi="Times New Roman"/>
                <w:sz w:val="24"/>
              </w:rPr>
              <w:t>1.1.1.1.09.</w:t>
            </w:r>
            <w:r w:rsidRPr="002176B5">
              <w:tab/>
            </w:r>
            <w:r w:rsidRPr="002176B5">
              <w:rPr>
                <w:rStyle w:val="InstructionsTabelleberschrift"/>
                <w:rFonts w:ascii="Times New Roman" w:hAnsi="Times New Roman"/>
                <w:sz w:val="24"/>
              </w:rPr>
              <w:t>Zabezpečené hypotékami na nehnuteľný majetok</w:t>
            </w:r>
            <w:r w:rsidR="002176B5">
              <w:rPr>
                <w:rStyle w:val="InstructionsTabelleberschrift"/>
                <w:rFonts w:ascii="Times New Roman" w:hAnsi="Times New Roman"/>
                <w:sz w:val="24"/>
              </w:rPr>
              <w:t xml:space="preserve"> a </w:t>
            </w:r>
            <w:r w:rsidRPr="002176B5">
              <w:rPr>
                <w:rStyle w:val="InstructionsTabelleberschrift"/>
                <w:rFonts w:ascii="Times New Roman" w:hAnsi="Times New Roman"/>
                <w:sz w:val="24"/>
              </w:rPr>
              <w:t>expozície ADC</w:t>
            </w:r>
          </w:p>
          <w:p w14:paraId="2E7EE03B"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lastRenderedPageBreak/>
              <w:t>Pozri vzor CR SA.</w:t>
            </w:r>
          </w:p>
        </w:tc>
      </w:tr>
      <w:tr w:rsidR="00CC7D2C" w:rsidRPr="002176B5" w14:paraId="790D6AD7" w14:textId="77777777" w:rsidTr="00822842">
        <w:tc>
          <w:tcPr>
            <w:tcW w:w="1591" w:type="dxa"/>
          </w:tcPr>
          <w:p w14:paraId="76A9E2B2"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lastRenderedPageBreak/>
              <w:t>0151</w:t>
            </w:r>
          </w:p>
        </w:tc>
        <w:tc>
          <w:tcPr>
            <w:tcW w:w="7274" w:type="dxa"/>
          </w:tcPr>
          <w:p w14:paraId="6E6AB269" w14:textId="77777777"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1.1.1.1.09.1.</w:t>
            </w:r>
            <w:r w:rsidRPr="002176B5">
              <w:rPr>
                <w:rStyle w:val="InstructionsTabelleberschrift"/>
              </w:rPr>
              <w:t xml:space="preserve"> </w:t>
            </w:r>
            <w:r w:rsidRPr="002176B5">
              <w:rPr>
                <w:rStyle w:val="InstructionsTabelleberschrift"/>
                <w:rFonts w:ascii="Times New Roman" w:hAnsi="Times New Roman"/>
                <w:sz w:val="24"/>
              </w:rPr>
              <w:t>Zabezpečené hypotékami na nehnuteľný majetok určený na bývanie – expozície, ktoré nie sú IPRE (zabezpečené)</w:t>
            </w:r>
          </w:p>
          <w:p w14:paraId="0E4B47C8" w14:textId="77777777" w:rsidR="00CC7D2C" w:rsidRPr="002176B5" w:rsidRDefault="00CC7D2C" w:rsidP="00320EFD">
            <w:pPr>
              <w:pStyle w:val="InstructionsText"/>
              <w:rPr>
                <w:rStyle w:val="InstructionsTabelleberschrift"/>
                <w:rFonts w:ascii="Times New Roman" w:hAnsi="Times New Roman"/>
                <w:sz w:val="24"/>
              </w:rPr>
            </w:pPr>
            <w:r w:rsidRPr="002176B5">
              <w:rPr>
                <w:rStyle w:val="FormatvorlageInstructionsTabelleText"/>
                <w:rFonts w:ascii="Times New Roman" w:hAnsi="Times New Roman"/>
                <w:sz w:val="24"/>
              </w:rPr>
              <w:t>Pozri vzor CR SA.</w:t>
            </w:r>
          </w:p>
        </w:tc>
      </w:tr>
      <w:tr w:rsidR="00CC7D2C" w:rsidRPr="002176B5" w14:paraId="22041AB9" w14:textId="77777777" w:rsidTr="00822842">
        <w:tc>
          <w:tcPr>
            <w:tcW w:w="1591" w:type="dxa"/>
          </w:tcPr>
          <w:p w14:paraId="12C8BA3C"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0152</w:t>
            </w:r>
          </w:p>
        </w:tc>
        <w:tc>
          <w:tcPr>
            <w:tcW w:w="7274" w:type="dxa"/>
          </w:tcPr>
          <w:p w14:paraId="399D5AA7" w14:textId="77777777"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1.1.1.1.09.2.</w:t>
            </w:r>
            <w:r w:rsidRPr="002176B5">
              <w:rPr>
                <w:rStyle w:val="InstructionsTabelleberschrift"/>
              </w:rPr>
              <w:t xml:space="preserve"> </w:t>
            </w:r>
            <w:r w:rsidRPr="002176B5">
              <w:rPr>
                <w:rStyle w:val="InstructionsTabelleberschrift"/>
                <w:rFonts w:ascii="Times New Roman" w:hAnsi="Times New Roman"/>
                <w:sz w:val="24"/>
              </w:rPr>
              <w:t>Zabezpečené hypotékami na nehnuteľný majetok určený na bývanie – expozície, ktoré nie sú IPRE (nezabezpečené)</w:t>
            </w:r>
          </w:p>
          <w:p w14:paraId="64AB7DC0" w14:textId="77777777" w:rsidR="00CC7D2C" w:rsidRPr="002176B5" w:rsidRDefault="00CC7D2C" w:rsidP="00320EFD">
            <w:pPr>
              <w:pStyle w:val="InstructionsText"/>
              <w:rPr>
                <w:rStyle w:val="InstructionsTabelleberschrift"/>
                <w:rFonts w:ascii="Times New Roman" w:hAnsi="Times New Roman"/>
                <w:sz w:val="24"/>
              </w:rPr>
            </w:pPr>
            <w:r w:rsidRPr="002176B5">
              <w:rPr>
                <w:rStyle w:val="FormatvorlageInstructionsTabelleText"/>
                <w:rFonts w:ascii="Times New Roman" w:hAnsi="Times New Roman"/>
                <w:sz w:val="24"/>
              </w:rPr>
              <w:t>Pozri vzor CR SA.</w:t>
            </w:r>
          </w:p>
        </w:tc>
      </w:tr>
      <w:tr w:rsidR="007F4B3F" w:rsidRPr="002176B5" w14:paraId="10FBC0DD" w14:textId="77777777" w:rsidTr="00822842">
        <w:tc>
          <w:tcPr>
            <w:tcW w:w="1591" w:type="dxa"/>
          </w:tcPr>
          <w:p w14:paraId="228B1BA8" w14:textId="0FAF5E03" w:rsidR="007F4B3F" w:rsidRPr="002176B5" w:rsidRDefault="007F4B3F"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0153</w:t>
            </w:r>
          </w:p>
        </w:tc>
        <w:tc>
          <w:tcPr>
            <w:tcW w:w="7274" w:type="dxa"/>
          </w:tcPr>
          <w:p w14:paraId="205A75F2" w14:textId="70A4C101" w:rsidR="007F4B3F" w:rsidRPr="002176B5" w:rsidRDefault="007F4B3F"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1.1.1.1.09.3.</w:t>
            </w:r>
            <w:r w:rsidRPr="002176B5">
              <w:rPr>
                <w:rStyle w:val="InstructionsTabelleberschrift"/>
              </w:rPr>
              <w:t xml:space="preserve"> </w:t>
            </w:r>
            <w:r w:rsidRPr="002176B5">
              <w:rPr>
                <w:rStyle w:val="InstructionsTabelleberschrift"/>
                <w:rFonts w:ascii="Times New Roman" w:hAnsi="Times New Roman"/>
                <w:sz w:val="24"/>
              </w:rPr>
              <w:t>Zabezpečené hypotékami na nehnuteľný majetok určený na bývanie – ostatné – expozície, ktoré nie sú IPRE</w:t>
            </w:r>
          </w:p>
          <w:p w14:paraId="4DB0C17D" w14:textId="496B7CBC" w:rsidR="007F4B3F" w:rsidRPr="002176B5" w:rsidRDefault="007F4B3F" w:rsidP="00320EFD">
            <w:pPr>
              <w:pStyle w:val="InstructionsText"/>
              <w:rPr>
                <w:rStyle w:val="InstructionsTabelleberschrift"/>
                <w:rFonts w:ascii="Times New Roman" w:hAnsi="Times New Roman"/>
                <w:sz w:val="24"/>
              </w:rPr>
            </w:pPr>
            <w:r w:rsidRPr="002176B5">
              <w:rPr>
                <w:rStyle w:val="FormatvorlageInstructionsTabelleText"/>
                <w:rFonts w:ascii="Times New Roman" w:hAnsi="Times New Roman"/>
                <w:sz w:val="24"/>
              </w:rPr>
              <w:t>Pozri vzor CR SA.</w:t>
            </w:r>
          </w:p>
        </w:tc>
      </w:tr>
      <w:tr w:rsidR="00CC7D2C" w:rsidRPr="002176B5" w14:paraId="4F7FAA46" w14:textId="77777777" w:rsidTr="00822842">
        <w:tc>
          <w:tcPr>
            <w:tcW w:w="1591" w:type="dxa"/>
          </w:tcPr>
          <w:p w14:paraId="1281FB3C" w14:textId="7B1908D5"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0154</w:t>
            </w:r>
          </w:p>
        </w:tc>
        <w:tc>
          <w:tcPr>
            <w:tcW w:w="7274" w:type="dxa"/>
          </w:tcPr>
          <w:p w14:paraId="1F8FDFFA" w14:textId="6F749CA5"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1.1.1.1.09.4.</w:t>
            </w:r>
            <w:r w:rsidRPr="002176B5">
              <w:rPr>
                <w:rStyle w:val="InstructionsTabelleberschrift"/>
              </w:rPr>
              <w:t xml:space="preserve"> </w:t>
            </w:r>
            <w:r w:rsidRPr="002176B5">
              <w:rPr>
                <w:rStyle w:val="InstructionsTabelleberschrift"/>
                <w:rFonts w:ascii="Times New Roman" w:hAnsi="Times New Roman"/>
                <w:sz w:val="24"/>
              </w:rPr>
              <w:t>Zabezpečené hypotékami na nehnuteľný majetok určený na bývanie – expozície IPRE</w:t>
            </w:r>
          </w:p>
          <w:p w14:paraId="6D902F9E" w14:textId="77777777" w:rsidR="00CC7D2C" w:rsidRPr="002176B5" w:rsidRDefault="00CC7D2C" w:rsidP="00320EFD">
            <w:pPr>
              <w:pStyle w:val="InstructionsText"/>
              <w:rPr>
                <w:rStyle w:val="InstructionsTabelleberschrift"/>
                <w:rFonts w:ascii="Times New Roman" w:hAnsi="Times New Roman"/>
                <w:sz w:val="24"/>
              </w:rPr>
            </w:pPr>
            <w:r w:rsidRPr="002176B5">
              <w:rPr>
                <w:rStyle w:val="FormatvorlageInstructionsTabelleText"/>
                <w:rFonts w:ascii="Times New Roman" w:hAnsi="Times New Roman"/>
                <w:sz w:val="24"/>
              </w:rPr>
              <w:t>Pozri vzor CR SA.</w:t>
            </w:r>
          </w:p>
        </w:tc>
      </w:tr>
      <w:tr w:rsidR="007F4B3F" w:rsidRPr="002176B5" w14:paraId="636C2749" w14:textId="77777777" w:rsidTr="00822842">
        <w:tc>
          <w:tcPr>
            <w:tcW w:w="1591" w:type="dxa"/>
          </w:tcPr>
          <w:p w14:paraId="25FE54BF" w14:textId="5F6090A3" w:rsidR="007F4B3F" w:rsidRPr="002176B5" w:rsidRDefault="007F4B3F"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0155</w:t>
            </w:r>
          </w:p>
        </w:tc>
        <w:tc>
          <w:tcPr>
            <w:tcW w:w="7274" w:type="dxa"/>
          </w:tcPr>
          <w:p w14:paraId="5EE00DA5" w14:textId="405178B9" w:rsidR="007F4B3F" w:rsidRPr="002176B5" w:rsidRDefault="007F4B3F"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1.1.1.1.09.5.</w:t>
            </w:r>
            <w:r w:rsidRPr="002176B5">
              <w:rPr>
                <w:rStyle w:val="InstructionsTabelleberschrift"/>
              </w:rPr>
              <w:t xml:space="preserve"> </w:t>
            </w:r>
            <w:r w:rsidRPr="002176B5">
              <w:rPr>
                <w:rStyle w:val="InstructionsTabelleberschrift"/>
                <w:rFonts w:ascii="Times New Roman" w:hAnsi="Times New Roman"/>
                <w:sz w:val="24"/>
              </w:rPr>
              <w:t>Zabezpečené hypotékami na nehnuteľný majetok určený na bývanie – ostatné – expozície IPRE</w:t>
            </w:r>
          </w:p>
          <w:p w14:paraId="2905ED45" w14:textId="547862BC" w:rsidR="007F4B3F" w:rsidRPr="002176B5" w:rsidRDefault="007F4B3F" w:rsidP="00320EFD">
            <w:pPr>
              <w:pStyle w:val="InstructionsText"/>
              <w:rPr>
                <w:rStyle w:val="InstructionsTabelleberschrift"/>
                <w:rFonts w:ascii="Times New Roman" w:hAnsi="Times New Roman"/>
                <w:sz w:val="24"/>
              </w:rPr>
            </w:pPr>
            <w:r w:rsidRPr="002176B5">
              <w:rPr>
                <w:rStyle w:val="FormatvorlageInstructionsTabelleText"/>
                <w:rFonts w:ascii="Times New Roman" w:hAnsi="Times New Roman"/>
                <w:sz w:val="24"/>
              </w:rPr>
              <w:t>Pozri vzor CR SA.</w:t>
            </w:r>
          </w:p>
        </w:tc>
      </w:tr>
      <w:tr w:rsidR="00CC7D2C" w:rsidRPr="002176B5" w14:paraId="0A701EAC" w14:textId="77777777" w:rsidTr="00822842">
        <w:tc>
          <w:tcPr>
            <w:tcW w:w="1591" w:type="dxa"/>
          </w:tcPr>
          <w:p w14:paraId="6FB40C3B" w14:textId="673CBF40"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0156</w:t>
            </w:r>
          </w:p>
        </w:tc>
        <w:tc>
          <w:tcPr>
            <w:tcW w:w="7274" w:type="dxa"/>
          </w:tcPr>
          <w:p w14:paraId="6946143D" w14:textId="768332EC"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1.1.1.1.09.6.</w:t>
            </w:r>
            <w:r w:rsidRPr="002176B5">
              <w:rPr>
                <w:rStyle w:val="InstructionsTabelleberschrift"/>
              </w:rPr>
              <w:t xml:space="preserve"> </w:t>
            </w:r>
            <w:r w:rsidRPr="002176B5">
              <w:rPr>
                <w:rStyle w:val="InstructionsTabelleberschrift"/>
                <w:rFonts w:ascii="Times New Roman" w:hAnsi="Times New Roman"/>
                <w:sz w:val="24"/>
              </w:rPr>
              <w:t>Zabezpečené hypotékami na nehnuteľný majetok určený na podnikanie – expozície, ktoré nie sú IPRE (zabezpečené)</w:t>
            </w:r>
          </w:p>
          <w:p w14:paraId="40835C13" w14:textId="77777777" w:rsidR="00CC7D2C" w:rsidRPr="002176B5" w:rsidRDefault="00CC7D2C" w:rsidP="00320EFD">
            <w:pPr>
              <w:pStyle w:val="InstructionsText"/>
              <w:rPr>
                <w:rStyle w:val="InstructionsTabelleberschrift"/>
                <w:rFonts w:ascii="Times New Roman" w:hAnsi="Times New Roman"/>
                <w:sz w:val="24"/>
              </w:rPr>
            </w:pPr>
            <w:r w:rsidRPr="002176B5">
              <w:rPr>
                <w:rStyle w:val="FormatvorlageInstructionsTabelleText"/>
                <w:rFonts w:ascii="Times New Roman" w:hAnsi="Times New Roman"/>
                <w:sz w:val="24"/>
              </w:rPr>
              <w:t>Pozri vzor CR SA.</w:t>
            </w:r>
          </w:p>
        </w:tc>
      </w:tr>
      <w:tr w:rsidR="00CC7D2C" w:rsidRPr="002176B5" w14:paraId="425B0272" w14:textId="77777777" w:rsidTr="00822842">
        <w:tc>
          <w:tcPr>
            <w:tcW w:w="1591" w:type="dxa"/>
          </w:tcPr>
          <w:p w14:paraId="0A5550D4" w14:textId="16447E4D"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0157</w:t>
            </w:r>
          </w:p>
        </w:tc>
        <w:tc>
          <w:tcPr>
            <w:tcW w:w="7274" w:type="dxa"/>
          </w:tcPr>
          <w:p w14:paraId="060A8C2B" w14:textId="2CDED3B6"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1.1.1.1.09.7.</w:t>
            </w:r>
            <w:r w:rsidRPr="002176B5">
              <w:rPr>
                <w:rStyle w:val="InstructionsTabelleberschrift"/>
              </w:rPr>
              <w:t xml:space="preserve"> </w:t>
            </w:r>
            <w:r w:rsidRPr="002176B5">
              <w:rPr>
                <w:rStyle w:val="InstructionsTabelleberschrift"/>
                <w:rFonts w:ascii="Times New Roman" w:hAnsi="Times New Roman"/>
                <w:sz w:val="24"/>
              </w:rPr>
              <w:t>Zabezpečené hypotékami na nehnuteľný majetok určený na podnikanie – expozície, ktoré nie sú IPRE (nezabezpečené)</w:t>
            </w:r>
          </w:p>
          <w:p w14:paraId="5DAFF51B" w14:textId="77777777" w:rsidR="00CC7D2C" w:rsidRPr="002176B5" w:rsidRDefault="00CC7D2C" w:rsidP="00320EFD">
            <w:pPr>
              <w:pStyle w:val="InstructionsText"/>
              <w:rPr>
                <w:rStyle w:val="InstructionsTabelleberschrift"/>
                <w:rFonts w:ascii="Times New Roman" w:hAnsi="Times New Roman"/>
                <w:sz w:val="24"/>
              </w:rPr>
            </w:pPr>
            <w:r w:rsidRPr="002176B5">
              <w:rPr>
                <w:rStyle w:val="FormatvorlageInstructionsTabelleText"/>
                <w:rFonts w:ascii="Times New Roman" w:hAnsi="Times New Roman"/>
                <w:sz w:val="24"/>
              </w:rPr>
              <w:t>Pozri vzor CR SA.</w:t>
            </w:r>
          </w:p>
        </w:tc>
      </w:tr>
      <w:tr w:rsidR="007F4B3F" w:rsidRPr="002176B5" w14:paraId="5DC9270A" w14:textId="77777777" w:rsidTr="00822842">
        <w:tc>
          <w:tcPr>
            <w:tcW w:w="1591" w:type="dxa"/>
          </w:tcPr>
          <w:p w14:paraId="689A6DCB" w14:textId="1E303AAD" w:rsidR="007F4B3F" w:rsidRPr="002176B5" w:rsidRDefault="007F4B3F"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w:t>
            </w:r>
            <w:r w:rsidRPr="002176B5">
              <w:rPr>
                <w:rStyle w:val="FormatvorlageInstructionsTabelleText"/>
              </w:rPr>
              <w:t>158</w:t>
            </w:r>
          </w:p>
        </w:tc>
        <w:tc>
          <w:tcPr>
            <w:tcW w:w="7274" w:type="dxa"/>
          </w:tcPr>
          <w:p w14:paraId="411FE77D" w14:textId="69FA6B39" w:rsidR="007F4B3F" w:rsidRPr="002176B5" w:rsidRDefault="007F4B3F"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1.1.1.1.09.8.</w:t>
            </w:r>
            <w:r w:rsidRPr="002176B5">
              <w:rPr>
                <w:rStyle w:val="InstructionsTabelleberschrift"/>
              </w:rPr>
              <w:t xml:space="preserve"> </w:t>
            </w:r>
            <w:r w:rsidRPr="002176B5">
              <w:rPr>
                <w:rStyle w:val="InstructionsTabelleberschrift"/>
                <w:rFonts w:ascii="Times New Roman" w:hAnsi="Times New Roman"/>
                <w:sz w:val="24"/>
              </w:rPr>
              <w:t>Zabezpečené hypotékami na nehnuteľný majetok určený na podnikanie – ostatné – expozície, ktoré nie sú IPRE</w:t>
            </w:r>
          </w:p>
          <w:p w14:paraId="0772E508" w14:textId="000070F8" w:rsidR="007F4B3F" w:rsidRPr="002176B5" w:rsidRDefault="007F4B3F" w:rsidP="00320EFD">
            <w:pPr>
              <w:pStyle w:val="InstructionsText"/>
              <w:rPr>
                <w:rStyle w:val="InstructionsTabelleberschrift"/>
                <w:rFonts w:ascii="Times New Roman" w:hAnsi="Times New Roman"/>
                <w:sz w:val="24"/>
              </w:rPr>
            </w:pPr>
            <w:r w:rsidRPr="002176B5">
              <w:rPr>
                <w:rStyle w:val="FormatvorlageInstructionsTabelleText"/>
                <w:rFonts w:ascii="Times New Roman" w:hAnsi="Times New Roman"/>
                <w:sz w:val="24"/>
              </w:rPr>
              <w:t>Pozri vzor CR SA.</w:t>
            </w:r>
          </w:p>
        </w:tc>
      </w:tr>
      <w:tr w:rsidR="00CC7D2C" w:rsidRPr="002176B5" w14:paraId="322F841F" w14:textId="1E5DC9E5" w:rsidTr="00822842">
        <w:tc>
          <w:tcPr>
            <w:tcW w:w="1591" w:type="dxa"/>
          </w:tcPr>
          <w:p w14:paraId="3879AFFF" w14:textId="06BF78A2"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0159</w:t>
            </w:r>
          </w:p>
        </w:tc>
        <w:tc>
          <w:tcPr>
            <w:tcW w:w="7274" w:type="dxa"/>
          </w:tcPr>
          <w:p w14:paraId="2F61A8A6" w14:textId="5281EB48"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1.1.1.1.09.9.</w:t>
            </w:r>
            <w:r w:rsidRPr="002176B5">
              <w:rPr>
                <w:rStyle w:val="InstructionsTabelleberschrift"/>
              </w:rPr>
              <w:t xml:space="preserve"> </w:t>
            </w:r>
            <w:r w:rsidRPr="002176B5">
              <w:rPr>
                <w:rStyle w:val="InstructionsTabelleberschrift"/>
                <w:rFonts w:ascii="Times New Roman" w:hAnsi="Times New Roman"/>
                <w:sz w:val="24"/>
              </w:rPr>
              <w:t>Zabezpečené hypotékami na nehnuteľný majetok určený na podnikanie – expozície IPRE</w:t>
            </w:r>
          </w:p>
          <w:p w14:paraId="508FA811" w14:textId="59F16FE0" w:rsidR="00CC7D2C" w:rsidRPr="002176B5" w:rsidRDefault="00CC7D2C" w:rsidP="00320EFD">
            <w:pPr>
              <w:pStyle w:val="InstructionsText"/>
              <w:rPr>
                <w:rStyle w:val="InstructionsTabelleberschrift"/>
                <w:rFonts w:ascii="Times New Roman" w:hAnsi="Times New Roman"/>
                <w:sz w:val="24"/>
              </w:rPr>
            </w:pPr>
            <w:r w:rsidRPr="002176B5">
              <w:rPr>
                <w:rStyle w:val="FormatvorlageInstructionsTabelleText"/>
                <w:rFonts w:ascii="Times New Roman" w:hAnsi="Times New Roman"/>
                <w:sz w:val="24"/>
              </w:rPr>
              <w:t>Pozri vzor CR SA.</w:t>
            </w:r>
          </w:p>
        </w:tc>
      </w:tr>
      <w:tr w:rsidR="00CC7D2C" w:rsidRPr="002176B5" w14:paraId="7428E9E4" w14:textId="77777777" w:rsidTr="00822842">
        <w:tc>
          <w:tcPr>
            <w:tcW w:w="1591" w:type="dxa"/>
          </w:tcPr>
          <w:p w14:paraId="63EC5AF9" w14:textId="7DF5807D"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0900</w:t>
            </w:r>
          </w:p>
        </w:tc>
        <w:tc>
          <w:tcPr>
            <w:tcW w:w="7274" w:type="dxa"/>
          </w:tcPr>
          <w:p w14:paraId="7D6AE7C2" w14:textId="61F789FD"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1.1.1.1.09.9a.</w:t>
            </w:r>
            <w:r w:rsidRPr="002176B5">
              <w:rPr>
                <w:rStyle w:val="InstructionsTabelleberschrift"/>
              </w:rPr>
              <w:t xml:space="preserve"> </w:t>
            </w:r>
            <w:r w:rsidRPr="002176B5">
              <w:rPr>
                <w:rStyle w:val="InstructionsTabelleberschrift"/>
                <w:rFonts w:ascii="Times New Roman" w:hAnsi="Times New Roman"/>
                <w:sz w:val="24"/>
              </w:rPr>
              <w:t>Zabezpečené hypotékami na nehnuteľný majetok určený na podnikanie – ostatné – expozície IPRE</w:t>
            </w:r>
          </w:p>
          <w:p w14:paraId="0949ED7F" w14:textId="77777777" w:rsidR="00CC7D2C" w:rsidRPr="002176B5" w:rsidRDefault="00CC7D2C" w:rsidP="00320EFD">
            <w:pPr>
              <w:pStyle w:val="InstructionsText"/>
              <w:rPr>
                <w:rStyle w:val="InstructionsTabelleberschrift"/>
                <w:rFonts w:ascii="Times New Roman" w:hAnsi="Times New Roman"/>
                <w:sz w:val="24"/>
              </w:rPr>
            </w:pPr>
            <w:r w:rsidRPr="002176B5">
              <w:rPr>
                <w:rStyle w:val="FormatvorlageInstructionsTabelleText"/>
                <w:rFonts w:ascii="Times New Roman" w:hAnsi="Times New Roman"/>
                <w:sz w:val="24"/>
              </w:rPr>
              <w:t>Pozri vzor CR SA.</w:t>
            </w:r>
          </w:p>
        </w:tc>
      </w:tr>
      <w:tr w:rsidR="00CC7D2C" w:rsidRPr="002176B5" w14:paraId="59EA620E" w14:textId="77777777" w:rsidTr="00822842">
        <w:tc>
          <w:tcPr>
            <w:tcW w:w="1591" w:type="dxa"/>
          </w:tcPr>
          <w:p w14:paraId="1B0CF031" w14:textId="5C62316E"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0910</w:t>
            </w:r>
          </w:p>
        </w:tc>
        <w:tc>
          <w:tcPr>
            <w:tcW w:w="7274" w:type="dxa"/>
          </w:tcPr>
          <w:p w14:paraId="5A67362E" w14:textId="6DD1C8C0"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1.1.1.1.09.9b.</w:t>
            </w:r>
            <w:r w:rsidRPr="002176B5">
              <w:rPr>
                <w:rStyle w:val="InstructionsTabelleberschrift"/>
              </w:rPr>
              <w:t xml:space="preserve"> </w:t>
            </w:r>
            <w:r w:rsidRPr="002176B5">
              <w:rPr>
                <w:rStyle w:val="InstructionsTabelleberschrift"/>
                <w:rFonts w:ascii="Times New Roman" w:hAnsi="Times New Roman"/>
                <w:sz w:val="24"/>
              </w:rPr>
              <w:t>Nadobudnutie, rozvoj</w:t>
            </w:r>
            <w:r w:rsidR="002176B5">
              <w:rPr>
                <w:rStyle w:val="InstructionsTabelleberschrift"/>
                <w:rFonts w:ascii="Times New Roman" w:hAnsi="Times New Roman"/>
                <w:sz w:val="24"/>
              </w:rPr>
              <w:t xml:space="preserve"> a </w:t>
            </w:r>
            <w:r w:rsidRPr="002176B5">
              <w:rPr>
                <w:rStyle w:val="InstructionsTabelleberschrift"/>
                <w:rFonts w:ascii="Times New Roman" w:hAnsi="Times New Roman"/>
                <w:sz w:val="24"/>
              </w:rPr>
              <w:t>výstavba (ADC)</w:t>
            </w:r>
          </w:p>
          <w:p w14:paraId="44966D42" w14:textId="77777777" w:rsidR="00CC7D2C" w:rsidRPr="002176B5" w:rsidRDefault="00CC7D2C" w:rsidP="00320EFD">
            <w:pPr>
              <w:pStyle w:val="InstructionsText"/>
              <w:rPr>
                <w:rStyle w:val="InstructionsTabelleberschrift"/>
                <w:rFonts w:ascii="Times New Roman" w:hAnsi="Times New Roman"/>
                <w:sz w:val="24"/>
              </w:rPr>
            </w:pPr>
            <w:r w:rsidRPr="002176B5">
              <w:rPr>
                <w:rStyle w:val="FormatvorlageInstructionsTabelleText"/>
                <w:rFonts w:ascii="Times New Roman" w:hAnsi="Times New Roman"/>
                <w:sz w:val="24"/>
              </w:rPr>
              <w:t>Pozri vzor CR SA.</w:t>
            </w:r>
          </w:p>
        </w:tc>
      </w:tr>
      <w:tr w:rsidR="00CC7D2C" w:rsidRPr="002176B5" w14:paraId="0E7177AE" w14:textId="77777777" w:rsidTr="00822842">
        <w:tc>
          <w:tcPr>
            <w:tcW w:w="1591" w:type="dxa"/>
          </w:tcPr>
          <w:p w14:paraId="0FC08E34"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0160</w:t>
            </w:r>
          </w:p>
        </w:tc>
        <w:tc>
          <w:tcPr>
            <w:tcW w:w="7274" w:type="dxa"/>
          </w:tcPr>
          <w:p w14:paraId="691C0F92" w14:textId="2BFC7F32" w:rsidR="00CC7D2C" w:rsidRPr="002176B5" w:rsidRDefault="00CC7D2C" w:rsidP="00320EFD">
            <w:pPr>
              <w:pStyle w:val="InstructionsText"/>
              <w:rPr>
                <w:rStyle w:val="InstructionsTabelleberschrift"/>
                <w:rFonts w:ascii="Times New Roman" w:hAnsi="Times New Roman"/>
                <w:bCs w:val="0"/>
                <w:sz w:val="24"/>
              </w:rPr>
            </w:pPr>
            <w:r w:rsidRPr="002176B5">
              <w:rPr>
                <w:rStyle w:val="InstructionsTabelleberschrift"/>
                <w:rFonts w:ascii="Times New Roman" w:hAnsi="Times New Roman"/>
                <w:sz w:val="24"/>
              </w:rPr>
              <w:t>1.1.1.1.10.</w:t>
            </w:r>
            <w:r w:rsidRPr="002176B5">
              <w:tab/>
            </w:r>
            <w:r w:rsidRPr="002176B5">
              <w:rPr>
                <w:rStyle w:val="InstructionsTabelleberschrift"/>
                <w:rFonts w:ascii="Times New Roman" w:hAnsi="Times New Roman"/>
                <w:sz w:val="24"/>
              </w:rPr>
              <w:t>Expozície</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stave zlyhania</w:t>
            </w:r>
          </w:p>
          <w:p w14:paraId="748E3418"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Pozri vzor CR SA.</w:t>
            </w:r>
          </w:p>
        </w:tc>
      </w:tr>
      <w:tr w:rsidR="00CC7D2C" w:rsidRPr="002176B5" w14:paraId="7B0FABBD" w14:textId="77777777" w:rsidTr="00822842">
        <w:tc>
          <w:tcPr>
            <w:tcW w:w="1591" w:type="dxa"/>
          </w:tcPr>
          <w:p w14:paraId="32090489" w14:textId="67AA5702" w:rsidR="00CC7D2C" w:rsidRPr="002176B5" w:rsidRDefault="00CC7D2C" w:rsidP="00320EFD">
            <w:pPr>
              <w:pStyle w:val="InstructionsText"/>
              <w:rPr>
                <w:rStyle w:val="FormatvorlageInstructionsTabelleText"/>
                <w:rFonts w:ascii="Times New Roman" w:hAnsi="Times New Roman"/>
                <w:sz w:val="24"/>
                <w:lang w:eastAsia="en-US"/>
              </w:rPr>
            </w:pPr>
          </w:p>
        </w:tc>
        <w:tc>
          <w:tcPr>
            <w:tcW w:w="7274" w:type="dxa"/>
          </w:tcPr>
          <w:p w14:paraId="55E987E8" w14:textId="690CF5A5" w:rsidR="00CC7D2C" w:rsidRPr="002176B5" w:rsidRDefault="00CC7D2C" w:rsidP="00320EFD">
            <w:pPr>
              <w:pStyle w:val="InstructionsText"/>
              <w:rPr>
                <w:rStyle w:val="InstructionsTabelleberschrift"/>
                <w:rFonts w:ascii="Times New Roman" w:hAnsi="Times New Roman"/>
                <w:sz w:val="24"/>
                <w:lang w:eastAsia="en-US"/>
              </w:rPr>
            </w:pPr>
          </w:p>
        </w:tc>
      </w:tr>
      <w:tr w:rsidR="00CC7D2C" w:rsidRPr="002176B5" w14:paraId="56CCB5D0" w14:textId="77777777" w:rsidTr="00822842">
        <w:tc>
          <w:tcPr>
            <w:tcW w:w="1591" w:type="dxa"/>
          </w:tcPr>
          <w:p w14:paraId="233C7769"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lastRenderedPageBreak/>
              <w:t>0171</w:t>
            </w:r>
          </w:p>
        </w:tc>
        <w:tc>
          <w:tcPr>
            <w:tcW w:w="7274" w:type="dxa"/>
          </w:tcPr>
          <w:p w14:paraId="61BDB376" w14:textId="77777777"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1.1.1.1.11a.     Expozície voči podriadenému dlhu</w:t>
            </w:r>
          </w:p>
          <w:p w14:paraId="459A982C" w14:textId="77777777" w:rsidR="00CC7D2C" w:rsidRPr="002176B5" w:rsidRDefault="00CC7D2C" w:rsidP="00320EFD">
            <w:pPr>
              <w:pStyle w:val="InstructionsText"/>
              <w:rPr>
                <w:rStyle w:val="InstructionsTabelleberschrift"/>
                <w:rFonts w:ascii="Times New Roman" w:hAnsi="Times New Roman"/>
                <w:sz w:val="24"/>
              </w:rPr>
            </w:pPr>
            <w:r w:rsidRPr="002176B5">
              <w:rPr>
                <w:rStyle w:val="FormatvorlageInstructionsTabelleText"/>
                <w:rFonts w:ascii="Times New Roman" w:hAnsi="Times New Roman"/>
                <w:sz w:val="24"/>
              </w:rPr>
              <w:t>Pozri vzor CR SA.</w:t>
            </w:r>
          </w:p>
        </w:tc>
      </w:tr>
      <w:tr w:rsidR="00CC7D2C" w:rsidRPr="002176B5" w14:paraId="662573FF" w14:textId="77777777" w:rsidTr="00822842">
        <w:tc>
          <w:tcPr>
            <w:tcW w:w="1591" w:type="dxa"/>
          </w:tcPr>
          <w:p w14:paraId="0667C0A3"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0180</w:t>
            </w:r>
          </w:p>
        </w:tc>
        <w:tc>
          <w:tcPr>
            <w:tcW w:w="7274" w:type="dxa"/>
          </w:tcPr>
          <w:p w14:paraId="5555D90C" w14:textId="77777777" w:rsidR="00CC7D2C" w:rsidRPr="002176B5" w:rsidRDefault="00CC7D2C" w:rsidP="00320EFD">
            <w:pPr>
              <w:pStyle w:val="InstructionsText"/>
              <w:rPr>
                <w:rStyle w:val="InstructionsTabelleberschrift"/>
                <w:rFonts w:ascii="Times New Roman" w:hAnsi="Times New Roman"/>
                <w:bCs w:val="0"/>
                <w:sz w:val="24"/>
              </w:rPr>
            </w:pPr>
            <w:r w:rsidRPr="002176B5">
              <w:rPr>
                <w:rStyle w:val="InstructionsTabelleberschrift"/>
                <w:rFonts w:ascii="Times New Roman" w:hAnsi="Times New Roman"/>
                <w:sz w:val="24"/>
              </w:rPr>
              <w:t>1.1.1.1.12.</w:t>
            </w:r>
            <w:r w:rsidRPr="002176B5">
              <w:tab/>
            </w:r>
            <w:r w:rsidRPr="002176B5">
              <w:rPr>
                <w:rStyle w:val="InstructionsTabelleberschrift"/>
                <w:rFonts w:ascii="Times New Roman" w:hAnsi="Times New Roman"/>
                <w:sz w:val="24"/>
              </w:rPr>
              <w:t>Kryté dlhopisy</w:t>
            </w:r>
          </w:p>
          <w:p w14:paraId="5974852A"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Pozri vzor CR SA.</w:t>
            </w:r>
          </w:p>
        </w:tc>
      </w:tr>
      <w:tr w:rsidR="00CC7D2C" w:rsidRPr="002176B5" w14:paraId="057639C8" w14:textId="77777777" w:rsidTr="00822842">
        <w:tc>
          <w:tcPr>
            <w:tcW w:w="1591" w:type="dxa"/>
          </w:tcPr>
          <w:p w14:paraId="45DFF260"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0190</w:t>
            </w:r>
          </w:p>
        </w:tc>
        <w:tc>
          <w:tcPr>
            <w:tcW w:w="7274" w:type="dxa"/>
          </w:tcPr>
          <w:p w14:paraId="3B622691" w14:textId="7CC694BB" w:rsidR="00CC7D2C" w:rsidRPr="002176B5" w:rsidRDefault="00CC7D2C" w:rsidP="00320EFD">
            <w:pPr>
              <w:pStyle w:val="InstructionsText"/>
              <w:rPr>
                <w:rStyle w:val="InstructionsTabelleberschrift"/>
                <w:rFonts w:ascii="Times New Roman" w:hAnsi="Times New Roman"/>
                <w:bCs w:val="0"/>
                <w:sz w:val="24"/>
              </w:rPr>
            </w:pPr>
            <w:r w:rsidRPr="002176B5">
              <w:rPr>
                <w:rStyle w:val="InstructionsTabelleberschrift"/>
                <w:rFonts w:ascii="Times New Roman" w:hAnsi="Times New Roman"/>
                <w:sz w:val="24"/>
              </w:rPr>
              <w:t>1.1.1.1.13.</w:t>
            </w:r>
            <w:r w:rsidRPr="002176B5">
              <w:tab/>
            </w:r>
            <w:r w:rsidRPr="002176B5">
              <w:rPr>
                <w:rStyle w:val="InstructionsTabelleberschrift"/>
                <w:rFonts w:ascii="Times New Roman" w:hAnsi="Times New Roman"/>
                <w:sz w:val="24"/>
              </w:rPr>
              <w:t>Pohľadávky voči inštitúciám</w:t>
            </w:r>
            <w:r w:rsidR="002176B5">
              <w:rPr>
                <w:rStyle w:val="InstructionsTabelleberschrift"/>
                <w:rFonts w:ascii="Times New Roman" w:hAnsi="Times New Roman"/>
                <w:sz w:val="24"/>
              </w:rPr>
              <w:t xml:space="preserve"> a </w:t>
            </w:r>
            <w:r w:rsidRPr="002176B5">
              <w:rPr>
                <w:rStyle w:val="InstructionsTabelleberschrift"/>
                <w:rFonts w:ascii="Times New Roman" w:hAnsi="Times New Roman"/>
                <w:sz w:val="24"/>
              </w:rPr>
              <w:t>podnikateľským subjektom</w:t>
            </w:r>
            <w:r w:rsidR="002176B5">
              <w:rPr>
                <w:rStyle w:val="InstructionsTabelleberschrift"/>
                <w:rFonts w:ascii="Times New Roman" w:hAnsi="Times New Roman"/>
                <w:sz w:val="24"/>
              </w:rPr>
              <w:t xml:space="preserve"> s </w:t>
            </w:r>
            <w:r w:rsidRPr="002176B5">
              <w:rPr>
                <w:rStyle w:val="InstructionsTabelleberschrift"/>
                <w:rFonts w:ascii="Times New Roman" w:hAnsi="Times New Roman"/>
                <w:sz w:val="24"/>
              </w:rPr>
              <w:t>krátkodobým ratingovým hodnotením</w:t>
            </w:r>
          </w:p>
          <w:p w14:paraId="3F6E4C69"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Pozri vzor CR SA.</w:t>
            </w:r>
          </w:p>
        </w:tc>
      </w:tr>
      <w:tr w:rsidR="00CC7D2C" w:rsidRPr="002176B5" w14:paraId="32C6FFCF" w14:textId="77777777" w:rsidTr="00822842">
        <w:tc>
          <w:tcPr>
            <w:tcW w:w="1591" w:type="dxa"/>
          </w:tcPr>
          <w:p w14:paraId="239354C5" w14:textId="77777777" w:rsidR="00CC7D2C" w:rsidRPr="002176B5" w:rsidRDefault="00CC7D2C" w:rsidP="00320EFD">
            <w:pPr>
              <w:pStyle w:val="InstructionsText"/>
              <w:rPr>
                <w:rStyle w:val="FormatvorlageInstructionsTabelleText"/>
                <w:rFonts w:ascii="Times New Roman" w:hAnsi="Times New Roman"/>
                <w:bCs w:val="0"/>
                <w:sz w:val="24"/>
              </w:rPr>
            </w:pPr>
            <w:r w:rsidRPr="002176B5">
              <w:rPr>
                <w:rStyle w:val="FormatvorlageInstructionsTabelleText"/>
                <w:rFonts w:ascii="Times New Roman" w:hAnsi="Times New Roman"/>
                <w:sz w:val="24"/>
              </w:rPr>
              <w:t>0200</w:t>
            </w:r>
          </w:p>
        </w:tc>
        <w:tc>
          <w:tcPr>
            <w:tcW w:w="7274" w:type="dxa"/>
          </w:tcPr>
          <w:p w14:paraId="6627DC5C" w14:textId="77777777" w:rsidR="00CC7D2C" w:rsidRPr="002176B5" w:rsidRDefault="00CC7D2C" w:rsidP="00320EFD">
            <w:pPr>
              <w:pStyle w:val="InstructionsText"/>
              <w:rPr>
                <w:rStyle w:val="FormatvorlageInstructionsTabelleText"/>
                <w:rFonts w:ascii="Times New Roman" w:hAnsi="Times New Roman"/>
                <w:bCs w:val="0"/>
                <w:sz w:val="24"/>
              </w:rPr>
            </w:pPr>
            <w:r w:rsidRPr="002176B5">
              <w:rPr>
                <w:rStyle w:val="InstructionsTabelleberschrift"/>
                <w:rFonts w:ascii="Times New Roman" w:hAnsi="Times New Roman"/>
                <w:sz w:val="24"/>
              </w:rPr>
              <w:t>1.1.1.1.14.</w:t>
            </w:r>
            <w:r w:rsidRPr="002176B5">
              <w:tab/>
            </w:r>
            <w:r w:rsidRPr="002176B5">
              <w:rPr>
                <w:rStyle w:val="InstructionsTabelleberschrift"/>
                <w:rFonts w:ascii="Times New Roman" w:hAnsi="Times New Roman"/>
                <w:sz w:val="24"/>
              </w:rPr>
              <w:t>Podniky kolektívneho investovania (PKI)</w:t>
            </w:r>
          </w:p>
          <w:p w14:paraId="223DAA9D"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Pozri vzor CR SA.</w:t>
            </w:r>
          </w:p>
        </w:tc>
      </w:tr>
      <w:tr w:rsidR="00CC7D2C" w:rsidRPr="002176B5" w14:paraId="61E62EE2" w14:textId="77777777" w:rsidTr="00822842">
        <w:tc>
          <w:tcPr>
            <w:tcW w:w="1591" w:type="dxa"/>
          </w:tcPr>
          <w:p w14:paraId="17507993"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0210</w:t>
            </w:r>
          </w:p>
        </w:tc>
        <w:tc>
          <w:tcPr>
            <w:tcW w:w="7274" w:type="dxa"/>
          </w:tcPr>
          <w:p w14:paraId="0554B9EC" w14:textId="77777777" w:rsidR="00CC7D2C" w:rsidRPr="002176B5" w:rsidRDefault="00CC7D2C" w:rsidP="00320EFD">
            <w:pPr>
              <w:pStyle w:val="InstructionsText"/>
              <w:rPr>
                <w:rStyle w:val="InstructionsTabelleberschrift"/>
                <w:rFonts w:ascii="Times New Roman" w:hAnsi="Times New Roman"/>
                <w:bCs w:val="0"/>
                <w:sz w:val="24"/>
              </w:rPr>
            </w:pPr>
            <w:r w:rsidRPr="002176B5">
              <w:rPr>
                <w:rStyle w:val="InstructionsTabelleberschrift"/>
                <w:rFonts w:ascii="Times New Roman" w:hAnsi="Times New Roman"/>
                <w:sz w:val="24"/>
              </w:rPr>
              <w:t>1.1.1.1.15.</w:t>
            </w:r>
            <w:r w:rsidRPr="002176B5">
              <w:tab/>
            </w:r>
            <w:r w:rsidRPr="002176B5">
              <w:rPr>
                <w:rStyle w:val="InstructionsTabelleberschrift"/>
                <w:rFonts w:ascii="Times New Roman" w:hAnsi="Times New Roman"/>
                <w:sz w:val="24"/>
              </w:rPr>
              <w:t>Vlastné imanie</w:t>
            </w:r>
          </w:p>
          <w:p w14:paraId="1E6D4B15" w14:textId="77777777" w:rsidR="00CC7D2C" w:rsidRPr="002176B5" w:rsidRDefault="00CC7D2C" w:rsidP="00822842">
            <w:pPr>
              <w:rPr>
                <w:rStyle w:val="FormatvorlageInstructionsTabelleText"/>
                <w:rFonts w:ascii="Times New Roman" w:hAnsi="Times New Roman"/>
                <w:sz w:val="24"/>
              </w:rPr>
            </w:pPr>
            <w:r w:rsidRPr="002176B5">
              <w:rPr>
                <w:rStyle w:val="FormatvorlageInstructionsTabelleText"/>
                <w:rFonts w:ascii="Times New Roman" w:hAnsi="Times New Roman"/>
                <w:sz w:val="24"/>
              </w:rPr>
              <w:t>Pozri vzor CR SA.</w:t>
            </w:r>
          </w:p>
        </w:tc>
      </w:tr>
      <w:tr w:rsidR="00CC7D2C" w:rsidRPr="002176B5" w14:paraId="18C099EB" w14:textId="77777777" w:rsidTr="00822842">
        <w:tc>
          <w:tcPr>
            <w:tcW w:w="1591" w:type="dxa"/>
          </w:tcPr>
          <w:p w14:paraId="56A16E2A"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0211</w:t>
            </w:r>
          </w:p>
        </w:tc>
        <w:tc>
          <w:tcPr>
            <w:tcW w:w="7274" w:type="dxa"/>
          </w:tcPr>
          <w:p w14:paraId="0A0C27D7" w14:textId="77777777" w:rsidR="00CC7D2C" w:rsidRPr="002176B5" w:rsidRDefault="00CC7D2C" w:rsidP="00320EFD">
            <w:pPr>
              <w:pStyle w:val="InstructionsText"/>
              <w:rPr>
                <w:rStyle w:val="InstructionsTabelleberschrift"/>
                <w:rFonts w:ascii="Times New Roman" w:hAnsi="Times New Roman"/>
                <w:bCs w:val="0"/>
                <w:sz w:val="24"/>
              </w:rPr>
            </w:pPr>
            <w:r w:rsidRPr="002176B5">
              <w:rPr>
                <w:rStyle w:val="InstructionsTabelleberschrift"/>
                <w:rFonts w:ascii="Times New Roman" w:hAnsi="Times New Roman"/>
                <w:sz w:val="24"/>
              </w:rPr>
              <w:t>1.1.1.1.16.</w:t>
            </w:r>
            <w:r w:rsidRPr="002176B5">
              <w:tab/>
            </w:r>
            <w:r w:rsidRPr="002176B5">
              <w:rPr>
                <w:rStyle w:val="InstructionsTabelleberschrift"/>
                <w:rFonts w:ascii="Times New Roman" w:hAnsi="Times New Roman"/>
                <w:sz w:val="24"/>
              </w:rPr>
              <w:t>Ostatné položky</w:t>
            </w:r>
          </w:p>
          <w:p w14:paraId="0F6109C6" w14:textId="77777777" w:rsidR="00CC7D2C" w:rsidRPr="002176B5" w:rsidRDefault="00CC7D2C" w:rsidP="00320EFD">
            <w:pPr>
              <w:pStyle w:val="InstructionsText"/>
              <w:rPr>
                <w:rStyle w:val="InstructionsTabelleberschrift"/>
                <w:rFonts w:ascii="Times New Roman" w:hAnsi="Times New Roman"/>
                <w:bCs w:val="0"/>
                <w:sz w:val="24"/>
              </w:rPr>
            </w:pPr>
            <w:r w:rsidRPr="002176B5">
              <w:rPr>
                <w:rStyle w:val="FormatvorlageInstructionsTabelleText"/>
                <w:rFonts w:ascii="Times New Roman" w:hAnsi="Times New Roman"/>
                <w:sz w:val="24"/>
              </w:rPr>
              <w:t>Pozri vzor CR SA.</w:t>
            </w:r>
          </w:p>
        </w:tc>
      </w:tr>
      <w:tr w:rsidR="00CC7D2C" w:rsidRPr="002176B5" w14:paraId="38CA97F2" w14:textId="77777777" w:rsidTr="00822842">
        <w:tc>
          <w:tcPr>
            <w:tcW w:w="1591" w:type="dxa"/>
          </w:tcPr>
          <w:p w14:paraId="2FDD8D8F"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0212</w:t>
            </w:r>
          </w:p>
        </w:tc>
        <w:tc>
          <w:tcPr>
            <w:tcW w:w="7274" w:type="dxa"/>
          </w:tcPr>
          <w:p w14:paraId="618C81D6" w14:textId="77777777" w:rsidR="00CC7D2C" w:rsidRPr="002176B5" w:rsidRDefault="00CC7D2C" w:rsidP="00320EFD">
            <w:pPr>
              <w:pStyle w:val="InstructionsText"/>
              <w:rPr>
                <w:rStyle w:val="InstructionsTabelleberschrift"/>
                <w:rFonts w:ascii="Times New Roman" w:hAnsi="Times New Roman"/>
                <w:bCs w:val="0"/>
                <w:sz w:val="24"/>
              </w:rPr>
            </w:pPr>
            <w:r w:rsidRPr="002176B5">
              <w:rPr>
                <w:rStyle w:val="InstructionsTabelleberschrift"/>
                <w:rFonts w:ascii="Times New Roman" w:hAnsi="Times New Roman"/>
                <w:sz w:val="24"/>
              </w:rPr>
              <w:t>1.1.1.1.16.1</w:t>
            </w:r>
            <w:r w:rsidRPr="002176B5">
              <w:tab/>
            </w:r>
            <w:r w:rsidRPr="002176B5">
              <w:rPr>
                <w:rStyle w:val="InstructionsTabelleberschrift"/>
                <w:rFonts w:ascii="Times New Roman" w:hAnsi="Times New Roman"/>
                <w:sz w:val="24"/>
              </w:rPr>
              <w:t>Z čoho: softvérové aktíva účtované ako nehmotné aktíva</w:t>
            </w:r>
          </w:p>
          <w:p w14:paraId="665DD53E" w14:textId="0A02785B" w:rsidR="00CC7D2C" w:rsidRPr="002176B5" w:rsidRDefault="00CC7D2C" w:rsidP="00320EFD">
            <w:pPr>
              <w:pStyle w:val="InstructionsText"/>
              <w:rPr>
                <w:rStyle w:val="InstructionsTabelleberschrift"/>
                <w:rFonts w:ascii="Times New Roman" w:hAnsi="Times New Roman"/>
                <w:sz w:val="24"/>
              </w:rPr>
            </w:pPr>
            <w:r w:rsidRPr="002176B5">
              <w:rPr>
                <w:rStyle w:val="FormatvorlageInstructionsTabelleText"/>
                <w:rFonts w:ascii="Times New Roman" w:hAnsi="Times New Roman"/>
                <w:sz w:val="24"/>
              </w:rPr>
              <w:t>Hodnota rizikovo váženej expozície týkajúca sa časti softvérových aktív účtovaných ako nehmotné aktíva, ktorá nie je odpočítaná od položiek CET1</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súlade</w:t>
            </w:r>
            <w:r w:rsidR="002176B5">
              <w:rPr>
                <w:rStyle w:val="FormatvorlageInstructionsTabelleText"/>
                <w:rFonts w:ascii="Times New Roman" w:hAnsi="Times New Roman"/>
                <w:sz w:val="24"/>
              </w:rPr>
              <w:t xml:space="preserve"> s </w:t>
            </w:r>
            <w:r w:rsidRPr="002176B5">
              <w:rPr>
                <w:rStyle w:val="FormatvorlageInstructionsTabelleText"/>
                <w:rFonts w:ascii="Times New Roman" w:hAnsi="Times New Roman"/>
                <w:sz w:val="24"/>
              </w:rPr>
              <w:t>článkom 36 ods. 1 písm. b)</w:t>
            </w:r>
            <w:r w:rsidRPr="002176B5">
              <w:t xml:space="preserve"> nariadenia (EÚ) č. 575/2013</w:t>
            </w:r>
            <w:r w:rsidRPr="002176B5">
              <w:rPr>
                <w:rStyle w:val="FormatvorlageInstructionsTabelleText"/>
                <w:rFonts w:ascii="Times New Roman" w:hAnsi="Times New Roman"/>
                <w:sz w:val="24"/>
              </w:rPr>
              <w:t>, ale je rizikovo vážená</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súlade</w:t>
            </w:r>
            <w:r w:rsidR="002176B5">
              <w:rPr>
                <w:rStyle w:val="FormatvorlageInstructionsTabelleText"/>
                <w:rFonts w:ascii="Times New Roman" w:hAnsi="Times New Roman"/>
                <w:sz w:val="24"/>
              </w:rPr>
              <w:t xml:space="preserve"> s </w:t>
            </w:r>
            <w:r w:rsidRPr="002176B5">
              <w:rPr>
                <w:rStyle w:val="FormatvorlageInstructionsTabelleText"/>
                <w:rFonts w:ascii="Times New Roman" w:hAnsi="Times New Roman"/>
                <w:sz w:val="24"/>
              </w:rPr>
              <w:t>článkom 113 ods. 5</w:t>
            </w:r>
            <w:r w:rsidRPr="002176B5">
              <w:t xml:space="preserve"> uvedeného nariadenia</w:t>
            </w:r>
            <w:r w:rsidRPr="002176B5">
              <w:rPr>
                <w:rStyle w:val="FormatvorlageInstructionsTabelleText"/>
                <w:rFonts w:ascii="Times New Roman" w:hAnsi="Times New Roman"/>
                <w:sz w:val="24"/>
              </w:rPr>
              <w:t>.</w:t>
            </w:r>
          </w:p>
        </w:tc>
      </w:tr>
      <w:tr w:rsidR="00CC7D2C" w:rsidRPr="002176B5" w14:paraId="23E730B4" w14:textId="77777777" w:rsidTr="00822842">
        <w:tc>
          <w:tcPr>
            <w:tcW w:w="1591" w:type="dxa"/>
          </w:tcPr>
          <w:p w14:paraId="4F33F262"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0240</w:t>
            </w:r>
          </w:p>
        </w:tc>
        <w:tc>
          <w:tcPr>
            <w:tcW w:w="7274" w:type="dxa"/>
          </w:tcPr>
          <w:p w14:paraId="16E680C8"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InstructionsTabelleberschrift"/>
                <w:rFonts w:ascii="Times New Roman" w:hAnsi="Times New Roman"/>
                <w:sz w:val="24"/>
              </w:rPr>
              <w:t>1.1.2.</w:t>
            </w:r>
            <w:r w:rsidRPr="002176B5">
              <w:tab/>
            </w:r>
            <w:r w:rsidRPr="002176B5">
              <w:rPr>
                <w:rStyle w:val="InstructionsTabelleberschrift"/>
                <w:rFonts w:ascii="Times New Roman" w:hAnsi="Times New Roman"/>
                <w:sz w:val="24"/>
              </w:rPr>
              <w:t xml:space="preserve">Prístup interných ratingov (IRB) </w:t>
            </w:r>
          </w:p>
        </w:tc>
      </w:tr>
      <w:tr w:rsidR="00CC7D2C" w:rsidRPr="002176B5" w14:paraId="4C6A15B5" w14:textId="77777777" w:rsidTr="00822842">
        <w:tc>
          <w:tcPr>
            <w:tcW w:w="1591" w:type="dxa"/>
          </w:tcPr>
          <w:p w14:paraId="77443E22"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0241</w:t>
            </w:r>
          </w:p>
        </w:tc>
        <w:tc>
          <w:tcPr>
            <w:tcW w:w="7274" w:type="dxa"/>
          </w:tcPr>
          <w:p w14:paraId="101088E7" w14:textId="77777777"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1.1.2.*</w:t>
            </w:r>
            <w:r w:rsidRPr="002176B5">
              <w:tab/>
            </w:r>
            <w:r w:rsidRPr="002176B5">
              <w:rPr>
                <w:rStyle w:val="InstructionsTabelleberschrift"/>
                <w:rFonts w:ascii="Times New Roman" w:hAnsi="Times New Roman"/>
                <w:sz w:val="24"/>
              </w:rPr>
              <w:t xml:space="preserve">Z čoho: dodatočné prísnejšie </w:t>
            </w:r>
            <w:proofErr w:type="spellStart"/>
            <w:r w:rsidRPr="002176B5">
              <w:rPr>
                <w:rStyle w:val="InstructionsTabelleberschrift"/>
                <w:rFonts w:ascii="Times New Roman" w:hAnsi="Times New Roman"/>
                <w:sz w:val="24"/>
              </w:rPr>
              <w:t>prudenciálne</w:t>
            </w:r>
            <w:proofErr w:type="spellEnd"/>
            <w:r w:rsidRPr="002176B5">
              <w:rPr>
                <w:rStyle w:val="InstructionsTabelleberschrift"/>
                <w:rFonts w:ascii="Times New Roman" w:hAnsi="Times New Roman"/>
                <w:sz w:val="24"/>
              </w:rPr>
              <w:t xml:space="preserve"> požiadavky na základe článku 164 nariadenia (EÚ) č. 575/2013</w:t>
            </w:r>
          </w:p>
          <w:p w14:paraId="6560C4C8" w14:textId="105603AB" w:rsidR="00CC7D2C" w:rsidRPr="002176B5" w:rsidRDefault="00CC7D2C" w:rsidP="00320EFD">
            <w:pPr>
              <w:pStyle w:val="InstructionsText"/>
              <w:rPr>
                <w:rStyle w:val="InstructionsTabelleberschrift"/>
                <w:rFonts w:ascii="Times New Roman" w:hAnsi="Times New Roman"/>
                <w:sz w:val="24"/>
              </w:rPr>
            </w:pPr>
            <w:r w:rsidRPr="002176B5">
              <w:t xml:space="preserve">Inštitúcie vykazujú dodatočné hodnoty rizikových expozícií potrebné na splnenie prísnejších </w:t>
            </w:r>
            <w:proofErr w:type="spellStart"/>
            <w:r w:rsidRPr="002176B5">
              <w:t>prudenciálnych</w:t>
            </w:r>
            <w:proofErr w:type="spellEnd"/>
            <w:r w:rsidRPr="002176B5">
              <w:t xml:space="preserve"> požiadaviek, ako im boli oznámené po notifikácii EBA,</w:t>
            </w:r>
            <w:r w:rsidR="002176B5">
              <w:t xml:space="preserve"> v </w:t>
            </w:r>
            <w:r w:rsidRPr="002176B5">
              <w:t>súlade</w:t>
            </w:r>
            <w:r w:rsidR="002176B5">
              <w:t xml:space="preserve"> s </w:t>
            </w:r>
            <w:r w:rsidRPr="002176B5">
              <w:t>článkom 164 ods. 5</w:t>
            </w:r>
            <w:r w:rsidR="002176B5">
              <w:t xml:space="preserve"> a </w:t>
            </w:r>
            <w:r w:rsidRPr="002176B5">
              <w:t>7 nariadenia (EÚ) č. 575/2013.</w:t>
            </w:r>
          </w:p>
        </w:tc>
      </w:tr>
      <w:tr w:rsidR="00CC7D2C" w:rsidRPr="002176B5" w14:paraId="646B7D49" w14:textId="77777777" w:rsidTr="00822842">
        <w:tc>
          <w:tcPr>
            <w:tcW w:w="1591" w:type="dxa"/>
          </w:tcPr>
          <w:p w14:paraId="1CCF8D8F"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0242</w:t>
            </w:r>
          </w:p>
        </w:tc>
        <w:tc>
          <w:tcPr>
            <w:tcW w:w="7274" w:type="dxa"/>
          </w:tcPr>
          <w:p w14:paraId="61766164" w14:textId="77777777"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1.1.2.**</w:t>
            </w:r>
            <w:r w:rsidRPr="002176B5">
              <w:tab/>
            </w:r>
            <w:r w:rsidRPr="002176B5">
              <w:rPr>
                <w:rStyle w:val="InstructionsTabelleberschrift"/>
                <w:rFonts w:ascii="Times New Roman" w:hAnsi="Times New Roman"/>
                <w:sz w:val="24"/>
              </w:rPr>
              <w:t xml:space="preserve">Z čoho: dodatočné prísnejšie </w:t>
            </w:r>
            <w:proofErr w:type="spellStart"/>
            <w:r w:rsidRPr="002176B5">
              <w:rPr>
                <w:rStyle w:val="InstructionsTabelleberschrift"/>
                <w:rFonts w:ascii="Times New Roman" w:hAnsi="Times New Roman"/>
                <w:sz w:val="24"/>
              </w:rPr>
              <w:t>prudenciálne</w:t>
            </w:r>
            <w:proofErr w:type="spellEnd"/>
            <w:r w:rsidRPr="002176B5">
              <w:rPr>
                <w:rStyle w:val="InstructionsTabelleberschrift"/>
                <w:rFonts w:ascii="Times New Roman" w:hAnsi="Times New Roman"/>
                <w:sz w:val="24"/>
              </w:rPr>
              <w:t xml:space="preserve"> požiadavky na základe článku 124 nariadenia (EÚ) č. 575/2013</w:t>
            </w:r>
          </w:p>
          <w:p w14:paraId="15832D3F" w14:textId="30788863" w:rsidR="00CC7D2C" w:rsidRPr="002176B5" w:rsidRDefault="00CC7D2C" w:rsidP="00320EFD">
            <w:pPr>
              <w:pStyle w:val="InstructionsText"/>
              <w:rPr>
                <w:rStyle w:val="InstructionsTabelleberschrift"/>
                <w:rFonts w:ascii="Times New Roman" w:hAnsi="Times New Roman"/>
                <w:sz w:val="24"/>
              </w:rPr>
            </w:pPr>
            <w:r w:rsidRPr="002176B5">
              <w:t xml:space="preserve">Inštitúcie vykazujú dodatočné hodnoty rizikových expozícií potrebné na splnenie prísnejších </w:t>
            </w:r>
            <w:proofErr w:type="spellStart"/>
            <w:r w:rsidRPr="002176B5">
              <w:t>prudenciálnych</w:t>
            </w:r>
            <w:proofErr w:type="spellEnd"/>
            <w:r w:rsidRPr="002176B5">
              <w:t xml:space="preserve"> požiadaviek, ktoré stanovili príslušné orgány po konzultácii</w:t>
            </w:r>
            <w:r w:rsidR="002176B5">
              <w:t xml:space="preserve"> s </w:t>
            </w:r>
            <w:r w:rsidRPr="002176B5">
              <w:t>EBA, ako sa stanovuje</w:t>
            </w:r>
            <w:r w:rsidR="002176B5">
              <w:t xml:space="preserve"> v </w:t>
            </w:r>
            <w:r w:rsidRPr="002176B5">
              <w:t>článku 124 ods. 8 až 13 nariadenia (EÚ) č. 575/2013,</w:t>
            </w:r>
            <w:r w:rsidR="002176B5">
              <w:t xml:space="preserve"> a </w:t>
            </w:r>
            <w:r w:rsidRPr="002176B5">
              <w:t>ktoré sa týkajú limitov platiacich pre prípustnú trhovú hodnotu kolaterálu, ako je stanovené</w:t>
            </w:r>
            <w:r w:rsidR="002176B5">
              <w:t xml:space="preserve"> v </w:t>
            </w:r>
            <w:r w:rsidRPr="002176B5">
              <w:t>článku 125 ods. 2 písm. d)</w:t>
            </w:r>
            <w:r w:rsidR="002176B5">
              <w:t xml:space="preserve"> a </w:t>
            </w:r>
            <w:r w:rsidRPr="002176B5">
              <w:t>článku 126 ods. 2 písm. d) uvedeného nariadenia.</w:t>
            </w:r>
          </w:p>
        </w:tc>
      </w:tr>
      <w:tr w:rsidR="00CC7D2C" w:rsidRPr="002176B5" w14:paraId="67053B54" w14:textId="77777777" w:rsidTr="00822842">
        <w:tc>
          <w:tcPr>
            <w:tcW w:w="1591" w:type="dxa"/>
          </w:tcPr>
          <w:p w14:paraId="0AB24A97"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0250</w:t>
            </w:r>
          </w:p>
        </w:tc>
        <w:tc>
          <w:tcPr>
            <w:tcW w:w="7274" w:type="dxa"/>
          </w:tcPr>
          <w:p w14:paraId="74E43A00" w14:textId="7FB2AEE0"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1.1.2.1.</w:t>
            </w:r>
            <w:r w:rsidRPr="002176B5">
              <w:tab/>
            </w:r>
            <w:r w:rsidRPr="002176B5">
              <w:rPr>
                <w:rStyle w:val="InstructionsTabelleberschrift"/>
                <w:rFonts w:ascii="Times New Roman" w:hAnsi="Times New Roman"/>
                <w:sz w:val="24"/>
              </w:rPr>
              <w:t>Prístupy IRB, keď sa nepoužívajú vlastné odhady straty</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prípade zlyhania (LGD) ani konverzné faktory</w:t>
            </w:r>
          </w:p>
          <w:p w14:paraId="72920636" w14:textId="77777777" w:rsidR="00CC7D2C" w:rsidRPr="002176B5" w:rsidRDefault="00CC7D2C" w:rsidP="00822842">
            <w:pPr>
              <w:rPr>
                <w:rStyle w:val="FormatvorlageInstructionsTabelleText"/>
                <w:rFonts w:ascii="Times New Roman" w:hAnsi="Times New Roman"/>
                <w:sz w:val="24"/>
              </w:rPr>
            </w:pPr>
            <w:r w:rsidRPr="002176B5">
              <w:rPr>
                <w:rStyle w:val="FormatvorlageInstructionsTabelleText"/>
                <w:rFonts w:ascii="Times New Roman" w:hAnsi="Times New Roman"/>
                <w:sz w:val="24"/>
              </w:rPr>
              <w:t>Vzor CR IRB na úrovni celkových expozícií (keď sa nepoužívajú vlastné odhady LGD alebo konverzné faktory)</w:t>
            </w:r>
          </w:p>
        </w:tc>
      </w:tr>
      <w:tr w:rsidR="00CC7D2C" w:rsidRPr="002176B5" w14:paraId="115055B1" w14:textId="77777777" w:rsidTr="00822842">
        <w:tc>
          <w:tcPr>
            <w:tcW w:w="1591" w:type="dxa"/>
          </w:tcPr>
          <w:p w14:paraId="4EC1ED24"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lastRenderedPageBreak/>
              <w:t>0260</w:t>
            </w:r>
          </w:p>
        </w:tc>
        <w:tc>
          <w:tcPr>
            <w:tcW w:w="7274" w:type="dxa"/>
          </w:tcPr>
          <w:p w14:paraId="00B35FF0" w14:textId="11A9BDBF"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1.1.2.1.01.</w:t>
            </w:r>
            <w:r w:rsidRPr="002176B5">
              <w:tab/>
            </w:r>
            <w:r w:rsidRPr="002176B5">
              <w:rPr>
                <w:rStyle w:val="InstructionsTabelleberschrift"/>
                <w:rFonts w:ascii="Times New Roman" w:hAnsi="Times New Roman"/>
                <w:sz w:val="24"/>
              </w:rPr>
              <w:t>Ústredné vlády</w:t>
            </w:r>
            <w:r w:rsidR="002176B5">
              <w:rPr>
                <w:rStyle w:val="InstructionsTabelleberschrift"/>
                <w:rFonts w:ascii="Times New Roman" w:hAnsi="Times New Roman"/>
                <w:sz w:val="24"/>
              </w:rPr>
              <w:t xml:space="preserve"> a </w:t>
            </w:r>
            <w:r w:rsidRPr="002176B5">
              <w:rPr>
                <w:rStyle w:val="InstructionsTabelleberschrift"/>
                <w:rFonts w:ascii="Times New Roman" w:hAnsi="Times New Roman"/>
                <w:sz w:val="24"/>
              </w:rPr>
              <w:t>centrálne banky</w:t>
            </w:r>
          </w:p>
          <w:p w14:paraId="7C743634" w14:textId="77777777" w:rsidR="00CC7D2C" w:rsidRPr="002176B5" w:rsidRDefault="00CC7D2C" w:rsidP="00822842">
            <w:pPr>
              <w:rPr>
                <w:rStyle w:val="FormatvorlageInstructionsTabelleText"/>
                <w:rFonts w:ascii="Times New Roman" w:hAnsi="Times New Roman"/>
                <w:sz w:val="24"/>
              </w:rPr>
            </w:pPr>
            <w:r w:rsidRPr="002176B5">
              <w:rPr>
                <w:rStyle w:val="FormatvorlageInstructionsTabelleText"/>
                <w:rFonts w:ascii="Times New Roman" w:hAnsi="Times New Roman"/>
                <w:sz w:val="24"/>
              </w:rPr>
              <w:t>Pozri vzor CR IRB.</w:t>
            </w:r>
          </w:p>
        </w:tc>
      </w:tr>
      <w:tr w:rsidR="00CC7D2C" w:rsidRPr="002176B5" w14:paraId="53711DF2" w14:textId="77777777" w:rsidTr="00822842">
        <w:trPr>
          <w:trHeight w:val="300"/>
        </w:trPr>
        <w:tc>
          <w:tcPr>
            <w:tcW w:w="1591" w:type="dxa"/>
          </w:tcPr>
          <w:p w14:paraId="51F41C6D"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0261</w:t>
            </w:r>
          </w:p>
        </w:tc>
        <w:tc>
          <w:tcPr>
            <w:tcW w:w="7274" w:type="dxa"/>
          </w:tcPr>
          <w:p w14:paraId="1CF3531F" w14:textId="77777777"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1.1.2.1.01a</w:t>
            </w:r>
            <w:r w:rsidRPr="002176B5">
              <w:tab/>
            </w:r>
            <w:r w:rsidRPr="002176B5">
              <w:rPr>
                <w:rStyle w:val="InstructionsTabelleberschrift"/>
                <w:rFonts w:ascii="Times New Roman" w:hAnsi="Times New Roman"/>
                <w:sz w:val="24"/>
              </w:rPr>
              <w:t>Regionálne vlády alebo miestne orgány</w:t>
            </w:r>
          </w:p>
          <w:p w14:paraId="3DC897B7" w14:textId="77777777" w:rsidR="00CC7D2C" w:rsidRPr="002176B5" w:rsidRDefault="00CC7D2C" w:rsidP="00822842">
            <w:pPr>
              <w:rPr>
                <w:rStyle w:val="FormatvorlageInstructionsTabelleText"/>
                <w:rFonts w:ascii="Times New Roman" w:hAnsi="Times New Roman"/>
                <w:sz w:val="24"/>
              </w:rPr>
            </w:pPr>
            <w:r w:rsidRPr="002176B5">
              <w:rPr>
                <w:rStyle w:val="FormatvorlageInstructionsTabelleText"/>
                <w:rFonts w:ascii="Times New Roman" w:hAnsi="Times New Roman"/>
                <w:sz w:val="24"/>
              </w:rPr>
              <w:t>Pozri vzor CR IRB.</w:t>
            </w:r>
          </w:p>
        </w:tc>
      </w:tr>
      <w:tr w:rsidR="00CC7D2C" w:rsidRPr="002176B5" w14:paraId="1D12A51E" w14:textId="77777777" w:rsidTr="00822842">
        <w:trPr>
          <w:trHeight w:val="300"/>
        </w:trPr>
        <w:tc>
          <w:tcPr>
            <w:tcW w:w="1591" w:type="dxa"/>
          </w:tcPr>
          <w:p w14:paraId="3596BE48"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0262</w:t>
            </w:r>
          </w:p>
        </w:tc>
        <w:tc>
          <w:tcPr>
            <w:tcW w:w="7274" w:type="dxa"/>
          </w:tcPr>
          <w:p w14:paraId="730EA32D" w14:textId="77777777"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1.1.2.1.01b</w:t>
            </w:r>
            <w:r w:rsidRPr="002176B5">
              <w:tab/>
            </w:r>
            <w:r w:rsidRPr="002176B5">
              <w:rPr>
                <w:rStyle w:val="InstructionsTabelleberschrift"/>
                <w:rFonts w:ascii="Times New Roman" w:hAnsi="Times New Roman"/>
                <w:sz w:val="24"/>
              </w:rPr>
              <w:t>Subjekty verejného sektora</w:t>
            </w:r>
          </w:p>
          <w:p w14:paraId="1396D915" w14:textId="77777777" w:rsidR="00CC7D2C" w:rsidRPr="002176B5" w:rsidRDefault="00CC7D2C" w:rsidP="00822842">
            <w:pPr>
              <w:rPr>
                <w:rStyle w:val="FormatvorlageInstructionsTabelleText"/>
                <w:rFonts w:ascii="Times New Roman" w:hAnsi="Times New Roman"/>
                <w:sz w:val="24"/>
              </w:rPr>
            </w:pPr>
            <w:r w:rsidRPr="002176B5">
              <w:rPr>
                <w:rStyle w:val="FormatvorlageInstructionsTabelleText"/>
                <w:rFonts w:ascii="Times New Roman" w:hAnsi="Times New Roman"/>
                <w:sz w:val="24"/>
              </w:rPr>
              <w:t>Pozri vzor CR IRB.</w:t>
            </w:r>
          </w:p>
        </w:tc>
      </w:tr>
      <w:tr w:rsidR="00CC7D2C" w:rsidRPr="002176B5" w14:paraId="1E1F3B56" w14:textId="77777777" w:rsidTr="00822842">
        <w:tc>
          <w:tcPr>
            <w:tcW w:w="1591" w:type="dxa"/>
          </w:tcPr>
          <w:p w14:paraId="6F5522FF"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0270</w:t>
            </w:r>
          </w:p>
        </w:tc>
        <w:tc>
          <w:tcPr>
            <w:tcW w:w="7274" w:type="dxa"/>
          </w:tcPr>
          <w:p w14:paraId="302C8C32" w14:textId="77777777" w:rsidR="00CC7D2C" w:rsidRPr="002176B5" w:rsidRDefault="00CC7D2C" w:rsidP="00320EFD">
            <w:pPr>
              <w:pStyle w:val="InstructionsText"/>
              <w:rPr>
                <w:rStyle w:val="InstructionsTabelleberschrift"/>
                <w:rFonts w:ascii="Times New Roman" w:hAnsi="Times New Roman"/>
                <w:bCs w:val="0"/>
                <w:sz w:val="24"/>
              </w:rPr>
            </w:pPr>
            <w:r w:rsidRPr="002176B5">
              <w:rPr>
                <w:rStyle w:val="InstructionsTabelleberschrift"/>
                <w:rFonts w:ascii="Times New Roman" w:hAnsi="Times New Roman"/>
                <w:sz w:val="24"/>
              </w:rPr>
              <w:t>1.1.2.1.02.</w:t>
            </w:r>
            <w:r w:rsidRPr="002176B5">
              <w:tab/>
            </w:r>
            <w:r w:rsidRPr="002176B5">
              <w:rPr>
                <w:rStyle w:val="InstructionsTabelleberschrift"/>
                <w:rFonts w:ascii="Times New Roman" w:hAnsi="Times New Roman"/>
                <w:sz w:val="24"/>
              </w:rPr>
              <w:t>Inštitúcie</w:t>
            </w:r>
          </w:p>
          <w:p w14:paraId="380B21DF" w14:textId="77777777" w:rsidR="00CC7D2C" w:rsidRPr="002176B5" w:rsidRDefault="00CC7D2C" w:rsidP="00822842">
            <w:pPr>
              <w:rPr>
                <w:rStyle w:val="FormatvorlageInstructionsTabelleText"/>
                <w:rFonts w:ascii="Times New Roman" w:hAnsi="Times New Roman"/>
                <w:sz w:val="24"/>
              </w:rPr>
            </w:pPr>
            <w:r w:rsidRPr="002176B5">
              <w:rPr>
                <w:rStyle w:val="FormatvorlageInstructionsTabelleText"/>
                <w:rFonts w:ascii="Times New Roman" w:hAnsi="Times New Roman"/>
                <w:sz w:val="24"/>
              </w:rPr>
              <w:t>Pozri vzor CR IRB.</w:t>
            </w:r>
          </w:p>
        </w:tc>
      </w:tr>
      <w:tr w:rsidR="00CC7D2C" w:rsidRPr="002176B5" w14:paraId="491BDD7C" w14:textId="77777777" w:rsidTr="00822842">
        <w:tc>
          <w:tcPr>
            <w:tcW w:w="1591" w:type="dxa"/>
          </w:tcPr>
          <w:p w14:paraId="361626D6"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0290</w:t>
            </w:r>
          </w:p>
        </w:tc>
        <w:tc>
          <w:tcPr>
            <w:tcW w:w="7274" w:type="dxa"/>
          </w:tcPr>
          <w:p w14:paraId="0ADCB2FE" w14:textId="77777777" w:rsidR="00CC7D2C" w:rsidRPr="002176B5" w:rsidRDefault="00CC7D2C" w:rsidP="00320EFD">
            <w:pPr>
              <w:pStyle w:val="InstructionsText"/>
              <w:rPr>
                <w:rStyle w:val="InstructionsTabelleberschrift"/>
                <w:rFonts w:ascii="Times New Roman" w:hAnsi="Times New Roman"/>
                <w:bCs w:val="0"/>
                <w:sz w:val="24"/>
              </w:rPr>
            </w:pPr>
            <w:r w:rsidRPr="002176B5">
              <w:rPr>
                <w:rStyle w:val="InstructionsTabelleberschrift"/>
                <w:rFonts w:ascii="Times New Roman" w:hAnsi="Times New Roman"/>
                <w:sz w:val="24"/>
              </w:rPr>
              <w:t>1.1.2.1.04.</w:t>
            </w:r>
            <w:r w:rsidRPr="002176B5">
              <w:tab/>
            </w:r>
            <w:r w:rsidRPr="002176B5">
              <w:rPr>
                <w:rStyle w:val="InstructionsTabelleberschrift"/>
                <w:rFonts w:ascii="Times New Roman" w:hAnsi="Times New Roman"/>
                <w:sz w:val="24"/>
              </w:rPr>
              <w:t>Podnikateľské subjekty – špecializované financovanie</w:t>
            </w:r>
          </w:p>
          <w:p w14:paraId="4FCB662E" w14:textId="77777777" w:rsidR="00CC7D2C" w:rsidRPr="002176B5" w:rsidRDefault="00CC7D2C" w:rsidP="00822842">
            <w:pPr>
              <w:rPr>
                <w:rStyle w:val="FormatvorlageInstructionsTabelleText"/>
                <w:rFonts w:ascii="Times New Roman" w:hAnsi="Times New Roman"/>
                <w:sz w:val="24"/>
              </w:rPr>
            </w:pPr>
            <w:r w:rsidRPr="002176B5">
              <w:rPr>
                <w:rStyle w:val="FormatvorlageInstructionsTabelleText"/>
                <w:rFonts w:ascii="Times New Roman" w:hAnsi="Times New Roman"/>
                <w:sz w:val="24"/>
              </w:rPr>
              <w:t xml:space="preserve">Pozri vzor CR IRB. </w:t>
            </w:r>
          </w:p>
        </w:tc>
      </w:tr>
      <w:tr w:rsidR="00CC7D2C" w:rsidRPr="002176B5" w14:paraId="69712A5A" w14:textId="77777777" w:rsidTr="00822842">
        <w:trPr>
          <w:trHeight w:val="300"/>
        </w:trPr>
        <w:tc>
          <w:tcPr>
            <w:tcW w:w="1591" w:type="dxa"/>
          </w:tcPr>
          <w:p w14:paraId="4D0CB1AB"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0295</w:t>
            </w:r>
          </w:p>
        </w:tc>
        <w:tc>
          <w:tcPr>
            <w:tcW w:w="7274" w:type="dxa"/>
          </w:tcPr>
          <w:p w14:paraId="7B08BBDE" w14:textId="77777777"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1.1.2.1.04a</w:t>
            </w:r>
            <w:r w:rsidRPr="002176B5">
              <w:tab/>
            </w:r>
            <w:r w:rsidRPr="002176B5">
              <w:rPr>
                <w:rStyle w:val="InstructionsTabelleberschrift"/>
                <w:rFonts w:ascii="Times New Roman" w:hAnsi="Times New Roman"/>
                <w:sz w:val="24"/>
              </w:rPr>
              <w:t>Podnikateľské subjekty – odkúpené pohľadávky</w:t>
            </w:r>
          </w:p>
          <w:p w14:paraId="191C302F" w14:textId="77777777" w:rsidR="00CC7D2C" w:rsidRPr="002176B5" w:rsidRDefault="00CC7D2C" w:rsidP="00822842">
            <w:pPr>
              <w:rPr>
                <w:rStyle w:val="FormatvorlageInstructionsTabelleText"/>
                <w:rFonts w:ascii="Times New Roman" w:hAnsi="Times New Roman"/>
                <w:sz w:val="24"/>
              </w:rPr>
            </w:pPr>
            <w:r w:rsidRPr="002176B5">
              <w:rPr>
                <w:rStyle w:val="FormatvorlageInstructionsTabelleText"/>
                <w:rFonts w:ascii="Times New Roman" w:hAnsi="Times New Roman"/>
                <w:sz w:val="24"/>
              </w:rPr>
              <w:t>Pozri vzor CR IRB.</w:t>
            </w:r>
          </w:p>
        </w:tc>
      </w:tr>
      <w:tr w:rsidR="00CC7D2C" w:rsidRPr="002176B5" w14:paraId="7AB84916" w14:textId="77777777" w:rsidTr="00822842">
        <w:tc>
          <w:tcPr>
            <w:tcW w:w="1591" w:type="dxa"/>
          </w:tcPr>
          <w:p w14:paraId="54C00CE6"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0300</w:t>
            </w:r>
          </w:p>
        </w:tc>
        <w:tc>
          <w:tcPr>
            <w:tcW w:w="7274" w:type="dxa"/>
          </w:tcPr>
          <w:p w14:paraId="66BBC153" w14:textId="77777777" w:rsidR="00CC7D2C" w:rsidRPr="002176B5" w:rsidRDefault="00CC7D2C" w:rsidP="00320EFD">
            <w:pPr>
              <w:pStyle w:val="InstructionsText"/>
              <w:rPr>
                <w:rStyle w:val="InstructionsTabelleberschrift"/>
                <w:rFonts w:ascii="Times New Roman" w:hAnsi="Times New Roman"/>
                <w:bCs w:val="0"/>
                <w:sz w:val="24"/>
              </w:rPr>
            </w:pPr>
            <w:r w:rsidRPr="002176B5">
              <w:rPr>
                <w:rStyle w:val="InstructionsTabelleberschrift"/>
                <w:rFonts w:ascii="Times New Roman" w:hAnsi="Times New Roman"/>
                <w:sz w:val="24"/>
              </w:rPr>
              <w:t>1.1.2.1.05.</w:t>
            </w:r>
            <w:r w:rsidRPr="002176B5">
              <w:tab/>
            </w:r>
            <w:r w:rsidRPr="002176B5">
              <w:rPr>
                <w:rStyle w:val="InstructionsTabelleberschrift"/>
                <w:rFonts w:ascii="Times New Roman" w:hAnsi="Times New Roman"/>
                <w:sz w:val="24"/>
              </w:rPr>
              <w:t>Podnikateľské subjekty – iné</w:t>
            </w:r>
          </w:p>
          <w:p w14:paraId="4BF46AF6" w14:textId="77777777" w:rsidR="00CC7D2C" w:rsidRPr="002176B5" w:rsidRDefault="00CC7D2C" w:rsidP="00822842">
            <w:pPr>
              <w:rPr>
                <w:rStyle w:val="FormatvorlageInstructionsTabelleText"/>
                <w:rFonts w:ascii="Times New Roman" w:hAnsi="Times New Roman"/>
                <w:sz w:val="24"/>
              </w:rPr>
            </w:pPr>
            <w:r w:rsidRPr="002176B5">
              <w:rPr>
                <w:rStyle w:val="FormatvorlageInstructionsTabelleText"/>
                <w:rFonts w:ascii="Times New Roman" w:hAnsi="Times New Roman"/>
                <w:sz w:val="24"/>
              </w:rPr>
              <w:t>Pozri vzor CR IRB.</w:t>
            </w:r>
          </w:p>
        </w:tc>
      </w:tr>
      <w:tr w:rsidR="00B0254B" w:rsidRPr="002176B5" w14:paraId="37B600F2" w14:textId="77777777" w:rsidTr="00822842">
        <w:tc>
          <w:tcPr>
            <w:tcW w:w="1591" w:type="dxa"/>
          </w:tcPr>
          <w:p w14:paraId="56F265EC" w14:textId="557ACEF6" w:rsidR="00B0254B" w:rsidRPr="002176B5" w:rsidRDefault="00B0254B"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0305</w:t>
            </w:r>
          </w:p>
        </w:tc>
        <w:tc>
          <w:tcPr>
            <w:tcW w:w="7274" w:type="dxa"/>
          </w:tcPr>
          <w:p w14:paraId="13683B26" w14:textId="45C732F7" w:rsidR="00B0254B" w:rsidRPr="002176B5" w:rsidRDefault="00B0254B"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1.1.2.1.06* Doplňujúca položka: Podnikateľské subjekty – veľké podnikateľské subjekty</w:t>
            </w:r>
          </w:p>
          <w:p w14:paraId="2C3CE8A6" w14:textId="6AFC835D" w:rsidR="00B0254B" w:rsidRPr="002176B5" w:rsidRDefault="00B0254B" w:rsidP="00320EFD">
            <w:pPr>
              <w:pStyle w:val="InstructionsText"/>
              <w:rPr>
                <w:rStyle w:val="InstructionsTabelleberschrift"/>
                <w:rFonts w:ascii="Times New Roman" w:hAnsi="Times New Roman"/>
                <w:sz w:val="24"/>
              </w:rPr>
            </w:pPr>
            <w:r w:rsidRPr="002176B5">
              <w:rPr>
                <w:rStyle w:val="FormatvorlageInstructionsTabelleText"/>
                <w:rFonts w:ascii="Times New Roman" w:hAnsi="Times New Roman"/>
                <w:sz w:val="24"/>
              </w:rPr>
              <w:t>Pozri vzor CR IRB.</w:t>
            </w:r>
          </w:p>
        </w:tc>
      </w:tr>
      <w:tr w:rsidR="007F42A0" w:rsidRPr="002176B5" w14:paraId="161E5A1A" w14:textId="77777777" w:rsidTr="00822842">
        <w:tc>
          <w:tcPr>
            <w:tcW w:w="1591" w:type="dxa"/>
          </w:tcPr>
          <w:p w14:paraId="783FE82E" w14:textId="48207EFB" w:rsidR="007F42A0" w:rsidRPr="002176B5" w:rsidRDefault="007F42A0"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0306</w:t>
            </w:r>
          </w:p>
        </w:tc>
        <w:tc>
          <w:tcPr>
            <w:tcW w:w="7274" w:type="dxa"/>
          </w:tcPr>
          <w:p w14:paraId="56CED020" w14:textId="4DF17608" w:rsidR="007F42A0" w:rsidRPr="002176B5" w:rsidRDefault="007F42A0"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1.1.2.1.06* Doplňujúca položka: Podnikateľské subjekty – malé</w:t>
            </w:r>
            <w:r w:rsidR="002176B5">
              <w:rPr>
                <w:rStyle w:val="InstructionsTabelleberschrift"/>
                <w:rFonts w:ascii="Times New Roman" w:hAnsi="Times New Roman"/>
                <w:sz w:val="24"/>
              </w:rPr>
              <w:t xml:space="preserve"> a </w:t>
            </w:r>
            <w:r w:rsidRPr="002176B5">
              <w:rPr>
                <w:rStyle w:val="InstructionsTabelleberschrift"/>
                <w:rFonts w:ascii="Times New Roman" w:hAnsi="Times New Roman"/>
                <w:sz w:val="24"/>
              </w:rPr>
              <w:t>stredné podniky (MSP)</w:t>
            </w:r>
          </w:p>
          <w:p w14:paraId="46BB2F9C" w14:textId="571336D0" w:rsidR="007F42A0" w:rsidRPr="002176B5" w:rsidRDefault="007F42A0" w:rsidP="00320EFD">
            <w:pPr>
              <w:pStyle w:val="InstructionsText"/>
              <w:rPr>
                <w:rStyle w:val="InstructionsTabelleberschrift"/>
                <w:rFonts w:ascii="Times New Roman" w:hAnsi="Times New Roman"/>
                <w:sz w:val="24"/>
              </w:rPr>
            </w:pPr>
            <w:r w:rsidRPr="002176B5">
              <w:rPr>
                <w:rStyle w:val="FormatvorlageInstructionsTabelleText"/>
                <w:rFonts w:ascii="Times New Roman" w:hAnsi="Times New Roman"/>
                <w:sz w:val="24"/>
              </w:rPr>
              <w:t>Pozri vzor CR IRB.</w:t>
            </w:r>
          </w:p>
        </w:tc>
      </w:tr>
      <w:tr w:rsidR="00CC7D2C" w:rsidRPr="002176B5" w14:paraId="029E83FB" w14:textId="77777777" w:rsidTr="00822842">
        <w:tc>
          <w:tcPr>
            <w:tcW w:w="1591" w:type="dxa"/>
          </w:tcPr>
          <w:p w14:paraId="0AD8DC83"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0310</w:t>
            </w:r>
          </w:p>
        </w:tc>
        <w:tc>
          <w:tcPr>
            <w:tcW w:w="7274" w:type="dxa"/>
          </w:tcPr>
          <w:p w14:paraId="3C904975" w14:textId="77777777" w:rsidR="00CC7D2C" w:rsidRPr="002176B5" w:rsidRDefault="00CC7D2C" w:rsidP="00320EFD">
            <w:pPr>
              <w:pStyle w:val="InstructionsText"/>
              <w:rPr>
                <w:rStyle w:val="InstructionsTabelleberschrift"/>
                <w:rFonts w:ascii="Times New Roman" w:hAnsi="Times New Roman"/>
                <w:bCs w:val="0"/>
                <w:sz w:val="24"/>
              </w:rPr>
            </w:pPr>
            <w:r w:rsidRPr="002176B5">
              <w:rPr>
                <w:rStyle w:val="InstructionsTabelleberschrift"/>
                <w:rFonts w:ascii="Times New Roman" w:hAnsi="Times New Roman"/>
                <w:sz w:val="24"/>
              </w:rPr>
              <w:t>1.1.2.2.</w:t>
            </w:r>
            <w:r w:rsidRPr="002176B5">
              <w:tab/>
            </w:r>
            <w:r w:rsidRPr="002176B5">
              <w:rPr>
                <w:rStyle w:val="InstructionsTabelleberschrift"/>
                <w:rFonts w:ascii="Times New Roman" w:hAnsi="Times New Roman"/>
                <w:sz w:val="24"/>
              </w:rPr>
              <w:t>Prístupy IRB, keď sa používajú vlastné odhady LGD a/alebo konverzný faktor</w:t>
            </w:r>
          </w:p>
          <w:p w14:paraId="065EEC5E" w14:textId="77777777" w:rsidR="00CC7D2C" w:rsidRPr="002176B5" w:rsidRDefault="00CC7D2C" w:rsidP="00822842">
            <w:pPr>
              <w:rPr>
                <w:rStyle w:val="FormatvorlageInstructionsTabelleText"/>
                <w:rFonts w:ascii="Times New Roman" w:hAnsi="Times New Roman"/>
                <w:sz w:val="24"/>
              </w:rPr>
            </w:pPr>
            <w:r w:rsidRPr="002176B5">
              <w:rPr>
                <w:rStyle w:val="FormatvorlageInstructionsTabelleText"/>
                <w:rFonts w:ascii="Times New Roman" w:hAnsi="Times New Roman"/>
                <w:sz w:val="24"/>
              </w:rPr>
              <w:t>Vzor CR IRB na úrovni celkových expozícií (keď sa používajú vlastné odhady LGD a/alebo konverzný faktor)</w:t>
            </w:r>
          </w:p>
        </w:tc>
      </w:tr>
      <w:tr w:rsidR="00CC7D2C" w:rsidRPr="002176B5" w14:paraId="0122BC82" w14:textId="77777777" w:rsidTr="00822842">
        <w:tc>
          <w:tcPr>
            <w:tcW w:w="1591" w:type="dxa"/>
          </w:tcPr>
          <w:p w14:paraId="1639DFA5"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0320</w:t>
            </w:r>
          </w:p>
        </w:tc>
        <w:tc>
          <w:tcPr>
            <w:tcW w:w="7274" w:type="dxa"/>
          </w:tcPr>
          <w:p w14:paraId="45457DE8" w14:textId="090F6CE9"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1.1.2.2.01.</w:t>
            </w:r>
            <w:r w:rsidRPr="002176B5">
              <w:tab/>
            </w:r>
            <w:r w:rsidRPr="002176B5">
              <w:rPr>
                <w:rStyle w:val="InstructionsTabelleberschrift"/>
                <w:rFonts w:ascii="Times New Roman" w:hAnsi="Times New Roman"/>
                <w:sz w:val="24"/>
              </w:rPr>
              <w:t>Ústredné vlády</w:t>
            </w:r>
            <w:r w:rsidR="002176B5">
              <w:rPr>
                <w:rStyle w:val="InstructionsTabelleberschrift"/>
                <w:rFonts w:ascii="Times New Roman" w:hAnsi="Times New Roman"/>
                <w:sz w:val="24"/>
              </w:rPr>
              <w:t xml:space="preserve"> a </w:t>
            </w:r>
            <w:r w:rsidRPr="002176B5">
              <w:rPr>
                <w:rStyle w:val="InstructionsTabelleberschrift"/>
                <w:rFonts w:ascii="Times New Roman" w:hAnsi="Times New Roman"/>
                <w:sz w:val="24"/>
              </w:rPr>
              <w:t>centrálne banky</w:t>
            </w:r>
          </w:p>
          <w:p w14:paraId="15FC0A45" w14:textId="77777777" w:rsidR="00CC7D2C" w:rsidRPr="002176B5" w:rsidRDefault="00CC7D2C" w:rsidP="00822842">
            <w:pPr>
              <w:rPr>
                <w:rStyle w:val="FormatvorlageInstructionsTabelleText"/>
                <w:rFonts w:ascii="Times New Roman" w:hAnsi="Times New Roman"/>
                <w:sz w:val="24"/>
              </w:rPr>
            </w:pPr>
            <w:r w:rsidRPr="002176B5">
              <w:rPr>
                <w:rStyle w:val="FormatvorlageInstructionsTabelleText"/>
                <w:rFonts w:ascii="Times New Roman" w:hAnsi="Times New Roman"/>
                <w:sz w:val="24"/>
              </w:rPr>
              <w:t>Pozri vzor CR IRB.</w:t>
            </w:r>
          </w:p>
        </w:tc>
      </w:tr>
      <w:tr w:rsidR="00CC7D2C" w:rsidRPr="002176B5" w14:paraId="657B86EC" w14:textId="77777777" w:rsidTr="00822842">
        <w:trPr>
          <w:trHeight w:val="300"/>
        </w:trPr>
        <w:tc>
          <w:tcPr>
            <w:tcW w:w="1591" w:type="dxa"/>
          </w:tcPr>
          <w:p w14:paraId="2CA6669F"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0325</w:t>
            </w:r>
          </w:p>
        </w:tc>
        <w:tc>
          <w:tcPr>
            <w:tcW w:w="7274" w:type="dxa"/>
          </w:tcPr>
          <w:p w14:paraId="06BBBFBA" w14:textId="77777777"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1.1.2.2.01a</w:t>
            </w:r>
            <w:r w:rsidRPr="002176B5">
              <w:tab/>
            </w:r>
            <w:r w:rsidRPr="002176B5">
              <w:rPr>
                <w:rStyle w:val="InstructionsTabelleberschrift"/>
                <w:rFonts w:ascii="Times New Roman" w:hAnsi="Times New Roman"/>
                <w:sz w:val="24"/>
              </w:rPr>
              <w:t>Regionálne vlády alebo miestne orgány</w:t>
            </w:r>
          </w:p>
          <w:p w14:paraId="6BB6F901"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Pozri vzor CR IRB.</w:t>
            </w:r>
          </w:p>
        </w:tc>
      </w:tr>
      <w:tr w:rsidR="00CC7D2C" w:rsidRPr="002176B5" w14:paraId="28040919" w14:textId="77777777" w:rsidTr="00822842">
        <w:trPr>
          <w:trHeight w:val="300"/>
        </w:trPr>
        <w:tc>
          <w:tcPr>
            <w:tcW w:w="1591" w:type="dxa"/>
          </w:tcPr>
          <w:p w14:paraId="4EF3EF04"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0326</w:t>
            </w:r>
          </w:p>
        </w:tc>
        <w:tc>
          <w:tcPr>
            <w:tcW w:w="7274" w:type="dxa"/>
          </w:tcPr>
          <w:p w14:paraId="7F2539C7" w14:textId="77777777"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1.1.2.2.01b</w:t>
            </w:r>
            <w:r w:rsidRPr="002176B5">
              <w:tab/>
            </w:r>
            <w:r w:rsidRPr="002176B5">
              <w:rPr>
                <w:rStyle w:val="InstructionsTabelleberschrift"/>
                <w:rFonts w:ascii="Times New Roman" w:hAnsi="Times New Roman"/>
                <w:sz w:val="24"/>
              </w:rPr>
              <w:t>Subjekty verejného sektora</w:t>
            </w:r>
          </w:p>
          <w:p w14:paraId="52267284"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Pozri vzor CR IRB.</w:t>
            </w:r>
          </w:p>
        </w:tc>
      </w:tr>
      <w:tr w:rsidR="00CC7D2C" w:rsidRPr="002176B5" w14:paraId="37061F50" w14:textId="77777777" w:rsidTr="00822842">
        <w:tc>
          <w:tcPr>
            <w:tcW w:w="1591" w:type="dxa"/>
          </w:tcPr>
          <w:p w14:paraId="2128DDAF"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0350</w:t>
            </w:r>
          </w:p>
        </w:tc>
        <w:tc>
          <w:tcPr>
            <w:tcW w:w="7274" w:type="dxa"/>
          </w:tcPr>
          <w:p w14:paraId="37CD4DE1" w14:textId="77777777" w:rsidR="00CC7D2C" w:rsidRPr="002176B5" w:rsidRDefault="00CC7D2C" w:rsidP="00320EFD">
            <w:pPr>
              <w:pStyle w:val="InstructionsText"/>
              <w:rPr>
                <w:rStyle w:val="InstructionsTabelleberschrift"/>
                <w:rFonts w:ascii="Times New Roman" w:hAnsi="Times New Roman"/>
                <w:bCs w:val="0"/>
                <w:sz w:val="24"/>
              </w:rPr>
            </w:pPr>
            <w:r w:rsidRPr="002176B5">
              <w:rPr>
                <w:rStyle w:val="InstructionsTabelleberschrift"/>
                <w:rFonts w:ascii="Times New Roman" w:hAnsi="Times New Roman"/>
                <w:sz w:val="24"/>
              </w:rPr>
              <w:t>1.1.2.2.04.</w:t>
            </w:r>
            <w:r w:rsidRPr="002176B5">
              <w:tab/>
            </w:r>
            <w:r w:rsidRPr="002176B5">
              <w:rPr>
                <w:rStyle w:val="InstructionsTabelleberschrift"/>
                <w:rFonts w:ascii="Times New Roman" w:hAnsi="Times New Roman"/>
                <w:sz w:val="24"/>
              </w:rPr>
              <w:t>Podnikateľské subjekty – špecializované financovanie</w:t>
            </w:r>
          </w:p>
          <w:p w14:paraId="5A317945" w14:textId="77777777" w:rsidR="00CC7D2C" w:rsidRPr="002176B5" w:rsidRDefault="00CC7D2C" w:rsidP="00822842">
            <w:pPr>
              <w:rPr>
                <w:rStyle w:val="FormatvorlageInstructionsTabelleText"/>
                <w:rFonts w:ascii="Times New Roman" w:hAnsi="Times New Roman"/>
                <w:sz w:val="24"/>
              </w:rPr>
            </w:pPr>
            <w:r w:rsidRPr="002176B5">
              <w:rPr>
                <w:rStyle w:val="FormatvorlageInstructionsTabelleText"/>
                <w:rFonts w:ascii="Times New Roman" w:hAnsi="Times New Roman"/>
                <w:sz w:val="24"/>
              </w:rPr>
              <w:t>Pozri vzor CR IRB.</w:t>
            </w:r>
          </w:p>
        </w:tc>
      </w:tr>
      <w:tr w:rsidR="00CC7D2C" w:rsidRPr="002176B5" w14:paraId="2F4F9C2C" w14:textId="77777777" w:rsidTr="00822842">
        <w:trPr>
          <w:trHeight w:val="300"/>
        </w:trPr>
        <w:tc>
          <w:tcPr>
            <w:tcW w:w="1591" w:type="dxa"/>
          </w:tcPr>
          <w:p w14:paraId="00EC1257"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0355</w:t>
            </w:r>
          </w:p>
        </w:tc>
        <w:tc>
          <w:tcPr>
            <w:tcW w:w="7274" w:type="dxa"/>
          </w:tcPr>
          <w:p w14:paraId="7B8831A6" w14:textId="77777777"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1.1.2.2.04a</w:t>
            </w:r>
            <w:r w:rsidRPr="002176B5">
              <w:tab/>
            </w:r>
            <w:r w:rsidRPr="002176B5">
              <w:rPr>
                <w:rStyle w:val="InstructionsTabelleberschrift"/>
                <w:rFonts w:ascii="Times New Roman" w:hAnsi="Times New Roman"/>
                <w:sz w:val="24"/>
              </w:rPr>
              <w:t>Podnikateľské subjekty – odkúpené pohľadávky</w:t>
            </w:r>
          </w:p>
          <w:p w14:paraId="32E5A74A" w14:textId="77777777" w:rsidR="00CC7D2C" w:rsidRPr="002176B5" w:rsidRDefault="00CC7D2C" w:rsidP="00822842">
            <w:pPr>
              <w:rPr>
                <w:rStyle w:val="FormatvorlageInstructionsTabelleText"/>
                <w:rFonts w:ascii="Times New Roman" w:hAnsi="Times New Roman"/>
                <w:sz w:val="24"/>
              </w:rPr>
            </w:pPr>
            <w:r w:rsidRPr="002176B5">
              <w:rPr>
                <w:rStyle w:val="FormatvorlageInstructionsTabelleText"/>
                <w:rFonts w:ascii="Times New Roman" w:hAnsi="Times New Roman"/>
                <w:sz w:val="24"/>
              </w:rPr>
              <w:t>Pozri vzor CR IRB.</w:t>
            </w:r>
          </w:p>
        </w:tc>
      </w:tr>
      <w:tr w:rsidR="00CC7D2C" w:rsidRPr="002176B5" w14:paraId="76FE2E8E" w14:textId="77777777" w:rsidTr="00822842">
        <w:tc>
          <w:tcPr>
            <w:tcW w:w="1591" w:type="dxa"/>
          </w:tcPr>
          <w:p w14:paraId="238E8CB7"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lastRenderedPageBreak/>
              <w:t>0360</w:t>
            </w:r>
          </w:p>
        </w:tc>
        <w:tc>
          <w:tcPr>
            <w:tcW w:w="7274" w:type="dxa"/>
          </w:tcPr>
          <w:p w14:paraId="2EB90E3D" w14:textId="77777777" w:rsidR="00CC7D2C" w:rsidRPr="002176B5" w:rsidRDefault="00CC7D2C" w:rsidP="00320EFD">
            <w:pPr>
              <w:pStyle w:val="InstructionsText"/>
              <w:rPr>
                <w:rStyle w:val="InstructionsTabelleberschrift"/>
                <w:rFonts w:ascii="Times New Roman" w:hAnsi="Times New Roman"/>
                <w:bCs w:val="0"/>
                <w:sz w:val="24"/>
              </w:rPr>
            </w:pPr>
            <w:r w:rsidRPr="002176B5">
              <w:rPr>
                <w:rStyle w:val="InstructionsTabelleberschrift"/>
                <w:rFonts w:ascii="Times New Roman" w:hAnsi="Times New Roman"/>
                <w:sz w:val="24"/>
              </w:rPr>
              <w:t>1.1.2.2.05.</w:t>
            </w:r>
            <w:r w:rsidRPr="002176B5">
              <w:tab/>
            </w:r>
            <w:r w:rsidRPr="002176B5">
              <w:rPr>
                <w:rStyle w:val="InstructionsTabelleberschrift"/>
                <w:rFonts w:ascii="Times New Roman" w:hAnsi="Times New Roman"/>
                <w:sz w:val="24"/>
              </w:rPr>
              <w:t>Podnikateľské subjekty – iné</w:t>
            </w:r>
          </w:p>
          <w:p w14:paraId="0C641820" w14:textId="77777777" w:rsidR="00CC7D2C" w:rsidRPr="002176B5" w:rsidRDefault="00CC7D2C" w:rsidP="00822842">
            <w:pPr>
              <w:rPr>
                <w:rStyle w:val="FormatvorlageInstructionsTabelleText"/>
                <w:rFonts w:ascii="Times New Roman" w:hAnsi="Times New Roman"/>
                <w:sz w:val="24"/>
              </w:rPr>
            </w:pPr>
            <w:r w:rsidRPr="002176B5">
              <w:rPr>
                <w:rStyle w:val="FormatvorlageInstructionsTabelleText"/>
                <w:rFonts w:ascii="Times New Roman" w:hAnsi="Times New Roman"/>
                <w:sz w:val="24"/>
              </w:rPr>
              <w:t>Pozri vzor CR IRB.</w:t>
            </w:r>
          </w:p>
        </w:tc>
      </w:tr>
      <w:tr w:rsidR="00B0254B" w:rsidRPr="002176B5" w14:paraId="51D42F23" w14:textId="77777777" w:rsidTr="00822842">
        <w:tc>
          <w:tcPr>
            <w:tcW w:w="1591" w:type="dxa"/>
          </w:tcPr>
          <w:p w14:paraId="36C5AB84" w14:textId="7AC07343" w:rsidR="00B0254B" w:rsidRPr="002176B5" w:rsidRDefault="00B0254B"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0415</w:t>
            </w:r>
          </w:p>
        </w:tc>
        <w:tc>
          <w:tcPr>
            <w:tcW w:w="7274" w:type="dxa"/>
          </w:tcPr>
          <w:p w14:paraId="4393B81B" w14:textId="60104733" w:rsidR="00B0254B" w:rsidRPr="002176B5" w:rsidRDefault="00B0254B"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1.1.2.2.05a* Doplňujúca položka: Podnikateľské subjekty – veľké podnikateľské subjekty</w:t>
            </w:r>
          </w:p>
          <w:p w14:paraId="5851B687" w14:textId="21622467" w:rsidR="00B0254B" w:rsidRPr="002176B5" w:rsidRDefault="00B0254B" w:rsidP="00320EFD">
            <w:pPr>
              <w:pStyle w:val="InstructionsText"/>
              <w:rPr>
                <w:rStyle w:val="InstructionsTabelleberschrift"/>
                <w:rFonts w:ascii="Times New Roman" w:hAnsi="Times New Roman"/>
                <w:sz w:val="24"/>
              </w:rPr>
            </w:pPr>
            <w:r w:rsidRPr="002176B5">
              <w:rPr>
                <w:rStyle w:val="FormatvorlageInstructionsTabelleText"/>
                <w:rFonts w:ascii="Times New Roman" w:hAnsi="Times New Roman"/>
                <w:sz w:val="24"/>
              </w:rPr>
              <w:t>Pozri vzor CR IRB.</w:t>
            </w:r>
          </w:p>
        </w:tc>
      </w:tr>
      <w:tr w:rsidR="00756BE3" w:rsidRPr="002176B5" w14:paraId="6184FFB1" w14:textId="77777777" w:rsidTr="00822842">
        <w:tc>
          <w:tcPr>
            <w:tcW w:w="1591" w:type="dxa"/>
          </w:tcPr>
          <w:p w14:paraId="037905D4" w14:textId="4644B5DB" w:rsidR="00756BE3" w:rsidRPr="002176B5" w:rsidRDefault="00756BE3"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0416</w:t>
            </w:r>
          </w:p>
        </w:tc>
        <w:tc>
          <w:tcPr>
            <w:tcW w:w="7274" w:type="dxa"/>
          </w:tcPr>
          <w:p w14:paraId="41D1097C" w14:textId="22617526" w:rsidR="00756BE3" w:rsidRPr="002176B5" w:rsidRDefault="00756BE3"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1.1.2.2.05a* Doplňujúca položka: Podnikateľské subjekty – malé</w:t>
            </w:r>
            <w:r w:rsidR="002176B5">
              <w:rPr>
                <w:rStyle w:val="InstructionsTabelleberschrift"/>
                <w:rFonts w:ascii="Times New Roman" w:hAnsi="Times New Roman"/>
                <w:sz w:val="24"/>
              </w:rPr>
              <w:t xml:space="preserve"> a </w:t>
            </w:r>
            <w:r w:rsidRPr="002176B5">
              <w:rPr>
                <w:rStyle w:val="InstructionsTabelleberschrift"/>
                <w:rFonts w:ascii="Times New Roman" w:hAnsi="Times New Roman"/>
                <w:sz w:val="24"/>
              </w:rPr>
              <w:t>stredné podniky (MSP)</w:t>
            </w:r>
          </w:p>
          <w:p w14:paraId="54E1479C" w14:textId="0B65AA60" w:rsidR="00756BE3" w:rsidRPr="002176B5" w:rsidRDefault="00756BE3" w:rsidP="00320EFD">
            <w:pPr>
              <w:pStyle w:val="InstructionsText"/>
              <w:rPr>
                <w:rStyle w:val="InstructionsTabelleberschrift"/>
                <w:rFonts w:ascii="Times New Roman" w:hAnsi="Times New Roman"/>
                <w:sz w:val="24"/>
              </w:rPr>
            </w:pPr>
            <w:r w:rsidRPr="002176B5">
              <w:rPr>
                <w:rStyle w:val="FormatvorlageInstructionsTabelleText"/>
                <w:rFonts w:ascii="Times New Roman" w:hAnsi="Times New Roman"/>
                <w:sz w:val="24"/>
              </w:rPr>
              <w:t>Pozri vzor CR IRB.</w:t>
            </w:r>
          </w:p>
        </w:tc>
      </w:tr>
      <w:tr w:rsidR="00CC7D2C" w:rsidRPr="002176B5" w14:paraId="7AAAD901" w14:textId="77777777" w:rsidTr="00822842">
        <w:tc>
          <w:tcPr>
            <w:tcW w:w="1591" w:type="dxa"/>
          </w:tcPr>
          <w:p w14:paraId="104D00DD" w14:textId="54CA7BBF"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0371</w:t>
            </w:r>
          </w:p>
        </w:tc>
        <w:tc>
          <w:tcPr>
            <w:tcW w:w="7274" w:type="dxa"/>
          </w:tcPr>
          <w:p w14:paraId="7526DAC0" w14:textId="12F2B91B" w:rsidR="00CC7D2C" w:rsidRPr="002176B5" w:rsidRDefault="00CC7D2C" w:rsidP="00320EFD">
            <w:pPr>
              <w:pStyle w:val="InstructionsText"/>
              <w:rPr>
                <w:rStyle w:val="InstructionsTabelleberschrift"/>
                <w:rFonts w:ascii="Times New Roman" w:hAnsi="Times New Roman"/>
                <w:bCs w:val="0"/>
                <w:sz w:val="24"/>
              </w:rPr>
            </w:pPr>
            <w:r w:rsidRPr="002176B5">
              <w:rPr>
                <w:rStyle w:val="InstructionsTabelleberschrift"/>
                <w:rFonts w:ascii="Times New Roman" w:hAnsi="Times New Roman"/>
                <w:sz w:val="24"/>
              </w:rPr>
              <w:t>1.1.2.2.06.</w:t>
            </w:r>
            <w:r w:rsidRPr="002176B5">
              <w:tab/>
            </w:r>
            <w:proofErr w:type="spellStart"/>
            <w:r w:rsidRPr="002176B5">
              <w:rPr>
                <w:rStyle w:val="InstructionsTabelleberschrift"/>
                <w:rFonts w:ascii="Times New Roman" w:hAnsi="Times New Roman"/>
                <w:sz w:val="24"/>
              </w:rPr>
              <w:t>Retail</w:t>
            </w:r>
            <w:proofErr w:type="spellEnd"/>
            <w:r w:rsidRPr="002176B5">
              <w:rPr>
                <w:rStyle w:val="InstructionsTabelleberschrift"/>
                <w:rFonts w:ascii="Times New Roman" w:hAnsi="Times New Roman"/>
                <w:sz w:val="24"/>
              </w:rPr>
              <w:t xml:space="preserve"> – zabezpečené nehnuteľným majetkom určeným na bývanie</w:t>
            </w:r>
          </w:p>
          <w:p w14:paraId="6EA2E7FD" w14:textId="77777777" w:rsidR="00CC7D2C" w:rsidRPr="002176B5" w:rsidRDefault="00CC7D2C" w:rsidP="00822842">
            <w:pPr>
              <w:rPr>
                <w:rStyle w:val="FormatvorlageInstructionsTabelleText"/>
                <w:rFonts w:ascii="Times New Roman" w:hAnsi="Times New Roman"/>
                <w:sz w:val="24"/>
              </w:rPr>
            </w:pPr>
            <w:r w:rsidRPr="002176B5">
              <w:rPr>
                <w:rStyle w:val="FormatvorlageInstructionsTabelleText"/>
                <w:rFonts w:ascii="Times New Roman" w:hAnsi="Times New Roman"/>
                <w:sz w:val="24"/>
              </w:rPr>
              <w:t>Pozri vzor CR IRB.</w:t>
            </w:r>
          </w:p>
        </w:tc>
      </w:tr>
      <w:tr w:rsidR="00CC7D2C" w:rsidRPr="002176B5" w14:paraId="0A635E3B" w14:textId="77777777" w:rsidTr="00822842">
        <w:tc>
          <w:tcPr>
            <w:tcW w:w="1591" w:type="dxa"/>
          </w:tcPr>
          <w:p w14:paraId="576D4B8F"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0390</w:t>
            </w:r>
          </w:p>
        </w:tc>
        <w:tc>
          <w:tcPr>
            <w:tcW w:w="7274" w:type="dxa"/>
          </w:tcPr>
          <w:p w14:paraId="16F88A63" w14:textId="77777777" w:rsidR="00CC7D2C" w:rsidRPr="002176B5" w:rsidRDefault="00CC7D2C" w:rsidP="00320EFD">
            <w:pPr>
              <w:pStyle w:val="InstructionsText"/>
              <w:rPr>
                <w:rStyle w:val="InstructionsTabelleberschrift"/>
                <w:rFonts w:ascii="Times New Roman" w:hAnsi="Times New Roman"/>
                <w:bCs w:val="0"/>
                <w:sz w:val="24"/>
              </w:rPr>
            </w:pPr>
            <w:r w:rsidRPr="002176B5">
              <w:rPr>
                <w:rStyle w:val="InstructionsTabelleberschrift"/>
                <w:rFonts w:ascii="Times New Roman" w:hAnsi="Times New Roman"/>
                <w:sz w:val="24"/>
              </w:rPr>
              <w:t>1.1.2.2.08.</w:t>
            </w:r>
            <w:r w:rsidRPr="002176B5">
              <w:tab/>
            </w:r>
            <w:proofErr w:type="spellStart"/>
            <w:r w:rsidRPr="002176B5">
              <w:rPr>
                <w:rStyle w:val="InstructionsTabelleberschrift"/>
                <w:rFonts w:ascii="Times New Roman" w:hAnsi="Times New Roman"/>
                <w:sz w:val="24"/>
              </w:rPr>
              <w:t>Retail</w:t>
            </w:r>
            <w:proofErr w:type="spellEnd"/>
            <w:r w:rsidRPr="002176B5">
              <w:rPr>
                <w:rStyle w:val="InstructionsTabelleberschrift"/>
                <w:rFonts w:ascii="Times New Roman" w:hAnsi="Times New Roman"/>
                <w:sz w:val="24"/>
              </w:rPr>
              <w:t xml:space="preserve"> – kvalifikovaný </w:t>
            </w:r>
            <w:proofErr w:type="spellStart"/>
            <w:r w:rsidRPr="002176B5">
              <w:rPr>
                <w:rStyle w:val="InstructionsTabelleberschrift"/>
                <w:rFonts w:ascii="Times New Roman" w:hAnsi="Times New Roman"/>
                <w:sz w:val="24"/>
              </w:rPr>
              <w:t>revolving</w:t>
            </w:r>
            <w:proofErr w:type="spellEnd"/>
          </w:p>
          <w:p w14:paraId="57E1BED9" w14:textId="77777777" w:rsidR="00CC7D2C" w:rsidRPr="002176B5" w:rsidRDefault="00CC7D2C" w:rsidP="00822842">
            <w:pPr>
              <w:rPr>
                <w:rStyle w:val="FormatvorlageInstructionsTabelleText"/>
                <w:rFonts w:ascii="Times New Roman" w:hAnsi="Times New Roman"/>
                <w:sz w:val="24"/>
              </w:rPr>
            </w:pPr>
            <w:r w:rsidRPr="002176B5">
              <w:rPr>
                <w:rStyle w:val="FormatvorlageInstructionsTabelleText"/>
                <w:rFonts w:ascii="Times New Roman" w:hAnsi="Times New Roman"/>
                <w:sz w:val="24"/>
              </w:rPr>
              <w:t>Pozri vzor CR IRB.</w:t>
            </w:r>
          </w:p>
        </w:tc>
      </w:tr>
      <w:tr w:rsidR="00CC7D2C" w:rsidRPr="002176B5" w14:paraId="6A725962" w14:textId="77777777" w:rsidTr="00822842">
        <w:trPr>
          <w:trHeight w:val="300"/>
        </w:trPr>
        <w:tc>
          <w:tcPr>
            <w:tcW w:w="1591" w:type="dxa"/>
          </w:tcPr>
          <w:p w14:paraId="2122B748"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0395</w:t>
            </w:r>
          </w:p>
        </w:tc>
        <w:tc>
          <w:tcPr>
            <w:tcW w:w="7274" w:type="dxa"/>
          </w:tcPr>
          <w:p w14:paraId="4BDE0153" w14:textId="77777777"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1.1.2.2.08a</w:t>
            </w:r>
            <w:r w:rsidRPr="002176B5">
              <w:tab/>
            </w:r>
            <w:proofErr w:type="spellStart"/>
            <w:r w:rsidRPr="002176B5">
              <w:rPr>
                <w:rStyle w:val="InstructionsTabelleberschrift"/>
                <w:rFonts w:ascii="Times New Roman" w:hAnsi="Times New Roman"/>
                <w:sz w:val="24"/>
              </w:rPr>
              <w:t>Retail</w:t>
            </w:r>
            <w:proofErr w:type="spellEnd"/>
            <w:r w:rsidRPr="002176B5">
              <w:rPr>
                <w:rStyle w:val="InstructionsTabelleberschrift"/>
                <w:rFonts w:ascii="Times New Roman" w:hAnsi="Times New Roman"/>
                <w:sz w:val="24"/>
              </w:rPr>
              <w:t xml:space="preserve"> – odkúpené pohľadávky</w:t>
            </w:r>
          </w:p>
          <w:p w14:paraId="1EE5A186" w14:textId="77777777" w:rsidR="00CC7D2C" w:rsidRPr="002176B5" w:rsidRDefault="00CC7D2C" w:rsidP="00822842">
            <w:pPr>
              <w:rPr>
                <w:rStyle w:val="FormatvorlageInstructionsTabelleText"/>
                <w:rFonts w:ascii="Times New Roman" w:hAnsi="Times New Roman"/>
                <w:sz w:val="24"/>
              </w:rPr>
            </w:pPr>
            <w:r w:rsidRPr="002176B5">
              <w:rPr>
                <w:rStyle w:val="FormatvorlageInstructionsTabelleText"/>
                <w:rFonts w:ascii="Times New Roman" w:hAnsi="Times New Roman"/>
                <w:sz w:val="24"/>
              </w:rPr>
              <w:t>Pozri vzor CR IRB.</w:t>
            </w:r>
          </w:p>
        </w:tc>
      </w:tr>
      <w:tr w:rsidR="00CC7D2C" w:rsidRPr="002176B5" w14:paraId="78150221" w14:textId="77777777" w:rsidTr="00822842">
        <w:tc>
          <w:tcPr>
            <w:tcW w:w="1591" w:type="dxa"/>
          </w:tcPr>
          <w:p w14:paraId="3FDBFE49" w14:textId="1E454574"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0401</w:t>
            </w:r>
          </w:p>
        </w:tc>
        <w:tc>
          <w:tcPr>
            <w:tcW w:w="7274" w:type="dxa"/>
          </w:tcPr>
          <w:p w14:paraId="75B70FC2" w14:textId="628645DC" w:rsidR="00CC7D2C" w:rsidRPr="002176B5" w:rsidRDefault="00CC7D2C" w:rsidP="00320EFD">
            <w:pPr>
              <w:pStyle w:val="InstructionsText"/>
              <w:rPr>
                <w:rStyle w:val="InstructionsTabelleberschrift"/>
                <w:rFonts w:ascii="Times New Roman" w:hAnsi="Times New Roman"/>
                <w:bCs w:val="0"/>
                <w:sz w:val="24"/>
              </w:rPr>
            </w:pPr>
            <w:r w:rsidRPr="002176B5">
              <w:rPr>
                <w:rStyle w:val="InstructionsTabelleberschrift"/>
                <w:rFonts w:ascii="Times New Roman" w:hAnsi="Times New Roman"/>
                <w:sz w:val="24"/>
              </w:rPr>
              <w:t>1.1.2.2.09.</w:t>
            </w:r>
            <w:r w:rsidRPr="002176B5">
              <w:tab/>
            </w:r>
            <w:proofErr w:type="spellStart"/>
            <w:r w:rsidRPr="002176B5">
              <w:rPr>
                <w:rStyle w:val="InstructionsTabelleberschrift"/>
                <w:rFonts w:ascii="Times New Roman" w:hAnsi="Times New Roman"/>
                <w:sz w:val="24"/>
              </w:rPr>
              <w:t>Retail</w:t>
            </w:r>
            <w:proofErr w:type="spellEnd"/>
            <w:r w:rsidRPr="002176B5">
              <w:rPr>
                <w:rStyle w:val="InstructionsTabelleberschrift"/>
                <w:rFonts w:ascii="Times New Roman" w:hAnsi="Times New Roman"/>
                <w:sz w:val="24"/>
              </w:rPr>
              <w:t xml:space="preserve"> – ostatné</w:t>
            </w:r>
          </w:p>
          <w:p w14:paraId="0AE46C22" w14:textId="77777777" w:rsidR="00CC7D2C" w:rsidRPr="002176B5" w:rsidRDefault="00CC7D2C" w:rsidP="00822842">
            <w:pPr>
              <w:rPr>
                <w:rStyle w:val="FormatvorlageInstructionsTabelleText"/>
                <w:rFonts w:ascii="Times New Roman" w:hAnsi="Times New Roman"/>
                <w:sz w:val="24"/>
              </w:rPr>
            </w:pPr>
            <w:r w:rsidRPr="002176B5">
              <w:rPr>
                <w:rStyle w:val="FormatvorlageInstructionsTabelleText"/>
                <w:rFonts w:ascii="Times New Roman" w:hAnsi="Times New Roman"/>
                <w:sz w:val="24"/>
              </w:rPr>
              <w:t>Pozri vzor CR IRB.</w:t>
            </w:r>
          </w:p>
        </w:tc>
      </w:tr>
      <w:tr w:rsidR="00CC7D2C" w:rsidRPr="002176B5" w14:paraId="48F2E283" w14:textId="77777777" w:rsidTr="00822842">
        <w:trPr>
          <w:trHeight w:val="300"/>
        </w:trPr>
        <w:tc>
          <w:tcPr>
            <w:tcW w:w="1591" w:type="dxa"/>
          </w:tcPr>
          <w:p w14:paraId="58FFAB84"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0405</w:t>
            </w:r>
          </w:p>
        </w:tc>
        <w:tc>
          <w:tcPr>
            <w:tcW w:w="7274" w:type="dxa"/>
          </w:tcPr>
          <w:p w14:paraId="6363C6C9" w14:textId="08295BA3"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 xml:space="preserve">1.1.2.2.09.01. </w:t>
            </w:r>
            <w:r w:rsidRPr="002176B5">
              <w:tab/>
            </w:r>
            <w:r w:rsidRPr="002176B5">
              <w:rPr>
                <w:rStyle w:val="InstructionsTabelleberschrift"/>
                <w:rFonts w:ascii="Times New Roman" w:hAnsi="Times New Roman"/>
                <w:sz w:val="24"/>
              </w:rPr>
              <w:t xml:space="preserve">  </w:t>
            </w:r>
            <w:r w:rsidR="002176B5">
              <w:rPr>
                <w:rStyle w:val="InstructionsTabelleberschrift"/>
                <w:rFonts w:ascii="Times New Roman" w:hAnsi="Times New Roman"/>
                <w:sz w:val="24"/>
              </w:rPr>
              <w:t xml:space="preserve"> Z </w:t>
            </w:r>
            <w:r w:rsidRPr="002176B5">
              <w:rPr>
                <w:rStyle w:val="InstructionsTabelleberschrift"/>
                <w:rFonts w:ascii="Times New Roman" w:hAnsi="Times New Roman"/>
                <w:sz w:val="24"/>
              </w:rPr>
              <w:t>čoho: zabezpečené nehnuteľným majetkom určeným na podnikanie</w:t>
            </w:r>
          </w:p>
          <w:p w14:paraId="05CDF313" w14:textId="77777777" w:rsidR="00CC7D2C" w:rsidRPr="002176B5" w:rsidRDefault="00CC7D2C" w:rsidP="00822842">
            <w:pPr>
              <w:rPr>
                <w:rStyle w:val="FormatvorlageInstructionsTabelleText"/>
                <w:rFonts w:ascii="Times New Roman" w:hAnsi="Times New Roman"/>
                <w:sz w:val="24"/>
              </w:rPr>
            </w:pPr>
            <w:r w:rsidRPr="002176B5">
              <w:rPr>
                <w:rStyle w:val="FormatvorlageInstructionsTabelleText"/>
                <w:rFonts w:ascii="Times New Roman" w:hAnsi="Times New Roman"/>
                <w:sz w:val="24"/>
              </w:rPr>
              <w:t>Pozri vzor CR IRB.</w:t>
            </w:r>
          </w:p>
        </w:tc>
      </w:tr>
      <w:tr w:rsidR="00756BE3" w:rsidRPr="002176B5" w14:paraId="709F4C16" w14:textId="77777777" w:rsidTr="00822842">
        <w:tc>
          <w:tcPr>
            <w:tcW w:w="1591" w:type="dxa"/>
          </w:tcPr>
          <w:p w14:paraId="0CBFBF2E" w14:textId="1A3FC28F" w:rsidR="00756BE3" w:rsidRPr="002176B5" w:rsidRDefault="00756BE3"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0411</w:t>
            </w:r>
          </w:p>
        </w:tc>
        <w:tc>
          <w:tcPr>
            <w:tcW w:w="7274" w:type="dxa"/>
          </w:tcPr>
          <w:p w14:paraId="33161137" w14:textId="5F59FB26" w:rsidR="00756BE3" w:rsidRPr="002176B5" w:rsidRDefault="00756BE3"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 xml:space="preserve">1.1.2.2.11* Doplňujúca položka: </w:t>
            </w:r>
            <w:proofErr w:type="spellStart"/>
            <w:r w:rsidRPr="002176B5">
              <w:rPr>
                <w:rStyle w:val="InstructionsTabelleberschrift"/>
                <w:rFonts w:ascii="Times New Roman" w:hAnsi="Times New Roman"/>
                <w:sz w:val="24"/>
              </w:rPr>
              <w:t>Retail</w:t>
            </w:r>
            <w:proofErr w:type="spellEnd"/>
            <w:r w:rsidRPr="002176B5">
              <w:rPr>
                <w:rStyle w:val="InstructionsTabelleberschrift"/>
                <w:rFonts w:ascii="Times New Roman" w:hAnsi="Times New Roman"/>
                <w:sz w:val="24"/>
              </w:rPr>
              <w:t xml:space="preserve"> – zabezpečené nehnuteľným majetkom MSP </w:t>
            </w:r>
          </w:p>
        </w:tc>
      </w:tr>
      <w:tr w:rsidR="00756BE3" w:rsidRPr="002176B5" w14:paraId="4810E73E" w14:textId="77777777" w:rsidTr="00822842">
        <w:tc>
          <w:tcPr>
            <w:tcW w:w="1591" w:type="dxa"/>
          </w:tcPr>
          <w:p w14:paraId="2A36D16B" w14:textId="6E67FFF1" w:rsidR="00756BE3" w:rsidRPr="002176B5" w:rsidRDefault="00756BE3"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0412</w:t>
            </w:r>
          </w:p>
        </w:tc>
        <w:tc>
          <w:tcPr>
            <w:tcW w:w="7274" w:type="dxa"/>
          </w:tcPr>
          <w:p w14:paraId="140CBF3B" w14:textId="5B46DEF4" w:rsidR="00756BE3" w:rsidRPr="002176B5" w:rsidRDefault="00756BE3"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 xml:space="preserve">1.1.2.2.11* Doplňujúca položka: </w:t>
            </w:r>
            <w:proofErr w:type="spellStart"/>
            <w:r w:rsidRPr="002176B5">
              <w:rPr>
                <w:rStyle w:val="InstructionsTabelleberschrift"/>
                <w:rFonts w:ascii="Times New Roman" w:hAnsi="Times New Roman"/>
                <w:sz w:val="24"/>
              </w:rPr>
              <w:t>Retail</w:t>
            </w:r>
            <w:proofErr w:type="spellEnd"/>
            <w:r w:rsidRPr="002176B5">
              <w:rPr>
                <w:rStyle w:val="InstructionsTabelleberschrift"/>
                <w:rFonts w:ascii="Times New Roman" w:hAnsi="Times New Roman"/>
                <w:sz w:val="24"/>
              </w:rPr>
              <w:t xml:space="preserve"> – zabezpečené nehnuteľným majetkom, subjekty iné než MSP</w:t>
            </w:r>
          </w:p>
        </w:tc>
      </w:tr>
      <w:tr w:rsidR="00756BE3" w:rsidRPr="002176B5" w14:paraId="1D3FD668" w14:textId="77777777" w:rsidTr="00822842">
        <w:tc>
          <w:tcPr>
            <w:tcW w:w="1591" w:type="dxa"/>
          </w:tcPr>
          <w:p w14:paraId="467A0069" w14:textId="5C2F7CED" w:rsidR="00756BE3" w:rsidRPr="002176B5" w:rsidRDefault="00756BE3"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0413</w:t>
            </w:r>
          </w:p>
        </w:tc>
        <w:tc>
          <w:tcPr>
            <w:tcW w:w="7274" w:type="dxa"/>
          </w:tcPr>
          <w:p w14:paraId="516EA86A" w14:textId="609FE8F9" w:rsidR="00756BE3" w:rsidRPr="002176B5" w:rsidRDefault="00756BE3"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 xml:space="preserve">1.1.2.2.11*** Doplňujúca položka: </w:t>
            </w:r>
            <w:proofErr w:type="spellStart"/>
            <w:r w:rsidRPr="002176B5">
              <w:rPr>
                <w:rStyle w:val="InstructionsTabelleberschrift"/>
                <w:rFonts w:ascii="Times New Roman" w:hAnsi="Times New Roman"/>
                <w:sz w:val="24"/>
              </w:rPr>
              <w:t>Retail</w:t>
            </w:r>
            <w:proofErr w:type="spellEnd"/>
            <w:r w:rsidRPr="002176B5">
              <w:rPr>
                <w:rStyle w:val="InstructionsTabelleberschrift"/>
                <w:rFonts w:ascii="Times New Roman" w:hAnsi="Times New Roman"/>
                <w:sz w:val="24"/>
              </w:rPr>
              <w:t xml:space="preserve"> – ostatné MSP</w:t>
            </w:r>
          </w:p>
        </w:tc>
      </w:tr>
      <w:tr w:rsidR="00756BE3" w:rsidRPr="002176B5" w14:paraId="1B3D655A" w14:textId="77777777" w:rsidTr="00822842">
        <w:tc>
          <w:tcPr>
            <w:tcW w:w="1591" w:type="dxa"/>
          </w:tcPr>
          <w:p w14:paraId="6DAE7B9E" w14:textId="0E4F0404" w:rsidR="00756BE3" w:rsidRPr="002176B5" w:rsidRDefault="00756BE3"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0414</w:t>
            </w:r>
          </w:p>
        </w:tc>
        <w:tc>
          <w:tcPr>
            <w:tcW w:w="7274" w:type="dxa"/>
          </w:tcPr>
          <w:p w14:paraId="59C95136" w14:textId="0AF9E70F" w:rsidR="00756BE3" w:rsidRPr="002176B5" w:rsidRDefault="00756BE3"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 xml:space="preserve">1.1.2.2.11**** Doplňujúca položka: </w:t>
            </w:r>
            <w:proofErr w:type="spellStart"/>
            <w:r w:rsidRPr="002176B5">
              <w:rPr>
                <w:rStyle w:val="InstructionsTabelleberschrift"/>
                <w:rFonts w:ascii="Times New Roman" w:hAnsi="Times New Roman"/>
                <w:sz w:val="24"/>
              </w:rPr>
              <w:t>Retail</w:t>
            </w:r>
            <w:proofErr w:type="spellEnd"/>
            <w:r w:rsidRPr="002176B5">
              <w:rPr>
                <w:rStyle w:val="InstructionsTabelleberschrift"/>
                <w:rFonts w:ascii="Times New Roman" w:hAnsi="Times New Roman"/>
                <w:sz w:val="24"/>
              </w:rPr>
              <w:t xml:space="preserve"> – ostatné subjekty iné než MSP</w:t>
            </w:r>
          </w:p>
        </w:tc>
      </w:tr>
      <w:tr w:rsidR="00CC7D2C" w:rsidRPr="002176B5" w14:paraId="19BF2238" w14:textId="77777777" w:rsidTr="00822842">
        <w:tc>
          <w:tcPr>
            <w:tcW w:w="1591" w:type="dxa"/>
          </w:tcPr>
          <w:p w14:paraId="72AC3287"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0420</w:t>
            </w:r>
          </w:p>
        </w:tc>
        <w:tc>
          <w:tcPr>
            <w:tcW w:w="7274" w:type="dxa"/>
          </w:tcPr>
          <w:p w14:paraId="531B488C" w14:textId="77777777" w:rsidR="00CC7D2C" w:rsidRPr="002176B5" w:rsidRDefault="00CC7D2C" w:rsidP="00320EFD">
            <w:pPr>
              <w:pStyle w:val="InstructionsText"/>
              <w:rPr>
                <w:rStyle w:val="InstructionsTabelleberschrift"/>
                <w:rFonts w:ascii="Times New Roman" w:hAnsi="Times New Roman"/>
                <w:bCs w:val="0"/>
                <w:sz w:val="24"/>
              </w:rPr>
            </w:pPr>
            <w:r w:rsidRPr="002176B5">
              <w:rPr>
                <w:rStyle w:val="InstructionsTabelleberschrift"/>
                <w:rFonts w:ascii="Times New Roman" w:hAnsi="Times New Roman"/>
                <w:sz w:val="24"/>
              </w:rPr>
              <w:t>1.1.2.3.</w:t>
            </w:r>
            <w:r w:rsidRPr="002176B5">
              <w:tab/>
            </w:r>
            <w:r w:rsidRPr="002176B5">
              <w:rPr>
                <w:rStyle w:val="InstructionsTabelleberschrift"/>
                <w:rFonts w:ascii="Times New Roman" w:hAnsi="Times New Roman"/>
                <w:sz w:val="24"/>
              </w:rPr>
              <w:t>Kapitálové expozície podľa IRB</w:t>
            </w:r>
          </w:p>
          <w:p w14:paraId="58BB0517" w14:textId="77777777" w:rsidR="00CC7D2C" w:rsidRPr="002176B5" w:rsidRDefault="00CC7D2C" w:rsidP="00822842">
            <w:pPr>
              <w:rPr>
                <w:rStyle w:val="FormatvorlageInstructionsTabelleText"/>
                <w:rFonts w:ascii="Times New Roman" w:hAnsi="Times New Roman"/>
                <w:sz w:val="24"/>
              </w:rPr>
            </w:pPr>
            <w:r w:rsidRPr="002176B5">
              <w:rPr>
                <w:rStyle w:val="FormatvorlageInstructionsTabelleText"/>
                <w:rFonts w:ascii="Times New Roman" w:hAnsi="Times New Roman"/>
                <w:sz w:val="24"/>
              </w:rPr>
              <w:t>Pozri vzor CR EQU IRB.</w:t>
            </w:r>
          </w:p>
        </w:tc>
      </w:tr>
      <w:tr w:rsidR="00CC7D2C" w:rsidRPr="002176B5" w14:paraId="3572A03E" w14:textId="77777777" w:rsidTr="00822842">
        <w:trPr>
          <w:trHeight w:val="300"/>
        </w:trPr>
        <w:tc>
          <w:tcPr>
            <w:tcW w:w="1591" w:type="dxa"/>
          </w:tcPr>
          <w:p w14:paraId="5490702C"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0425</w:t>
            </w:r>
          </w:p>
        </w:tc>
        <w:tc>
          <w:tcPr>
            <w:tcW w:w="7274" w:type="dxa"/>
          </w:tcPr>
          <w:p w14:paraId="442C19CE" w14:textId="77777777"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1.1.2.4. Podniky kolektívneho investovania (PKI)</w:t>
            </w:r>
          </w:p>
          <w:p w14:paraId="6AE6DB29" w14:textId="77777777" w:rsidR="00CC7D2C" w:rsidRPr="002176B5" w:rsidRDefault="00CC7D2C" w:rsidP="00822842">
            <w:pPr>
              <w:rPr>
                <w:rStyle w:val="FormatvorlageInstructionsTabelleText"/>
                <w:rFonts w:ascii="Times New Roman" w:hAnsi="Times New Roman"/>
                <w:sz w:val="24"/>
              </w:rPr>
            </w:pPr>
            <w:r w:rsidRPr="002176B5">
              <w:rPr>
                <w:rStyle w:val="FormatvorlageInstructionsTabelleText"/>
                <w:rFonts w:ascii="Times New Roman" w:hAnsi="Times New Roman"/>
                <w:sz w:val="24"/>
              </w:rPr>
              <w:t>Pozri vzor CR IRB.</w:t>
            </w:r>
          </w:p>
        </w:tc>
      </w:tr>
      <w:tr w:rsidR="00CC7D2C" w:rsidRPr="002176B5" w14:paraId="7B2915BA" w14:textId="77777777" w:rsidTr="00822842">
        <w:tc>
          <w:tcPr>
            <w:tcW w:w="1591" w:type="dxa"/>
          </w:tcPr>
          <w:p w14:paraId="097A372E"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0450</w:t>
            </w:r>
          </w:p>
        </w:tc>
        <w:tc>
          <w:tcPr>
            <w:tcW w:w="7274" w:type="dxa"/>
          </w:tcPr>
          <w:p w14:paraId="30A38C38" w14:textId="77777777" w:rsidR="00CC7D2C" w:rsidRPr="002176B5" w:rsidRDefault="00CC7D2C" w:rsidP="00320EFD">
            <w:pPr>
              <w:pStyle w:val="InstructionsText"/>
              <w:rPr>
                <w:rStyle w:val="InstructionsTabelleberschrift"/>
                <w:rFonts w:ascii="Times New Roman" w:hAnsi="Times New Roman"/>
                <w:bCs w:val="0"/>
                <w:sz w:val="24"/>
              </w:rPr>
            </w:pPr>
            <w:r w:rsidRPr="002176B5">
              <w:rPr>
                <w:rStyle w:val="InstructionsTabelleberschrift"/>
                <w:rFonts w:ascii="Times New Roman" w:hAnsi="Times New Roman"/>
                <w:sz w:val="24"/>
              </w:rPr>
              <w:t>1.1.2.5.</w:t>
            </w:r>
            <w:r w:rsidRPr="002176B5">
              <w:tab/>
            </w:r>
            <w:r w:rsidRPr="002176B5">
              <w:rPr>
                <w:rStyle w:val="InstructionsTabelleberschrift"/>
                <w:rFonts w:ascii="Times New Roman" w:hAnsi="Times New Roman"/>
                <w:sz w:val="24"/>
              </w:rPr>
              <w:t>Iné aktíva, ktoré nemajú povahu kreditného záväzku</w:t>
            </w:r>
          </w:p>
          <w:p w14:paraId="0D471624" w14:textId="77777777" w:rsidR="00CC7D2C" w:rsidRPr="002176B5" w:rsidRDefault="00CC7D2C" w:rsidP="00822842">
            <w:pPr>
              <w:rPr>
                <w:rStyle w:val="FormatvorlageInstructionsTabelleText"/>
                <w:rFonts w:ascii="Times New Roman" w:hAnsi="Times New Roman"/>
                <w:sz w:val="24"/>
              </w:rPr>
            </w:pPr>
            <w:r w:rsidRPr="002176B5">
              <w:rPr>
                <w:rStyle w:val="FormatvorlageInstructionsTabelleText"/>
                <w:rFonts w:ascii="Times New Roman" w:hAnsi="Times New Roman"/>
                <w:sz w:val="24"/>
              </w:rPr>
              <w:t>Vykazovaná hodnota je hodnota rizikovo váženej expozície vypočítaná podľa článku 156</w:t>
            </w:r>
            <w:r w:rsidRPr="002176B5">
              <w:rPr>
                <w:rFonts w:ascii="Times New Roman" w:hAnsi="Times New Roman"/>
                <w:sz w:val="24"/>
              </w:rPr>
              <w:t xml:space="preserve"> nariadenia (EÚ) č. 575/2013</w:t>
            </w:r>
            <w:r w:rsidRPr="002176B5">
              <w:rPr>
                <w:rStyle w:val="FormatvorlageInstructionsTabelleText"/>
                <w:rFonts w:ascii="Times New Roman" w:hAnsi="Times New Roman"/>
                <w:sz w:val="24"/>
              </w:rPr>
              <w:t xml:space="preserve">. </w:t>
            </w:r>
          </w:p>
        </w:tc>
      </w:tr>
      <w:tr w:rsidR="00CC7D2C" w:rsidRPr="002176B5" w14:paraId="4312E354" w14:textId="77777777" w:rsidTr="00822842">
        <w:tc>
          <w:tcPr>
            <w:tcW w:w="1591" w:type="dxa"/>
          </w:tcPr>
          <w:p w14:paraId="723378AD"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0455</w:t>
            </w:r>
          </w:p>
        </w:tc>
        <w:tc>
          <w:tcPr>
            <w:tcW w:w="7274" w:type="dxa"/>
          </w:tcPr>
          <w:p w14:paraId="3BA98BA5" w14:textId="77777777" w:rsidR="00CC7D2C" w:rsidRPr="002176B5" w:rsidRDefault="00CC7D2C" w:rsidP="00320EFD">
            <w:pPr>
              <w:pStyle w:val="InstructionsText"/>
              <w:rPr>
                <w:rStyle w:val="InstructionsTabelleberschrift"/>
                <w:rFonts w:ascii="Times New Roman" w:hAnsi="Times New Roman"/>
                <w:bCs w:val="0"/>
                <w:sz w:val="24"/>
              </w:rPr>
            </w:pPr>
            <w:r w:rsidRPr="002176B5">
              <w:rPr>
                <w:rStyle w:val="InstructionsTabelleberschrift"/>
                <w:rFonts w:ascii="Times New Roman" w:hAnsi="Times New Roman"/>
                <w:sz w:val="24"/>
              </w:rPr>
              <w:t xml:space="preserve">1.1.2.5.1 </w:t>
            </w:r>
            <w:r w:rsidRPr="002176B5">
              <w:tab/>
            </w:r>
            <w:r w:rsidRPr="002176B5">
              <w:rPr>
                <w:rStyle w:val="InstructionsTabelleberschrift"/>
                <w:rFonts w:ascii="Times New Roman" w:hAnsi="Times New Roman"/>
                <w:sz w:val="24"/>
              </w:rPr>
              <w:t>Z čoho: softvérové aktíva účtované ako nehmotné aktíva</w:t>
            </w:r>
          </w:p>
          <w:p w14:paraId="725F0A16" w14:textId="0C12350B" w:rsidR="00CC7D2C" w:rsidRPr="002176B5" w:rsidRDefault="00CC7D2C" w:rsidP="00320EFD">
            <w:pPr>
              <w:pStyle w:val="InstructionsText"/>
              <w:rPr>
                <w:rStyle w:val="InstructionsTabelleberschrift"/>
                <w:rFonts w:ascii="Times New Roman" w:hAnsi="Times New Roman"/>
                <w:sz w:val="24"/>
              </w:rPr>
            </w:pPr>
            <w:r w:rsidRPr="002176B5">
              <w:rPr>
                <w:rStyle w:val="FormatvorlageInstructionsTabelleText"/>
                <w:rFonts w:ascii="Times New Roman" w:hAnsi="Times New Roman"/>
                <w:sz w:val="24"/>
              </w:rPr>
              <w:t xml:space="preserve">Hodnota rizikovo váženej expozície týkajúca sa časti softvérových aktív účtovaných ako nehmotné aktíva, ktorá nie je odpočítaná od </w:t>
            </w:r>
            <w:r w:rsidRPr="002176B5">
              <w:rPr>
                <w:rStyle w:val="FormatvorlageInstructionsTabelleText"/>
                <w:rFonts w:ascii="Times New Roman" w:hAnsi="Times New Roman"/>
                <w:sz w:val="24"/>
              </w:rPr>
              <w:lastRenderedPageBreak/>
              <w:t>položiek CET1</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súlade</w:t>
            </w:r>
            <w:r w:rsidR="002176B5">
              <w:rPr>
                <w:rStyle w:val="FormatvorlageInstructionsTabelleText"/>
                <w:rFonts w:ascii="Times New Roman" w:hAnsi="Times New Roman"/>
                <w:sz w:val="24"/>
              </w:rPr>
              <w:t xml:space="preserve"> s </w:t>
            </w:r>
            <w:r w:rsidRPr="002176B5">
              <w:rPr>
                <w:rStyle w:val="FormatvorlageInstructionsTabelleText"/>
                <w:rFonts w:ascii="Times New Roman" w:hAnsi="Times New Roman"/>
                <w:sz w:val="24"/>
              </w:rPr>
              <w:t>článkom 36 ods. 1 písm. b)</w:t>
            </w:r>
            <w:r w:rsidRPr="002176B5">
              <w:t xml:space="preserve"> nariadenia (EÚ) č. 575/2013</w:t>
            </w:r>
            <w:r w:rsidRPr="002176B5">
              <w:rPr>
                <w:rStyle w:val="FormatvorlageInstructionsTabelleText"/>
                <w:rFonts w:ascii="Times New Roman" w:hAnsi="Times New Roman"/>
                <w:sz w:val="24"/>
              </w:rPr>
              <w:t>, ale je rizikovo vážená</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súlade</w:t>
            </w:r>
            <w:r w:rsidR="002176B5">
              <w:rPr>
                <w:rStyle w:val="FormatvorlageInstructionsTabelleText"/>
                <w:rFonts w:ascii="Times New Roman" w:hAnsi="Times New Roman"/>
                <w:sz w:val="24"/>
              </w:rPr>
              <w:t xml:space="preserve"> s </w:t>
            </w:r>
            <w:r w:rsidRPr="002176B5">
              <w:rPr>
                <w:rStyle w:val="FormatvorlageInstructionsTabelleText"/>
                <w:rFonts w:ascii="Times New Roman" w:hAnsi="Times New Roman"/>
                <w:sz w:val="24"/>
              </w:rPr>
              <w:t>článkom 156</w:t>
            </w:r>
            <w:r w:rsidRPr="002176B5">
              <w:t xml:space="preserve"> uvedeného nariadenia</w:t>
            </w:r>
            <w:r w:rsidRPr="002176B5">
              <w:rPr>
                <w:rStyle w:val="FormatvorlageInstructionsTabelleText"/>
                <w:rFonts w:ascii="Times New Roman" w:hAnsi="Times New Roman"/>
                <w:sz w:val="24"/>
              </w:rPr>
              <w:t>.</w:t>
            </w:r>
          </w:p>
        </w:tc>
      </w:tr>
      <w:tr w:rsidR="00CC7D2C" w:rsidRPr="002176B5" w14:paraId="555D876B" w14:textId="77777777" w:rsidTr="00822842">
        <w:tc>
          <w:tcPr>
            <w:tcW w:w="1591" w:type="dxa"/>
          </w:tcPr>
          <w:p w14:paraId="46A7F8BD"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lastRenderedPageBreak/>
              <w:t>0460</w:t>
            </w:r>
          </w:p>
        </w:tc>
        <w:tc>
          <w:tcPr>
            <w:tcW w:w="7274" w:type="dxa"/>
          </w:tcPr>
          <w:p w14:paraId="34FE41BA" w14:textId="77777777"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1.1.3.</w:t>
            </w:r>
            <w:r w:rsidRPr="002176B5">
              <w:tab/>
            </w:r>
            <w:r w:rsidRPr="002176B5">
              <w:rPr>
                <w:rStyle w:val="InstructionsTabelleberschrift"/>
                <w:rFonts w:ascii="Times New Roman" w:hAnsi="Times New Roman"/>
                <w:sz w:val="24"/>
              </w:rPr>
              <w:t>Hodnota rizikovej expozície pri príspevkoch do fondu pre prípad zlyhania CCP</w:t>
            </w:r>
          </w:p>
          <w:p w14:paraId="192C58F6" w14:textId="6BD7A53A" w:rsidR="00CC7D2C" w:rsidRPr="002176B5" w:rsidRDefault="00CC7D2C" w:rsidP="00822842">
            <w:pPr>
              <w:rPr>
                <w:rStyle w:val="FormatvorlageInstructionsTabelleText"/>
                <w:rFonts w:ascii="Times New Roman" w:hAnsi="Times New Roman"/>
                <w:sz w:val="24"/>
              </w:rPr>
            </w:pPr>
            <w:r w:rsidRPr="002176B5">
              <w:rPr>
                <w:rStyle w:val="FormatvorlageInstructionsTabelleText"/>
                <w:rFonts w:ascii="Times New Roman" w:hAnsi="Times New Roman"/>
                <w:sz w:val="24"/>
              </w:rPr>
              <w:t>Články 307, 308</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309 nariadenia (EÚ) č. 575/2013</w:t>
            </w:r>
          </w:p>
        </w:tc>
      </w:tr>
      <w:tr w:rsidR="00CC7D2C" w:rsidRPr="002176B5" w14:paraId="3CD00168" w14:textId="77777777" w:rsidTr="00822842">
        <w:tc>
          <w:tcPr>
            <w:tcW w:w="1591" w:type="dxa"/>
          </w:tcPr>
          <w:p w14:paraId="0020FA9A"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0470</w:t>
            </w:r>
          </w:p>
        </w:tc>
        <w:tc>
          <w:tcPr>
            <w:tcW w:w="7274" w:type="dxa"/>
          </w:tcPr>
          <w:p w14:paraId="0C3A9A8C" w14:textId="77777777"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 xml:space="preserve">1.1.4. </w:t>
            </w:r>
            <w:r w:rsidRPr="002176B5">
              <w:tab/>
            </w:r>
            <w:proofErr w:type="spellStart"/>
            <w:r w:rsidRPr="002176B5">
              <w:rPr>
                <w:rStyle w:val="InstructionsTabelleberschrift"/>
                <w:rFonts w:ascii="Times New Roman" w:hAnsi="Times New Roman"/>
                <w:sz w:val="24"/>
              </w:rPr>
              <w:t>Sekuritizačné</w:t>
            </w:r>
            <w:proofErr w:type="spellEnd"/>
            <w:r w:rsidRPr="002176B5">
              <w:rPr>
                <w:rStyle w:val="InstructionsTabelleberschrift"/>
                <w:rFonts w:ascii="Times New Roman" w:hAnsi="Times New Roman"/>
                <w:sz w:val="24"/>
              </w:rPr>
              <w:t xml:space="preserve"> pozície</w:t>
            </w:r>
          </w:p>
          <w:p w14:paraId="3F47B3F8" w14:textId="77777777" w:rsidR="00CC7D2C" w:rsidRPr="002176B5" w:rsidRDefault="00CC7D2C" w:rsidP="00320EFD">
            <w:pPr>
              <w:pStyle w:val="InstructionsText"/>
              <w:rPr>
                <w:rStyle w:val="InstructionsTabelleberschrift"/>
                <w:rFonts w:ascii="Times New Roman" w:hAnsi="Times New Roman"/>
                <w:sz w:val="24"/>
              </w:rPr>
            </w:pPr>
            <w:r w:rsidRPr="002176B5">
              <w:rPr>
                <w:rStyle w:val="FormatvorlageInstructionsTabelleText"/>
                <w:rFonts w:ascii="Times New Roman" w:hAnsi="Times New Roman"/>
                <w:sz w:val="24"/>
              </w:rPr>
              <w:t>Pozri vzor CR SETT.</w:t>
            </w:r>
          </w:p>
        </w:tc>
      </w:tr>
      <w:tr w:rsidR="00CC7D2C" w:rsidRPr="002176B5" w14:paraId="1C17D3F6" w14:textId="77777777" w:rsidTr="00822842">
        <w:tc>
          <w:tcPr>
            <w:tcW w:w="1591" w:type="dxa"/>
          </w:tcPr>
          <w:p w14:paraId="12D2D8E9"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0490</w:t>
            </w:r>
          </w:p>
        </w:tc>
        <w:tc>
          <w:tcPr>
            <w:tcW w:w="7274" w:type="dxa"/>
          </w:tcPr>
          <w:p w14:paraId="3DD82C39" w14:textId="77777777" w:rsidR="00CC7D2C" w:rsidRPr="002176B5" w:rsidRDefault="00CC7D2C" w:rsidP="00320EFD">
            <w:pPr>
              <w:pStyle w:val="InstructionsText"/>
              <w:rPr>
                <w:rStyle w:val="InstructionsTabelleberschrift"/>
                <w:rFonts w:ascii="Times New Roman" w:hAnsi="Times New Roman"/>
                <w:strike/>
                <w:sz w:val="24"/>
              </w:rPr>
            </w:pPr>
            <w:r w:rsidRPr="002176B5">
              <w:rPr>
                <w:rStyle w:val="InstructionsTabelleberschrift"/>
                <w:rFonts w:ascii="Times New Roman" w:hAnsi="Times New Roman"/>
                <w:sz w:val="24"/>
              </w:rPr>
              <w:t>1.2.</w:t>
            </w:r>
            <w:r w:rsidRPr="002176B5">
              <w:tab/>
            </w:r>
            <w:r w:rsidRPr="002176B5">
              <w:rPr>
                <w:rStyle w:val="InstructionsTabelleberschrift"/>
                <w:rFonts w:ascii="Times New Roman" w:hAnsi="Times New Roman"/>
                <w:sz w:val="24"/>
              </w:rPr>
              <w:t>CELKOVÁ HODNOTA RIZIKOVEJ EXPOZÍCIE PRE RIZIKÁ VYROVNANIA/DODANIA</w:t>
            </w:r>
          </w:p>
          <w:p w14:paraId="29256EC9" w14:textId="2401A464" w:rsidR="00CC7D2C" w:rsidRPr="002176B5" w:rsidRDefault="00CC7D2C" w:rsidP="00822842">
            <w:pPr>
              <w:rPr>
                <w:rStyle w:val="FormatvorlageInstructionsTabelleText"/>
                <w:rFonts w:ascii="Times New Roman" w:hAnsi="Times New Roman"/>
                <w:sz w:val="24"/>
              </w:rPr>
            </w:pPr>
            <w:r w:rsidRPr="002176B5">
              <w:rPr>
                <w:rStyle w:val="FormatvorlageInstructionsTabelleText"/>
                <w:rFonts w:ascii="Times New Roman" w:hAnsi="Times New Roman"/>
                <w:sz w:val="24"/>
              </w:rPr>
              <w:t>Článok 92 ods. 3</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 xml:space="preserve">článok 92 ods. 4 písm. </w:t>
            </w:r>
            <w:proofErr w:type="spellStart"/>
            <w:r w:rsidRPr="002176B5">
              <w:rPr>
                <w:rStyle w:val="FormatvorlageInstructionsTabelleText"/>
                <w:rFonts w:ascii="Times New Roman" w:hAnsi="Times New Roman"/>
                <w:sz w:val="24"/>
              </w:rPr>
              <w:t>ca</w:t>
            </w:r>
            <w:proofErr w:type="spellEnd"/>
            <w:r w:rsidRPr="002176B5">
              <w:rPr>
                <w:rStyle w:val="FormatvorlageInstructionsTabelleText"/>
                <w:rFonts w:ascii="Times New Roman" w:hAnsi="Times New Roman"/>
                <w:sz w:val="24"/>
              </w:rPr>
              <w:t>) nariadenia (EÚ) č. 575/2013</w:t>
            </w:r>
          </w:p>
        </w:tc>
      </w:tr>
      <w:tr w:rsidR="00CC7D2C" w:rsidRPr="002176B5" w14:paraId="4EEACEE9" w14:textId="77777777" w:rsidTr="00822842">
        <w:tc>
          <w:tcPr>
            <w:tcW w:w="1591" w:type="dxa"/>
          </w:tcPr>
          <w:p w14:paraId="592B4E05"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0500</w:t>
            </w:r>
          </w:p>
        </w:tc>
        <w:tc>
          <w:tcPr>
            <w:tcW w:w="7274" w:type="dxa"/>
          </w:tcPr>
          <w:p w14:paraId="6D5D04DC" w14:textId="085F3578" w:rsidR="00CC7D2C" w:rsidRPr="002176B5" w:rsidRDefault="00CC7D2C" w:rsidP="00320EFD">
            <w:pPr>
              <w:pStyle w:val="InstructionsText"/>
              <w:rPr>
                <w:rStyle w:val="InstructionsTabelleberschrift"/>
                <w:rFonts w:ascii="Times New Roman" w:hAnsi="Times New Roman"/>
                <w:bCs w:val="0"/>
                <w:sz w:val="24"/>
              </w:rPr>
            </w:pPr>
            <w:r w:rsidRPr="002176B5">
              <w:rPr>
                <w:rStyle w:val="InstructionsTabelleberschrift"/>
                <w:rFonts w:ascii="Times New Roman" w:hAnsi="Times New Roman"/>
                <w:sz w:val="24"/>
              </w:rPr>
              <w:t>1.2.1.</w:t>
            </w:r>
            <w:r w:rsidRPr="002176B5">
              <w:tab/>
            </w:r>
            <w:r w:rsidRPr="002176B5">
              <w:rPr>
                <w:rStyle w:val="InstructionsTabelleberschrift"/>
                <w:rFonts w:ascii="Times New Roman" w:hAnsi="Times New Roman"/>
                <w:sz w:val="24"/>
              </w:rPr>
              <w:t>Riziko vyrovnania/dodania</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neobchodnej knihe</w:t>
            </w:r>
          </w:p>
          <w:p w14:paraId="24904D1B" w14:textId="77777777" w:rsidR="00CC7D2C" w:rsidRPr="002176B5" w:rsidRDefault="00CC7D2C" w:rsidP="00822842">
            <w:pPr>
              <w:rPr>
                <w:rStyle w:val="FormatvorlageInstructionsTabelleText"/>
                <w:rFonts w:ascii="Times New Roman" w:hAnsi="Times New Roman"/>
                <w:sz w:val="24"/>
              </w:rPr>
            </w:pPr>
            <w:r w:rsidRPr="002176B5">
              <w:rPr>
                <w:rStyle w:val="FormatvorlageInstructionsTabelleText"/>
                <w:rFonts w:ascii="Times New Roman" w:hAnsi="Times New Roman"/>
                <w:sz w:val="24"/>
              </w:rPr>
              <w:t>Pozri vzor CR SETT.</w:t>
            </w:r>
          </w:p>
        </w:tc>
      </w:tr>
      <w:tr w:rsidR="00CC7D2C" w:rsidRPr="002176B5" w14:paraId="557832BB" w14:textId="77777777" w:rsidTr="00822842">
        <w:tc>
          <w:tcPr>
            <w:tcW w:w="1591" w:type="dxa"/>
          </w:tcPr>
          <w:p w14:paraId="2110B323"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0510</w:t>
            </w:r>
          </w:p>
        </w:tc>
        <w:tc>
          <w:tcPr>
            <w:tcW w:w="7274" w:type="dxa"/>
          </w:tcPr>
          <w:p w14:paraId="18B50E2C" w14:textId="6889F14F" w:rsidR="00CC7D2C" w:rsidRPr="002176B5" w:rsidRDefault="00CC7D2C" w:rsidP="00320EFD">
            <w:pPr>
              <w:pStyle w:val="InstructionsText"/>
              <w:rPr>
                <w:rStyle w:val="InstructionsTabelleberschrift"/>
                <w:rFonts w:ascii="Times New Roman" w:hAnsi="Times New Roman"/>
                <w:bCs w:val="0"/>
                <w:sz w:val="24"/>
              </w:rPr>
            </w:pPr>
            <w:r w:rsidRPr="002176B5">
              <w:rPr>
                <w:rStyle w:val="InstructionsTabelleberschrift"/>
                <w:rFonts w:ascii="Times New Roman" w:hAnsi="Times New Roman"/>
                <w:sz w:val="24"/>
              </w:rPr>
              <w:t>1.2.2.</w:t>
            </w:r>
            <w:r w:rsidRPr="002176B5">
              <w:tab/>
            </w:r>
            <w:r w:rsidRPr="002176B5">
              <w:rPr>
                <w:rStyle w:val="InstructionsTabelleberschrift"/>
                <w:rFonts w:ascii="Times New Roman" w:hAnsi="Times New Roman"/>
                <w:sz w:val="24"/>
              </w:rPr>
              <w:t>Riziko vyrovnania/dodania</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obchodnej knihe</w:t>
            </w:r>
          </w:p>
          <w:p w14:paraId="74ED7A42" w14:textId="77777777" w:rsidR="00CC7D2C" w:rsidRPr="002176B5" w:rsidRDefault="00CC7D2C" w:rsidP="00822842">
            <w:pPr>
              <w:rPr>
                <w:rStyle w:val="FormatvorlageInstructionsTabelleText"/>
                <w:rFonts w:ascii="Times New Roman" w:hAnsi="Times New Roman"/>
                <w:sz w:val="24"/>
              </w:rPr>
            </w:pPr>
            <w:r w:rsidRPr="002176B5">
              <w:rPr>
                <w:rStyle w:val="FormatvorlageInstructionsTabelleText"/>
                <w:rFonts w:ascii="Times New Roman" w:hAnsi="Times New Roman"/>
                <w:sz w:val="24"/>
              </w:rPr>
              <w:t>Pozri vzor CR SETT.</w:t>
            </w:r>
          </w:p>
        </w:tc>
      </w:tr>
      <w:tr w:rsidR="00CC7D2C" w:rsidRPr="002176B5" w14:paraId="446AA97B" w14:textId="77777777" w:rsidTr="00822842">
        <w:tc>
          <w:tcPr>
            <w:tcW w:w="1591" w:type="dxa"/>
          </w:tcPr>
          <w:p w14:paraId="7F3F1A67"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0520</w:t>
            </w:r>
          </w:p>
        </w:tc>
        <w:tc>
          <w:tcPr>
            <w:tcW w:w="7274" w:type="dxa"/>
          </w:tcPr>
          <w:p w14:paraId="32E4E5E4" w14:textId="6217F77C" w:rsidR="00CC7D2C" w:rsidRPr="002176B5" w:rsidRDefault="00CC7D2C" w:rsidP="00320EFD">
            <w:pPr>
              <w:pStyle w:val="InstructionsText"/>
              <w:rPr>
                <w:rStyle w:val="InstructionsTabelleberschrift"/>
                <w:rFonts w:ascii="Times New Roman" w:hAnsi="Times New Roman"/>
                <w:bCs w:val="0"/>
                <w:sz w:val="24"/>
              </w:rPr>
            </w:pPr>
            <w:r w:rsidRPr="002176B5">
              <w:rPr>
                <w:rStyle w:val="InstructionsTabelleberschrift"/>
                <w:rFonts w:ascii="Times New Roman" w:hAnsi="Times New Roman"/>
                <w:sz w:val="24"/>
              </w:rPr>
              <w:t>1.3.</w:t>
            </w:r>
            <w:r w:rsidRPr="002176B5">
              <w:tab/>
            </w:r>
            <w:r w:rsidRPr="002176B5">
              <w:rPr>
                <w:rStyle w:val="InstructionsTabelleberschrift"/>
                <w:rFonts w:ascii="Times New Roman" w:hAnsi="Times New Roman"/>
                <w:sz w:val="24"/>
              </w:rPr>
              <w:t>CELKOVÁ HODNOTA RIZIKOVEJ EXPOZÍCIE PRE ČINNOSTI PODLIEHAJÚCE TRHOVÉMU RIZIKU</w:t>
            </w:r>
          </w:p>
          <w:p w14:paraId="12543B11" w14:textId="6B54FC2E" w:rsidR="00CC7D2C" w:rsidRPr="002176B5" w:rsidRDefault="00CC7D2C" w:rsidP="00320EFD">
            <w:pPr>
              <w:pStyle w:val="InstructionsText"/>
              <w:rPr>
                <w:rStyle w:val="FormatvorlageInstructionsTabelleText"/>
                <w:rFonts w:ascii="Times New Roman" w:hAnsi="Times New Roman"/>
                <w:bCs w:val="0"/>
                <w:sz w:val="24"/>
              </w:rPr>
            </w:pPr>
            <w:r w:rsidRPr="002176B5">
              <w:rPr>
                <w:rStyle w:val="FormatvorlageInstructionsTabelleText"/>
                <w:rFonts w:ascii="Times New Roman" w:hAnsi="Times New Roman"/>
                <w:sz w:val="24"/>
              </w:rPr>
              <w:t>Článok 92 ods. 4 písm. b) bod i)</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písm. c), článok 92 ods. 5 písm. b), článok 92 ods. 7 písm. b)</w:t>
            </w:r>
            <w:r w:rsidRPr="002176B5">
              <w:t xml:space="preserve"> nariadenia (EÚ) č. 575/2013</w:t>
            </w:r>
          </w:p>
        </w:tc>
      </w:tr>
      <w:tr w:rsidR="00CC7D2C" w:rsidRPr="002176B5" w14:paraId="68C87EDE" w14:textId="77777777" w:rsidTr="00822842">
        <w:tc>
          <w:tcPr>
            <w:tcW w:w="1591" w:type="dxa"/>
          </w:tcPr>
          <w:p w14:paraId="4AF4B743"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0530</w:t>
            </w:r>
          </w:p>
        </w:tc>
        <w:tc>
          <w:tcPr>
            <w:tcW w:w="7274" w:type="dxa"/>
          </w:tcPr>
          <w:p w14:paraId="29276E8A" w14:textId="3D2F6084" w:rsidR="00CC7D2C" w:rsidRPr="002176B5" w:rsidRDefault="00CC7D2C" w:rsidP="00320EFD">
            <w:pPr>
              <w:pStyle w:val="InstructionsText"/>
              <w:rPr>
                <w:rStyle w:val="FormatvorlageInstructionsTabelleText"/>
                <w:rFonts w:ascii="Times New Roman" w:hAnsi="Times New Roman"/>
                <w:b/>
                <w:sz w:val="24"/>
                <w:u w:val="single"/>
              </w:rPr>
            </w:pPr>
            <w:r w:rsidRPr="002176B5">
              <w:rPr>
                <w:rStyle w:val="InstructionsTabelleberschrift"/>
                <w:rFonts w:ascii="Times New Roman" w:hAnsi="Times New Roman"/>
                <w:sz w:val="24"/>
              </w:rPr>
              <w:t>1.3.1.</w:t>
            </w:r>
            <w:r w:rsidRPr="002176B5">
              <w:tab/>
            </w:r>
            <w:r w:rsidRPr="002176B5">
              <w:rPr>
                <w:rStyle w:val="InstructionsTabelleberschrift"/>
                <w:rFonts w:ascii="Times New Roman" w:hAnsi="Times New Roman"/>
                <w:sz w:val="24"/>
              </w:rPr>
              <w:t>Hodnota rizikovej expozície pre činnosti podliehajúce trhovému riziku vypočítaná subjektmi, ktoré uplatňujú výlučne zjednodušený štandardizovaný prístup (SSA)</w:t>
            </w:r>
          </w:p>
        </w:tc>
      </w:tr>
      <w:tr w:rsidR="00CC7D2C" w:rsidRPr="002176B5" w14:paraId="39DF4E48" w14:textId="77777777" w:rsidTr="00822842">
        <w:tc>
          <w:tcPr>
            <w:tcW w:w="1591" w:type="dxa"/>
          </w:tcPr>
          <w:p w14:paraId="6EB80993"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0540</w:t>
            </w:r>
          </w:p>
        </w:tc>
        <w:tc>
          <w:tcPr>
            <w:tcW w:w="7274" w:type="dxa"/>
          </w:tcPr>
          <w:p w14:paraId="25544111" w14:textId="77777777"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1.3.1.1.</w:t>
            </w:r>
            <w:r w:rsidRPr="002176B5">
              <w:tab/>
            </w:r>
            <w:r w:rsidRPr="002176B5">
              <w:rPr>
                <w:rStyle w:val="InstructionsTabelleberschrift"/>
                <w:rFonts w:ascii="Times New Roman" w:hAnsi="Times New Roman"/>
                <w:sz w:val="24"/>
              </w:rPr>
              <w:t>Obchodované dlhové nástroje</w:t>
            </w:r>
          </w:p>
          <w:p w14:paraId="2C50FBF9" w14:textId="77777777" w:rsidR="00CC7D2C" w:rsidRPr="002176B5" w:rsidRDefault="00CC7D2C" w:rsidP="00320EFD">
            <w:pPr>
              <w:pStyle w:val="InstructionsText"/>
              <w:rPr>
                <w:rStyle w:val="FormatvorlageInstructionsTabelleText"/>
                <w:rFonts w:ascii="Times New Roman" w:hAnsi="Times New Roman"/>
                <w:bCs w:val="0"/>
                <w:sz w:val="24"/>
              </w:rPr>
            </w:pPr>
            <w:r w:rsidRPr="002176B5">
              <w:rPr>
                <w:rStyle w:val="InstructionsTabelleberschrift"/>
                <w:rFonts w:ascii="Times New Roman" w:hAnsi="Times New Roman"/>
                <w:b w:val="0"/>
                <w:sz w:val="24"/>
                <w:u w:val="none"/>
              </w:rPr>
              <w:t>Vzor MKR SA TDI na úrovni všetkých mien</w:t>
            </w:r>
          </w:p>
        </w:tc>
      </w:tr>
      <w:tr w:rsidR="00CC7D2C" w:rsidRPr="002176B5" w14:paraId="5DBE1E93" w14:textId="77777777" w:rsidTr="00822842">
        <w:tc>
          <w:tcPr>
            <w:tcW w:w="1591" w:type="dxa"/>
          </w:tcPr>
          <w:p w14:paraId="46CAFD4B"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0550</w:t>
            </w:r>
          </w:p>
        </w:tc>
        <w:tc>
          <w:tcPr>
            <w:tcW w:w="7274" w:type="dxa"/>
          </w:tcPr>
          <w:p w14:paraId="7463F79E" w14:textId="77777777" w:rsidR="00CC7D2C" w:rsidRPr="002176B5" w:rsidRDefault="00CC7D2C" w:rsidP="00320EFD">
            <w:pPr>
              <w:pStyle w:val="InstructionsText"/>
              <w:rPr>
                <w:rStyle w:val="InstructionsTabelleberschrift"/>
                <w:rFonts w:ascii="Times New Roman" w:hAnsi="Times New Roman"/>
                <w:bCs w:val="0"/>
                <w:sz w:val="24"/>
              </w:rPr>
            </w:pPr>
            <w:r w:rsidRPr="002176B5">
              <w:rPr>
                <w:rStyle w:val="InstructionsTabelleberschrift"/>
                <w:rFonts w:ascii="Times New Roman" w:hAnsi="Times New Roman"/>
                <w:sz w:val="24"/>
              </w:rPr>
              <w:t>1.3.1.2.</w:t>
            </w:r>
            <w:r w:rsidRPr="002176B5">
              <w:tab/>
            </w:r>
            <w:r w:rsidRPr="002176B5">
              <w:rPr>
                <w:rStyle w:val="InstructionsTabelleberschrift"/>
                <w:rFonts w:ascii="Times New Roman" w:hAnsi="Times New Roman"/>
                <w:sz w:val="24"/>
              </w:rPr>
              <w:t>Vlastné imanie</w:t>
            </w:r>
          </w:p>
          <w:p w14:paraId="3A1F4C47" w14:textId="77777777" w:rsidR="00CC7D2C" w:rsidRPr="002176B5" w:rsidRDefault="00CC7D2C" w:rsidP="00822842">
            <w:pPr>
              <w:rPr>
                <w:rStyle w:val="FormatvorlageInstructionsTabelleText"/>
                <w:rFonts w:ascii="Times New Roman" w:hAnsi="Times New Roman"/>
                <w:sz w:val="24"/>
              </w:rPr>
            </w:pPr>
            <w:r w:rsidRPr="002176B5">
              <w:rPr>
                <w:rStyle w:val="FormatvorlageInstructionsTabelleText"/>
                <w:rFonts w:ascii="Times New Roman" w:hAnsi="Times New Roman"/>
                <w:sz w:val="24"/>
              </w:rPr>
              <w:t xml:space="preserve">Vzor MKR SA EQU na úrovni všetkých vnútroštátnych trhov </w:t>
            </w:r>
          </w:p>
        </w:tc>
      </w:tr>
      <w:tr w:rsidR="00CC7D2C" w:rsidRPr="002176B5" w14:paraId="399123E4" w14:textId="77777777" w:rsidTr="00822842">
        <w:tc>
          <w:tcPr>
            <w:tcW w:w="1591" w:type="dxa"/>
          </w:tcPr>
          <w:p w14:paraId="61A7E4FC"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0555</w:t>
            </w:r>
          </w:p>
        </w:tc>
        <w:tc>
          <w:tcPr>
            <w:tcW w:w="7274" w:type="dxa"/>
          </w:tcPr>
          <w:p w14:paraId="010893DB" w14:textId="585D7E54"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1.3.1.3.</w:t>
            </w:r>
            <w:r w:rsidRPr="002176B5">
              <w:tab/>
            </w:r>
            <w:r w:rsidRPr="002176B5">
              <w:rPr>
                <w:rStyle w:val="InstructionsTabelleberschrift"/>
                <w:rFonts w:ascii="Times New Roman" w:hAnsi="Times New Roman"/>
                <w:sz w:val="24"/>
              </w:rPr>
              <w:t>Osobitný prístup pre pozičné riziko</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PKI</w:t>
            </w:r>
          </w:p>
          <w:p w14:paraId="411CF926" w14:textId="6D0D527E" w:rsidR="00CC7D2C" w:rsidRPr="002176B5" w:rsidRDefault="00CC7D2C" w:rsidP="00822842">
            <w:pPr>
              <w:rPr>
                <w:rStyle w:val="FormatvorlageInstructionsTabelleText"/>
                <w:rFonts w:ascii="Times New Roman" w:hAnsi="Times New Roman"/>
                <w:sz w:val="24"/>
              </w:rPr>
            </w:pPr>
            <w:r w:rsidRPr="002176B5">
              <w:rPr>
                <w:rStyle w:val="FormatvorlageInstructionsTabelleText"/>
                <w:rFonts w:ascii="Times New Roman" w:hAnsi="Times New Roman"/>
                <w:sz w:val="24"/>
              </w:rPr>
              <w:t>Článok 348 ods. 1, článok 350 ods. 3 písm. c)</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článok 364 ods. 2 písm. a) nariadenia (EÚ) č. 575/2013</w:t>
            </w:r>
          </w:p>
          <w:p w14:paraId="0F8EF050" w14:textId="53EA4A77" w:rsidR="00CC7D2C" w:rsidRPr="002176B5" w:rsidRDefault="00CC7D2C" w:rsidP="00822842">
            <w:pPr>
              <w:rPr>
                <w:rStyle w:val="FormatvorlageInstructionsTabelleText"/>
                <w:rFonts w:ascii="Times New Roman" w:hAnsi="Times New Roman"/>
                <w:sz w:val="24"/>
              </w:rPr>
            </w:pPr>
            <w:r w:rsidRPr="002176B5">
              <w:rPr>
                <w:rStyle w:val="FormatvorlageInstructionsTabelleText"/>
                <w:rFonts w:ascii="Times New Roman" w:hAnsi="Times New Roman"/>
                <w:sz w:val="24"/>
              </w:rPr>
              <w:t>Celková hodnota rizikovej expozície pre pozície</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 xml:space="preserve">PKI, ak sa kapitálové požiadavky počítajú podľa článku 348 ods. 1 </w:t>
            </w:r>
            <w:r w:rsidRPr="002176B5">
              <w:rPr>
                <w:rFonts w:ascii="Times New Roman" w:hAnsi="Times New Roman"/>
                <w:sz w:val="24"/>
              </w:rPr>
              <w:t>nariadenia (EÚ) č. 575/2013</w:t>
            </w:r>
            <w:r w:rsidRPr="002176B5">
              <w:rPr>
                <w:rStyle w:val="FormatvorlageInstructionsTabelleText"/>
                <w:rFonts w:ascii="Times New Roman" w:hAnsi="Times New Roman"/>
                <w:sz w:val="24"/>
              </w:rPr>
              <w:t>,</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to buď okamžite, alebo ako dôsledok horného ohraničenia uvedeného</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článku 350 ods. 3 písm. c) uvedeného nariadenia.</w:t>
            </w:r>
            <w:r w:rsidR="002176B5">
              <w:rPr>
                <w:rFonts w:ascii="Times New Roman" w:hAnsi="Times New Roman"/>
                <w:sz w:val="24"/>
              </w:rPr>
              <w:t xml:space="preserve"> V </w:t>
            </w:r>
            <w:r w:rsidRPr="002176B5">
              <w:rPr>
                <w:rFonts w:ascii="Times New Roman" w:hAnsi="Times New Roman"/>
                <w:sz w:val="24"/>
              </w:rPr>
              <w:t xml:space="preserve">nariadení (EÚ) č. 575/2013 </w:t>
            </w:r>
            <w:r w:rsidRPr="002176B5">
              <w:rPr>
                <w:rStyle w:val="FormatvorlageInstructionsTabelleText"/>
                <w:rFonts w:ascii="Times New Roman" w:hAnsi="Times New Roman"/>
                <w:sz w:val="24"/>
              </w:rPr>
              <w:t>sa tieto pozície výslovne nepriraďujú úrokovému riziku ani akciovému riziku.</w:t>
            </w:r>
          </w:p>
          <w:p w14:paraId="0713FC6C" w14:textId="022BB96E" w:rsidR="002176B5" w:rsidRDefault="00CC7D2C" w:rsidP="00822842">
            <w:pPr>
              <w:rPr>
                <w:rStyle w:val="FormatvorlageInstructionsTabelleText"/>
                <w:rFonts w:ascii="Times New Roman" w:hAnsi="Times New Roman"/>
                <w:sz w:val="24"/>
              </w:rPr>
            </w:pPr>
            <w:r w:rsidRPr="002176B5">
              <w:rPr>
                <w:rStyle w:val="FormatvorlageInstructionsTabelleText"/>
                <w:rFonts w:ascii="Times New Roman" w:hAnsi="Times New Roman"/>
                <w:sz w:val="24"/>
              </w:rPr>
              <w:t>Keď sa uplatňuje osobitný prístup stanovený</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článku 348 ods. 1 prvej vete</w:t>
            </w:r>
            <w:r w:rsidRPr="002176B5">
              <w:rPr>
                <w:rFonts w:ascii="Times New Roman" w:hAnsi="Times New Roman"/>
                <w:sz w:val="24"/>
              </w:rPr>
              <w:t xml:space="preserve"> nariadenia (EÚ) č. 575/2013</w:t>
            </w:r>
            <w:r w:rsidRPr="002176B5">
              <w:rPr>
                <w:rStyle w:val="FormatvorlageInstructionsTabelleText"/>
                <w:rFonts w:ascii="Times New Roman" w:hAnsi="Times New Roman"/>
                <w:sz w:val="24"/>
              </w:rPr>
              <w:t>, hodnota, ktorá sa má vykázať, je 32</w:t>
            </w:r>
            <w:r w:rsidR="002176B5">
              <w:rPr>
                <w:rStyle w:val="FormatvorlageInstructionsTabelleText"/>
                <w:rFonts w:ascii="Times New Roman" w:hAnsi="Times New Roman"/>
                <w:sz w:val="24"/>
              </w:rPr>
              <w:t> %</w:t>
            </w:r>
            <w:r w:rsidRPr="002176B5">
              <w:rPr>
                <w:rStyle w:val="FormatvorlageInstructionsTabelleText"/>
                <w:rFonts w:ascii="Times New Roman" w:hAnsi="Times New Roman"/>
                <w:sz w:val="24"/>
              </w:rPr>
              <w:t xml:space="preserve"> čistej pozície predmetnej expozície PKI vynásobená koeficientom 12,5</w:t>
            </w:r>
            <w:r w:rsidR="002176B5">
              <w:rPr>
                <w:rStyle w:val="FormatvorlageInstructionsTabelleText"/>
                <w:rFonts w:ascii="Times New Roman" w:hAnsi="Times New Roman"/>
                <w:sz w:val="24"/>
              </w:rPr>
              <w:t>.</w:t>
            </w:r>
          </w:p>
          <w:p w14:paraId="6E727F78" w14:textId="7EE4FA3F" w:rsidR="00CC7D2C" w:rsidRPr="002176B5" w:rsidRDefault="00CC7D2C" w:rsidP="00822842">
            <w:pPr>
              <w:rPr>
                <w:rStyle w:val="InstructionsTabelleberschrift"/>
                <w:rFonts w:ascii="Times New Roman" w:hAnsi="Times New Roman"/>
                <w:sz w:val="24"/>
              </w:rPr>
            </w:pPr>
            <w:r w:rsidRPr="002176B5">
              <w:rPr>
                <w:rStyle w:val="FormatvorlageInstructionsTabelleText"/>
                <w:rFonts w:ascii="Times New Roman" w:hAnsi="Times New Roman"/>
                <w:sz w:val="24"/>
              </w:rPr>
              <w:t>Keď sa uplatňuje osobitný prístup ustanovený</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 xml:space="preserve">článku 348 ods. 1 druhej vete </w:t>
            </w:r>
            <w:r w:rsidRPr="002176B5">
              <w:rPr>
                <w:rFonts w:ascii="Times New Roman" w:hAnsi="Times New Roman"/>
                <w:sz w:val="24"/>
              </w:rPr>
              <w:t>nariadenia (EÚ) č. 575/2013,</w:t>
            </w:r>
            <w:r w:rsidRPr="002176B5">
              <w:rPr>
                <w:rStyle w:val="FormatvorlageInstructionsTabelleText"/>
                <w:rFonts w:ascii="Times New Roman" w:hAnsi="Times New Roman"/>
                <w:sz w:val="24"/>
              </w:rPr>
              <w:t xml:space="preserve"> hodnota, ktorá sa má vykázať, je nižšia </w:t>
            </w:r>
            <w:r w:rsidRPr="002176B5">
              <w:rPr>
                <w:rStyle w:val="FormatvorlageInstructionsTabelleText"/>
                <w:rFonts w:ascii="Times New Roman" w:hAnsi="Times New Roman"/>
                <w:sz w:val="24"/>
              </w:rPr>
              <w:lastRenderedPageBreak/>
              <w:t>hodnota spomedzi 32</w:t>
            </w:r>
            <w:r w:rsidR="002176B5">
              <w:rPr>
                <w:rStyle w:val="FormatvorlageInstructionsTabelleText"/>
                <w:rFonts w:ascii="Times New Roman" w:hAnsi="Times New Roman"/>
                <w:sz w:val="24"/>
              </w:rPr>
              <w:t> %</w:t>
            </w:r>
            <w:r w:rsidRPr="002176B5">
              <w:rPr>
                <w:rStyle w:val="FormatvorlageInstructionsTabelleText"/>
                <w:rFonts w:ascii="Times New Roman" w:hAnsi="Times New Roman"/>
                <w:sz w:val="24"/>
              </w:rPr>
              <w:t xml:space="preserve"> čistej pozície príslušnej expozície PKI</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rozdielu medzi 40</w:t>
            </w:r>
            <w:r w:rsidR="002176B5">
              <w:rPr>
                <w:rStyle w:val="FormatvorlageInstructionsTabelleText"/>
                <w:rFonts w:ascii="Times New Roman" w:hAnsi="Times New Roman"/>
                <w:sz w:val="24"/>
              </w:rPr>
              <w:t> %</w:t>
            </w:r>
            <w:r w:rsidRPr="002176B5">
              <w:rPr>
                <w:rStyle w:val="FormatvorlageInstructionsTabelleText"/>
                <w:rFonts w:ascii="Times New Roman" w:hAnsi="Times New Roman"/>
                <w:sz w:val="24"/>
              </w:rPr>
              <w:t xml:space="preserve"> tejto čistej pozície</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požiadavkami na vlastné zdroje, ktoré vyplývajú</w:t>
            </w:r>
            <w:r w:rsidR="002176B5">
              <w:rPr>
                <w:rStyle w:val="FormatvorlageInstructionsTabelleText"/>
                <w:rFonts w:ascii="Times New Roman" w:hAnsi="Times New Roman"/>
                <w:sz w:val="24"/>
              </w:rPr>
              <w:t xml:space="preserve"> z </w:t>
            </w:r>
            <w:r w:rsidRPr="002176B5">
              <w:rPr>
                <w:rStyle w:val="FormatvorlageInstructionsTabelleText"/>
                <w:rFonts w:ascii="Times New Roman" w:hAnsi="Times New Roman"/>
                <w:sz w:val="24"/>
              </w:rPr>
              <w:t>devízového rizika spojeného</w:t>
            </w:r>
            <w:r w:rsidR="002176B5">
              <w:rPr>
                <w:rStyle w:val="FormatvorlageInstructionsTabelleText"/>
                <w:rFonts w:ascii="Times New Roman" w:hAnsi="Times New Roman"/>
                <w:sz w:val="24"/>
              </w:rPr>
              <w:t xml:space="preserve"> s </w:t>
            </w:r>
            <w:r w:rsidRPr="002176B5">
              <w:rPr>
                <w:rStyle w:val="FormatvorlageInstructionsTabelleText"/>
                <w:rFonts w:ascii="Times New Roman" w:hAnsi="Times New Roman"/>
                <w:sz w:val="24"/>
              </w:rPr>
              <w:t>expozíciou PKI, vynásobená koeficientom 12,5.</w:t>
            </w:r>
          </w:p>
        </w:tc>
      </w:tr>
      <w:tr w:rsidR="00CC7D2C" w:rsidRPr="002176B5" w14:paraId="28B80C9E" w14:textId="77777777" w:rsidTr="00822842">
        <w:tc>
          <w:tcPr>
            <w:tcW w:w="1591" w:type="dxa"/>
          </w:tcPr>
          <w:p w14:paraId="101AC111"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lastRenderedPageBreak/>
              <w:t>0556</w:t>
            </w:r>
          </w:p>
        </w:tc>
        <w:tc>
          <w:tcPr>
            <w:tcW w:w="7274" w:type="dxa"/>
          </w:tcPr>
          <w:p w14:paraId="6D6D577B" w14:textId="007CC228"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1.3.1.3.*</w:t>
            </w:r>
            <w:r w:rsidRPr="002176B5">
              <w:tab/>
            </w:r>
            <w:r w:rsidRPr="002176B5">
              <w:rPr>
                <w:rStyle w:val="InstructionsTabelleberschrift"/>
                <w:rFonts w:ascii="Times New Roman" w:hAnsi="Times New Roman"/>
                <w:sz w:val="24"/>
              </w:rPr>
              <w:t>Doplňujúca položka: PKI investované výhradne</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obchodovaných dlhových nástrojoch</w:t>
            </w:r>
          </w:p>
          <w:p w14:paraId="16C1ED44" w14:textId="734111D7" w:rsidR="00CC7D2C" w:rsidRPr="002176B5" w:rsidRDefault="00CC7D2C" w:rsidP="00822842">
            <w:pPr>
              <w:rPr>
                <w:rStyle w:val="InstructionsTabelleberschrift"/>
                <w:rFonts w:ascii="Times New Roman" w:hAnsi="Times New Roman"/>
                <w:sz w:val="24"/>
              </w:rPr>
            </w:pPr>
            <w:r w:rsidRPr="002176B5">
              <w:rPr>
                <w:rStyle w:val="FormatvorlageInstructionsTabelleText"/>
                <w:rFonts w:ascii="Times New Roman" w:hAnsi="Times New Roman"/>
                <w:sz w:val="24"/>
              </w:rPr>
              <w:t>Celková hodnota rizikovej expozície pre pozície</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PKI, ak sú PKI investované výhradne</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nástrojoch podliehajúcich úrokovému riziku.</w:t>
            </w:r>
          </w:p>
        </w:tc>
      </w:tr>
      <w:tr w:rsidR="00CC7D2C" w:rsidRPr="002176B5" w14:paraId="4794D144" w14:textId="77777777" w:rsidTr="00822842">
        <w:tc>
          <w:tcPr>
            <w:tcW w:w="1591" w:type="dxa"/>
          </w:tcPr>
          <w:p w14:paraId="37C8C4BE"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0557</w:t>
            </w:r>
          </w:p>
        </w:tc>
        <w:tc>
          <w:tcPr>
            <w:tcW w:w="7274" w:type="dxa"/>
          </w:tcPr>
          <w:p w14:paraId="2C308178" w14:textId="67C6F607"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1.3.1.3.**</w:t>
            </w:r>
            <w:r w:rsidRPr="002176B5">
              <w:tab/>
            </w:r>
            <w:r w:rsidRPr="002176B5">
              <w:rPr>
                <w:rStyle w:val="InstructionsTabelleberschrift"/>
                <w:rFonts w:ascii="Times New Roman" w:hAnsi="Times New Roman"/>
                <w:sz w:val="24"/>
              </w:rPr>
              <w:t>PKI investované výhradne</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nástrojoch vlastného imania alebo zmiešaných nástrojov</w:t>
            </w:r>
          </w:p>
          <w:p w14:paraId="5BE3A744" w14:textId="039A9B1F" w:rsidR="00CC7D2C" w:rsidRPr="002176B5" w:rsidRDefault="00CC7D2C" w:rsidP="00822842">
            <w:pPr>
              <w:rPr>
                <w:rStyle w:val="InstructionsTabelleberschrift"/>
                <w:rFonts w:ascii="Times New Roman" w:hAnsi="Times New Roman"/>
                <w:sz w:val="24"/>
              </w:rPr>
            </w:pPr>
            <w:r w:rsidRPr="002176B5">
              <w:rPr>
                <w:rStyle w:val="FormatvorlageInstructionsTabelleText"/>
                <w:rFonts w:ascii="Times New Roman" w:hAnsi="Times New Roman"/>
                <w:sz w:val="24"/>
              </w:rPr>
              <w:t>Celková hodnota rizikovej expozície pre pozície</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PKI, ak sú PKI investované výhradne buď</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nástrojoch podliehajúcich akciovému riziku, alebo</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zmiešaných nástrojoch, alebo ak sú zložky PKI neznáme.</w:t>
            </w:r>
          </w:p>
        </w:tc>
      </w:tr>
      <w:tr w:rsidR="00CC7D2C" w:rsidRPr="002176B5" w14:paraId="791EB8B4" w14:textId="77777777" w:rsidTr="00822842">
        <w:tc>
          <w:tcPr>
            <w:tcW w:w="1591" w:type="dxa"/>
          </w:tcPr>
          <w:p w14:paraId="332CF752"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0560</w:t>
            </w:r>
          </w:p>
        </w:tc>
        <w:tc>
          <w:tcPr>
            <w:tcW w:w="7274" w:type="dxa"/>
          </w:tcPr>
          <w:p w14:paraId="5F18C18E" w14:textId="77777777" w:rsidR="00CC7D2C" w:rsidRPr="002176B5" w:rsidRDefault="00CC7D2C" w:rsidP="00320EFD">
            <w:pPr>
              <w:pStyle w:val="InstructionsText"/>
              <w:rPr>
                <w:rStyle w:val="InstructionsTabelleberschrift"/>
                <w:rFonts w:ascii="Times New Roman" w:hAnsi="Times New Roman"/>
                <w:bCs w:val="0"/>
                <w:sz w:val="24"/>
              </w:rPr>
            </w:pPr>
            <w:r w:rsidRPr="002176B5">
              <w:rPr>
                <w:rStyle w:val="InstructionsTabelleberschrift"/>
                <w:rFonts w:ascii="Times New Roman" w:hAnsi="Times New Roman"/>
                <w:sz w:val="24"/>
              </w:rPr>
              <w:t>1.3.1.4.</w:t>
            </w:r>
            <w:r w:rsidRPr="002176B5">
              <w:tab/>
            </w:r>
            <w:r w:rsidRPr="002176B5">
              <w:rPr>
                <w:rStyle w:val="InstructionsTabelleberschrift"/>
                <w:rFonts w:ascii="Times New Roman" w:hAnsi="Times New Roman"/>
                <w:sz w:val="24"/>
              </w:rPr>
              <w:t>Devízy</w:t>
            </w:r>
          </w:p>
          <w:p w14:paraId="53C64A56" w14:textId="77777777" w:rsidR="00CC7D2C" w:rsidRPr="002176B5" w:rsidRDefault="00CC7D2C" w:rsidP="00822842">
            <w:pPr>
              <w:rPr>
                <w:rStyle w:val="FormatvorlageInstructionsTabelleText"/>
                <w:rFonts w:ascii="Times New Roman" w:hAnsi="Times New Roman"/>
                <w:sz w:val="24"/>
              </w:rPr>
            </w:pPr>
            <w:r w:rsidRPr="002176B5">
              <w:rPr>
                <w:rStyle w:val="FormatvorlageInstructionsTabelleText"/>
                <w:rFonts w:ascii="Times New Roman" w:hAnsi="Times New Roman"/>
                <w:sz w:val="24"/>
              </w:rPr>
              <w:t>Pozri vzor MKR SA FX.</w:t>
            </w:r>
          </w:p>
        </w:tc>
      </w:tr>
      <w:tr w:rsidR="00CC7D2C" w:rsidRPr="002176B5" w14:paraId="14555A31" w14:textId="77777777" w:rsidTr="00822842">
        <w:tc>
          <w:tcPr>
            <w:tcW w:w="1591" w:type="dxa"/>
          </w:tcPr>
          <w:p w14:paraId="2AA0CE13"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0570</w:t>
            </w:r>
          </w:p>
        </w:tc>
        <w:tc>
          <w:tcPr>
            <w:tcW w:w="7274" w:type="dxa"/>
          </w:tcPr>
          <w:p w14:paraId="760E6BF7" w14:textId="77777777" w:rsidR="00CC7D2C" w:rsidRPr="002176B5" w:rsidRDefault="00CC7D2C" w:rsidP="00320EFD">
            <w:pPr>
              <w:pStyle w:val="InstructionsText"/>
              <w:rPr>
                <w:rStyle w:val="InstructionsTabelleberschrift"/>
                <w:rFonts w:ascii="Times New Roman" w:hAnsi="Times New Roman"/>
                <w:bCs w:val="0"/>
                <w:sz w:val="24"/>
              </w:rPr>
            </w:pPr>
            <w:r w:rsidRPr="002176B5">
              <w:rPr>
                <w:rStyle w:val="InstructionsTabelleberschrift"/>
                <w:rFonts w:ascii="Times New Roman" w:hAnsi="Times New Roman"/>
                <w:sz w:val="24"/>
              </w:rPr>
              <w:t>1.3.1.5.</w:t>
            </w:r>
            <w:r w:rsidRPr="002176B5">
              <w:tab/>
            </w:r>
            <w:r w:rsidRPr="002176B5">
              <w:rPr>
                <w:rStyle w:val="InstructionsTabelleberschrift"/>
                <w:rFonts w:ascii="Times New Roman" w:hAnsi="Times New Roman"/>
                <w:sz w:val="24"/>
              </w:rPr>
              <w:t>Komodity</w:t>
            </w:r>
          </w:p>
          <w:p w14:paraId="2250E45C" w14:textId="77777777" w:rsidR="00CC7D2C" w:rsidRPr="002176B5" w:rsidRDefault="00CC7D2C" w:rsidP="00822842">
            <w:pPr>
              <w:rPr>
                <w:rStyle w:val="FormatvorlageInstructionsTabelleText"/>
                <w:rFonts w:ascii="Times New Roman" w:hAnsi="Times New Roman"/>
                <w:sz w:val="24"/>
              </w:rPr>
            </w:pPr>
            <w:r w:rsidRPr="002176B5">
              <w:rPr>
                <w:rStyle w:val="FormatvorlageInstructionsTabelleText"/>
                <w:rFonts w:ascii="Times New Roman" w:hAnsi="Times New Roman"/>
                <w:sz w:val="24"/>
              </w:rPr>
              <w:t>Pozri vzor MKR SA COM.</w:t>
            </w:r>
          </w:p>
        </w:tc>
      </w:tr>
      <w:tr w:rsidR="00CC7D2C" w:rsidRPr="002176B5" w14:paraId="7E365434" w14:textId="77777777" w:rsidTr="00822842">
        <w:tc>
          <w:tcPr>
            <w:tcW w:w="1591" w:type="dxa"/>
          </w:tcPr>
          <w:p w14:paraId="2971C931" w14:textId="77777777" w:rsidR="00CC7D2C" w:rsidRPr="002176B5" w:rsidRDefault="00CC7D2C" w:rsidP="00320EFD">
            <w:pPr>
              <w:pStyle w:val="InstructionsText"/>
              <w:rPr>
                <w:rStyle w:val="FormatvorlageInstructionsTabelleText"/>
                <w:rFonts w:ascii="Times New Roman" w:hAnsi="Times New Roman"/>
                <w:bCs w:val="0"/>
                <w:sz w:val="24"/>
              </w:rPr>
            </w:pPr>
            <w:r w:rsidRPr="002176B5">
              <w:rPr>
                <w:rStyle w:val="FormatvorlageInstructionsTabelleText"/>
                <w:rFonts w:ascii="Times New Roman" w:hAnsi="Times New Roman"/>
                <w:sz w:val="24"/>
              </w:rPr>
              <w:t>0580</w:t>
            </w:r>
          </w:p>
        </w:tc>
        <w:tc>
          <w:tcPr>
            <w:tcW w:w="7274" w:type="dxa"/>
          </w:tcPr>
          <w:p w14:paraId="0D4029E8" w14:textId="0771E5B0" w:rsidR="00CC7D2C" w:rsidRPr="002176B5" w:rsidRDefault="00CC7D2C" w:rsidP="00320EFD">
            <w:pPr>
              <w:pStyle w:val="InstructionsText"/>
              <w:rPr>
                <w:rStyle w:val="InstructionsTabelleberschrift"/>
                <w:rFonts w:ascii="Times New Roman" w:hAnsi="Times New Roman"/>
                <w:bCs w:val="0"/>
                <w:sz w:val="24"/>
              </w:rPr>
            </w:pPr>
            <w:r w:rsidRPr="002176B5">
              <w:rPr>
                <w:rStyle w:val="InstructionsTabelleberschrift"/>
                <w:rFonts w:ascii="Times New Roman" w:hAnsi="Times New Roman"/>
                <w:sz w:val="24"/>
              </w:rPr>
              <w:t>1.3.2.</w:t>
            </w:r>
            <w:r w:rsidRPr="002176B5">
              <w:tab/>
            </w:r>
            <w:r w:rsidRPr="002176B5">
              <w:rPr>
                <w:rStyle w:val="InstructionsTabelleberschrift"/>
                <w:rFonts w:ascii="Times New Roman" w:hAnsi="Times New Roman"/>
                <w:sz w:val="24"/>
              </w:rPr>
              <w:t>Hodnota rizikovej expozície pre pozičné, devízové</w:t>
            </w:r>
            <w:r w:rsidR="002176B5">
              <w:rPr>
                <w:rStyle w:val="InstructionsTabelleberschrift"/>
                <w:rFonts w:ascii="Times New Roman" w:hAnsi="Times New Roman"/>
                <w:sz w:val="24"/>
              </w:rPr>
              <w:t xml:space="preserve"> a </w:t>
            </w:r>
            <w:r w:rsidRPr="002176B5">
              <w:rPr>
                <w:rStyle w:val="InstructionsTabelleberschrift"/>
                <w:rFonts w:ascii="Times New Roman" w:hAnsi="Times New Roman"/>
                <w:sz w:val="24"/>
              </w:rPr>
              <w:t>komoditné riziko</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rámci prístupu interných modelov (IM)</w:t>
            </w:r>
          </w:p>
          <w:p w14:paraId="7194593C" w14:textId="77777777" w:rsidR="00CC7D2C" w:rsidRPr="002176B5" w:rsidRDefault="00CC7D2C" w:rsidP="00822842">
            <w:pPr>
              <w:rPr>
                <w:rStyle w:val="FormatvorlageInstructionsTabelleText"/>
                <w:rFonts w:ascii="Times New Roman" w:hAnsi="Times New Roman"/>
                <w:sz w:val="24"/>
              </w:rPr>
            </w:pPr>
            <w:r w:rsidRPr="002176B5">
              <w:rPr>
                <w:rStyle w:val="FormatvorlageInstructionsTabelleText"/>
                <w:rFonts w:ascii="Times New Roman" w:hAnsi="Times New Roman"/>
                <w:sz w:val="24"/>
              </w:rPr>
              <w:t>Pozri vzor MKR IM.</w:t>
            </w:r>
          </w:p>
          <w:tbl>
            <w:tblPr>
              <w:tblStyle w:val="TableGrid"/>
              <w:tblW w:w="0" w:type="auto"/>
              <w:tblLook w:val="04A0" w:firstRow="1" w:lastRow="0" w:firstColumn="1" w:lastColumn="0" w:noHBand="0" w:noVBand="1"/>
            </w:tblPr>
            <w:tblGrid>
              <w:gridCol w:w="7048"/>
            </w:tblGrid>
            <w:tr w:rsidR="00CC7D2C" w:rsidRPr="002176B5" w14:paraId="6770C1BA" w14:textId="77777777" w:rsidTr="00822842">
              <w:tc>
                <w:tcPr>
                  <w:tcW w:w="7048" w:type="dxa"/>
                </w:tcPr>
                <w:p w14:paraId="6330363A" w14:textId="77777777" w:rsidR="00CC7D2C" w:rsidRPr="002176B5" w:rsidRDefault="00CC7D2C" w:rsidP="00822842">
                  <w:pPr>
                    <w:pStyle w:val="body"/>
                    <w:rPr>
                      <w:b/>
                      <w:bCs/>
                    </w:rPr>
                  </w:pPr>
                  <w:r w:rsidRPr="002176B5">
                    <w:rPr>
                      <w:b/>
                    </w:rPr>
                    <w:t>Vysvetľujúci text na účely konzultácie</w:t>
                  </w:r>
                </w:p>
                <w:p w14:paraId="4B9D2A68" w14:textId="77777777" w:rsidR="00CC7D2C" w:rsidRPr="002176B5" w:rsidRDefault="00CC7D2C" w:rsidP="00822842">
                  <w:pPr>
                    <w:rPr>
                      <w:rStyle w:val="FormatvorlageInstructionsTabelleText"/>
                      <w:rFonts w:ascii="Times New Roman" w:hAnsi="Times New Roman"/>
                      <w:sz w:val="24"/>
                    </w:rPr>
                  </w:pPr>
                  <w:r w:rsidRPr="002176B5">
                    <w:t>Tento riadok sa vypustí hneď ako sa súčasný prístup interných modelov už nebude môcť používať na výpočet požiadaviek na vlastné zdroje pre trhové riziká.</w:t>
                  </w:r>
                </w:p>
              </w:tc>
            </w:tr>
          </w:tbl>
          <w:p w14:paraId="6BC4F6A0" w14:textId="77777777" w:rsidR="00CC7D2C" w:rsidRPr="002176B5" w:rsidRDefault="00CC7D2C" w:rsidP="00822842">
            <w:pPr>
              <w:rPr>
                <w:rStyle w:val="FormatvorlageInstructionsTabelleText"/>
                <w:rFonts w:ascii="Times New Roman" w:hAnsi="Times New Roman"/>
                <w:sz w:val="24"/>
              </w:rPr>
            </w:pPr>
          </w:p>
        </w:tc>
      </w:tr>
      <w:tr w:rsidR="00CC7D2C" w:rsidRPr="002176B5" w14:paraId="1E745BE0" w14:textId="77777777" w:rsidTr="00822842">
        <w:tc>
          <w:tcPr>
            <w:tcW w:w="1591" w:type="dxa"/>
          </w:tcPr>
          <w:p w14:paraId="0549474E"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0581</w:t>
            </w:r>
          </w:p>
        </w:tc>
        <w:tc>
          <w:tcPr>
            <w:tcW w:w="7274" w:type="dxa"/>
          </w:tcPr>
          <w:p w14:paraId="67412AEA" w14:textId="0CA75ED1"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1.3.3. Hodnota rizikovej expozície pre súvahu</w:t>
            </w:r>
            <w:r w:rsidR="002176B5">
              <w:rPr>
                <w:rStyle w:val="InstructionsTabelleberschrift"/>
                <w:rFonts w:ascii="Times New Roman" w:hAnsi="Times New Roman"/>
                <w:sz w:val="24"/>
              </w:rPr>
              <w:t xml:space="preserve"> a </w:t>
            </w:r>
            <w:proofErr w:type="spellStart"/>
            <w:r w:rsidRPr="002176B5">
              <w:rPr>
                <w:rStyle w:val="InstructionsTabelleberschrift"/>
                <w:rFonts w:ascii="Times New Roman" w:hAnsi="Times New Roman"/>
                <w:sz w:val="24"/>
              </w:rPr>
              <w:t>podsúvahu</w:t>
            </w:r>
            <w:proofErr w:type="spellEnd"/>
            <w:r w:rsidRPr="002176B5">
              <w:rPr>
                <w:rStyle w:val="InstructionsTabelleberschrift"/>
                <w:rFonts w:ascii="Times New Roman" w:hAnsi="Times New Roman"/>
                <w:sz w:val="24"/>
              </w:rPr>
              <w:t xml:space="preserve"> podliehajúcu trhovému riziku subjektov uplatňujúcich výlučne alternatívny štandardizovaný prístup (ASA)</w:t>
            </w:r>
          </w:p>
          <w:p w14:paraId="4A1839F6" w14:textId="77777777" w:rsidR="00CC7D2C" w:rsidRPr="002176B5" w:rsidRDefault="00CC7D2C" w:rsidP="00822842">
            <w:pPr>
              <w:rPr>
                <w:rStyle w:val="InstructionsTabelleberschrift"/>
                <w:rFonts w:ascii="Times New Roman" w:hAnsi="Times New Roman"/>
                <w:b w:val="0"/>
                <w:sz w:val="24"/>
                <w:u w:val="none"/>
              </w:rPr>
            </w:pPr>
            <w:r w:rsidRPr="002176B5">
              <w:rPr>
                <w:rStyle w:val="FormatvorlageInstructionsTabelleText"/>
                <w:rFonts w:ascii="Times New Roman" w:hAnsi="Times New Roman"/>
                <w:sz w:val="24"/>
              </w:rPr>
              <w:t>Pozri vzor MKR ASA SUM.</w:t>
            </w:r>
          </w:p>
        </w:tc>
      </w:tr>
      <w:tr w:rsidR="00CC7D2C" w:rsidRPr="002176B5" w14:paraId="49157266" w14:textId="77777777" w:rsidTr="00822842">
        <w:tc>
          <w:tcPr>
            <w:tcW w:w="1591" w:type="dxa"/>
          </w:tcPr>
          <w:p w14:paraId="70F55B1E"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0585</w:t>
            </w:r>
          </w:p>
        </w:tc>
        <w:tc>
          <w:tcPr>
            <w:tcW w:w="7274" w:type="dxa"/>
          </w:tcPr>
          <w:p w14:paraId="0FB57753" w14:textId="0E1E6684"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1.3.4. Hodnota rizikovej expozície pre súvahu</w:t>
            </w:r>
            <w:r w:rsidR="002176B5">
              <w:rPr>
                <w:rStyle w:val="InstructionsTabelleberschrift"/>
                <w:rFonts w:ascii="Times New Roman" w:hAnsi="Times New Roman"/>
                <w:sz w:val="24"/>
              </w:rPr>
              <w:t xml:space="preserve"> a </w:t>
            </w:r>
            <w:proofErr w:type="spellStart"/>
            <w:r w:rsidRPr="002176B5">
              <w:rPr>
                <w:rStyle w:val="InstructionsTabelleberschrift"/>
                <w:rFonts w:ascii="Times New Roman" w:hAnsi="Times New Roman"/>
                <w:sz w:val="24"/>
              </w:rPr>
              <w:t>podsúvahu</w:t>
            </w:r>
            <w:proofErr w:type="spellEnd"/>
            <w:r w:rsidRPr="002176B5">
              <w:rPr>
                <w:rStyle w:val="InstructionsTabelleberschrift"/>
                <w:rFonts w:ascii="Times New Roman" w:hAnsi="Times New Roman"/>
                <w:sz w:val="24"/>
              </w:rPr>
              <w:t xml:space="preserve"> podliehajúcu trhovému riziku subjektov uplatňujúcich alternatívny prístup interného modelu (AIMA) alebo kombináciu AIMA</w:t>
            </w:r>
            <w:r w:rsidR="002176B5">
              <w:rPr>
                <w:rStyle w:val="InstructionsTabelleberschrift"/>
                <w:rFonts w:ascii="Times New Roman" w:hAnsi="Times New Roman"/>
                <w:sz w:val="24"/>
              </w:rPr>
              <w:t xml:space="preserve"> a </w:t>
            </w:r>
            <w:r w:rsidRPr="002176B5">
              <w:rPr>
                <w:rStyle w:val="InstructionsTabelleberschrift"/>
                <w:rFonts w:ascii="Times New Roman" w:hAnsi="Times New Roman"/>
                <w:sz w:val="24"/>
              </w:rPr>
              <w:t>ASA</w:t>
            </w:r>
          </w:p>
          <w:p w14:paraId="3FAF7482" w14:textId="77777777" w:rsidR="00CC7D2C" w:rsidRPr="002176B5" w:rsidRDefault="00CC7D2C" w:rsidP="00822842">
            <w:pPr>
              <w:rPr>
                <w:rStyle w:val="InstructionsTabelleberschrift"/>
                <w:rFonts w:ascii="Times New Roman" w:hAnsi="Times New Roman"/>
                <w:b w:val="0"/>
                <w:sz w:val="24"/>
                <w:u w:val="none"/>
              </w:rPr>
            </w:pPr>
            <w:r w:rsidRPr="002176B5">
              <w:rPr>
                <w:rStyle w:val="FormatvorlageInstructionsTabelleText"/>
                <w:rFonts w:ascii="Times New Roman" w:hAnsi="Times New Roman"/>
                <w:sz w:val="24"/>
              </w:rPr>
              <w:t>Pozri vzor MKR AIMA SUM.</w:t>
            </w:r>
          </w:p>
        </w:tc>
      </w:tr>
      <w:tr w:rsidR="00CC7D2C" w:rsidRPr="002176B5" w14:paraId="63471CBC" w14:textId="77777777" w:rsidTr="00822842">
        <w:tc>
          <w:tcPr>
            <w:tcW w:w="1591" w:type="dxa"/>
          </w:tcPr>
          <w:p w14:paraId="56D27E5B"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0589</w:t>
            </w:r>
          </w:p>
        </w:tc>
        <w:tc>
          <w:tcPr>
            <w:tcW w:w="7274" w:type="dxa"/>
          </w:tcPr>
          <w:p w14:paraId="644657F3" w14:textId="77777777"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1.3* HODNOTA RIZIKOVEJ EXPOZÍCIE PRE REKLASIFIKÁCIE MEDZI NEOBCHODNOU A OBCHODNOU KNIHOU</w:t>
            </w:r>
          </w:p>
          <w:p w14:paraId="79A8FEE2" w14:textId="77777777" w:rsidR="00CC7D2C" w:rsidRPr="002176B5" w:rsidRDefault="00CC7D2C" w:rsidP="00822842">
            <w:pPr>
              <w:rPr>
                <w:rStyle w:val="InstructionsTabelleberschrift"/>
                <w:rFonts w:ascii="Times New Roman" w:hAnsi="Times New Roman"/>
                <w:b w:val="0"/>
                <w:sz w:val="24"/>
                <w:u w:val="none"/>
              </w:rPr>
            </w:pPr>
            <w:r w:rsidRPr="002176B5">
              <w:rPr>
                <w:rStyle w:val="FormatvorlageInstructionsTabelleText"/>
                <w:rFonts w:ascii="Times New Roman" w:hAnsi="Times New Roman"/>
                <w:sz w:val="24"/>
              </w:rPr>
              <w:t>Pozri vzor MOV.</w:t>
            </w:r>
          </w:p>
        </w:tc>
      </w:tr>
      <w:tr w:rsidR="00CC7D2C" w:rsidRPr="002176B5" w14:paraId="7CCF2266" w14:textId="77777777" w:rsidTr="00822842">
        <w:tc>
          <w:tcPr>
            <w:tcW w:w="1591" w:type="dxa"/>
          </w:tcPr>
          <w:p w14:paraId="3A264338"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0590</w:t>
            </w:r>
          </w:p>
        </w:tc>
        <w:tc>
          <w:tcPr>
            <w:tcW w:w="7274" w:type="dxa"/>
          </w:tcPr>
          <w:p w14:paraId="68ED9CE6" w14:textId="77777777" w:rsidR="00CC7D2C" w:rsidRPr="002176B5" w:rsidRDefault="00CC7D2C" w:rsidP="00320EFD">
            <w:pPr>
              <w:pStyle w:val="InstructionsText"/>
              <w:rPr>
                <w:rStyle w:val="InstructionsTabelleberschrift"/>
                <w:rFonts w:ascii="Times New Roman" w:hAnsi="Times New Roman"/>
                <w:bCs w:val="0"/>
                <w:sz w:val="24"/>
              </w:rPr>
            </w:pPr>
            <w:r w:rsidRPr="002176B5">
              <w:rPr>
                <w:rStyle w:val="InstructionsTabelleberschrift"/>
                <w:rFonts w:ascii="Times New Roman" w:hAnsi="Times New Roman"/>
                <w:sz w:val="24"/>
              </w:rPr>
              <w:t>1.4.</w:t>
            </w:r>
            <w:r w:rsidRPr="002176B5">
              <w:tab/>
            </w:r>
            <w:r w:rsidRPr="002176B5">
              <w:rPr>
                <w:rStyle w:val="InstructionsTabelleberschrift"/>
                <w:rFonts w:ascii="Times New Roman" w:hAnsi="Times New Roman"/>
                <w:sz w:val="24"/>
              </w:rPr>
              <w:t>CELKOVÁ HODNOTA RIZIKOVEJ EXPOZÍCIE PRE OPERAČNÉ RIZIKO (</w:t>
            </w:r>
            <w:proofErr w:type="spellStart"/>
            <w:r w:rsidRPr="002176B5">
              <w:rPr>
                <w:rStyle w:val="InstructionsTabelleberschrift"/>
                <w:rFonts w:ascii="Times New Roman" w:hAnsi="Times New Roman"/>
                <w:sz w:val="24"/>
              </w:rPr>
              <w:t>OpR</w:t>
            </w:r>
            <w:proofErr w:type="spellEnd"/>
            <w:r w:rsidRPr="002176B5">
              <w:rPr>
                <w:rStyle w:val="InstructionsTabelleberschrift"/>
                <w:rFonts w:ascii="Times New Roman" w:hAnsi="Times New Roman"/>
                <w:sz w:val="24"/>
              </w:rPr>
              <w:t>)</w:t>
            </w:r>
          </w:p>
          <w:p w14:paraId="7EA9106C" w14:textId="67444A8E" w:rsidR="00CC7D2C" w:rsidRPr="002176B5" w:rsidRDefault="00CC7D2C" w:rsidP="00320EFD">
            <w:pPr>
              <w:pStyle w:val="InstructionsText"/>
              <w:rPr>
                <w:rStyle w:val="FormatvorlageInstructionsTabelleText"/>
                <w:rFonts w:ascii="Times New Roman" w:hAnsi="Times New Roman"/>
                <w:bCs w:val="0"/>
                <w:sz w:val="24"/>
              </w:rPr>
            </w:pPr>
            <w:r w:rsidRPr="002176B5">
              <w:rPr>
                <w:rStyle w:val="FormatvorlageInstructionsTabelleText"/>
                <w:rFonts w:ascii="Times New Roman" w:hAnsi="Times New Roman"/>
                <w:sz w:val="24"/>
              </w:rPr>
              <w:lastRenderedPageBreak/>
              <w:t>Článok 92 ods. 3</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článok 92 ods. 4 písm. e)</w:t>
            </w:r>
            <w:r w:rsidRPr="002176B5">
              <w:t xml:space="preserve"> nariadenia (EÚ) č. 575/2013</w:t>
            </w:r>
          </w:p>
          <w:p w14:paraId="36E7FC84" w14:textId="419CE53D" w:rsidR="00CC7D2C" w:rsidRPr="002176B5" w:rsidRDefault="00CC7D2C" w:rsidP="00822842">
            <w:pPr>
              <w:rPr>
                <w:rStyle w:val="FormatvorlageInstructionsTabelleText"/>
                <w:rFonts w:ascii="Times New Roman" w:hAnsi="Times New Roman"/>
                <w:sz w:val="24"/>
              </w:rPr>
            </w:pPr>
            <w:r w:rsidRPr="002176B5">
              <w:rPr>
                <w:rStyle w:val="FormatvorlageInstructionsTabelleText"/>
                <w:rFonts w:ascii="Times New Roman" w:hAnsi="Times New Roman"/>
                <w:sz w:val="24"/>
              </w:rPr>
              <w:t>V prípade investičných spoločností podľa článku 95 ods. 2, článku 96 ods. 2</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článku 98</w:t>
            </w:r>
            <w:r w:rsidRPr="002176B5">
              <w:rPr>
                <w:rFonts w:ascii="Times New Roman" w:hAnsi="Times New Roman"/>
                <w:sz w:val="24"/>
              </w:rPr>
              <w:t xml:space="preserve"> nariadenia (EÚ) č. 575/2013</w:t>
            </w:r>
            <w:r w:rsidRPr="002176B5">
              <w:rPr>
                <w:rStyle w:val="FormatvorlageInstructionsTabelleText"/>
                <w:rFonts w:ascii="Times New Roman" w:hAnsi="Times New Roman"/>
                <w:sz w:val="24"/>
              </w:rPr>
              <w:t xml:space="preserve"> je tento prvok nula.</w:t>
            </w:r>
          </w:p>
        </w:tc>
      </w:tr>
      <w:tr w:rsidR="00CC7D2C" w:rsidRPr="002176B5" w14:paraId="74D25245" w14:textId="77777777" w:rsidTr="00822842">
        <w:tc>
          <w:tcPr>
            <w:tcW w:w="1591" w:type="dxa"/>
          </w:tcPr>
          <w:p w14:paraId="3167AA14" w14:textId="0F7DC124" w:rsidR="00CC7D2C" w:rsidRPr="002176B5" w:rsidRDefault="00CC7D2C" w:rsidP="00320EFD">
            <w:pPr>
              <w:pStyle w:val="InstructionsText"/>
              <w:rPr>
                <w:rStyle w:val="FormatvorlageInstructionsTabelleText"/>
                <w:rFonts w:ascii="Times New Roman" w:hAnsi="Times New Roman"/>
                <w:bCs w:val="0"/>
                <w:sz w:val="24"/>
                <w:lang w:eastAsia="en-US"/>
              </w:rPr>
            </w:pPr>
          </w:p>
        </w:tc>
        <w:tc>
          <w:tcPr>
            <w:tcW w:w="7274" w:type="dxa"/>
          </w:tcPr>
          <w:p w14:paraId="6F06D97C" w14:textId="2F7CE596" w:rsidR="00CC7D2C" w:rsidRPr="002176B5" w:rsidRDefault="00CC7D2C" w:rsidP="00822842">
            <w:pPr>
              <w:rPr>
                <w:rStyle w:val="FormatvorlageInstructionsTabelleText"/>
                <w:rFonts w:ascii="Times New Roman" w:hAnsi="Times New Roman"/>
                <w:sz w:val="24"/>
              </w:rPr>
            </w:pPr>
          </w:p>
        </w:tc>
      </w:tr>
      <w:tr w:rsidR="00CC7D2C" w:rsidRPr="002176B5" w14:paraId="396250F7" w14:textId="77777777" w:rsidTr="00822842">
        <w:tc>
          <w:tcPr>
            <w:tcW w:w="1591" w:type="dxa"/>
          </w:tcPr>
          <w:p w14:paraId="43AB1462" w14:textId="6580839B" w:rsidR="00CC7D2C" w:rsidRPr="002176B5" w:rsidRDefault="00CC7D2C" w:rsidP="00320EFD">
            <w:pPr>
              <w:pStyle w:val="InstructionsText"/>
              <w:rPr>
                <w:rStyle w:val="FormatvorlageInstructionsTabelleText"/>
                <w:rFonts w:ascii="Times New Roman" w:hAnsi="Times New Roman"/>
                <w:sz w:val="24"/>
                <w:lang w:eastAsia="en-US"/>
              </w:rPr>
            </w:pPr>
          </w:p>
        </w:tc>
        <w:tc>
          <w:tcPr>
            <w:tcW w:w="7274" w:type="dxa"/>
          </w:tcPr>
          <w:p w14:paraId="62F057B9" w14:textId="6AD7CDD8" w:rsidR="00CC7D2C" w:rsidRPr="002176B5" w:rsidRDefault="00CC7D2C" w:rsidP="00822842">
            <w:pPr>
              <w:rPr>
                <w:rStyle w:val="FormatvorlageInstructionsTabelleText"/>
                <w:rFonts w:ascii="Times New Roman" w:hAnsi="Times New Roman"/>
                <w:sz w:val="24"/>
              </w:rPr>
            </w:pPr>
          </w:p>
        </w:tc>
      </w:tr>
      <w:tr w:rsidR="00CC7D2C" w:rsidRPr="002176B5" w14:paraId="724AC472" w14:textId="77777777" w:rsidTr="00822842">
        <w:tc>
          <w:tcPr>
            <w:tcW w:w="1591" w:type="dxa"/>
          </w:tcPr>
          <w:p w14:paraId="0BC8D7C5" w14:textId="7400D9FE" w:rsidR="00CC7D2C" w:rsidRPr="002176B5" w:rsidRDefault="00CC7D2C" w:rsidP="00320EFD">
            <w:pPr>
              <w:pStyle w:val="InstructionsText"/>
              <w:rPr>
                <w:rStyle w:val="FormatvorlageInstructionsTabelleText"/>
                <w:rFonts w:ascii="Times New Roman" w:hAnsi="Times New Roman"/>
                <w:sz w:val="24"/>
                <w:lang w:eastAsia="en-US"/>
              </w:rPr>
            </w:pPr>
          </w:p>
        </w:tc>
        <w:tc>
          <w:tcPr>
            <w:tcW w:w="7274" w:type="dxa"/>
          </w:tcPr>
          <w:p w14:paraId="2DDF8053" w14:textId="59A3B4DA" w:rsidR="00CC7D2C" w:rsidRPr="002176B5" w:rsidRDefault="00CC7D2C" w:rsidP="00822842">
            <w:pPr>
              <w:rPr>
                <w:rStyle w:val="FormatvorlageInstructionsTabelleText"/>
                <w:rFonts w:ascii="Times New Roman" w:hAnsi="Times New Roman"/>
                <w:sz w:val="24"/>
              </w:rPr>
            </w:pPr>
          </w:p>
        </w:tc>
      </w:tr>
      <w:tr w:rsidR="00CC7D2C" w:rsidRPr="002176B5" w14:paraId="481381E3" w14:textId="77777777" w:rsidTr="00822842">
        <w:tc>
          <w:tcPr>
            <w:tcW w:w="1591" w:type="dxa"/>
          </w:tcPr>
          <w:p w14:paraId="395F3084"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0630</w:t>
            </w:r>
          </w:p>
        </w:tc>
        <w:tc>
          <w:tcPr>
            <w:tcW w:w="7274" w:type="dxa"/>
          </w:tcPr>
          <w:p w14:paraId="13D50F66" w14:textId="77777777" w:rsidR="00CC7D2C" w:rsidRPr="002176B5" w:rsidRDefault="00CC7D2C" w:rsidP="00320EFD">
            <w:pPr>
              <w:pStyle w:val="InstructionsText"/>
              <w:rPr>
                <w:rStyle w:val="InstructionsTabelleberschrift"/>
                <w:rFonts w:ascii="Times New Roman" w:hAnsi="Times New Roman"/>
                <w:bCs w:val="0"/>
                <w:sz w:val="24"/>
              </w:rPr>
            </w:pPr>
            <w:r w:rsidRPr="002176B5">
              <w:rPr>
                <w:rStyle w:val="InstructionsTabelleberschrift"/>
                <w:rFonts w:ascii="Times New Roman" w:hAnsi="Times New Roman"/>
                <w:sz w:val="24"/>
              </w:rPr>
              <w:t>1.5.</w:t>
            </w:r>
            <w:r w:rsidRPr="002176B5">
              <w:tab/>
            </w:r>
            <w:r w:rsidRPr="002176B5">
              <w:rPr>
                <w:rStyle w:val="InstructionsTabelleberschrift"/>
                <w:rFonts w:ascii="Times New Roman" w:hAnsi="Times New Roman"/>
                <w:sz w:val="24"/>
              </w:rPr>
              <w:t>DODATOČNÁ HODNOTA RIZIKOVEJ EXPOZÍCIE NA ZÁKLADE FIXNÝCH REŽIJNÝCH NÁKLADOV</w:t>
            </w:r>
          </w:p>
          <w:p w14:paraId="6FBC6E8E" w14:textId="2D8B6EA8" w:rsidR="00CC7D2C" w:rsidRPr="002176B5" w:rsidRDefault="00CC7D2C" w:rsidP="00822842">
            <w:pPr>
              <w:rPr>
                <w:rStyle w:val="FormatvorlageInstructionsTabelleText"/>
                <w:rFonts w:ascii="Times New Roman" w:hAnsi="Times New Roman"/>
                <w:sz w:val="24"/>
              </w:rPr>
            </w:pPr>
            <w:r w:rsidRPr="002176B5">
              <w:rPr>
                <w:rStyle w:val="FormatvorlageInstructionsTabelleText"/>
                <w:rFonts w:ascii="Times New Roman" w:hAnsi="Times New Roman"/>
                <w:sz w:val="24"/>
              </w:rPr>
              <w:t>Článok 95 ods. 2</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článok 96 ods. 2, článok 97</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 xml:space="preserve">článok 98 ods. 1 písm. a) </w:t>
            </w:r>
            <w:r w:rsidRPr="002176B5">
              <w:rPr>
                <w:rFonts w:ascii="Times New Roman" w:hAnsi="Times New Roman"/>
                <w:sz w:val="24"/>
              </w:rPr>
              <w:t>nariadenia (EÚ) č. 575/2013</w:t>
            </w:r>
          </w:p>
          <w:p w14:paraId="103461B5" w14:textId="5FF0FB6F" w:rsidR="002176B5" w:rsidRDefault="00CC7D2C" w:rsidP="00822842">
            <w:pPr>
              <w:rPr>
                <w:rFonts w:ascii="Times New Roman" w:hAnsi="Times New Roman"/>
                <w:sz w:val="24"/>
              </w:rPr>
            </w:pPr>
            <w:r w:rsidRPr="002176B5">
              <w:rPr>
                <w:rStyle w:val="FormatvorlageInstructionsTabelleText"/>
                <w:rFonts w:ascii="Times New Roman" w:hAnsi="Times New Roman"/>
                <w:sz w:val="24"/>
              </w:rPr>
              <w:t>Iba</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prípade investičných spoločností podľa článku 95 ods. 2, článku 96 ods. 2</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článku 98</w:t>
            </w:r>
            <w:r w:rsidRPr="002176B5">
              <w:rPr>
                <w:rFonts w:ascii="Times New Roman" w:hAnsi="Times New Roman"/>
                <w:sz w:val="24"/>
              </w:rPr>
              <w:t xml:space="preserve"> nariadenia (EÚ) č. 575/2013</w:t>
            </w:r>
            <w:r w:rsidRPr="002176B5">
              <w:rPr>
                <w:rStyle w:val="FormatvorlageInstructionsTabelleText"/>
                <w:rFonts w:ascii="Times New Roman" w:hAnsi="Times New Roman"/>
                <w:sz w:val="24"/>
              </w:rPr>
              <w:t xml:space="preserve"> Pozri aj článok 97</w:t>
            </w:r>
            <w:r w:rsidRPr="002176B5">
              <w:rPr>
                <w:rFonts w:ascii="Times New Roman" w:hAnsi="Times New Roman"/>
                <w:sz w:val="24"/>
              </w:rPr>
              <w:t xml:space="preserve"> nariadenia (EÚ) č. 575/2013</w:t>
            </w:r>
            <w:r w:rsidR="002176B5">
              <w:rPr>
                <w:rFonts w:ascii="Times New Roman" w:hAnsi="Times New Roman"/>
                <w:sz w:val="24"/>
              </w:rPr>
              <w:t>.</w:t>
            </w:r>
          </w:p>
          <w:p w14:paraId="74042626" w14:textId="7CC3DBBF" w:rsidR="00CC7D2C" w:rsidRPr="002176B5" w:rsidRDefault="00CC7D2C" w:rsidP="00822842">
            <w:pPr>
              <w:rPr>
                <w:rStyle w:val="FormatvorlageInstructionsTabelleText"/>
                <w:rFonts w:ascii="Times New Roman" w:hAnsi="Times New Roman"/>
                <w:sz w:val="24"/>
              </w:rPr>
            </w:pPr>
            <w:r w:rsidRPr="002176B5">
              <w:rPr>
                <w:rStyle w:val="FormatvorlageInstructionsTabelleText"/>
                <w:rFonts w:ascii="Times New Roman" w:hAnsi="Times New Roman"/>
                <w:sz w:val="24"/>
              </w:rPr>
              <w:t>Investičné spoločnosti podľa článku 96</w:t>
            </w:r>
            <w:r w:rsidRPr="002176B5">
              <w:rPr>
                <w:rFonts w:ascii="Times New Roman" w:hAnsi="Times New Roman"/>
                <w:sz w:val="24"/>
              </w:rPr>
              <w:t xml:space="preserve"> nariadenia (EÚ) č. 575/2013 </w:t>
            </w:r>
            <w:r w:rsidRPr="002176B5">
              <w:rPr>
                <w:rStyle w:val="FormatvorlageInstructionsTabelleText"/>
                <w:rFonts w:ascii="Times New Roman" w:hAnsi="Times New Roman"/>
                <w:sz w:val="24"/>
              </w:rPr>
              <w:t>vykazujú hodnotu uvedenú</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článku 97 vynásobenú koeficientom 12,5.</w:t>
            </w:r>
          </w:p>
          <w:p w14:paraId="5E38767D" w14:textId="77777777" w:rsidR="00CC7D2C" w:rsidRPr="002176B5" w:rsidRDefault="00CC7D2C" w:rsidP="00822842">
            <w:pPr>
              <w:rPr>
                <w:rStyle w:val="FormatvorlageInstructionsTabelleText"/>
                <w:rFonts w:ascii="Times New Roman" w:hAnsi="Times New Roman"/>
                <w:sz w:val="24"/>
              </w:rPr>
            </w:pPr>
            <w:r w:rsidRPr="002176B5">
              <w:rPr>
                <w:rStyle w:val="FormatvorlageInstructionsTabelleText"/>
                <w:rFonts w:ascii="Times New Roman" w:hAnsi="Times New Roman"/>
                <w:sz w:val="24"/>
              </w:rPr>
              <w:t>Investičné spoločnosti podľa článku 95</w:t>
            </w:r>
            <w:r w:rsidRPr="002176B5">
              <w:rPr>
                <w:rFonts w:ascii="Times New Roman" w:hAnsi="Times New Roman"/>
                <w:sz w:val="24"/>
              </w:rPr>
              <w:t xml:space="preserve"> nariadenia (EÚ) č. 575/2013 </w:t>
            </w:r>
            <w:r w:rsidRPr="002176B5">
              <w:rPr>
                <w:rStyle w:val="FormatvorlageInstructionsTabelleText"/>
                <w:rFonts w:ascii="Times New Roman" w:hAnsi="Times New Roman"/>
                <w:sz w:val="24"/>
              </w:rPr>
              <w:t>vykazujú takto:</w:t>
            </w:r>
          </w:p>
          <w:p w14:paraId="37268ED3" w14:textId="6A33E668"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Arial" w:hAnsi="Arial"/>
                <w:sz w:val="24"/>
              </w:rPr>
              <w:t>–</w:t>
            </w:r>
            <w:r w:rsidRPr="002176B5">
              <w:tab/>
            </w:r>
            <w:r w:rsidRPr="002176B5">
              <w:rPr>
                <w:rStyle w:val="FormatvorlageInstructionsTabelleText"/>
                <w:rFonts w:ascii="Times New Roman" w:hAnsi="Times New Roman"/>
                <w:sz w:val="24"/>
              </w:rPr>
              <w:t>Ak je</w:t>
            </w:r>
            <w:r w:rsidRPr="002176B5">
              <w:t xml:space="preserve"> </w:t>
            </w:r>
            <w:r w:rsidRPr="002176B5">
              <w:rPr>
                <w:rStyle w:val="FormatvorlageInstructionsTabelleText"/>
                <w:rFonts w:ascii="Times New Roman" w:hAnsi="Times New Roman"/>
                <w:sz w:val="24"/>
              </w:rPr>
              <w:t>hodnota uvedená</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článku 95 ods. 2 písm. a)</w:t>
            </w:r>
            <w:r w:rsidRPr="002176B5">
              <w:t xml:space="preserve"> nariadenia (EÚ) č. 575/2013 </w:t>
            </w:r>
            <w:r w:rsidRPr="002176B5">
              <w:rPr>
                <w:rStyle w:val="FormatvorlageInstructionsTabelleText"/>
                <w:rFonts w:ascii="Times New Roman" w:hAnsi="Times New Roman"/>
                <w:sz w:val="24"/>
              </w:rPr>
              <w:t>väčšia než hodnota uvedená</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článku 95 ods. 2 písm. b)</w:t>
            </w:r>
            <w:r w:rsidRPr="002176B5">
              <w:t xml:space="preserve"> uvedeného nariadenia</w:t>
            </w:r>
            <w:r w:rsidRPr="002176B5">
              <w:rPr>
                <w:rStyle w:val="FormatvorlageInstructionsTabelleText"/>
                <w:rFonts w:ascii="Times New Roman" w:hAnsi="Times New Roman"/>
                <w:sz w:val="24"/>
              </w:rPr>
              <w:t>, vykazovaná hodnota sa rovná nule.</w:t>
            </w:r>
          </w:p>
          <w:p w14:paraId="5D420054" w14:textId="7AD21FB9"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Arial" w:hAnsi="Arial"/>
                <w:sz w:val="24"/>
              </w:rPr>
              <w:t>–</w:t>
            </w:r>
            <w:r w:rsidRPr="002176B5">
              <w:tab/>
            </w:r>
            <w:r w:rsidRPr="002176B5">
              <w:rPr>
                <w:rStyle w:val="FormatvorlageInstructionsTabelleText"/>
                <w:rFonts w:ascii="Times New Roman" w:hAnsi="Times New Roman"/>
                <w:sz w:val="24"/>
              </w:rPr>
              <w:t>Ak je</w:t>
            </w:r>
            <w:r w:rsidRPr="002176B5">
              <w:t xml:space="preserve"> </w:t>
            </w:r>
            <w:r w:rsidRPr="002176B5">
              <w:rPr>
                <w:rStyle w:val="FormatvorlageInstructionsTabelleText"/>
                <w:rFonts w:ascii="Times New Roman" w:hAnsi="Times New Roman"/>
                <w:sz w:val="24"/>
              </w:rPr>
              <w:t>hodnota uvedená</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článku 95 ods. 2 písm. b)</w:t>
            </w:r>
            <w:r w:rsidRPr="002176B5">
              <w:t xml:space="preserve"> nariadenia (EÚ) č. 575/2013 </w:t>
            </w:r>
            <w:r w:rsidRPr="002176B5">
              <w:rPr>
                <w:rStyle w:val="FormatvorlageInstructionsTabelleText"/>
                <w:rFonts w:ascii="Times New Roman" w:hAnsi="Times New Roman"/>
                <w:sz w:val="24"/>
              </w:rPr>
              <w:t>väčšia než hodnota uvedená</w:t>
            </w:r>
            <w:r w:rsidR="002176B5">
              <w:rPr>
                <w:rStyle w:val="FormatvorlageInstructionsTabelleText"/>
                <w:rFonts w:ascii="Times New Roman" w:hAnsi="Times New Roman"/>
                <w:sz w:val="24"/>
              </w:rPr>
              <w:t xml:space="preserve"> v </w:t>
            </w:r>
            <w:r w:rsidRPr="002176B5">
              <w:rPr>
                <w:rStyle w:val="FormatvorlageInstructionsTabelleText"/>
                <w:rFonts w:ascii="Times New Roman" w:hAnsi="Times New Roman"/>
                <w:sz w:val="24"/>
              </w:rPr>
              <w:t>článku 95 ods. 2 písm. a)</w:t>
            </w:r>
            <w:r w:rsidRPr="002176B5">
              <w:t xml:space="preserve"> uvedeného nariadenia</w:t>
            </w:r>
            <w:r w:rsidRPr="002176B5">
              <w:rPr>
                <w:rStyle w:val="FormatvorlageInstructionsTabelleText"/>
                <w:rFonts w:ascii="Times New Roman" w:hAnsi="Times New Roman"/>
                <w:sz w:val="24"/>
              </w:rPr>
              <w:t xml:space="preserve">, vykazovaná hodnota je výsledok odpočtu druhej hodnoty od prvej. </w:t>
            </w:r>
          </w:p>
        </w:tc>
      </w:tr>
      <w:tr w:rsidR="00CC7D2C" w:rsidRPr="002176B5" w14:paraId="0430F55D" w14:textId="77777777" w:rsidTr="00822842">
        <w:tc>
          <w:tcPr>
            <w:tcW w:w="1591" w:type="dxa"/>
          </w:tcPr>
          <w:p w14:paraId="2F6AC678"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0640</w:t>
            </w:r>
          </w:p>
        </w:tc>
        <w:tc>
          <w:tcPr>
            <w:tcW w:w="7274" w:type="dxa"/>
          </w:tcPr>
          <w:p w14:paraId="2E4CBDBD" w14:textId="77777777" w:rsidR="00CC7D2C" w:rsidRPr="002176B5" w:rsidRDefault="00CC7D2C" w:rsidP="00320EFD">
            <w:pPr>
              <w:pStyle w:val="InstructionsText"/>
              <w:rPr>
                <w:rStyle w:val="InstructionsTabelleberschrift"/>
                <w:rFonts w:ascii="Times New Roman" w:hAnsi="Times New Roman"/>
                <w:bCs w:val="0"/>
                <w:sz w:val="24"/>
              </w:rPr>
            </w:pPr>
            <w:r w:rsidRPr="002176B5">
              <w:rPr>
                <w:rStyle w:val="InstructionsTabelleberschrift"/>
                <w:rFonts w:ascii="Times New Roman" w:hAnsi="Times New Roman"/>
                <w:sz w:val="24"/>
              </w:rPr>
              <w:t>1.6.</w:t>
            </w:r>
            <w:r w:rsidRPr="002176B5">
              <w:tab/>
            </w:r>
            <w:r w:rsidRPr="002176B5">
              <w:rPr>
                <w:rStyle w:val="InstructionsTabelleberschrift"/>
                <w:rFonts w:ascii="Times New Roman" w:hAnsi="Times New Roman"/>
                <w:sz w:val="24"/>
              </w:rPr>
              <w:t>CELKOVÁ HODNOTA RIZIKOVEJ EXPOZÍCIE PRE ÚPRAVU OCENENIA POHĽADÁVKY (CVA)</w:t>
            </w:r>
          </w:p>
          <w:p w14:paraId="5117D4D3" w14:textId="785E0847" w:rsidR="00CC7D2C" w:rsidRPr="002176B5" w:rsidRDefault="00CC7D2C" w:rsidP="00320EFD">
            <w:pPr>
              <w:pStyle w:val="InstructionsText"/>
              <w:rPr>
                <w:rStyle w:val="InstructionsTabelleberschrift"/>
                <w:rFonts w:ascii="Times New Roman" w:hAnsi="Times New Roman"/>
                <w:b w:val="0"/>
                <w:sz w:val="24"/>
                <w:u w:val="none"/>
              </w:rPr>
            </w:pPr>
            <w:r w:rsidRPr="002176B5">
              <w:rPr>
                <w:rStyle w:val="InstructionsTabelleberschrift"/>
                <w:rFonts w:ascii="Times New Roman" w:hAnsi="Times New Roman"/>
                <w:b w:val="0"/>
                <w:sz w:val="24"/>
                <w:u w:val="none"/>
              </w:rPr>
              <w:t xml:space="preserve">Článok 92 ods. 4 písm. d) </w:t>
            </w:r>
            <w:r w:rsidRPr="002176B5">
              <w:t>nariadenia (EÚ) č. 575/2013</w:t>
            </w:r>
          </w:p>
          <w:p w14:paraId="1A4C8257" w14:textId="77777777" w:rsidR="00CC7D2C" w:rsidRPr="002176B5" w:rsidRDefault="00CC7D2C" w:rsidP="00320EFD">
            <w:pPr>
              <w:pStyle w:val="InstructionsText"/>
              <w:rPr>
                <w:rStyle w:val="FormatvorlageInstructionsTabelleText"/>
                <w:rFonts w:ascii="Times New Roman" w:hAnsi="Times New Roman"/>
                <w:bCs w:val="0"/>
                <w:sz w:val="24"/>
              </w:rPr>
            </w:pPr>
            <w:r w:rsidRPr="002176B5">
              <w:rPr>
                <w:rStyle w:val="InstructionsTabelleberschrift"/>
                <w:rFonts w:ascii="Times New Roman" w:hAnsi="Times New Roman"/>
                <w:b w:val="0"/>
                <w:sz w:val="24"/>
                <w:u w:val="none"/>
              </w:rPr>
              <w:t>Pozri vzor CVA.</w:t>
            </w:r>
            <w:r w:rsidRPr="002176B5">
              <w:rPr>
                <w:rStyle w:val="FormatvorlageInstructionsTabelleText"/>
                <w:rFonts w:ascii="Times New Roman" w:hAnsi="Times New Roman"/>
                <w:sz w:val="24"/>
              </w:rPr>
              <w:t xml:space="preserve"> </w:t>
            </w:r>
          </w:p>
        </w:tc>
      </w:tr>
      <w:tr w:rsidR="00CC7D2C" w:rsidRPr="002176B5" w14:paraId="17A9B967" w14:textId="77777777" w:rsidTr="00822842">
        <w:tc>
          <w:tcPr>
            <w:tcW w:w="1591" w:type="dxa"/>
          </w:tcPr>
          <w:p w14:paraId="68680CBC"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0655</w:t>
            </w:r>
          </w:p>
        </w:tc>
        <w:tc>
          <w:tcPr>
            <w:tcW w:w="7274" w:type="dxa"/>
          </w:tcPr>
          <w:p w14:paraId="7ABD8041" w14:textId="77777777"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1.6.4. Štandardizovaný prístup (SA)</w:t>
            </w:r>
          </w:p>
          <w:p w14:paraId="52EE3666" w14:textId="77777777" w:rsidR="00CC7D2C" w:rsidRPr="002176B5" w:rsidRDefault="00CC7D2C" w:rsidP="00320EFD">
            <w:pPr>
              <w:pStyle w:val="InstructionsText"/>
              <w:rPr>
                <w:rStyle w:val="InstructionsTabelleberschrift"/>
                <w:rFonts w:ascii="Times New Roman" w:hAnsi="Times New Roman"/>
                <w:sz w:val="24"/>
              </w:rPr>
            </w:pPr>
            <w:r w:rsidRPr="002176B5">
              <w:t>Článok 383 nariadenia (EÚ) č. 575/2013</w:t>
            </w:r>
          </w:p>
        </w:tc>
      </w:tr>
      <w:tr w:rsidR="00CC7D2C" w:rsidRPr="002176B5" w14:paraId="77449D06" w14:textId="77777777" w:rsidTr="00822842">
        <w:tc>
          <w:tcPr>
            <w:tcW w:w="1591" w:type="dxa"/>
          </w:tcPr>
          <w:p w14:paraId="06FEDF2B"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0665</w:t>
            </w:r>
          </w:p>
        </w:tc>
        <w:tc>
          <w:tcPr>
            <w:tcW w:w="7274" w:type="dxa"/>
          </w:tcPr>
          <w:p w14:paraId="7AC41EE1" w14:textId="77777777"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1.6.5. Úplný základný prístup (F–BA)</w:t>
            </w:r>
          </w:p>
          <w:p w14:paraId="50E188A9" w14:textId="77777777" w:rsidR="00CC7D2C" w:rsidRPr="002176B5" w:rsidRDefault="00CC7D2C" w:rsidP="00320EFD">
            <w:pPr>
              <w:pStyle w:val="InstructionsText"/>
              <w:rPr>
                <w:rStyle w:val="InstructionsTabelleberschrift"/>
                <w:rFonts w:ascii="Times New Roman" w:hAnsi="Times New Roman"/>
                <w:sz w:val="24"/>
              </w:rPr>
            </w:pPr>
            <w:r w:rsidRPr="002176B5">
              <w:t>Článok 384 ods. 3</w:t>
            </w:r>
            <w:r w:rsidRPr="002176B5">
              <w:rPr>
                <w:rStyle w:val="InstructionsTabelleberschrift"/>
              </w:rPr>
              <w:t xml:space="preserve"> </w:t>
            </w:r>
            <w:r w:rsidRPr="002176B5">
              <w:t>nariadenia (EÚ) č. 575/2013</w:t>
            </w:r>
            <w:r w:rsidRPr="002176B5">
              <w:rPr>
                <w:rStyle w:val="InstructionsTabelleberschrift"/>
              </w:rPr>
              <w:t xml:space="preserve"> </w:t>
            </w:r>
          </w:p>
        </w:tc>
      </w:tr>
      <w:tr w:rsidR="00CC7D2C" w:rsidRPr="002176B5" w14:paraId="0AC19AFE" w14:textId="77777777" w:rsidTr="00822842">
        <w:tc>
          <w:tcPr>
            <w:tcW w:w="1591" w:type="dxa"/>
          </w:tcPr>
          <w:p w14:paraId="1E48E305"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0666</w:t>
            </w:r>
          </w:p>
        </w:tc>
        <w:tc>
          <w:tcPr>
            <w:tcW w:w="7274" w:type="dxa"/>
          </w:tcPr>
          <w:p w14:paraId="6D3A09C2" w14:textId="77777777"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1.6.6. Znížený základný prístup (R–BA)</w:t>
            </w:r>
          </w:p>
          <w:p w14:paraId="66955A99" w14:textId="77777777" w:rsidR="00CC7D2C" w:rsidRPr="002176B5" w:rsidRDefault="00CC7D2C" w:rsidP="00320EFD">
            <w:pPr>
              <w:pStyle w:val="InstructionsText"/>
              <w:rPr>
                <w:rStyle w:val="InstructionsTabelleberschrift"/>
                <w:rFonts w:ascii="Times New Roman" w:hAnsi="Times New Roman"/>
                <w:sz w:val="24"/>
              </w:rPr>
            </w:pPr>
            <w:r w:rsidRPr="002176B5">
              <w:t>Článok 384 ods. 2</w:t>
            </w:r>
            <w:r w:rsidRPr="002176B5">
              <w:rPr>
                <w:rStyle w:val="InstructionsTabelleberschrift"/>
              </w:rPr>
              <w:t xml:space="preserve"> </w:t>
            </w:r>
            <w:r w:rsidRPr="002176B5">
              <w:t>nariadenia (EÚ) č. 575/2013</w:t>
            </w:r>
          </w:p>
        </w:tc>
      </w:tr>
      <w:tr w:rsidR="00CC7D2C" w:rsidRPr="002176B5" w14:paraId="63F89364" w14:textId="77777777" w:rsidTr="00822842">
        <w:tc>
          <w:tcPr>
            <w:tcW w:w="1591" w:type="dxa"/>
          </w:tcPr>
          <w:p w14:paraId="74CBE8FC"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0675</w:t>
            </w:r>
          </w:p>
        </w:tc>
        <w:tc>
          <w:tcPr>
            <w:tcW w:w="7274" w:type="dxa"/>
          </w:tcPr>
          <w:p w14:paraId="4DB614D1" w14:textId="6061CC7E"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1.6.7. Štandardizovaný prístup (SA)</w:t>
            </w:r>
          </w:p>
          <w:p w14:paraId="5D4966C6" w14:textId="77777777" w:rsidR="00CC7D2C" w:rsidRPr="002176B5" w:rsidRDefault="00CC7D2C" w:rsidP="00320EFD">
            <w:pPr>
              <w:pStyle w:val="InstructionsText"/>
              <w:rPr>
                <w:rStyle w:val="InstructionsTabelleberschrift"/>
                <w:rFonts w:ascii="Times New Roman" w:hAnsi="Times New Roman"/>
                <w:sz w:val="24"/>
              </w:rPr>
            </w:pPr>
            <w:r w:rsidRPr="002176B5">
              <w:t>Článok 385 nariadenia (EÚ) č. 575/2013</w:t>
            </w:r>
          </w:p>
        </w:tc>
      </w:tr>
      <w:tr w:rsidR="00CC7D2C" w:rsidRPr="002176B5" w14:paraId="73B500AF" w14:textId="77777777" w:rsidTr="00822842">
        <w:tc>
          <w:tcPr>
            <w:tcW w:w="1591" w:type="dxa"/>
          </w:tcPr>
          <w:p w14:paraId="523B5EE2"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lastRenderedPageBreak/>
              <w:t>0676</w:t>
            </w:r>
          </w:p>
        </w:tc>
        <w:tc>
          <w:tcPr>
            <w:tcW w:w="7274" w:type="dxa"/>
          </w:tcPr>
          <w:p w14:paraId="4AB3F219" w14:textId="34BF7F61" w:rsidR="00CC7D2C" w:rsidRPr="002176B5" w:rsidRDefault="00CC7D2C" w:rsidP="00320EFD">
            <w:pPr>
              <w:pStyle w:val="InstructionsText"/>
              <w:rPr>
                <w:rStyle w:val="InstructionsTabelleberschrift"/>
              </w:rPr>
            </w:pPr>
            <w:r w:rsidRPr="002176B5">
              <w:rPr>
                <w:rStyle w:val="InstructionsTabelleberschrift"/>
                <w:rFonts w:ascii="Times New Roman" w:hAnsi="Times New Roman"/>
                <w:sz w:val="24"/>
              </w:rPr>
              <w:t>1.6.8. Zjednodušené zaobchádzanie</w:t>
            </w:r>
            <w:r w:rsidR="002176B5">
              <w:rPr>
                <w:rStyle w:val="InstructionsTabelleberschrift"/>
                <w:rFonts w:ascii="Times New Roman" w:hAnsi="Times New Roman"/>
                <w:sz w:val="24"/>
              </w:rPr>
              <w:t xml:space="preserve"> s </w:t>
            </w:r>
            <w:r w:rsidRPr="002176B5">
              <w:rPr>
                <w:rStyle w:val="InstructionsTabelleberschrift"/>
                <w:rFonts w:ascii="Times New Roman" w:hAnsi="Times New Roman"/>
                <w:sz w:val="24"/>
              </w:rPr>
              <w:t>derivátovými pozíciami</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PKI</w:t>
            </w:r>
          </w:p>
          <w:p w14:paraId="745B756E" w14:textId="5AF3F68E" w:rsidR="00CC7D2C" w:rsidRPr="002176B5" w:rsidRDefault="00CC7D2C" w:rsidP="00320EFD">
            <w:pPr>
              <w:pStyle w:val="InstructionsText"/>
              <w:rPr>
                <w:rStyle w:val="InstructionsTabelleberschrift"/>
                <w:rFonts w:ascii="Times New Roman" w:hAnsi="Times New Roman"/>
                <w:sz w:val="24"/>
              </w:rPr>
            </w:pPr>
            <w:r w:rsidRPr="002176B5">
              <w:t>Články 132a ods. 3, 152 ods. 3</w:t>
            </w:r>
            <w:r w:rsidR="002176B5">
              <w:t xml:space="preserve"> a </w:t>
            </w:r>
            <w:r w:rsidRPr="002176B5">
              <w:t>325j ods. 1 nariadenia (EÚ) č. 575/2013</w:t>
            </w:r>
          </w:p>
        </w:tc>
      </w:tr>
      <w:tr w:rsidR="00CC7D2C" w:rsidRPr="002176B5" w14:paraId="3F998FA1" w14:textId="77777777" w:rsidTr="00822842">
        <w:tc>
          <w:tcPr>
            <w:tcW w:w="1591" w:type="dxa"/>
          </w:tcPr>
          <w:p w14:paraId="01E82001"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0680</w:t>
            </w:r>
          </w:p>
        </w:tc>
        <w:tc>
          <w:tcPr>
            <w:tcW w:w="7274" w:type="dxa"/>
          </w:tcPr>
          <w:p w14:paraId="41208587" w14:textId="0AFDEF3E" w:rsidR="00CC7D2C" w:rsidRPr="002176B5" w:rsidRDefault="00CC7D2C" w:rsidP="00320EFD">
            <w:pPr>
              <w:pStyle w:val="InstructionsText"/>
              <w:rPr>
                <w:rStyle w:val="FormatvorlageInstructionsTabelleText"/>
                <w:rFonts w:ascii="Times New Roman" w:hAnsi="Times New Roman"/>
                <w:b/>
                <w:bCs w:val="0"/>
                <w:sz w:val="24"/>
                <w:u w:val="single"/>
              </w:rPr>
            </w:pPr>
            <w:r w:rsidRPr="002176B5">
              <w:rPr>
                <w:rStyle w:val="InstructionsTabelleberschrift"/>
                <w:rFonts w:ascii="Times New Roman" w:hAnsi="Times New Roman"/>
                <w:sz w:val="24"/>
              </w:rPr>
              <w:t>1.7.</w:t>
            </w:r>
            <w:r w:rsidRPr="002176B5">
              <w:tab/>
            </w:r>
            <w:r w:rsidRPr="002176B5">
              <w:rPr>
                <w:rStyle w:val="InstructionsTabelleberschrift"/>
                <w:rFonts w:ascii="Times New Roman" w:hAnsi="Times New Roman"/>
                <w:sz w:val="24"/>
              </w:rPr>
              <w:t>CELKOVÁ HODNOTA RIZIKOVEJ EXPOZÍCIE SÚVISIACA</w:t>
            </w:r>
            <w:r w:rsidR="002176B5">
              <w:rPr>
                <w:rStyle w:val="InstructionsTabelleberschrift"/>
                <w:rFonts w:ascii="Times New Roman" w:hAnsi="Times New Roman"/>
                <w:sz w:val="24"/>
              </w:rPr>
              <w:t xml:space="preserve"> S </w:t>
            </w:r>
            <w:r w:rsidRPr="002176B5">
              <w:rPr>
                <w:rStyle w:val="InstructionsTabelleberschrift"/>
                <w:rFonts w:ascii="Times New Roman" w:hAnsi="Times New Roman"/>
                <w:sz w:val="24"/>
              </w:rPr>
              <w:t>VEĽKOU MAJETKOVOU ANGAŽOVANOSŤOU</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OBCHODNEJ KNIHE</w:t>
            </w:r>
          </w:p>
          <w:p w14:paraId="17AF6A9C" w14:textId="173FEE06" w:rsidR="00CC7D2C" w:rsidRPr="002176B5" w:rsidRDefault="00CC7D2C" w:rsidP="00320EFD">
            <w:pPr>
              <w:pStyle w:val="InstructionsText"/>
              <w:rPr>
                <w:rStyle w:val="FormatvorlageInstructionsTabelleText"/>
                <w:rFonts w:ascii="Times New Roman" w:hAnsi="Times New Roman"/>
                <w:bCs w:val="0"/>
                <w:sz w:val="24"/>
              </w:rPr>
            </w:pPr>
            <w:r w:rsidRPr="002176B5">
              <w:rPr>
                <w:rStyle w:val="FormatvorlageInstructionsTabelleText"/>
                <w:rFonts w:ascii="Times New Roman" w:hAnsi="Times New Roman"/>
                <w:sz w:val="24"/>
              </w:rPr>
              <w:t>Článok 92 ods. 4 písm. b) bod ii)</w:t>
            </w:r>
            <w:r w:rsidR="002176B5">
              <w:rPr>
                <w:rStyle w:val="FormatvorlageInstructionsTabelleText"/>
                <w:rFonts w:ascii="Times New Roman" w:hAnsi="Times New Roman"/>
                <w:sz w:val="24"/>
              </w:rPr>
              <w:t xml:space="preserve"> a </w:t>
            </w:r>
            <w:r w:rsidRPr="002176B5">
              <w:rPr>
                <w:rStyle w:val="FormatvorlageInstructionsTabelleText"/>
                <w:rFonts w:ascii="Times New Roman" w:hAnsi="Times New Roman"/>
                <w:sz w:val="24"/>
              </w:rPr>
              <w:t>články 395 až 401</w:t>
            </w:r>
            <w:r w:rsidRPr="002176B5">
              <w:t>nariadenia (EÚ) č. 575/2013</w:t>
            </w:r>
          </w:p>
        </w:tc>
      </w:tr>
      <w:tr w:rsidR="00CC7D2C" w:rsidRPr="002176B5" w14:paraId="7EEB4A32" w14:textId="77777777" w:rsidTr="00822842">
        <w:tc>
          <w:tcPr>
            <w:tcW w:w="1591" w:type="dxa"/>
          </w:tcPr>
          <w:p w14:paraId="0127ECBB"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0690</w:t>
            </w:r>
          </w:p>
        </w:tc>
        <w:tc>
          <w:tcPr>
            <w:tcW w:w="7274" w:type="dxa"/>
          </w:tcPr>
          <w:p w14:paraId="73B18238" w14:textId="77777777"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1.8.</w:t>
            </w:r>
            <w:r w:rsidRPr="002176B5">
              <w:tab/>
            </w:r>
            <w:r w:rsidRPr="002176B5">
              <w:rPr>
                <w:rStyle w:val="InstructionsTabelleberschrift"/>
                <w:rFonts w:ascii="Times New Roman" w:hAnsi="Times New Roman"/>
                <w:sz w:val="24"/>
              </w:rPr>
              <w:t>INÉ HODNOTY RIZIKOVÝCH EXPOZÍCIÍ</w:t>
            </w:r>
          </w:p>
          <w:p w14:paraId="28AA55EE" w14:textId="25B464C8" w:rsidR="002176B5" w:rsidRDefault="00CC7D2C" w:rsidP="00320EFD">
            <w:pPr>
              <w:pStyle w:val="InstructionsText"/>
              <w:rPr>
                <w:rStyle w:val="InstructionsTabelleberschrift"/>
                <w:rFonts w:ascii="Times New Roman" w:hAnsi="Times New Roman"/>
                <w:b w:val="0"/>
                <w:sz w:val="24"/>
                <w:u w:val="none"/>
              </w:rPr>
            </w:pPr>
            <w:r w:rsidRPr="002176B5">
              <w:rPr>
                <w:rStyle w:val="InstructionsTabelleberschrift"/>
                <w:rFonts w:ascii="Times New Roman" w:hAnsi="Times New Roman"/>
                <w:b w:val="0"/>
                <w:sz w:val="24"/>
                <w:u w:val="none"/>
              </w:rPr>
              <w:t>Články 3, 458</w:t>
            </w:r>
            <w:r w:rsidR="002176B5">
              <w:rPr>
                <w:rStyle w:val="InstructionsTabelleberschrift"/>
                <w:rFonts w:ascii="Times New Roman" w:hAnsi="Times New Roman"/>
                <w:b w:val="0"/>
                <w:sz w:val="24"/>
                <w:u w:val="none"/>
              </w:rPr>
              <w:t xml:space="preserve"> a </w:t>
            </w:r>
            <w:r w:rsidRPr="002176B5">
              <w:rPr>
                <w:rStyle w:val="InstructionsTabelleberschrift"/>
                <w:rFonts w:ascii="Times New Roman" w:hAnsi="Times New Roman"/>
                <w:b w:val="0"/>
                <w:sz w:val="24"/>
                <w:u w:val="none"/>
              </w:rPr>
              <w:t>459</w:t>
            </w:r>
            <w:r w:rsidRPr="002176B5">
              <w:t xml:space="preserve"> nariadenia (EÚ) č. 575/2013</w:t>
            </w:r>
            <w:r w:rsidR="002176B5">
              <w:t xml:space="preserve"> a </w:t>
            </w:r>
            <w:r w:rsidRPr="002176B5">
              <w:rPr>
                <w:rStyle w:val="InstructionsTabelleberschrift"/>
                <w:rFonts w:ascii="Times New Roman" w:hAnsi="Times New Roman"/>
                <w:b w:val="0"/>
                <w:sz w:val="24"/>
                <w:u w:val="none"/>
              </w:rPr>
              <w:t>hodnoty rizikových expozícií, ktoré nemožno priradiť</w:t>
            </w:r>
            <w:r w:rsidR="002176B5">
              <w:rPr>
                <w:rStyle w:val="InstructionsTabelleberschrift"/>
                <w:rFonts w:ascii="Times New Roman" w:hAnsi="Times New Roman"/>
                <w:b w:val="0"/>
                <w:sz w:val="24"/>
                <w:u w:val="none"/>
              </w:rPr>
              <w:t xml:space="preserve"> k </w:t>
            </w:r>
            <w:r w:rsidRPr="002176B5">
              <w:rPr>
                <w:rStyle w:val="InstructionsTabelleberschrift"/>
                <w:rFonts w:ascii="Times New Roman" w:hAnsi="Times New Roman"/>
                <w:b w:val="0"/>
                <w:sz w:val="24"/>
                <w:u w:val="none"/>
              </w:rPr>
              <w:t>žiadnej</w:t>
            </w:r>
            <w:r w:rsidR="002176B5">
              <w:rPr>
                <w:rStyle w:val="InstructionsTabelleberschrift"/>
                <w:rFonts w:ascii="Times New Roman" w:hAnsi="Times New Roman"/>
                <w:b w:val="0"/>
                <w:sz w:val="24"/>
                <w:u w:val="none"/>
              </w:rPr>
              <w:t xml:space="preserve"> z </w:t>
            </w:r>
            <w:r w:rsidRPr="002176B5">
              <w:rPr>
                <w:rStyle w:val="InstructionsTabelleberschrift"/>
                <w:rFonts w:ascii="Times New Roman" w:hAnsi="Times New Roman"/>
                <w:b w:val="0"/>
                <w:sz w:val="24"/>
                <w:u w:val="none"/>
              </w:rPr>
              <w:t>položiek 1.1 až 1.7</w:t>
            </w:r>
            <w:r w:rsidR="002176B5">
              <w:rPr>
                <w:rStyle w:val="InstructionsTabelleberschrift"/>
                <w:rFonts w:ascii="Times New Roman" w:hAnsi="Times New Roman"/>
                <w:b w:val="0"/>
                <w:sz w:val="24"/>
                <w:u w:val="none"/>
              </w:rPr>
              <w:t>.</w:t>
            </w:r>
          </w:p>
          <w:p w14:paraId="7F38083B" w14:textId="4495249C" w:rsidR="00CC7D2C" w:rsidRPr="002176B5" w:rsidRDefault="00CC7D2C" w:rsidP="00320EFD">
            <w:pPr>
              <w:pStyle w:val="InstructionsText"/>
              <w:rPr>
                <w:rStyle w:val="InstructionsTabelleberschrift"/>
                <w:rFonts w:ascii="Times New Roman" w:hAnsi="Times New Roman"/>
                <w:b w:val="0"/>
                <w:bCs w:val="0"/>
                <w:sz w:val="24"/>
                <w:u w:val="none"/>
              </w:rPr>
            </w:pPr>
            <w:r w:rsidRPr="002176B5">
              <w:rPr>
                <w:rStyle w:val="InstructionsTabelleberschrift"/>
                <w:rFonts w:ascii="Times New Roman" w:hAnsi="Times New Roman"/>
                <w:b w:val="0"/>
                <w:sz w:val="24"/>
                <w:u w:val="none"/>
              </w:rPr>
              <w:t>Inštitúcie vykazujú hodnoty potrebné na splnenie týchto požiadaviek:</w:t>
            </w:r>
          </w:p>
          <w:p w14:paraId="477ADBE8" w14:textId="3454613B" w:rsidR="002176B5" w:rsidRDefault="00CC7D2C" w:rsidP="00320EFD">
            <w:pPr>
              <w:pStyle w:val="InstructionsText"/>
              <w:rPr>
                <w:rStyle w:val="InstructionsTabelleberschrift"/>
                <w:rFonts w:ascii="Times New Roman" w:hAnsi="Times New Roman"/>
                <w:b w:val="0"/>
                <w:sz w:val="24"/>
                <w:u w:val="none"/>
              </w:rPr>
            </w:pPr>
            <w:r w:rsidRPr="002176B5">
              <w:rPr>
                <w:rStyle w:val="InstructionsTabelleberschrift"/>
                <w:rFonts w:ascii="Times New Roman" w:hAnsi="Times New Roman"/>
                <w:b w:val="0"/>
                <w:sz w:val="24"/>
                <w:u w:val="none"/>
              </w:rPr>
              <w:t xml:space="preserve">Prísnejšie </w:t>
            </w:r>
            <w:proofErr w:type="spellStart"/>
            <w:r w:rsidRPr="002176B5">
              <w:rPr>
                <w:rStyle w:val="InstructionsTabelleberschrift"/>
                <w:rFonts w:ascii="Times New Roman" w:hAnsi="Times New Roman"/>
                <w:b w:val="0"/>
                <w:sz w:val="24"/>
                <w:u w:val="none"/>
              </w:rPr>
              <w:t>prudenciálne</w:t>
            </w:r>
            <w:proofErr w:type="spellEnd"/>
            <w:r w:rsidRPr="002176B5">
              <w:rPr>
                <w:rStyle w:val="InstructionsTabelleberschrift"/>
                <w:rFonts w:ascii="Times New Roman" w:hAnsi="Times New Roman"/>
                <w:b w:val="0"/>
                <w:sz w:val="24"/>
                <w:u w:val="none"/>
              </w:rPr>
              <w:t xml:space="preserve"> požiadavky stanovené Komisiou</w:t>
            </w:r>
            <w:r w:rsidR="002176B5">
              <w:rPr>
                <w:rStyle w:val="InstructionsTabelleberschrift"/>
                <w:rFonts w:ascii="Times New Roman" w:hAnsi="Times New Roman"/>
                <w:b w:val="0"/>
                <w:sz w:val="24"/>
                <w:u w:val="none"/>
              </w:rPr>
              <w:t xml:space="preserve"> v </w:t>
            </w:r>
            <w:r w:rsidRPr="002176B5">
              <w:rPr>
                <w:rStyle w:val="InstructionsTabelleberschrift"/>
                <w:rFonts w:ascii="Times New Roman" w:hAnsi="Times New Roman"/>
                <w:b w:val="0"/>
                <w:sz w:val="24"/>
                <w:u w:val="none"/>
              </w:rPr>
              <w:t>súlade</w:t>
            </w:r>
            <w:r w:rsidR="002176B5">
              <w:rPr>
                <w:rStyle w:val="InstructionsTabelleberschrift"/>
                <w:rFonts w:ascii="Times New Roman" w:hAnsi="Times New Roman"/>
                <w:b w:val="0"/>
                <w:sz w:val="24"/>
                <w:u w:val="none"/>
              </w:rPr>
              <w:t xml:space="preserve"> s </w:t>
            </w:r>
            <w:r w:rsidRPr="002176B5">
              <w:rPr>
                <w:rStyle w:val="InstructionsTabelleberschrift"/>
                <w:rFonts w:ascii="Times New Roman" w:hAnsi="Times New Roman"/>
                <w:b w:val="0"/>
                <w:sz w:val="24"/>
                <w:u w:val="none"/>
              </w:rPr>
              <w:t>článkami 458</w:t>
            </w:r>
            <w:r w:rsidR="002176B5">
              <w:rPr>
                <w:rStyle w:val="InstructionsTabelleberschrift"/>
                <w:rFonts w:ascii="Times New Roman" w:hAnsi="Times New Roman"/>
                <w:b w:val="0"/>
                <w:sz w:val="24"/>
                <w:u w:val="none"/>
              </w:rPr>
              <w:t xml:space="preserve"> a </w:t>
            </w:r>
            <w:r w:rsidRPr="002176B5">
              <w:rPr>
                <w:rStyle w:val="InstructionsTabelleberschrift"/>
                <w:rFonts w:ascii="Times New Roman" w:hAnsi="Times New Roman"/>
                <w:b w:val="0"/>
                <w:sz w:val="24"/>
                <w:u w:val="none"/>
              </w:rPr>
              <w:t>459</w:t>
            </w:r>
            <w:r w:rsidRPr="002176B5">
              <w:t xml:space="preserve"> nariadenia (EÚ) č. 575/2013</w:t>
            </w:r>
            <w:r w:rsidR="002176B5">
              <w:rPr>
                <w:rStyle w:val="InstructionsTabelleberschrift"/>
                <w:rFonts w:ascii="Times New Roman" w:hAnsi="Times New Roman"/>
                <w:b w:val="0"/>
                <w:sz w:val="24"/>
                <w:u w:val="none"/>
              </w:rPr>
              <w:t>.</w:t>
            </w:r>
          </w:p>
          <w:p w14:paraId="66274184" w14:textId="29AF5C76" w:rsidR="00CC7D2C" w:rsidRPr="002176B5" w:rsidRDefault="00CC7D2C" w:rsidP="00320EFD">
            <w:pPr>
              <w:pStyle w:val="InstructionsText"/>
              <w:rPr>
                <w:rStyle w:val="InstructionsTabelleberschrift"/>
                <w:rFonts w:ascii="Times New Roman" w:hAnsi="Times New Roman"/>
                <w:b w:val="0"/>
                <w:bCs w:val="0"/>
                <w:sz w:val="24"/>
                <w:u w:val="none"/>
              </w:rPr>
            </w:pPr>
            <w:r w:rsidRPr="002176B5">
              <w:rPr>
                <w:rStyle w:val="InstructionsTabelleberschrift"/>
                <w:rFonts w:ascii="Times New Roman" w:hAnsi="Times New Roman"/>
                <w:b w:val="0"/>
                <w:sz w:val="24"/>
                <w:u w:val="none"/>
              </w:rPr>
              <w:t>Dodatočné hodnoty rizikových expozícií na základe článku 3</w:t>
            </w:r>
            <w:r w:rsidRPr="002176B5">
              <w:t xml:space="preserve"> nariadenia (EÚ) č. 575/2013</w:t>
            </w:r>
            <w:r w:rsidRPr="002176B5">
              <w:rPr>
                <w:rStyle w:val="InstructionsTabelleberschrift"/>
                <w:rFonts w:ascii="Times New Roman" w:hAnsi="Times New Roman"/>
                <w:b w:val="0"/>
                <w:sz w:val="24"/>
                <w:u w:val="none"/>
              </w:rPr>
              <w:t>.</w:t>
            </w:r>
          </w:p>
          <w:p w14:paraId="0B094D68" w14:textId="40C28F83" w:rsidR="00CC7D2C" w:rsidRPr="002176B5" w:rsidRDefault="00CC7D2C" w:rsidP="00320EFD">
            <w:pPr>
              <w:pStyle w:val="InstructionsText"/>
              <w:rPr>
                <w:rStyle w:val="InstructionsTabelleberschrift"/>
                <w:rFonts w:ascii="Times New Roman" w:hAnsi="Times New Roman"/>
                <w:bCs w:val="0"/>
                <w:sz w:val="24"/>
                <w:u w:val="none"/>
              </w:rPr>
            </w:pPr>
            <w:r w:rsidRPr="002176B5">
              <w:rPr>
                <w:rStyle w:val="InstructionsTabelleberschrift"/>
                <w:rFonts w:ascii="Times New Roman" w:hAnsi="Times New Roman"/>
                <w:b w:val="0"/>
                <w:sz w:val="24"/>
                <w:u w:val="none"/>
              </w:rPr>
              <w:t>Táto položka nie je spojená</w:t>
            </w:r>
            <w:r w:rsidR="002176B5">
              <w:rPr>
                <w:rStyle w:val="InstructionsTabelleberschrift"/>
                <w:rFonts w:ascii="Times New Roman" w:hAnsi="Times New Roman"/>
                <w:b w:val="0"/>
                <w:sz w:val="24"/>
                <w:u w:val="none"/>
              </w:rPr>
              <w:t xml:space="preserve"> s </w:t>
            </w:r>
            <w:r w:rsidRPr="002176B5">
              <w:rPr>
                <w:rStyle w:val="InstructionsTabelleberschrift"/>
                <w:rFonts w:ascii="Times New Roman" w:hAnsi="Times New Roman"/>
                <w:b w:val="0"/>
                <w:sz w:val="24"/>
                <w:u w:val="none"/>
              </w:rPr>
              <w:t xml:space="preserve">podrobným vzorom. </w:t>
            </w:r>
          </w:p>
        </w:tc>
      </w:tr>
      <w:tr w:rsidR="00CC7D2C" w:rsidRPr="002176B5" w14:paraId="3DE721B2" w14:textId="77777777" w:rsidTr="00822842">
        <w:tc>
          <w:tcPr>
            <w:tcW w:w="1591" w:type="dxa"/>
          </w:tcPr>
          <w:p w14:paraId="238A61F1"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0710</w:t>
            </w:r>
          </w:p>
        </w:tc>
        <w:tc>
          <w:tcPr>
            <w:tcW w:w="7274" w:type="dxa"/>
          </w:tcPr>
          <w:p w14:paraId="0EDC251C" w14:textId="77777777"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1.8.2.</w:t>
            </w:r>
            <w:r w:rsidRPr="002176B5">
              <w:tab/>
            </w:r>
            <w:r w:rsidRPr="002176B5">
              <w:rPr>
                <w:rStyle w:val="InstructionsTabelleberschrift"/>
                <w:rFonts w:ascii="Times New Roman" w:hAnsi="Times New Roman"/>
                <w:sz w:val="24"/>
              </w:rPr>
              <w:t xml:space="preserve">Z čoho: dodatočné prísnejšie </w:t>
            </w:r>
            <w:proofErr w:type="spellStart"/>
            <w:r w:rsidRPr="002176B5">
              <w:rPr>
                <w:rStyle w:val="InstructionsTabelleberschrift"/>
                <w:rFonts w:ascii="Times New Roman" w:hAnsi="Times New Roman"/>
                <w:sz w:val="24"/>
              </w:rPr>
              <w:t>prudenciálne</w:t>
            </w:r>
            <w:proofErr w:type="spellEnd"/>
            <w:r w:rsidRPr="002176B5">
              <w:rPr>
                <w:rStyle w:val="InstructionsTabelleberschrift"/>
                <w:rFonts w:ascii="Times New Roman" w:hAnsi="Times New Roman"/>
                <w:sz w:val="24"/>
              </w:rPr>
              <w:t xml:space="preserve"> požiadavky na základe článku 458 nariadenia (EÚ) č. 575/2013</w:t>
            </w:r>
          </w:p>
          <w:p w14:paraId="2E884C62" w14:textId="77777777" w:rsidR="00CC7D2C" w:rsidRPr="002176B5" w:rsidRDefault="00CC7D2C" w:rsidP="00320EFD">
            <w:pPr>
              <w:pStyle w:val="InstructionsText"/>
              <w:rPr>
                <w:rStyle w:val="InstructionsTabelleberschrift"/>
                <w:rFonts w:ascii="Times New Roman" w:hAnsi="Times New Roman"/>
                <w:b w:val="0"/>
                <w:sz w:val="24"/>
                <w:u w:val="none"/>
              </w:rPr>
            </w:pPr>
            <w:r w:rsidRPr="002176B5">
              <w:rPr>
                <w:rStyle w:val="FormatvorlageInstructionsTabelleText"/>
                <w:rFonts w:ascii="Times New Roman" w:hAnsi="Times New Roman"/>
                <w:sz w:val="24"/>
              </w:rPr>
              <w:t xml:space="preserve">Článok 458 </w:t>
            </w:r>
            <w:r w:rsidRPr="002176B5">
              <w:t>nariadenia (EÚ) č. 575/2013</w:t>
            </w:r>
          </w:p>
        </w:tc>
      </w:tr>
      <w:tr w:rsidR="00CC7D2C" w:rsidRPr="002176B5" w14:paraId="5D504680" w14:textId="77777777" w:rsidTr="00822842">
        <w:tc>
          <w:tcPr>
            <w:tcW w:w="1591" w:type="dxa"/>
          </w:tcPr>
          <w:p w14:paraId="67047830"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0720</w:t>
            </w:r>
          </w:p>
        </w:tc>
        <w:tc>
          <w:tcPr>
            <w:tcW w:w="7274" w:type="dxa"/>
          </w:tcPr>
          <w:p w14:paraId="3183B111" w14:textId="77777777" w:rsidR="00CC7D2C" w:rsidRPr="002176B5" w:rsidRDefault="00CC7D2C" w:rsidP="00320EFD">
            <w:pPr>
              <w:pStyle w:val="InstructionsText"/>
            </w:pPr>
            <w:r w:rsidRPr="002176B5">
              <w:rPr>
                <w:rStyle w:val="InstructionsTabelleberschrift"/>
                <w:rFonts w:ascii="Times New Roman" w:hAnsi="Times New Roman"/>
                <w:sz w:val="24"/>
              </w:rPr>
              <w:t>1.8.2.*</w:t>
            </w:r>
            <w:r w:rsidRPr="002176B5">
              <w:tab/>
            </w:r>
            <w:r w:rsidRPr="002176B5">
              <w:rPr>
                <w:rStyle w:val="InstructionsTabelleberschrift"/>
                <w:rFonts w:ascii="Times New Roman" w:hAnsi="Times New Roman"/>
                <w:sz w:val="24"/>
              </w:rPr>
              <w:t>Z čoho: požiadavky pre veľkú majetkovú angažovanosť</w:t>
            </w:r>
          </w:p>
          <w:p w14:paraId="242C94AC" w14:textId="77777777" w:rsidR="00CC7D2C" w:rsidRPr="002176B5" w:rsidRDefault="00CC7D2C" w:rsidP="00320EFD">
            <w:pPr>
              <w:pStyle w:val="InstructionsText"/>
              <w:rPr>
                <w:rStyle w:val="InstructionsTabelleberschrift"/>
                <w:rFonts w:ascii="Times New Roman" w:hAnsi="Times New Roman"/>
                <w:sz w:val="24"/>
              </w:rPr>
            </w:pPr>
            <w:r w:rsidRPr="002176B5">
              <w:t>Článok 458 nariadenia (EÚ) č. 575/2013</w:t>
            </w:r>
          </w:p>
        </w:tc>
      </w:tr>
      <w:tr w:rsidR="00CC7D2C" w:rsidRPr="002176B5" w14:paraId="5527A68B" w14:textId="77777777" w:rsidTr="00822842">
        <w:tc>
          <w:tcPr>
            <w:tcW w:w="1591" w:type="dxa"/>
          </w:tcPr>
          <w:p w14:paraId="6BAD894B"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0730</w:t>
            </w:r>
          </w:p>
        </w:tc>
        <w:tc>
          <w:tcPr>
            <w:tcW w:w="7274" w:type="dxa"/>
          </w:tcPr>
          <w:p w14:paraId="7B78F88E" w14:textId="694A1A0D" w:rsidR="00CC7D2C" w:rsidRPr="002176B5" w:rsidRDefault="00CC7D2C" w:rsidP="00320EFD">
            <w:pPr>
              <w:pStyle w:val="InstructionsText"/>
            </w:pPr>
            <w:r w:rsidRPr="002176B5">
              <w:rPr>
                <w:rStyle w:val="InstructionsTabelleberschrift"/>
                <w:rFonts w:ascii="Times New Roman" w:hAnsi="Times New Roman"/>
                <w:sz w:val="24"/>
              </w:rPr>
              <w:t>1.8.2.**</w:t>
            </w:r>
            <w:r w:rsidRPr="002176B5">
              <w:tab/>
            </w:r>
            <w:r w:rsidRPr="002176B5">
              <w:rPr>
                <w:rStyle w:val="InstructionsTabelleberschrift"/>
                <w:rFonts w:ascii="Times New Roman" w:hAnsi="Times New Roman"/>
                <w:sz w:val="24"/>
              </w:rPr>
              <w:t>Z čoho: na základe modifikovaných rizikových váh zameraných na majetkové bubliny</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sektore nehnuteľného majetku určeného na bývanie</w:t>
            </w:r>
            <w:r w:rsidR="002176B5">
              <w:rPr>
                <w:rStyle w:val="InstructionsTabelleberschrift"/>
                <w:rFonts w:ascii="Times New Roman" w:hAnsi="Times New Roman"/>
                <w:sz w:val="24"/>
              </w:rPr>
              <w:t xml:space="preserve"> a </w:t>
            </w:r>
            <w:r w:rsidRPr="002176B5">
              <w:rPr>
                <w:rStyle w:val="InstructionsTabelleberschrift"/>
                <w:rFonts w:ascii="Times New Roman" w:hAnsi="Times New Roman"/>
                <w:sz w:val="24"/>
              </w:rPr>
              <w:t>podnikanie</w:t>
            </w:r>
          </w:p>
          <w:p w14:paraId="6AE45898" w14:textId="77777777" w:rsidR="00CC7D2C" w:rsidRPr="002176B5" w:rsidRDefault="00CC7D2C" w:rsidP="00320EFD">
            <w:pPr>
              <w:pStyle w:val="InstructionsText"/>
              <w:rPr>
                <w:rStyle w:val="InstructionsTabelleberschrift"/>
                <w:rFonts w:ascii="Times New Roman" w:hAnsi="Times New Roman"/>
                <w:sz w:val="24"/>
              </w:rPr>
            </w:pPr>
            <w:r w:rsidRPr="002176B5">
              <w:t>Článok 458 nariadenia (EÚ) č. 575/2013</w:t>
            </w:r>
          </w:p>
        </w:tc>
      </w:tr>
      <w:tr w:rsidR="00CC7D2C" w:rsidRPr="002176B5" w14:paraId="5206CB62" w14:textId="77777777" w:rsidTr="00822842">
        <w:tc>
          <w:tcPr>
            <w:tcW w:w="1591" w:type="dxa"/>
          </w:tcPr>
          <w:p w14:paraId="6D2D0EEA"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0740</w:t>
            </w:r>
          </w:p>
        </w:tc>
        <w:tc>
          <w:tcPr>
            <w:tcW w:w="7274" w:type="dxa"/>
          </w:tcPr>
          <w:p w14:paraId="74A220D7" w14:textId="77777777" w:rsidR="00CC7D2C" w:rsidRPr="002176B5" w:rsidRDefault="00CC7D2C" w:rsidP="00320EFD">
            <w:pPr>
              <w:pStyle w:val="InstructionsText"/>
            </w:pPr>
            <w:r w:rsidRPr="002176B5">
              <w:rPr>
                <w:rStyle w:val="InstructionsTabelleberschrift"/>
                <w:rFonts w:ascii="Times New Roman" w:hAnsi="Times New Roman"/>
                <w:sz w:val="24"/>
              </w:rPr>
              <w:t>1.8.2.***</w:t>
            </w:r>
            <w:r w:rsidRPr="002176B5">
              <w:tab/>
            </w:r>
            <w:r w:rsidRPr="002176B5">
              <w:rPr>
                <w:rStyle w:val="InstructionsTabelleberschrift"/>
                <w:rFonts w:ascii="Times New Roman" w:hAnsi="Times New Roman"/>
                <w:sz w:val="24"/>
              </w:rPr>
              <w:t>Z čoho: na základe expozícií vo vnútri finančného sektora</w:t>
            </w:r>
          </w:p>
          <w:p w14:paraId="0AD2BF6F" w14:textId="77777777" w:rsidR="00CC7D2C" w:rsidRPr="002176B5" w:rsidRDefault="00CC7D2C" w:rsidP="00320EFD">
            <w:pPr>
              <w:pStyle w:val="InstructionsText"/>
              <w:rPr>
                <w:rStyle w:val="InstructionsTabelleberschrift"/>
                <w:rFonts w:ascii="Times New Roman" w:hAnsi="Times New Roman"/>
                <w:sz w:val="24"/>
              </w:rPr>
            </w:pPr>
            <w:r w:rsidRPr="002176B5">
              <w:t>Článok 458 nariadenia (EÚ) č. 575/2013</w:t>
            </w:r>
          </w:p>
        </w:tc>
      </w:tr>
      <w:tr w:rsidR="00CC7D2C" w:rsidRPr="002176B5" w14:paraId="701C4C92" w14:textId="77777777" w:rsidTr="00822842">
        <w:tc>
          <w:tcPr>
            <w:tcW w:w="1591" w:type="dxa"/>
          </w:tcPr>
          <w:p w14:paraId="69B54212"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0750</w:t>
            </w:r>
          </w:p>
        </w:tc>
        <w:tc>
          <w:tcPr>
            <w:tcW w:w="7274" w:type="dxa"/>
          </w:tcPr>
          <w:p w14:paraId="69B493B7" w14:textId="77777777"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1.8.3.</w:t>
            </w:r>
            <w:r w:rsidRPr="002176B5">
              <w:tab/>
            </w:r>
            <w:r w:rsidRPr="002176B5">
              <w:rPr>
                <w:rStyle w:val="InstructionsTabelleberschrift"/>
                <w:rFonts w:ascii="Times New Roman" w:hAnsi="Times New Roman"/>
                <w:sz w:val="24"/>
              </w:rPr>
              <w:t xml:space="preserve">Z čoho: dodatočné prísnejšie </w:t>
            </w:r>
            <w:proofErr w:type="spellStart"/>
            <w:r w:rsidRPr="002176B5">
              <w:rPr>
                <w:rStyle w:val="InstructionsTabelleberschrift"/>
                <w:rFonts w:ascii="Times New Roman" w:hAnsi="Times New Roman"/>
                <w:sz w:val="24"/>
              </w:rPr>
              <w:t>prudenciálne</w:t>
            </w:r>
            <w:proofErr w:type="spellEnd"/>
            <w:r w:rsidRPr="002176B5">
              <w:rPr>
                <w:rStyle w:val="InstructionsTabelleberschrift"/>
                <w:rFonts w:ascii="Times New Roman" w:hAnsi="Times New Roman"/>
                <w:sz w:val="24"/>
              </w:rPr>
              <w:t xml:space="preserve"> požiadavky na základe článku 459 nariadenia (EÚ) č. 575/2013</w:t>
            </w:r>
          </w:p>
          <w:p w14:paraId="4F93B1E4" w14:textId="77777777" w:rsidR="00CC7D2C" w:rsidRPr="002176B5" w:rsidRDefault="00CC7D2C" w:rsidP="00320EFD">
            <w:pPr>
              <w:pStyle w:val="InstructionsText"/>
              <w:rPr>
                <w:rStyle w:val="InstructionsTabelleberschrift"/>
                <w:rFonts w:ascii="Times New Roman" w:hAnsi="Times New Roman"/>
                <w:sz w:val="24"/>
              </w:rPr>
            </w:pPr>
            <w:r w:rsidRPr="002176B5">
              <w:rPr>
                <w:rStyle w:val="FormatvorlageInstructionsTabelleText"/>
                <w:rFonts w:ascii="Times New Roman" w:hAnsi="Times New Roman"/>
                <w:sz w:val="24"/>
              </w:rPr>
              <w:t xml:space="preserve">Článok 459 </w:t>
            </w:r>
            <w:r w:rsidRPr="002176B5">
              <w:t>nariadenia (EÚ) č. 575/2013</w:t>
            </w:r>
          </w:p>
        </w:tc>
      </w:tr>
      <w:tr w:rsidR="005F24EB" w:rsidRPr="002176B5" w14:paraId="12044379" w14:textId="77777777" w:rsidTr="00822842">
        <w:tc>
          <w:tcPr>
            <w:tcW w:w="1591" w:type="dxa"/>
            <w:shd w:val="clear" w:color="auto" w:fill="auto"/>
          </w:tcPr>
          <w:p w14:paraId="43ECB347" w14:textId="6A96CE29" w:rsidR="005F24EB" w:rsidRPr="002176B5" w:rsidRDefault="005F24EB"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0755</w:t>
            </w:r>
          </w:p>
        </w:tc>
        <w:tc>
          <w:tcPr>
            <w:tcW w:w="7274" w:type="dxa"/>
          </w:tcPr>
          <w:p w14:paraId="5D1965B6" w14:textId="4F7BB170" w:rsidR="005F24EB" w:rsidRPr="002176B5" w:rsidRDefault="005F24EB" w:rsidP="00320EFD">
            <w:pPr>
              <w:pStyle w:val="InstructionsText"/>
            </w:pPr>
            <w:r w:rsidRPr="002176B5">
              <w:t xml:space="preserve">1.8.3a      </w:t>
            </w:r>
            <w:r w:rsidR="002176B5">
              <w:t xml:space="preserve"> Z </w:t>
            </w:r>
            <w:r w:rsidRPr="002176B5">
              <w:t>čoho: dodatočné RWEA pre trhové riziko, ktoré boli uložené orgánom dohľadu na základe článku 110 smernice 2013/36/EÚ</w:t>
            </w:r>
          </w:p>
          <w:p w14:paraId="6AA689E0" w14:textId="6A69D21E" w:rsidR="005F24EB" w:rsidRPr="002176B5" w:rsidRDefault="003D5537" w:rsidP="00320EFD">
            <w:pPr>
              <w:pStyle w:val="InstructionsText"/>
              <w:rPr>
                <w:b/>
                <w:bCs/>
              </w:rPr>
            </w:pPr>
            <w:r w:rsidRPr="002176B5">
              <w:t>Článok 101 smernice 2013/36/EÚ</w:t>
            </w:r>
            <w:r w:rsidR="002176B5">
              <w:t xml:space="preserve"> a </w:t>
            </w:r>
            <w:r w:rsidRPr="002176B5">
              <w:t>vnútroštátne transpozičné opatrenia uvedeného článku.</w:t>
            </w:r>
          </w:p>
        </w:tc>
      </w:tr>
      <w:tr w:rsidR="00CC7D2C" w:rsidRPr="002176B5" w14:paraId="2C35FF15" w14:textId="77777777" w:rsidTr="00822842">
        <w:tc>
          <w:tcPr>
            <w:tcW w:w="1591" w:type="dxa"/>
            <w:shd w:val="clear" w:color="auto" w:fill="auto"/>
          </w:tcPr>
          <w:p w14:paraId="08B26797"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lastRenderedPageBreak/>
              <w:t>0760</w:t>
            </w:r>
          </w:p>
        </w:tc>
        <w:tc>
          <w:tcPr>
            <w:tcW w:w="7274" w:type="dxa"/>
          </w:tcPr>
          <w:p w14:paraId="3F3CCAB8" w14:textId="77777777"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1.8.4.</w:t>
            </w:r>
            <w:r w:rsidRPr="002176B5">
              <w:tab/>
            </w:r>
            <w:r w:rsidRPr="002176B5">
              <w:rPr>
                <w:rStyle w:val="InstructionsTabelleberschrift"/>
                <w:rFonts w:ascii="Times New Roman" w:hAnsi="Times New Roman"/>
                <w:sz w:val="24"/>
              </w:rPr>
              <w:t>Z čoho: dodatočná hodnota rizikovej expozície na základe článku 3 nariadenia (EÚ) č. 575/2013</w:t>
            </w:r>
          </w:p>
          <w:p w14:paraId="1A39DDE5" w14:textId="77777777" w:rsidR="00CC7D2C" w:rsidRPr="002176B5" w:rsidRDefault="00CC7D2C"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 xml:space="preserve">Článok 3 </w:t>
            </w:r>
            <w:r w:rsidRPr="002176B5">
              <w:t>nariadenia (EÚ) č. 575/2013</w:t>
            </w:r>
          </w:p>
          <w:p w14:paraId="390266FE" w14:textId="07DB93D6" w:rsidR="00CC7D2C" w:rsidRPr="002176B5" w:rsidRDefault="00CC7D2C" w:rsidP="00320EFD">
            <w:pPr>
              <w:pStyle w:val="InstructionsText"/>
              <w:rPr>
                <w:rStyle w:val="InstructionsTabelleberschrift"/>
                <w:rFonts w:ascii="Times New Roman" w:hAnsi="Times New Roman"/>
                <w:b w:val="0"/>
                <w:sz w:val="24"/>
                <w:u w:val="none"/>
              </w:rPr>
            </w:pPr>
            <w:r w:rsidRPr="002176B5">
              <w:rPr>
                <w:rStyle w:val="InstructionsTabelleberschrift"/>
                <w:rFonts w:ascii="Times New Roman" w:hAnsi="Times New Roman"/>
                <w:b w:val="0"/>
                <w:sz w:val="24"/>
                <w:u w:val="none"/>
              </w:rPr>
              <w:t>Dodatočná hodnota rizikovej expozície sa musí vykazovať. Zahŕňa len dodatočné hodnoty [napr. keď expozícia vo výške 100 má rizikovú váhu 20</w:t>
            </w:r>
            <w:r w:rsidR="002176B5">
              <w:rPr>
                <w:rStyle w:val="InstructionsTabelleberschrift"/>
                <w:rFonts w:ascii="Times New Roman" w:hAnsi="Times New Roman"/>
                <w:b w:val="0"/>
                <w:sz w:val="24"/>
                <w:u w:val="none"/>
              </w:rPr>
              <w:t> % a </w:t>
            </w:r>
            <w:r w:rsidRPr="002176B5">
              <w:rPr>
                <w:rStyle w:val="InstructionsTabelleberschrift"/>
                <w:rFonts w:ascii="Times New Roman" w:hAnsi="Times New Roman"/>
                <w:b w:val="0"/>
                <w:sz w:val="24"/>
                <w:u w:val="none"/>
              </w:rPr>
              <w:t>inštitúcia uplatní rizikovú váhu 50</w:t>
            </w:r>
            <w:r w:rsidR="002176B5">
              <w:rPr>
                <w:rStyle w:val="InstructionsTabelleberschrift"/>
                <w:rFonts w:ascii="Times New Roman" w:hAnsi="Times New Roman"/>
                <w:b w:val="0"/>
                <w:sz w:val="24"/>
                <w:u w:val="none"/>
              </w:rPr>
              <w:t> %</w:t>
            </w:r>
            <w:r w:rsidRPr="002176B5">
              <w:rPr>
                <w:rStyle w:val="InstructionsTabelleberschrift"/>
                <w:rFonts w:ascii="Times New Roman" w:hAnsi="Times New Roman"/>
                <w:b w:val="0"/>
                <w:sz w:val="24"/>
                <w:u w:val="none"/>
              </w:rPr>
              <w:t xml:space="preserve"> na základe článku 3</w:t>
            </w:r>
            <w:r w:rsidRPr="002176B5">
              <w:t xml:space="preserve"> nariadenia (EÚ) č. 575/2013</w:t>
            </w:r>
            <w:r w:rsidRPr="002176B5">
              <w:rPr>
                <w:rStyle w:val="InstructionsTabelleberschrift"/>
                <w:rFonts w:ascii="Times New Roman" w:hAnsi="Times New Roman"/>
                <w:b w:val="0"/>
                <w:sz w:val="24"/>
                <w:u w:val="none"/>
              </w:rPr>
              <w:t xml:space="preserve">, vykazovaná hodnota je 30]. </w:t>
            </w:r>
          </w:p>
        </w:tc>
      </w:tr>
      <w:tr w:rsidR="003D5537" w:rsidRPr="002176B5" w14:paraId="76EDFBFD" w14:textId="77777777" w:rsidTr="00822842">
        <w:tc>
          <w:tcPr>
            <w:tcW w:w="1591" w:type="dxa"/>
            <w:shd w:val="clear" w:color="auto" w:fill="auto"/>
          </w:tcPr>
          <w:p w14:paraId="7DD83149" w14:textId="43853002" w:rsidR="003D5537" w:rsidRPr="002176B5" w:rsidRDefault="003D5537"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0770</w:t>
            </w:r>
          </w:p>
        </w:tc>
        <w:tc>
          <w:tcPr>
            <w:tcW w:w="7274" w:type="dxa"/>
          </w:tcPr>
          <w:p w14:paraId="18F77916" w14:textId="25CCC7EC" w:rsidR="003D5537" w:rsidRPr="002176B5" w:rsidRDefault="003D5537"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1</w:t>
            </w:r>
            <w:r w:rsidRPr="002176B5">
              <w:rPr>
                <w:rStyle w:val="InstructionsTabelleberschrift"/>
              </w:rPr>
              <w:t xml:space="preserve">.8.4*        </w:t>
            </w:r>
            <w:r w:rsidR="002176B5">
              <w:rPr>
                <w:rStyle w:val="InstructionsTabelleberschrift"/>
              </w:rPr>
              <w:t xml:space="preserve"> Z </w:t>
            </w:r>
            <w:r w:rsidRPr="002176B5">
              <w:rPr>
                <w:rStyle w:val="InstructionsTabelleberschrift"/>
                <w:rFonts w:ascii="Times New Roman" w:hAnsi="Times New Roman"/>
                <w:sz w:val="24"/>
              </w:rPr>
              <w:t>čoho:  dodatočné RWEA pre trhové riziko</w:t>
            </w:r>
          </w:p>
          <w:p w14:paraId="69E7A691" w14:textId="31285B3F" w:rsidR="003D5537" w:rsidRPr="002176B5" w:rsidRDefault="003D5537" w:rsidP="00320EFD">
            <w:pPr>
              <w:pStyle w:val="InstructionsText"/>
              <w:rPr>
                <w:rStyle w:val="InstructionsTabelleberschrift"/>
                <w:rFonts w:ascii="Times New Roman" w:hAnsi="Times New Roman"/>
                <w:sz w:val="24"/>
              </w:rPr>
            </w:pPr>
            <w:r w:rsidRPr="002176B5">
              <w:t>Vrátane, ale nielen, prípadu „rizík nezahrnutých do výpočtu modelu“.</w:t>
            </w:r>
          </w:p>
        </w:tc>
      </w:tr>
      <w:tr w:rsidR="003D5537" w:rsidRPr="002176B5" w14:paraId="609F339A" w14:textId="77777777" w:rsidTr="00822842">
        <w:tc>
          <w:tcPr>
            <w:tcW w:w="1591" w:type="dxa"/>
            <w:shd w:val="clear" w:color="auto" w:fill="auto"/>
          </w:tcPr>
          <w:p w14:paraId="7B448982" w14:textId="7643E064" w:rsidR="003D5537" w:rsidRPr="002176B5" w:rsidRDefault="003D5537" w:rsidP="00320EFD">
            <w:pPr>
              <w:pStyle w:val="InstructionsText"/>
              <w:rPr>
                <w:rStyle w:val="FormatvorlageInstructionsTabelleText"/>
                <w:rFonts w:ascii="Times New Roman" w:hAnsi="Times New Roman"/>
                <w:sz w:val="24"/>
              </w:rPr>
            </w:pPr>
            <w:r w:rsidRPr="002176B5">
              <w:rPr>
                <w:rStyle w:val="FormatvorlageInstructionsTabelleText"/>
                <w:rFonts w:ascii="Times New Roman" w:hAnsi="Times New Roman"/>
                <w:sz w:val="24"/>
              </w:rPr>
              <w:t>0780</w:t>
            </w:r>
          </w:p>
        </w:tc>
        <w:tc>
          <w:tcPr>
            <w:tcW w:w="7274" w:type="dxa"/>
          </w:tcPr>
          <w:p w14:paraId="29D87F27" w14:textId="750C068B" w:rsidR="003D5537" w:rsidRPr="002176B5" w:rsidRDefault="003D5537"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 xml:space="preserve">1.8.5.    </w:t>
            </w:r>
            <w:r w:rsidR="002176B5">
              <w:rPr>
                <w:rStyle w:val="InstructionsTabelleberschrift"/>
                <w:rFonts w:ascii="Times New Roman" w:hAnsi="Times New Roman"/>
                <w:sz w:val="24"/>
              </w:rPr>
              <w:t xml:space="preserve"> Z </w:t>
            </w:r>
            <w:r w:rsidRPr="002176B5">
              <w:rPr>
                <w:rStyle w:val="InstructionsTabelleberschrift"/>
                <w:rFonts w:ascii="Times New Roman" w:hAnsi="Times New Roman"/>
                <w:sz w:val="24"/>
              </w:rPr>
              <w:t xml:space="preserve">čoho: prechodná hodnota rizikovej expozície vo vzťahu ku </w:t>
            </w:r>
            <w:proofErr w:type="spellStart"/>
            <w:r w:rsidRPr="002176B5">
              <w:rPr>
                <w:rStyle w:val="InstructionsTabelleberschrift"/>
                <w:rFonts w:ascii="Times New Roman" w:hAnsi="Times New Roman"/>
                <w:sz w:val="24"/>
              </w:rPr>
              <w:t>kryptoaktívam</w:t>
            </w:r>
            <w:proofErr w:type="spellEnd"/>
            <w:r w:rsidRPr="002176B5">
              <w:rPr>
                <w:rStyle w:val="InstructionsTabelleberschrift"/>
                <w:rFonts w:ascii="Times New Roman" w:hAnsi="Times New Roman"/>
                <w:sz w:val="24"/>
              </w:rPr>
              <w:t xml:space="preserve"> na základe článku 501d ods. 2 nariadenia (EÚ) č. 575/2013</w:t>
            </w:r>
          </w:p>
          <w:p w14:paraId="0F5C3D0F" w14:textId="23BC2EEB" w:rsidR="003D5537" w:rsidRPr="002176B5" w:rsidRDefault="003D5537" w:rsidP="00320EFD">
            <w:pPr>
              <w:pStyle w:val="InstructionsText"/>
              <w:rPr>
                <w:rStyle w:val="InstructionsTabelleberschrift"/>
                <w:rFonts w:ascii="Times New Roman" w:hAnsi="Times New Roman"/>
                <w:b w:val="0"/>
                <w:bCs w:val="0"/>
                <w:sz w:val="24"/>
                <w:u w:val="none"/>
              </w:rPr>
            </w:pPr>
            <w:r w:rsidRPr="002176B5">
              <w:rPr>
                <w:rStyle w:val="InstructionsTabelleberschrift"/>
                <w:rFonts w:ascii="Times New Roman" w:hAnsi="Times New Roman"/>
                <w:b w:val="0"/>
                <w:sz w:val="24"/>
                <w:u w:val="none"/>
              </w:rPr>
              <w:t>Pozri vzor CRYPTO.</w:t>
            </w:r>
          </w:p>
        </w:tc>
      </w:tr>
    </w:tbl>
    <w:p w14:paraId="1F01C92E" w14:textId="77777777" w:rsidR="002176B5" w:rsidRDefault="00CC7D2C" w:rsidP="00D1404A">
      <w:pPr>
        <w:pStyle w:val="Instructionsberschrift2"/>
        <w:numPr>
          <w:ilvl w:val="0"/>
          <w:numId w:val="0"/>
        </w:numPr>
      </w:pPr>
      <w:bookmarkStart w:id="29" w:name="_Toc473560877"/>
      <w:bookmarkStart w:id="30" w:name="_Toc151714365"/>
      <w:bookmarkStart w:id="31" w:name="_Toc308175826"/>
      <w:bookmarkStart w:id="32" w:name="_Toc360188329"/>
      <w:r w:rsidRPr="002176B5">
        <w:t>1.4.</w:t>
      </w:r>
      <w:r w:rsidRPr="002176B5">
        <w:tab/>
        <w:t>C 03.00 – PODIELY A ÚROVNE KAPITÁLU (CA3)</w:t>
      </w:r>
      <w:bookmarkEnd w:id="29"/>
      <w:bookmarkEnd w:id="30"/>
      <w:bookmarkEnd w:id="31"/>
      <w:bookmarkEnd w:id="32"/>
    </w:p>
    <w:p w14:paraId="22993C7A" w14:textId="2416EFFF" w:rsidR="00CC7D2C" w:rsidRPr="002176B5" w:rsidRDefault="00CC7D2C" w:rsidP="00D1404A">
      <w:pPr>
        <w:pStyle w:val="Instructionsberschrift2"/>
        <w:numPr>
          <w:ilvl w:val="0"/>
          <w:numId w:val="0"/>
        </w:numPr>
      </w:pPr>
      <w:bookmarkStart w:id="33" w:name="_Toc308175827"/>
      <w:bookmarkStart w:id="34" w:name="_Toc310414972"/>
      <w:bookmarkStart w:id="35" w:name="_Toc360188330"/>
      <w:bookmarkStart w:id="36" w:name="_Toc473560878"/>
      <w:bookmarkStart w:id="37" w:name="_Toc151714366"/>
      <w:r w:rsidRPr="002176B5">
        <w:rPr>
          <w:u w:val="none"/>
        </w:rPr>
        <w:t>1.4.1.</w:t>
      </w:r>
      <w:r w:rsidRPr="002176B5">
        <w:tab/>
        <w:t xml:space="preserve">Pokyny týkajúce sa konkrétnych </w:t>
      </w:r>
      <w:bookmarkEnd w:id="33"/>
      <w:bookmarkEnd w:id="34"/>
      <w:r w:rsidRPr="002176B5">
        <w:t>pozícií</w:t>
      </w:r>
      <w:bookmarkEnd w:id="35"/>
      <w:bookmarkEnd w:id="36"/>
      <w:bookmarkEnd w:id="37"/>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3"/>
        <w:gridCol w:w="7620"/>
      </w:tblGrid>
      <w:tr w:rsidR="00CC7D2C" w:rsidRPr="002176B5" w14:paraId="21C5C6B1" w14:textId="77777777" w:rsidTr="00822842">
        <w:tc>
          <w:tcPr>
            <w:tcW w:w="8783" w:type="dxa"/>
            <w:gridSpan w:val="2"/>
            <w:shd w:val="clear" w:color="auto" w:fill="D9D9D9"/>
          </w:tcPr>
          <w:p w14:paraId="6BB1DF05" w14:textId="77777777" w:rsidR="00CC7D2C" w:rsidRPr="002176B5" w:rsidRDefault="00CC7D2C" w:rsidP="00320EFD">
            <w:pPr>
              <w:pStyle w:val="InstructionsText"/>
            </w:pPr>
            <w:r w:rsidRPr="002176B5">
              <w:t>Riadky</w:t>
            </w:r>
          </w:p>
        </w:tc>
      </w:tr>
      <w:tr w:rsidR="00CC7D2C" w:rsidRPr="002176B5" w14:paraId="0AA1FB0D" w14:textId="77777777" w:rsidTr="00822842">
        <w:tc>
          <w:tcPr>
            <w:tcW w:w="1163" w:type="dxa"/>
          </w:tcPr>
          <w:p w14:paraId="3B644227" w14:textId="77777777" w:rsidR="00CC7D2C" w:rsidRPr="002176B5" w:rsidRDefault="00CC7D2C" w:rsidP="00320EFD">
            <w:pPr>
              <w:pStyle w:val="InstructionsText"/>
            </w:pPr>
            <w:r w:rsidRPr="002176B5">
              <w:t>0010</w:t>
            </w:r>
          </w:p>
        </w:tc>
        <w:tc>
          <w:tcPr>
            <w:tcW w:w="7620" w:type="dxa"/>
          </w:tcPr>
          <w:p w14:paraId="104AA172" w14:textId="77777777" w:rsidR="00CC7D2C" w:rsidRPr="002176B5" w:rsidRDefault="00CC7D2C" w:rsidP="00320EFD">
            <w:pPr>
              <w:pStyle w:val="InstructionsText"/>
            </w:pPr>
            <w:r w:rsidRPr="002176B5">
              <w:rPr>
                <w:rStyle w:val="InstructionsTabelleberschrift"/>
                <w:rFonts w:ascii="Times New Roman" w:hAnsi="Times New Roman"/>
                <w:sz w:val="24"/>
              </w:rPr>
              <w:t>1.</w:t>
            </w:r>
            <w:r w:rsidRPr="002176B5">
              <w:tab/>
            </w:r>
            <w:r w:rsidRPr="002176B5">
              <w:rPr>
                <w:rStyle w:val="InstructionsTabelleberschrift"/>
                <w:rFonts w:ascii="Times New Roman" w:hAnsi="Times New Roman"/>
                <w:sz w:val="24"/>
              </w:rPr>
              <w:t>Podiel kapitálu CET1</w:t>
            </w:r>
          </w:p>
          <w:p w14:paraId="1A204CA3" w14:textId="77777777" w:rsidR="00CC7D2C" w:rsidRPr="002176B5" w:rsidRDefault="00CC7D2C" w:rsidP="00320EFD">
            <w:pPr>
              <w:pStyle w:val="InstructionsText"/>
            </w:pPr>
            <w:r w:rsidRPr="002176B5">
              <w:t>Článok 92 ods. 2 písm. a) nariadenia (EÚ) č. 575/2013</w:t>
            </w:r>
          </w:p>
          <w:p w14:paraId="6428C1DC" w14:textId="77777777" w:rsidR="00CC7D2C" w:rsidRPr="002176B5" w:rsidRDefault="00CC7D2C" w:rsidP="00320EFD">
            <w:pPr>
              <w:pStyle w:val="InstructionsText"/>
            </w:pPr>
            <w:r w:rsidRPr="002176B5">
              <w:t>Podiel kapitálu CET1 je kapitál CET1 inštitúcie vyjadrený ako percentuálny podiel celkovej hodnoty rizikovej expozície.</w:t>
            </w:r>
          </w:p>
        </w:tc>
      </w:tr>
      <w:tr w:rsidR="00CC7D2C" w:rsidRPr="002176B5" w14:paraId="3682C06B" w14:textId="77777777" w:rsidTr="00822842">
        <w:tc>
          <w:tcPr>
            <w:tcW w:w="1163" w:type="dxa"/>
          </w:tcPr>
          <w:p w14:paraId="0328EB4E" w14:textId="77777777" w:rsidR="00CC7D2C" w:rsidRPr="002176B5" w:rsidRDefault="00CC7D2C" w:rsidP="00320EFD">
            <w:pPr>
              <w:pStyle w:val="InstructionsText"/>
            </w:pPr>
            <w:r w:rsidRPr="002176B5">
              <w:t>0020</w:t>
            </w:r>
          </w:p>
        </w:tc>
        <w:tc>
          <w:tcPr>
            <w:tcW w:w="7620" w:type="dxa"/>
          </w:tcPr>
          <w:p w14:paraId="53D7D10C" w14:textId="77777777"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2.</w:t>
            </w:r>
            <w:r w:rsidRPr="002176B5">
              <w:tab/>
            </w:r>
            <w:r w:rsidRPr="002176B5">
              <w:rPr>
                <w:rStyle w:val="InstructionsTabelleberschrift"/>
                <w:rFonts w:ascii="Times New Roman" w:hAnsi="Times New Roman"/>
                <w:sz w:val="24"/>
              </w:rPr>
              <w:t>Nadbytok (+)/schodok (–) kapitálu CET1</w:t>
            </w:r>
          </w:p>
          <w:p w14:paraId="197B9EAB" w14:textId="1683AF7D" w:rsidR="00CC7D2C" w:rsidRPr="002176B5" w:rsidRDefault="00CC7D2C" w:rsidP="00320EFD">
            <w:pPr>
              <w:pStyle w:val="InstructionsText"/>
            </w:pPr>
            <w:r w:rsidRPr="002176B5">
              <w:t>Táto položka</w:t>
            </w:r>
            <w:r w:rsidR="002176B5">
              <w:t xml:space="preserve"> v </w:t>
            </w:r>
            <w:r w:rsidRPr="002176B5">
              <w:t>absolútnych číslach udáva hodnotu nadbytku alebo schodku kapitálu CET1</w:t>
            </w:r>
            <w:r w:rsidR="002176B5">
              <w:t xml:space="preserve"> v </w:t>
            </w:r>
            <w:r w:rsidRPr="002176B5">
              <w:t>súvislosti</w:t>
            </w:r>
            <w:r w:rsidR="002176B5">
              <w:t xml:space="preserve"> s </w:t>
            </w:r>
            <w:r w:rsidRPr="002176B5">
              <w:t>požiadavkou stanovenou</w:t>
            </w:r>
            <w:r w:rsidR="002176B5">
              <w:t xml:space="preserve"> v </w:t>
            </w:r>
            <w:r w:rsidRPr="002176B5">
              <w:t>článku 92 ods. 1 písm. a) nariadenia (EÚ) č. 575/2013 (4,5</w:t>
            </w:r>
            <w:r w:rsidR="002176B5">
              <w:t> %</w:t>
            </w:r>
            <w:r w:rsidRPr="002176B5">
              <w:t>), t. j. bez zohľadnenia kapitálových vankúšov</w:t>
            </w:r>
            <w:r w:rsidR="002176B5">
              <w:t xml:space="preserve"> a </w:t>
            </w:r>
            <w:r w:rsidRPr="002176B5">
              <w:t>prechodných ustanovení týkajúcich sa podielu.</w:t>
            </w:r>
          </w:p>
        </w:tc>
      </w:tr>
      <w:tr w:rsidR="00CC7D2C" w:rsidRPr="002176B5" w14:paraId="1005EC23" w14:textId="77777777" w:rsidTr="00822842">
        <w:tc>
          <w:tcPr>
            <w:tcW w:w="1163" w:type="dxa"/>
          </w:tcPr>
          <w:p w14:paraId="511C887C" w14:textId="77777777" w:rsidR="00CC7D2C" w:rsidRPr="002176B5" w:rsidRDefault="00CC7D2C" w:rsidP="00320EFD">
            <w:pPr>
              <w:pStyle w:val="InstructionsText"/>
            </w:pPr>
            <w:r w:rsidRPr="002176B5">
              <w:t>0030</w:t>
            </w:r>
          </w:p>
        </w:tc>
        <w:tc>
          <w:tcPr>
            <w:tcW w:w="7620" w:type="dxa"/>
          </w:tcPr>
          <w:p w14:paraId="4EACDF0D" w14:textId="77777777" w:rsidR="00CC7D2C" w:rsidRPr="002176B5" w:rsidRDefault="00CC7D2C" w:rsidP="00320EFD">
            <w:pPr>
              <w:pStyle w:val="InstructionsText"/>
            </w:pPr>
            <w:r w:rsidRPr="002176B5">
              <w:rPr>
                <w:rStyle w:val="InstructionsTabelleberschrift"/>
                <w:rFonts w:ascii="Times New Roman" w:hAnsi="Times New Roman"/>
                <w:sz w:val="24"/>
              </w:rPr>
              <w:t>3.</w:t>
            </w:r>
            <w:r w:rsidRPr="002176B5">
              <w:tab/>
            </w:r>
            <w:r w:rsidRPr="002176B5">
              <w:rPr>
                <w:rStyle w:val="InstructionsTabelleberschrift"/>
                <w:rFonts w:ascii="Times New Roman" w:hAnsi="Times New Roman"/>
                <w:sz w:val="24"/>
              </w:rPr>
              <w:t>Podiel kapitálu T1</w:t>
            </w:r>
          </w:p>
          <w:p w14:paraId="58F5E60A" w14:textId="77777777" w:rsidR="00CC7D2C" w:rsidRPr="002176B5" w:rsidRDefault="00CC7D2C" w:rsidP="00320EFD">
            <w:pPr>
              <w:pStyle w:val="InstructionsText"/>
            </w:pPr>
            <w:r w:rsidRPr="002176B5">
              <w:t>Článok 92 ods. 2 písm. b) nariadenia (EÚ) č. 575/2013</w:t>
            </w:r>
          </w:p>
          <w:p w14:paraId="6C86F22F" w14:textId="77777777" w:rsidR="00CC7D2C" w:rsidRPr="002176B5" w:rsidRDefault="00CC7D2C" w:rsidP="00320EFD">
            <w:pPr>
              <w:pStyle w:val="InstructionsText"/>
            </w:pPr>
            <w:r w:rsidRPr="002176B5">
              <w:t>Podiel kapitálu T1 je kapitál T1 inštitúcie vyjadrený ako percentuálny podiel celkovej hodnoty rizikovej expozície.</w:t>
            </w:r>
          </w:p>
        </w:tc>
      </w:tr>
      <w:tr w:rsidR="00CC7D2C" w:rsidRPr="002176B5" w14:paraId="69E6CBD9" w14:textId="77777777" w:rsidTr="00822842">
        <w:tc>
          <w:tcPr>
            <w:tcW w:w="1163" w:type="dxa"/>
          </w:tcPr>
          <w:p w14:paraId="4E40C651" w14:textId="77777777" w:rsidR="00CC7D2C" w:rsidRPr="002176B5" w:rsidRDefault="00CC7D2C" w:rsidP="00320EFD">
            <w:pPr>
              <w:pStyle w:val="InstructionsText"/>
            </w:pPr>
            <w:r w:rsidRPr="002176B5">
              <w:t>0040</w:t>
            </w:r>
          </w:p>
        </w:tc>
        <w:tc>
          <w:tcPr>
            <w:tcW w:w="7620" w:type="dxa"/>
          </w:tcPr>
          <w:p w14:paraId="2604F5D5" w14:textId="77777777" w:rsidR="00CC7D2C" w:rsidRPr="002176B5" w:rsidRDefault="00CC7D2C" w:rsidP="00320EFD">
            <w:pPr>
              <w:pStyle w:val="InstructionsText"/>
            </w:pPr>
            <w:r w:rsidRPr="002176B5">
              <w:rPr>
                <w:rStyle w:val="InstructionsTabelleberschrift"/>
                <w:rFonts w:ascii="Times New Roman" w:hAnsi="Times New Roman"/>
                <w:sz w:val="24"/>
              </w:rPr>
              <w:t>4.</w:t>
            </w:r>
            <w:r w:rsidRPr="002176B5">
              <w:tab/>
            </w:r>
            <w:r w:rsidRPr="002176B5">
              <w:rPr>
                <w:rStyle w:val="InstructionsTabelleberschrift"/>
                <w:rFonts w:ascii="Times New Roman" w:hAnsi="Times New Roman"/>
                <w:sz w:val="24"/>
              </w:rPr>
              <w:t>Nadbytok (+)/schodok (–) kapitálu T1</w:t>
            </w:r>
          </w:p>
          <w:p w14:paraId="2757AF24" w14:textId="18487ED6" w:rsidR="00CC7D2C" w:rsidRPr="002176B5" w:rsidRDefault="00CC7D2C" w:rsidP="00320EFD">
            <w:pPr>
              <w:pStyle w:val="InstructionsText"/>
            </w:pPr>
            <w:r w:rsidRPr="002176B5">
              <w:t>Táto položka</w:t>
            </w:r>
            <w:r w:rsidR="002176B5">
              <w:t xml:space="preserve"> v </w:t>
            </w:r>
            <w:r w:rsidRPr="002176B5">
              <w:t>absolútnych číslach udáva hodnotu nadbytku alebo schodku kapitálu T1</w:t>
            </w:r>
            <w:r w:rsidR="002176B5">
              <w:t xml:space="preserve"> v </w:t>
            </w:r>
            <w:r w:rsidRPr="002176B5">
              <w:t>súvislosti</w:t>
            </w:r>
            <w:r w:rsidR="002176B5">
              <w:t xml:space="preserve"> s </w:t>
            </w:r>
            <w:r w:rsidRPr="002176B5">
              <w:t>požiadavkou stanovenou</w:t>
            </w:r>
            <w:r w:rsidR="002176B5">
              <w:t xml:space="preserve"> v </w:t>
            </w:r>
            <w:r w:rsidRPr="002176B5">
              <w:t>článku 92 ods. 1 písm. b) nariadenia (EÚ) č. 575/2013 (6</w:t>
            </w:r>
            <w:r w:rsidR="002176B5">
              <w:t> %</w:t>
            </w:r>
            <w:r w:rsidRPr="002176B5">
              <w:t>), t. j. bez zohľadnenia kapitálových vankúšov</w:t>
            </w:r>
            <w:r w:rsidR="002176B5">
              <w:t xml:space="preserve"> a </w:t>
            </w:r>
            <w:r w:rsidRPr="002176B5">
              <w:t>prechodných ustanovení týkajúcich sa podielu.</w:t>
            </w:r>
          </w:p>
        </w:tc>
      </w:tr>
      <w:tr w:rsidR="00CC7D2C" w:rsidRPr="002176B5" w14:paraId="5A93B424" w14:textId="77777777" w:rsidTr="00822842">
        <w:tc>
          <w:tcPr>
            <w:tcW w:w="1163" w:type="dxa"/>
          </w:tcPr>
          <w:p w14:paraId="56272084" w14:textId="77777777" w:rsidR="00CC7D2C" w:rsidRPr="002176B5" w:rsidRDefault="00CC7D2C" w:rsidP="00320EFD">
            <w:pPr>
              <w:pStyle w:val="InstructionsText"/>
            </w:pPr>
            <w:r w:rsidRPr="002176B5">
              <w:t>0050</w:t>
            </w:r>
          </w:p>
        </w:tc>
        <w:tc>
          <w:tcPr>
            <w:tcW w:w="7620" w:type="dxa"/>
          </w:tcPr>
          <w:p w14:paraId="36175C3E" w14:textId="77777777" w:rsidR="00CC7D2C" w:rsidRPr="002176B5" w:rsidRDefault="00CC7D2C" w:rsidP="00320EFD">
            <w:pPr>
              <w:pStyle w:val="InstructionsText"/>
            </w:pPr>
            <w:r w:rsidRPr="002176B5">
              <w:rPr>
                <w:rStyle w:val="InstructionsTabelleberschrift"/>
                <w:rFonts w:ascii="Times New Roman" w:hAnsi="Times New Roman"/>
                <w:sz w:val="24"/>
              </w:rPr>
              <w:t>5.</w:t>
            </w:r>
            <w:r w:rsidRPr="002176B5">
              <w:tab/>
            </w:r>
            <w:r w:rsidRPr="002176B5">
              <w:rPr>
                <w:rStyle w:val="InstructionsTabelleberschrift"/>
                <w:rFonts w:ascii="Times New Roman" w:hAnsi="Times New Roman"/>
                <w:sz w:val="24"/>
              </w:rPr>
              <w:t>Celkový podiel kapitálu</w:t>
            </w:r>
          </w:p>
          <w:p w14:paraId="393A8CC4" w14:textId="77777777" w:rsidR="00CC7D2C" w:rsidRPr="002176B5" w:rsidRDefault="00CC7D2C" w:rsidP="00320EFD">
            <w:pPr>
              <w:pStyle w:val="InstructionsText"/>
            </w:pPr>
            <w:r w:rsidRPr="002176B5">
              <w:t>Článok 92 ods. 2 písm. c) nariadenia (EÚ) č. 575/2013</w:t>
            </w:r>
          </w:p>
          <w:p w14:paraId="163717AB" w14:textId="77777777" w:rsidR="00CC7D2C" w:rsidRPr="002176B5" w:rsidRDefault="00CC7D2C" w:rsidP="00320EFD">
            <w:pPr>
              <w:pStyle w:val="InstructionsText"/>
            </w:pPr>
            <w:r w:rsidRPr="002176B5">
              <w:lastRenderedPageBreak/>
              <w:t>Celkový podiel kapitálu sa rovná vlastným zdrojom inštitúcie vyjadreným ako percentuálny podiel celkovej hodnoty rizikovej expozície.</w:t>
            </w:r>
          </w:p>
        </w:tc>
      </w:tr>
      <w:tr w:rsidR="00CC7D2C" w:rsidRPr="002176B5" w14:paraId="604689C8" w14:textId="77777777" w:rsidTr="00822842">
        <w:tc>
          <w:tcPr>
            <w:tcW w:w="1163" w:type="dxa"/>
          </w:tcPr>
          <w:p w14:paraId="6F72ABAE" w14:textId="77777777" w:rsidR="00CC7D2C" w:rsidRPr="002176B5" w:rsidRDefault="00CC7D2C" w:rsidP="00320EFD">
            <w:pPr>
              <w:pStyle w:val="InstructionsText"/>
            </w:pPr>
            <w:r w:rsidRPr="002176B5">
              <w:lastRenderedPageBreak/>
              <w:t>0060</w:t>
            </w:r>
          </w:p>
        </w:tc>
        <w:tc>
          <w:tcPr>
            <w:tcW w:w="7620" w:type="dxa"/>
          </w:tcPr>
          <w:p w14:paraId="1D3133EA" w14:textId="77777777" w:rsidR="00CC7D2C" w:rsidRPr="002176B5" w:rsidRDefault="00CC7D2C" w:rsidP="00320EFD">
            <w:pPr>
              <w:pStyle w:val="InstructionsText"/>
            </w:pPr>
            <w:r w:rsidRPr="002176B5">
              <w:rPr>
                <w:rStyle w:val="InstructionsTabelleberschrift"/>
                <w:rFonts w:ascii="Times New Roman" w:hAnsi="Times New Roman"/>
                <w:sz w:val="24"/>
              </w:rPr>
              <w:t>6.</w:t>
            </w:r>
            <w:r w:rsidRPr="002176B5">
              <w:tab/>
            </w:r>
            <w:r w:rsidRPr="002176B5">
              <w:rPr>
                <w:rStyle w:val="InstructionsTabelleberschrift"/>
                <w:rFonts w:ascii="Times New Roman" w:hAnsi="Times New Roman"/>
                <w:sz w:val="24"/>
              </w:rPr>
              <w:t>Nadbytok (+)/schodok (–) celkového kapitálu</w:t>
            </w:r>
          </w:p>
          <w:p w14:paraId="03A15BAC" w14:textId="383CCCDE" w:rsidR="00CC7D2C" w:rsidRPr="002176B5" w:rsidRDefault="00CC7D2C" w:rsidP="00320EFD">
            <w:pPr>
              <w:pStyle w:val="InstructionsText"/>
            </w:pPr>
            <w:r w:rsidRPr="002176B5">
              <w:t>Táto položka</w:t>
            </w:r>
            <w:r w:rsidR="002176B5">
              <w:t xml:space="preserve"> v </w:t>
            </w:r>
            <w:r w:rsidRPr="002176B5">
              <w:t>absolútnych číslach udáva hodnotu nadbytku alebo schodku vlastných zdrojov</w:t>
            </w:r>
            <w:r w:rsidR="002176B5">
              <w:t xml:space="preserve"> v </w:t>
            </w:r>
            <w:r w:rsidRPr="002176B5">
              <w:t>súvislosti</w:t>
            </w:r>
            <w:r w:rsidR="002176B5">
              <w:t xml:space="preserve"> s </w:t>
            </w:r>
            <w:r w:rsidRPr="002176B5">
              <w:t>požiadavkou stanovenou</w:t>
            </w:r>
            <w:r w:rsidR="002176B5">
              <w:t xml:space="preserve"> v </w:t>
            </w:r>
            <w:r w:rsidRPr="002176B5">
              <w:t>článku 92 ods. 1 písm. c) nariadenia (EÚ) č. 575/2013 (8</w:t>
            </w:r>
            <w:r w:rsidR="002176B5">
              <w:t> %</w:t>
            </w:r>
            <w:r w:rsidRPr="002176B5">
              <w:t>), t. j. bez zohľadnenia kapitálových vankúšov</w:t>
            </w:r>
            <w:r w:rsidR="002176B5">
              <w:t xml:space="preserve"> a </w:t>
            </w:r>
            <w:r w:rsidRPr="002176B5">
              <w:t>prechodných ustanovení týkajúcich sa podielu.</w:t>
            </w:r>
          </w:p>
        </w:tc>
      </w:tr>
      <w:tr w:rsidR="00CC7D2C" w:rsidRPr="002176B5" w14:paraId="0DAE5A99" w14:textId="77777777" w:rsidTr="00822842">
        <w:tc>
          <w:tcPr>
            <w:tcW w:w="1163" w:type="dxa"/>
          </w:tcPr>
          <w:p w14:paraId="0D20B59F" w14:textId="77777777" w:rsidR="00CC7D2C" w:rsidRPr="002176B5" w:rsidRDefault="00CC7D2C" w:rsidP="00320EFD">
            <w:pPr>
              <w:pStyle w:val="InstructionsText"/>
            </w:pPr>
            <w:r w:rsidRPr="002176B5">
              <w:t>0070</w:t>
            </w:r>
          </w:p>
        </w:tc>
        <w:tc>
          <w:tcPr>
            <w:tcW w:w="7620" w:type="dxa"/>
          </w:tcPr>
          <w:p w14:paraId="3AE440D2" w14:textId="77777777"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7.          Podiel kapitálu CET1 so zreteľom na TREA bez spodnej hranice</w:t>
            </w:r>
          </w:p>
          <w:p w14:paraId="61978AA2" w14:textId="1AFFE4B9" w:rsidR="00CC7D2C" w:rsidRPr="002176B5" w:rsidRDefault="00CC7D2C" w:rsidP="00320EFD">
            <w:pPr>
              <w:pStyle w:val="InstructionsText"/>
              <w:rPr>
                <w:rStyle w:val="InstructionsTabelleberschrift"/>
                <w:rFonts w:ascii="Times New Roman" w:hAnsi="Times New Roman"/>
                <w:sz w:val="24"/>
              </w:rPr>
            </w:pPr>
            <w:r w:rsidRPr="002176B5">
              <w:t>Podiel kapitálu CET1</w:t>
            </w:r>
            <w:r w:rsidR="002176B5">
              <w:t xml:space="preserve"> v </w:t>
            </w:r>
            <w:r w:rsidRPr="002176B5">
              <w:t>zmysle vymedzenia</w:t>
            </w:r>
            <w:r w:rsidR="002176B5">
              <w:t xml:space="preserve"> v </w:t>
            </w:r>
            <w:r w:rsidRPr="002176B5">
              <w:t>článku 92 ods. 2 písm. a) nariadenia (EÚ) č. 575/2013 vyjadrený ako percentuálny podiel celkovej hodnoty rizikovej expozície vypočítaný</w:t>
            </w:r>
            <w:r w:rsidR="002176B5">
              <w:t xml:space="preserve"> v </w:t>
            </w:r>
            <w:r w:rsidRPr="002176B5">
              <w:t>súlade</w:t>
            </w:r>
            <w:r w:rsidR="002176B5">
              <w:t xml:space="preserve"> s </w:t>
            </w:r>
            <w:r w:rsidRPr="002176B5">
              <w:t>článkom 92 ods. 4 nariadenia (EÚ) č. 575/2013.</w:t>
            </w:r>
          </w:p>
        </w:tc>
      </w:tr>
      <w:tr w:rsidR="00CC7D2C" w:rsidRPr="002176B5" w14:paraId="717A56E9" w14:textId="77777777" w:rsidTr="00822842">
        <w:tc>
          <w:tcPr>
            <w:tcW w:w="1163" w:type="dxa"/>
          </w:tcPr>
          <w:p w14:paraId="74D648B7" w14:textId="77777777" w:rsidR="00CC7D2C" w:rsidRPr="002176B5" w:rsidRDefault="00CC7D2C" w:rsidP="00320EFD">
            <w:pPr>
              <w:pStyle w:val="InstructionsText"/>
            </w:pPr>
            <w:r w:rsidRPr="002176B5">
              <w:t>0080</w:t>
            </w:r>
          </w:p>
        </w:tc>
        <w:tc>
          <w:tcPr>
            <w:tcW w:w="7620" w:type="dxa"/>
          </w:tcPr>
          <w:p w14:paraId="5BB089F7" w14:textId="77777777"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8.          Podiel kapitálu T1 so zreteľom na TREA bez spodnej hranice</w:t>
            </w:r>
          </w:p>
          <w:p w14:paraId="1EA9C1BE" w14:textId="06002B96" w:rsidR="00CC7D2C" w:rsidRPr="002176B5" w:rsidRDefault="00CC7D2C" w:rsidP="00320EFD">
            <w:pPr>
              <w:pStyle w:val="InstructionsText"/>
              <w:rPr>
                <w:rStyle w:val="InstructionsTabelleberschrift"/>
                <w:rFonts w:ascii="Times New Roman" w:hAnsi="Times New Roman"/>
                <w:sz w:val="24"/>
              </w:rPr>
            </w:pPr>
            <w:r w:rsidRPr="002176B5">
              <w:t>Podiel kapitálu T1</w:t>
            </w:r>
            <w:r w:rsidR="002176B5">
              <w:t xml:space="preserve"> v </w:t>
            </w:r>
            <w:r w:rsidRPr="002176B5">
              <w:t>zmysle vymedzenia</w:t>
            </w:r>
            <w:r w:rsidR="002176B5">
              <w:t xml:space="preserve"> v </w:t>
            </w:r>
            <w:r w:rsidRPr="002176B5">
              <w:t>článku 92 ods. 2 písm. b) nariadenia (EÚ) č. 575/2013 vyjadrený ako percentuálny podiel celkovej hodnoty rizikovej expozície vypočítaný</w:t>
            </w:r>
            <w:r w:rsidR="002176B5">
              <w:t xml:space="preserve"> v </w:t>
            </w:r>
            <w:r w:rsidRPr="002176B5">
              <w:t>súlade</w:t>
            </w:r>
            <w:r w:rsidR="002176B5">
              <w:t xml:space="preserve"> s </w:t>
            </w:r>
            <w:r w:rsidRPr="002176B5">
              <w:t>článkom 92 ods. 4 nariadenia (EÚ) č. 575/2013.</w:t>
            </w:r>
          </w:p>
        </w:tc>
      </w:tr>
      <w:tr w:rsidR="00CC7D2C" w:rsidRPr="002176B5" w14:paraId="797CB102" w14:textId="77777777" w:rsidTr="00822842">
        <w:tc>
          <w:tcPr>
            <w:tcW w:w="1163" w:type="dxa"/>
          </w:tcPr>
          <w:p w14:paraId="7D650E05" w14:textId="77777777" w:rsidR="00CC7D2C" w:rsidRPr="002176B5" w:rsidRDefault="00CC7D2C" w:rsidP="00320EFD">
            <w:pPr>
              <w:pStyle w:val="InstructionsText"/>
            </w:pPr>
            <w:r w:rsidRPr="002176B5">
              <w:t>0090</w:t>
            </w:r>
          </w:p>
        </w:tc>
        <w:tc>
          <w:tcPr>
            <w:tcW w:w="7620" w:type="dxa"/>
          </w:tcPr>
          <w:p w14:paraId="28D7CCE1" w14:textId="77777777"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9.          Celkový podiel kapitálu so zreteľom na TREA bez spodnej hranice</w:t>
            </w:r>
          </w:p>
          <w:p w14:paraId="79DB9F56" w14:textId="461D7A0F" w:rsidR="00CC7D2C" w:rsidRPr="002176B5" w:rsidRDefault="00CC7D2C" w:rsidP="00320EFD">
            <w:pPr>
              <w:pStyle w:val="InstructionsText"/>
              <w:rPr>
                <w:rStyle w:val="InstructionsTabelleberschrift"/>
                <w:rFonts w:ascii="Times New Roman" w:hAnsi="Times New Roman"/>
                <w:sz w:val="24"/>
              </w:rPr>
            </w:pPr>
            <w:r w:rsidRPr="002176B5">
              <w:t>Celkový podiel kapitálu</w:t>
            </w:r>
            <w:r w:rsidR="002176B5">
              <w:t xml:space="preserve"> v </w:t>
            </w:r>
            <w:r w:rsidRPr="002176B5">
              <w:t>zmysle vymedzenia</w:t>
            </w:r>
            <w:r w:rsidR="002176B5">
              <w:t xml:space="preserve"> v </w:t>
            </w:r>
            <w:r w:rsidRPr="002176B5">
              <w:t>článku 92 ods. 2 písm. c) nariadenia (EÚ) č. 575/2013 vyjadrený ako percentuálny podiel celkovej hodnoty rizikovej expozície vypočítaný</w:t>
            </w:r>
            <w:r w:rsidR="002176B5">
              <w:t xml:space="preserve"> v </w:t>
            </w:r>
            <w:r w:rsidRPr="002176B5">
              <w:t>súlade</w:t>
            </w:r>
            <w:r w:rsidR="002176B5">
              <w:t xml:space="preserve"> s </w:t>
            </w:r>
            <w:r w:rsidRPr="002176B5">
              <w:t>článkom 92 ods. 4 nariadenia (EÚ) č. 575/2013.</w:t>
            </w:r>
          </w:p>
        </w:tc>
      </w:tr>
      <w:tr w:rsidR="00CC7D2C" w:rsidRPr="002176B5" w14:paraId="73FC1E78" w14:textId="77777777" w:rsidTr="00822842">
        <w:tc>
          <w:tcPr>
            <w:tcW w:w="1163" w:type="dxa"/>
          </w:tcPr>
          <w:p w14:paraId="3F9F82DA" w14:textId="77777777" w:rsidR="00CC7D2C" w:rsidRPr="002176B5" w:rsidRDefault="00CC7D2C" w:rsidP="00320EFD">
            <w:pPr>
              <w:pStyle w:val="InstructionsText"/>
            </w:pPr>
            <w:r w:rsidRPr="002176B5">
              <w:t>0130</w:t>
            </w:r>
          </w:p>
        </w:tc>
        <w:tc>
          <w:tcPr>
            <w:tcW w:w="7620" w:type="dxa"/>
          </w:tcPr>
          <w:p w14:paraId="656BB90A" w14:textId="03AEC57D" w:rsidR="00CC7D2C" w:rsidRPr="002176B5" w:rsidRDefault="00CC7D2C" w:rsidP="00320EFD">
            <w:pPr>
              <w:pStyle w:val="InstructionsText"/>
              <w:rPr>
                <w:rStyle w:val="InstructionsTabelleberschrift"/>
                <w:rFonts w:ascii="Times New Roman" w:hAnsi="Times New Roman"/>
                <w:bCs w:val="0"/>
                <w:sz w:val="24"/>
              </w:rPr>
            </w:pPr>
            <w:r w:rsidRPr="002176B5">
              <w:rPr>
                <w:rStyle w:val="InstructionsTabelleberschrift"/>
                <w:rFonts w:ascii="Times New Roman" w:hAnsi="Times New Roman"/>
                <w:sz w:val="24"/>
              </w:rPr>
              <w:t>13.</w:t>
            </w:r>
            <w:r w:rsidRPr="002176B5">
              <w:tab/>
            </w:r>
            <w:r w:rsidRPr="002176B5">
              <w:rPr>
                <w:rStyle w:val="InstructionsTabelleberschrift"/>
                <w:rFonts w:ascii="Times New Roman" w:hAnsi="Times New Roman"/>
                <w:sz w:val="24"/>
              </w:rPr>
              <w:t>Podiel celkovej kapitálovej požiadavky</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rámci SREP (TSCR)</w:t>
            </w:r>
          </w:p>
          <w:p w14:paraId="422D18B0" w14:textId="1707ECFD" w:rsidR="00CC7D2C" w:rsidRPr="002176B5" w:rsidRDefault="00CC7D2C" w:rsidP="00320EFD">
            <w:pPr>
              <w:pStyle w:val="InstructionsText"/>
            </w:pPr>
            <w:r w:rsidRPr="002176B5">
              <w:t>Súčet bodov i)</w:t>
            </w:r>
            <w:r w:rsidR="002176B5">
              <w:t xml:space="preserve"> a </w:t>
            </w:r>
            <w:r w:rsidRPr="002176B5">
              <w:t>ii) takto:</w:t>
            </w:r>
          </w:p>
          <w:p w14:paraId="6FC4CB24" w14:textId="12F17079" w:rsidR="002176B5" w:rsidRDefault="00CC7D2C" w:rsidP="00320EFD">
            <w:pPr>
              <w:pStyle w:val="InstructionsText"/>
            </w:pPr>
            <w:r w:rsidRPr="002176B5">
              <w:t>celkový podiel kapitálu (8</w:t>
            </w:r>
            <w:r w:rsidR="002176B5">
              <w:t> %</w:t>
            </w:r>
            <w:r w:rsidRPr="002176B5">
              <w:t>), ako je stanovené</w:t>
            </w:r>
            <w:r w:rsidR="002176B5">
              <w:t xml:space="preserve"> v </w:t>
            </w:r>
            <w:r w:rsidRPr="002176B5">
              <w:t>článku 92 ods. 1 písm. c) nariadenia (EÚ) č. 575/2013</w:t>
            </w:r>
            <w:r w:rsidR="002176B5">
              <w:t>;</w:t>
            </w:r>
          </w:p>
          <w:p w14:paraId="72877665" w14:textId="33B4DA9A" w:rsidR="00CC7D2C" w:rsidRPr="002176B5" w:rsidRDefault="00CC7D2C" w:rsidP="00320EFD">
            <w:pPr>
              <w:pStyle w:val="InstructionsText"/>
            </w:pPr>
            <w:r w:rsidRPr="002176B5">
              <w:t>dodatočné požiadavky na vlastné zdroje (požiadavky piliera 2 – P2R) uvedené</w:t>
            </w:r>
            <w:r w:rsidR="002176B5">
              <w:t xml:space="preserve"> v </w:t>
            </w:r>
            <w:r w:rsidRPr="002176B5">
              <w:t>článku 104 ods. 1 písm. a) smernice 2013/36/EÚ, vyjadrené ako pomer. Určujú sa</w:t>
            </w:r>
            <w:r w:rsidR="002176B5">
              <w:t xml:space="preserve"> v </w:t>
            </w:r>
            <w:r w:rsidRPr="002176B5">
              <w:t>súlade</w:t>
            </w:r>
            <w:r w:rsidR="002176B5">
              <w:t xml:space="preserve"> s </w:t>
            </w:r>
            <w:r w:rsidRPr="002176B5">
              <w:t>kritériami stanovenými</w:t>
            </w:r>
            <w:r w:rsidR="002176B5">
              <w:t xml:space="preserve"> v </w:t>
            </w:r>
            <w:r w:rsidRPr="002176B5">
              <w:t xml:space="preserve">dokumente </w:t>
            </w:r>
            <w:r w:rsidRPr="002176B5">
              <w:rPr>
                <w:i/>
              </w:rPr>
              <w:t xml:space="preserve">EBA </w:t>
            </w:r>
            <w:proofErr w:type="spellStart"/>
            <w:r w:rsidRPr="002176B5">
              <w:rPr>
                <w:i/>
              </w:rPr>
              <w:t>Guidelines</w:t>
            </w:r>
            <w:proofErr w:type="spellEnd"/>
            <w:r w:rsidRPr="002176B5">
              <w:rPr>
                <w:i/>
              </w:rPr>
              <w:t xml:space="preserve"> on </w:t>
            </w:r>
            <w:proofErr w:type="spellStart"/>
            <w:r w:rsidRPr="002176B5">
              <w:rPr>
                <w:i/>
              </w:rPr>
              <w:t>common</w:t>
            </w:r>
            <w:proofErr w:type="spellEnd"/>
            <w:r w:rsidRPr="002176B5">
              <w:rPr>
                <w:i/>
              </w:rPr>
              <w:t xml:space="preserve"> </w:t>
            </w:r>
            <w:proofErr w:type="spellStart"/>
            <w:r w:rsidRPr="002176B5">
              <w:rPr>
                <w:i/>
              </w:rPr>
              <w:t>procedures</w:t>
            </w:r>
            <w:proofErr w:type="spellEnd"/>
            <w:r w:rsidRPr="002176B5">
              <w:rPr>
                <w:i/>
              </w:rPr>
              <w:t xml:space="preserve"> and </w:t>
            </w:r>
            <w:proofErr w:type="spellStart"/>
            <w:r w:rsidRPr="002176B5">
              <w:rPr>
                <w:i/>
              </w:rPr>
              <w:t>methodologies</w:t>
            </w:r>
            <w:proofErr w:type="spellEnd"/>
            <w:r w:rsidRPr="002176B5">
              <w:rPr>
                <w:i/>
              </w:rPr>
              <w:t xml:space="preserve"> </w:t>
            </w:r>
            <w:proofErr w:type="spellStart"/>
            <w:r w:rsidRPr="002176B5">
              <w:rPr>
                <w:i/>
              </w:rPr>
              <w:t>for</w:t>
            </w:r>
            <w:proofErr w:type="spellEnd"/>
            <w:r w:rsidRPr="002176B5">
              <w:rPr>
                <w:i/>
              </w:rPr>
              <w:t xml:space="preserve"> </w:t>
            </w:r>
            <w:proofErr w:type="spellStart"/>
            <w:r w:rsidRPr="002176B5">
              <w:rPr>
                <w:i/>
              </w:rPr>
              <w:t>the</w:t>
            </w:r>
            <w:proofErr w:type="spellEnd"/>
            <w:r w:rsidRPr="002176B5">
              <w:rPr>
                <w:i/>
              </w:rPr>
              <w:t xml:space="preserve"> </w:t>
            </w:r>
            <w:proofErr w:type="spellStart"/>
            <w:r w:rsidRPr="002176B5">
              <w:rPr>
                <w:i/>
              </w:rPr>
              <w:t>supervisory</w:t>
            </w:r>
            <w:proofErr w:type="spellEnd"/>
            <w:r w:rsidRPr="002176B5">
              <w:rPr>
                <w:i/>
              </w:rPr>
              <w:t xml:space="preserve"> </w:t>
            </w:r>
            <w:proofErr w:type="spellStart"/>
            <w:r w:rsidRPr="002176B5">
              <w:rPr>
                <w:i/>
              </w:rPr>
              <w:t>review</w:t>
            </w:r>
            <w:proofErr w:type="spellEnd"/>
            <w:r w:rsidRPr="002176B5">
              <w:rPr>
                <w:i/>
              </w:rPr>
              <w:t xml:space="preserve"> and </w:t>
            </w:r>
            <w:proofErr w:type="spellStart"/>
            <w:r w:rsidRPr="002176B5">
              <w:rPr>
                <w:i/>
              </w:rPr>
              <w:t>evaluation</w:t>
            </w:r>
            <w:proofErr w:type="spellEnd"/>
            <w:r w:rsidRPr="002176B5">
              <w:rPr>
                <w:i/>
              </w:rPr>
              <w:t xml:space="preserve"> </w:t>
            </w:r>
            <w:proofErr w:type="spellStart"/>
            <w:r w:rsidRPr="002176B5">
              <w:rPr>
                <w:i/>
              </w:rPr>
              <w:t>process</w:t>
            </w:r>
            <w:proofErr w:type="spellEnd"/>
            <w:r w:rsidRPr="002176B5">
              <w:rPr>
                <w:i/>
              </w:rPr>
              <w:t xml:space="preserve"> and </w:t>
            </w:r>
            <w:proofErr w:type="spellStart"/>
            <w:r w:rsidRPr="002176B5">
              <w:rPr>
                <w:i/>
              </w:rPr>
              <w:t>supervisory</w:t>
            </w:r>
            <w:proofErr w:type="spellEnd"/>
            <w:r w:rsidRPr="002176B5">
              <w:rPr>
                <w:i/>
              </w:rPr>
              <w:t xml:space="preserve"> </w:t>
            </w:r>
            <w:proofErr w:type="spellStart"/>
            <w:r w:rsidRPr="002176B5">
              <w:rPr>
                <w:i/>
              </w:rPr>
              <w:t>stress</w:t>
            </w:r>
            <w:proofErr w:type="spellEnd"/>
            <w:r w:rsidRPr="002176B5">
              <w:rPr>
                <w:i/>
              </w:rPr>
              <w:t xml:space="preserve"> </w:t>
            </w:r>
            <w:proofErr w:type="spellStart"/>
            <w:r w:rsidRPr="002176B5">
              <w:rPr>
                <w:i/>
              </w:rPr>
              <w:t>testing</w:t>
            </w:r>
            <w:proofErr w:type="spellEnd"/>
            <w:r w:rsidRPr="002176B5">
              <w:t xml:space="preserve"> (Usmernenia EBA</w:t>
            </w:r>
            <w:r w:rsidR="002176B5">
              <w:t xml:space="preserve"> o </w:t>
            </w:r>
            <w:r w:rsidRPr="002176B5">
              <w:t>spoločných postupoch</w:t>
            </w:r>
            <w:r w:rsidR="002176B5">
              <w:t xml:space="preserve"> a </w:t>
            </w:r>
            <w:r w:rsidRPr="002176B5">
              <w:t>metodikách pre postup preskúmania</w:t>
            </w:r>
            <w:r w:rsidR="002176B5">
              <w:t xml:space="preserve"> a </w:t>
            </w:r>
            <w:r w:rsidRPr="002176B5">
              <w:t>hodnotenia orgánmi dohľadu</w:t>
            </w:r>
            <w:r w:rsidR="002176B5">
              <w:t xml:space="preserve"> a </w:t>
            </w:r>
            <w:r w:rsidRPr="002176B5">
              <w:t>stresové testovanie orgánmi dohľadu) (EBA SREP GL).</w:t>
            </w:r>
          </w:p>
          <w:p w14:paraId="51D5EDB6" w14:textId="0E156DB0" w:rsidR="00CC7D2C" w:rsidRPr="002176B5" w:rsidRDefault="00CC7D2C" w:rsidP="00320EFD">
            <w:pPr>
              <w:pStyle w:val="InstructionsText"/>
            </w:pPr>
            <w:r w:rsidRPr="002176B5">
              <w:t>Táto položka odráža podiel celkovej kapitálovej požiadavky</w:t>
            </w:r>
            <w:r w:rsidR="002176B5">
              <w:t xml:space="preserve"> v </w:t>
            </w:r>
            <w:r w:rsidRPr="002176B5">
              <w:t>rámci SREP (TSCR) tak, ako ho inštitúcii oznámil príslušný orgán. TSCR je vymedzený</w:t>
            </w:r>
            <w:r w:rsidR="002176B5">
              <w:t xml:space="preserve"> v </w:t>
            </w:r>
            <w:r w:rsidRPr="002176B5">
              <w:t>oddieloch 7.4</w:t>
            </w:r>
            <w:r w:rsidR="002176B5">
              <w:t xml:space="preserve"> a </w:t>
            </w:r>
            <w:r w:rsidRPr="002176B5">
              <w:t>7.5 dokumentu EBA SREP GL.</w:t>
            </w:r>
          </w:p>
          <w:p w14:paraId="4308662E" w14:textId="77777777" w:rsidR="002176B5" w:rsidRDefault="00CC7D2C" w:rsidP="00320EFD">
            <w:pPr>
              <w:pStyle w:val="InstructionsText"/>
            </w:pPr>
            <w:r w:rsidRPr="002176B5">
              <w:t>Ak príslušný orgán neoznámil žiadne požiadavky na dodatočné vlastné zdroje, vykazuje sa iba bod i)</w:t>
            </w:r>
            <w:r w:rsidR="002176B5">
              <w:t>.</w:t>
            </w:r>
          </w:p>
          <w:p w14:paraId="72F84D88" w14:textId="45863ADD" w:rsidR="00CC7D2C" w:rsidRPr="002176B5" w:rsidRDefault="00CC7D2C" w:rsidP="00320EFD">
            <w:pPr>
              <w:pStyle w:val="InstructionsText"/>
            </w:pPr>
            <w:r w:rsidRPr="002176B5">
              <w:t>Ak je inštitúcia viazaná spodnou hranicou pre výstupné hodnoty, vykazované údaje predstavujú TSCR požadovanú na plnenie požiadaviek</w:t>
            </w:r>
            <w:r w:rsidR="002176B5">
              <w:t xml:space="preserve"> k </w:t>
            </w:r>
            <w:r w:rsidRPr="002176B5">
              <w:t>dátumu vykazovania, pričom sa zohľadňujú ustanovenia článku 104a ods. 6 smernice 2013/36/EÚ.</w:t>
            </w:r>
          </w:p>
          <w:p w14:paraId="3AC35E0E" w14:textId="77777777" w:rsidR="00CC7D2C" w:rsidRPr="002176B5" w:rsidRDefault="00CC7D2C" w:rsidP="00320EFD">
            <w:pPr>
              <w:pStyle w:val="InstructionsText"/>
              <w:rPr>
                <w:rStyle w:val="InstructionsTabelleberschrift"/>
                <w:rFonts w:ascii="Times New Roman" w:hAnsi="Times New Roman"/>
                <w:b w:val="0"/>
                <w:bCs w:val="0"/>
                <w:sz w:val="24"/>
                <w:u w:val="none"/>
              </w:rPr>
            </w:pPr>
          </w:p>
        </w:tc>
      </w:tr>
      <w:tr w:rsidR="00CC7D2C" w:rsidRPr="002176B5" w14:paraId="7CE0B662" w14:textId="77777777" w:rsidTr="00822842">
        <w:tc>
          <w:tcPr>
            <w:tcW w:w="1163" w:type="dxa"/>
          </w:tcPr>
          <w:p w14:paraId="2A29C433" w14:textId="77777777" w:rsidR="00CC7D2C" w:rsidRPr="002176B5" w:rsidRDefault="00CC7D2C" w:rsidP="00320EFD">
            <w:pPr>
              <w:pStyle w:val="InstructionsText"/>
            </w:pPr>
            <w:r w:rsidRPr="002176B5">
              <w:lastRenderedPageBreak/>
              <w:t>0140</w:t>
            </w:r>
          </w:p>
        </w:tc>
        <w:tc>
          <w:tcPr>
            <w:tcW w:w="7620" w:type="dxa"/>
          </w:tcPr>
          <w:p w14:paraId="6CD80181" w14:textId="77777777" w:rsid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13.*</w:t>
            </w:r>
            <w:r w:rsidRPr="002176B5">
              <w:tab/>
            </w:r>
            <w:r w:rsidRPr="002176B5">
              <w:rPr>
                <w:rStyle w:val="InstructionsTabelleberschrift"/>
                <w:rFonts w:ascii="Times New Roman" w:hAnsi="Times New Roman"/>
                <w:sz w:val="24"/>
              </w:rPr>
              <w:t>TSCR: má byť tvorený kapitálom CET1</w:t>
            </w:r>
          </w:p>
          <w:p w14:paraId="28F90F3C" w14:textId="6D623D56" w:rsidR="00CC7D2C" w:rsidRPr="002176B5" w:rsidRDefault="00CC7D2C" w:rsidP="00320EFD">
            <w:pPr>
              <w:pStyle w:val="InstructionsText"/>
            </w:pPr>
            <w:r w:rsidRPr="002176B5">
              <w:t>Súčet bodov i)</w:t>
            </w:r>
            <w:r w:rsidR="002176B5">
              <w:t xml:space="preserve"> a </w:t>
            </w:r>
            <w:r w:rsidRPr="002176B5">
              <w:t>ii) takto:</w:t>
            </w:r>
          </w:p>
          <w:p w14:paraId="75CA447D" w14:textId="37526EF4" w:rsidR="00CC7D2C" w:rsidRPr="002176B5" w:rsidRDefault="00CC7D2C" w:rsidP="00320EFD">
            <w:pPr>
              <w:pStyle w:val="InstructionsText"/>
              <w:numPr>
                <w:ilvl w:val="0"/>
                <w:numId w:val="20"/>
              </w:numPr>
            </w:pPr>
            <w:r w:rsidRPr="002176B5">
              <w:t>podiel kapitálu CET1 (4,5</w:t>
            </w:r>
            <w:r w:rsidR="002176B5">
              <w:t> %</w:t>
            </w:r>
            <w:r w:rsidRPr="002176B5">
              <w:t>), ako je stanovené</w:t>
            </w:r>
            <w:r w:rsidR="002176B5">
              <w:t xml:space="preserve"> v </w:t>
            </w:r>
            <w:r w:rsidRPr="002176B5">
              <w:t>článku 92 ods. 1 písm. a) nariadenia (EÚ) č. 575/2013;</w:t>
            </w:r>
          </w:p>
          <w:p w14:paraId="6BB26B7D" w14:textId="5A6CA74A" w:rsidR="00CC7D2C" w:rsidRPr="002176B5" w:rsidRDefault="00CC7D2C" w:rsidP="00320EFD">
            <w:pPr>
              <w:pStyle w:val="InstructionsText"/>
              <w:numPr>
                <w:ilvl w:val="0"/>
                <w:numId w:val="20"/>
              </w:numPr>
              <w:rPr>
                <w:b/>
                <w:bCs/>
                <w:u w:val="single"/>
              </w:rPr>
            </w:pPr>
            <w:r w:rsidRPr="002176B5">
              <w:t>časť podielu P2R uvedeného</w:t>
            </w:r>
            <w:r w:rsidR="002176B5">
              <w:t xml:space="preserve"> v </w:t>
            </w:r>
            <w:r w:rsidRPr="002176B5">
              <w:t>riadku 0130 bode ii), ktorý na základe požiadavky príslušného orgánu musí byť držaný</w:t>
            </w:r>
            <w:r w:rsidR="002176B5">
              <w:t xml:space="preserve"> v </w:t>
            </w:r>
            <w:r w:rsidRPr="002176B5">
              <w:t>podobe kapitálu CET1.</w:t>
            </w:r>
          </w:p>
          <w:p w14:paraId="4B547254" w14:textId="4F79A0DD" w:rsidR="002176B5" w:rsidRDefault="00CC7D2C" w:rsidP="00320EFD">
            <w:pPr>
              <w:pStyle w:val="InstructionsText"/>
            </w:pPr>
            <w:r w:rsidRPr="002176B5">
              <w:t>Ak príslušný orgán neoznámil žiadne požiadavky na dodatočné vlastné zdroje, ktoré sa majú držať</w:t>
            </w:r>
            <w:r w:rsidR="002176B5">
              <w:t xml:space="preserve"> v </w:t>
            </w:r>
            <w:r w:rsidRPr="002176B5">
              <w:t>podobe kapitálu CET1, vykazuje sa iba bod i)</w:t>
            </w:r>
            <w:r w:rsidR="002176B5">
              <w:t>.</w:t>
            </w:r>
          </w:p>
          <w:p w14:paraId="4757583B" w14:textId="44CCC826" w:rsidR="00CC7D2C" w:rsidRPr="002176B5" w:rsidRDefault="00CC7D2C" w:rsidP="00320EFD">
            <w:pPr>
              <w:pStyle w:val="InstructionsText"/>
              <w:rPr>
                <w:rStyle w:val="InstructionsTabelleberschrift"/>
                <w:rFonts w:ascii="Times New Roman" w:hAnsi="Times New Roman"/>
                <w:sz w:val="24"/>
              </w:rPr>
            </w:pPr>
            <w:r w:rsidRPr="002176B5">
              <w:t>Ak je inštitúcia viazaná spodnou hranicou pre výstupné hodnoty, vykazované údaje predstavujú TSCR požadovanú na plnenie požiadaviek</w:t>
            </w:r>
            <w:r w:rsidR="002176B5">
              <w:t xml:space="preserve"> k </w:t>
            </w:r>
            <w:r w:rsidRPr="002176B5">
              <w:t>dátumu vykazovania, pričom sa zohľadňujú ustanovenia článku 104a ods. 6 smernice 2013/36/EÚ.</w:t>
            </w:r>
          </w:p>
        </w:tc>
      </w:tr>
      <w:tr w:rsidR="00CC7D2C" w:rsidRPr="002176B5" w14:paraId="7C142038" w14:textId="77777777" w:rsidTr="00822842">
        <w:tc>
          <w:tcPr>
            <w:tcW w:w="1163" w:type="dxa"/>
          </w:tcPr>
          <w:p w14:paraId="53C1BD78" w14:textId="77777777" w:rsidR="00CC7D2C" w:rsidRPr="002176B5" w:rsidRDefault="00CC7D2C" w:rsidP="00320EFD">
            <w:pPr>
              <w:pStyle w:val="InstructionsText"/>
            </w:pPr>
            <w:r w:rsidRPr="002176B5">
              <w:t>0150</w:t>
            </w:r>
          </w:p>
        </w:tc>
        <w:tc>
          <w:tcPr>
            <w:tcW w:w="7620" w:type="dxa"/>
          </w:tcPr>
          <w:p w14:paraId="4A8E85C7" w14:textId="77777777"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13.**</w:t>
            </w:r>
            <w:r w:rsidRPr="002176B5">
              <w:tab/>
            </w:r>
            <w:r w:rsidRPr="002176B5">
              <w:rPr>
                <w:rStyle w:val="InstructionsTabelleberschrift"/>
                <w:rFonts w:ascii="Times New Roman" w:hAnsi="Times New Roman"/>
                <w:sz w:val="24"/>
              </w:rPr>
              <w:t xml:space="preserve">TSCR: má byť tvorený kapitálom </w:t>
            </w:r>
            <w:proofErr w:type="spellStart"/>
            <w:r w:rsidRPr="002176B5">
              <w:rPr>
                <w:rStyle w:val="InstructionsTabelleberschrift"/>
                <w:rFonts w:ascii="Times New Roman" w:hAnsi="Times New Roman"/>
                <w:sz w:val="24"/>
              </w:rPr>
              <w:t>Tier</w:t>
            </w:r>
            <w:proofErr w:type="spellEnd"/>
            <w:r w:rsidRPr="002176B5">
              <w:rPr>
                <w:rStyle w:val="InstructionsTabelleberschrift"/>
                <w:rFonts w:ascii="Times New Roman" w:hAnsi="Times New Roman"/>
                <w:sz w:val="24"/>
              </w:rPr>
              <w:t xml:space="preserve"> 1</w:t>
            </w:r>
          </w:p>
          <w:p w14:paraId="58AEED52" w14:textId="6F5B760A" w:rsidR="00CC7D2C" w:rsidRPr="002176B5" w:rsidRDefault="00CC7D2C" w:rsidP="00320EFD">
            <w:pPr>
              <w:pStyle w:val="InstructionsText"/>
            </w:pPr>
            <w:r w:rsidRPr="002176B5">
              <w:t>Súčet bodov i)</w:t>
            </w:r>
            <w:r w:rsidR="002176B5">
              <w:t xml:space="preserve"> a </w:t>
            </w:r>
            <w:r w:rsidRPr="002176B5">
              <w:t>ii) takto:</w:t>
            </w:r>
          </w:p>
          <w:p w14:paraId="49D34E50" w14:textId="303B6F28" w:rsidR="00CC7D2C" w:rsidRPr="002176B5" w:rsidRDefault="00CC7D2C" w:rsidP="00320EFD">
            <w:pPr>
              <w:pStyle w:val="InstructionsText"/>
              <w:numPr>
                <w:ilvl w:val="0"/>
                <w:numId w:val="21"/>
              </w:numPr>
            </w:pPr>
            <w:r w:rsidRPr="002176B5">
              <w:t xml:space="preserve">podiel kapitálu </w:t>
            </w:r>
            <w:proofErr w:type="spellStart"/>
            <w:r w:rsidRPr="002176B5">
              <w:t>Tier</w:t>
            </w:r>
            <w:proofErr w:type="spellEnd"/>
            <w:r w:rsidRPr="002176B5">
              <w:t> 1 (6</w:t>
            </w:r>
            <w:r w:rsidR="002176B5">
              <w:t> %</w:t>
            </w:r>
            <w:r w:rsidRPr="002176B5">
              <w:t>), ako je stanovené</w:t>
            </w:r>
            <w:r w:rsidR="002176B5">
              <w:t xml:space="preserve"> v </w:t>
            </w:r>
            <w:r w:rsidRPr="002176B5">
              <w:t>článku 92 ods. 1 písm. b) nariadenia (EÚ) č. 575/2013;</w:t>
            </w:r>
          </w:p>
          <w:p w14:paraId="4A701FA4" w14:textId="389E90BC" w:rsidR="00CC7D2C" w:rsidRPr="002176B5" w:rsidRDefault="00CC7D2C" w:rsidP="00320EFD">
            <w:pPr>
              <w:pStyle w:val="InstructionsText"/>
              <w:numPr>
                <w:ilvl w:val="0"/>
                <w:numId w:val="21"/>
              </w:numPr>
              <w:rPr>
                <w:bCs/>
                <w:u w:val="single"/>
              </w:rPr>
            </w:pPr>
            <w:r w:rsidRPr="002176B5">
              <w:t>časť podielu P2R uvedeného</w:t>
            </w:r>
            <w:r w:rsidR="002176B5">
              <w:t xml:space="preserve"> v </w:t>
            </w:r>
            <w:r w:rsidRPr="002176B5">
              <w:t>riadku 0130 bode ii), ktorý na základe požiadavky príslušného orgánu musí byť držaný</w:t>
            </w:r>
            <w:r w:rsidR="002176B5">
              <w:t xml:space="preserve"> v </w:t>
            </w:r>
            <w:r w:rsidRPr="002176B5">
              <w:t xml:space="preserve">podobe kapitálu </w:t>
            </w:r>
            <w:proofErr w:type="spellStart"/>
            <w:r w:rsidRPr="002176B5">
              <w:t>Tier</w:t>
            </w:r>
            <w:proofErr w:type="spellEnd"/>
            <w:r w:rsidRPr="002176B5">
              <w:t xml:space="preserve"> 1.</w:t>
            </w:r>
          </w:p>
          <w:p w14:paraId="4A7AA27B" w14:textId="04281457" w:rsidR="00CC7D2C" w:rsidRPr="002176B5" w:rsidRDefault="00CC7D2C" w:rsidP="00320EFD">
            <w:pPr>
              <w:pStyle w:val="InstructionsText"/>
            </w:pPr>
            <w:r w:rsidRPr="002176B5">
              <w:t>Ak príslušný orgán neoznámil žiadne požiadavky na dodatočné vlastné zdroje, ktoré sa majú držať</w:t>
            </w:r>
            <w:r w:rsidR="002176B5">
              <w:t xml:space="preserve"> v </w:t>
            </w:r>
            <w:r w:rsidRPr="002176B5">
              <w:t xml:space="preserve">podobe kapitálu </w:t>
            </w:r>
            <w:proofErr w:type="spellStart"/>
            <w:r w:rsidRPr="002176B5">
              <w:t>Tier</w:t>
            </w:r>
            <w:proofErr w:type="spellEnd"/>
            <w:r w:rsidRPr="002176B5">
              <w:t xml:space="preserve"> 1, vykazuje sa iba bod i).</w:t>
            </w:r>
          </w:p>
          <w:p w14:paraId="5DB82299" w14:textId="1C938286" w:rsidR="00CC7D2C" w:rsidRPr="002176B5" w:rsidRDefault="00CC7D2C" w:rsidP="00320EFD">
            <w:pPr>
              <w:pStyle w:val="InstructionsText"/>
              <w:rPr>
                <w:rStyle w:val="InstructionsTabelleberschrift"/>
                <w:rFonts w:ascii="Times New Roman" w:hAnsi="Times New Roman"/>
                <w:b w:val="0"/>
                <w:sz w:val="24"/>
              </w:rPr>
            </w:pPr>
            <w:r w:rsidRPr="002176B5">
              <w:t>Ak je inštitúcia viazaná spodnou hranicou pre výstupné hodnoty, vykazované údaje predstavujú TSCR požadovanú na plnenie požiadaviek</w:t>
            </w:r>
            <w:r w:rsidR="002176B5">
              <w:t xml:space="preserve"> k </w:t>
            </w:r>
            <w:r w:rsidRPr="002176B5">
              <w:t>dátumu vykazovania, pričom sa zohľadňujú ustanovenia článku 104a ods. 6 smernice 2013/36/EÚ.</w:t>
            </w:r>
          </w:p>
        </w:tc>
      </w:tr>
      <w:tr w:rsidR="00CC7D2C" w:rsidRPr="002176B5" w14:paraId="2826A7E5" w14:textId="77777777" w:rsidTr="00822842">
        <w:tc>
          <w:tcPr>
            <w:tcW w:w="1163" w:type="dxa"/>
          </w:tcPr>
          <w:p w14:paraId="2B24FFFA" w14:textId="77777777" w:rsidR="00CC7D2C" w:rsidRPr="002176B5" w:rsidRDefault="00CC7D2C" w:rsidP="00320EFD">
            <w:pPr>
              <w:pStyle w:val="InstructionsText"/>
            </w:pPr>
            <w:r w:rsidRPr="002176B5">
              <w:t>0151</w:t>
            </w:r>
          </w:p>
        </w:tc>
        <w:tc>
          <w:tcPr>
            <w:tcW w:w="7620" w:type="dxa"/>
          </w:tcPr>
          <w:p w14:paraId="457CE892" w14:textId="6C5B141E"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13a.     Podiel celkovej kapitálovej požiadavky podľa SREP (TSCR) bez horného ohraničenia podľa článku 104a ods. 6 písm. a) smernice 2013/36/EÚ</w:t>
            </w:r>
          </w:p>
          <w:p w14:paraId="63F2FF34" w14:textId="7D1FAC05" w:rsidR="00CC7D2C" w:rsidRPr="002176B5" w:rsidRDefault="00CC7D2C" w:rsidP="00320EFD">
            <w:pPr>
              <w:pStyle w:val="InstructionsText"/>
            </w:pPr>
            <w:r w:rsidRPr="002176B5">
              <w:t>Článok 104a ods. 6 písm. a) smernice 2013/36/EÚ</w:t>
            </w:r>
          </w:p>
          <w:p w14:paraId="7C3569BE" w14:textId="0B4BD8F6" w:rsidR="00CC7D2C" w:rsidRPr="002176B5" w:rsidRDefault="00CC7D2C" w:rsidP="00320EFD">
            <w:pPr>
              <w:pStyle w:val="InstructionsText"/>
              <w:rPr>
                <w:rStyle w:val="InstructionsTabelleberschrift"/>
                <w:rFonts w:ascii="Times New Roman" w:hAnsi="Times New Roman"/>
                <w:sz w:val="24"/>
              </w:rPr>
            </w:pPr>
            <w:r w:rsidRPr="002176B5">
              <w:t>V prípade inštitúcií viazaných spodnou hranicou pre výstupné hodnoty – podiel TSCR bez dočasného horného ohraničenia stanoveného</w:t>
            </w:r>
            <w:r w:rsidR="002176B5">
              <w:t xml:space="preserve"> v </w:t>
            </w:r>
            <w:r w:rsidRPr="002176B5">
              <w:t>článku 104a ods. 6 písm. b) smernice 2013/36/EÚ.</w:t>
            </w:r>
          </w:p>
        </w:tc>
      </w:tr>
      <w:tr w:rsidR="00CC7D2C" w:rsidRPr="002176B5" w14:paraId="02CF936B" w14:textId="77777777" w:rsidTr="00822842">
        <w:tc>
          <w:tcPr>
            <w:tcW w:w="1163" w:type="dxa"/>
          </w:tcPr>
          <w:p w14:paraId="6E03B80E" w14:textId="77777777" w:rsidR="00CC7D2C" w:rsidRPr="002176B5" w:rsidRDefault="00CC7D2C" w:rsidP="00320EFD">
            <w:pPr>
              <w:pStyle w:val="InstructionsText"/>
            </w:pPr>
            <w:r w:rsidRPr="002176B5">
              <w:t>0152</w:t>
            </w:r>
          </w:p>
        </w:tc>
        <w:tc>
          <w:tcPr>
            <w:tcW w:w="7620" w:type="dxa"/>
          </w:tcPr>
          <w:p w14:paraId="1FB8F650" w14:textId="77777777"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13a*    TSCR: Má byť tvorená kapitálom CET1</w:t>
            </w:r>
          </w:p>
          <w:p w14:paraId="15CE0D0B" w14:textId="43173606" w:rsidR="00CC7D2C" w:rsidRPr="002176B5" w:rsidRDefault="00CC7D2C" w:rsidP="00320EFD">
            <w:pPr>
              <w:pStyle w:val="InstructionsText"/>
            </w:pPr>
            <w:r w:rsidRPr="002176B5">
              <w:t>Článok 104a ods. 6 písm. a) smernice 2013/36/EÚ</w:t>
            </w:r>
          </w:p>
          <w:p w14:paraId="1CD71865" w14:textId="5BBE61B6" w:rsidR="00CC7D2C" w:rsidRPr="002176B5" w:rsidRDefault="00CC7D2C" w:rsidP="00320EFD">
            <w:pPr>
              <w:pStyle w:val="InstructionsText"/>
              <w:rPr>
                <w:rStyle w:val="InstructionsTabelleberschrift"/>
                <w:rFonts w:ascii="Times New Roman" w:hAnsi="Times New Roman"/>
                <w:sz w:val="24"/>
              </w:rPr>
            </w:pPr>
            <w:r w:rsidRPr="002176B5">
              <w:lastRenderedPageBreak/>
              <w:t>V prípade inštitúcií viazaných spodnou hranicou pre výstupné hodnoty – podiel TSCR bez dočasného horného ohraničenia stanoveného</w:t>
            </w:r>
            <w:r w:rsidR="002176B5">
              <w:t xml:space="preserve"> v </w:t>
            </w:r>
            <w:r w:rsidRPr="002176B5">
              <w:t>článku 104a ods. 6 písm. b) smernice 2013/36/EÚ.</w:t>
            </w:r>
          </w:p>
        </w:tc>
      </w:tr>
      <w:tr w:rsidR="00CC7D2C" w:rsidRPr="002176B5" w14:paraId="52229381" w14:textId="77777777" w:rsidTr="00822842">
        <w:tc>
          <w:tcPr>
            <w:tcW w:w="1163" w:type="dxa"/>
          </w:tcPr>
          <w:p w14:paraId="7057103D" w14:textId="77777777" w:rsidR="00CC7D2C" w:rsidRPr="002176B5" w:rsidRDefault="00CC7D2C" w:rsidP="00320EFD">
            <w:pPr>
              <w:pStyle w:val="InstructionsText"/>
            </w:pPr>
            <w:r w:rsidRPr="002176B5">
              <w:lastRenderedPageBreak/>
              <w:t>0153</w:t>
            </w:r>
          </w:p>
        </w:tc>
        <w:tc>
          <w:tcPr>
            <w:tcW w:w="7620" w:type="dxa"/>
          </w:tcPr>
          <w:p w14:paraId="5716DFFC" w14:textId="77777777"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 xml:space="preserve">13a**  TSCR: Má byť tvorená kapitálom </w:t>
            </w:r>
            <w:proofErr w:type="spellStart"/>
            <w:r w:rsidRPr="002176B5">
              <w:rPr>
                <w:rStyle w:val="InstructionsTabelleberschrift"/>
                <w:rFonts w:ascii="Times New Roman" w:hAnsi="Times New Roman"/>
                <w:sz w:val="24"/>
              </w:rPr>
              <w:t>Tier</w:t>
            </w:r>
            <w:proofErr w:type="spellEnd"/>
            <w:r w:rsidRPr="002176B5">
              <w:rPr>
                <w:rStyle w:val="InstructionsTabelleberschrift"/>
                <w:rFonts w:ascii="Times New Roman" w:hAnsi="Times New Roman"/>
                <w:sz w:val="24"/>
              </w:rPr>
              <w:t xml:space="preserve"> 1</w:t>
            </w:r>
          </w:p>
          <w:p w14:paraId="244808EF" w14:textId="6711A984" w:rsidR="00CC7D2C" w:rsidRPr="002176B5" w:rsidRDefault="00CC7D2C" w:rsidP="00320EFD">
            <w:pPr>
              <w:pStyle w:val="InstructionsText"/>
            </w:pPr>
            <w:r w:rsidRPr="002176B5">
              <w:t>Článok 104a ods. 6 písm. a) smernice 2013/36/EÚ</w:t>
            </w:r>
          </w:p>
          <w:p w14:paraId="7A8B6EB2" w14:textId="6219F8D0" w:rsidR="00CC7D2C" w:rsidRPr="002176B5" w:rsidRDefault="00CC7D2C" w:rsidP="00320EFD">
            <w:pPr>
              <w:pStyle w:val="InstructionsText"/>
              <w:rPr>
                <w:rStyle w:val="InstructionsTabelleberschrift"/>
                <w:rFonts w:ascii="Times New Roman" w:hAnsi="Times New Roman"/>
                <w:sz w:val="24"/>
              </w:rPr>
            </w:pPr>
            <w:r w:rsidRPr="002176B5">
              <w:t>V prípade inštitúcií viazaných spodnou hranicou pre výstupné hodnoty – podiel TSCR bez dočasného horného ohraničenia stanoveného</w:t>
            </w:r>
            <w:r w:rsidR="002176B5">
              <w:t xml:space="preserve"> v </w:t>
            </w:r>
            <w:r w:rsidRPr="002176B5">
              <w:t>článku 104a ods. 6 písm. b) smernice 2013/36/EÚ.</w:t>
            </w:r>
          </w:p>
        </w:tc>
      </w:tr>
      <w:tr w:rsidR="00CC7D2C" w:rsidRPr="002176B5" w14:paraId="6ACB8E92" w14:textId="77777777" w:rsidTr="00822842">
        <w:tc>
          <w:tcPr>
            <w:tcW w:w="1163" w:type="dxa"/>
          </w:tcPr>
          <w:p w14:paraId="1381AAFC" w14:textId="77777777" w:rsidR="00CC7D2C" w:rsidRPr="002176B5" w:rsidRDefault="00CC7D2C" w:rsidP="00320EFD">
            <w:pPr>
              <w:pStyle w:val="InstructionsText"/>
            </w:pPr>
            <w:r w:rsidRPr="002176B5">
              <w:t>0160</w:t>
            </w:r>
          </w:p>
        </w:tc>
        <w:tc>
          <w:tcPr>
            <w:tcW w:w="7620" w:type="dxa"/>
          </w:tcPr>
          <w:p w14:paraId="70894755" w14:textId="77777777"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14.</w:t>
            </w:r>
            <w:r w:rsidRPr="002176B5">
              <w:tab/>
            </w:r>
            <w:r w:rsidRPr="002176B5">
              <w:rPr>
                <w:rStyle w:val="InstructionsTabelleberschrift"/>
                <w:rFonts w:ascii="Times New Roman" w:hAnsi="Times New Roman"/>
                <w:sz w:val="24"/>
              </w:rPr>
              <w:t>Podiel celkovej kapitálovej požiadavky (OCR)</w:t>
            </w:r>
          </w:p>
          <w:p w14:paraId="5D827426" w14:textId="13AEDE49" w:rsidR="00CC7D2C" w:rsidRPr="002176B5" w:rsidRDefault="00CC7D2C" w:rsidP="00320EFD">
            <w:pPr>
              <w:pStyle w:val="InstructionsText"/>
            </w:pPr>
            <w:r w:rsidRPr="002176B5">
              <w:t>Súčet bodov i)</w:t>
            </w:r>
            <w:r w:rsidR="002176B5">
              <w:t xml:space="preserve"> a </w:t>
            </w:r>
            <w:r w:rsidRPr="002176B5">
              <w:t>ii) takto:</w:t>
            </w:r>
          </w:p>
          <w:p w14:paraId="70AEC1C6" w14:textId="3FC66DE6" w:rsidR="00CC7D2C" w:rsidRPr="002176B5" w:rsidRDefault="00CC7D2C" w:rsidP="00320EFD">
            <w:pPr>
              <w:pStyle w:val="InstructionsText"/>
              <w:numPr>
                <w:ilvl w:val="0"/>
                <w:numId w:val="22"/>
              </w:numPr>
            </w:pPr>
            <w:r w:rsidRPr="002176B5">
              <w:t>podiel TSCR uvedený</w:t>
            </w:r>
            <w:r w:rsidR="002176B5">
              <w:t xml:space="preserve"> v </w:t>
            </w:r>
            <w:r w:rsidRPr="002176B5">
              <w:t>riadku 0130;</w:t>
            </w:r>
          </w:p>
          <w:p w14:paraId="7B4CBF50" w14:textId="5934CAF7" w:rsidR="00CC7D2C" w:rsidRPr="002176B5" w:rsidRDefault="00CC7D2C" w:rsidP="00320EFD">
            <w:pPr>
              <w:pStyle w:val="InstructionsText"/>
              <w:numPr>
                <w:ilvl w:val="0"/>
                <w:numId w:val="22"/>
              </w:numPr>
            </w:pPr>
            <w:r w:rsidRPr="002176B5">
              <w:t>v rozsahu,</w:t>
            </w:r>
            <w:r w:rsidR="002176B5">
              <w:t xml:space="preserve"> v </w:t>
            </w:r>
            <w:r w:rsidRPr="002176B5">
              <w:t>akom je zákonne uplatniteľný, podiel požiadavky na kombinovaný vankúš uvedenej</w:t>
            </w:r>
            <w:r w:rsidR="002176B5">
              <w:t xml:space="preserve"> v </w:t>
            </w:r>
            <w:r w:rsidRPr="002176B5">
              <w:t>článku 128 bode 6) smernice 2013/36/EÚ.</w:t>
            </w:r>
          </w:p>
          <w:p w14:paraId="4A545FF7" w14:textId="79B9F79B" w:rsidR="00CC7D2C" w:rsidRPr="002176B5" w:rsidRDefault="00CC7D2C" w:rsidP="00320EFD">
            <w:pPr>
              <w:pStyle w:val="InstructionsText"/>
            </w:pPr>
            <w:r w:rsidRPr="002176B5">
              <w:t>Táto položka odráža podiel celkovej kapitálovej požiadavky (OCR)</w:t>
            </w:r>
            <w:r w:rsidR="002176B5">
              <w:t xml:space="preserve"> v </w:t>
            </w:r>
            <w:r w:rsidRPr="002176B5">
              <w:t>zmysle vymedzenia</w:t>
            </w:r>
            <w:r w:rsidR="002176B5">
              <w:t xml:space="preserve"> v </w:t>
            </w:r>
            <w:r w:rsidRPr="002176B5">
              <w:t>oddiele 7.5 dokumentu EBA SREP GL.</w:t>
            </w:r>
          </w:p>
          <w:p w14:paraId="21F262F8" w14:textId="77777777" w:rsidR="00CC7D2C" w:rsidRPr="002176B5" w:rsidRDefault="00CC7D2C" w:rsidP="00320EFD">
            <w:pPr>
              <w:pStyle w:val="InstructionsText"/>
              <w:rPr>
                <w:rStyle w:val="InstructionsTabelleberschrift"/>
                <w:rFonts w:ascii="Times New Roman" w:hAnsi="Times New Roman"/>
                <w:sz w:val="24"/>
              </w:rPr>
            </w:pPr>
            <w:r w:rsidRPr="002176B5">
              <w:t>Ak sa neuplatňuje žiadna požiadavka na vankúš, vykazuje sa iba bod i).</w:t>
            </w:r>
          </w:p>
        </w:tc>
      </w:tr>
      <w:tr w:rsidR="00CC7D2C" w:rsidRPr="002176B5" w14:paraId="5DBF6C6C" w14:textId="77777777" w:rsidTr="00822842">
        <w:tc>
          <w:tcPr>
            <w:tcW w:w="1163" w:type="dxa"/>
          </w:tcPr>
          <w:p w14:paraId="1E296603" w14:textId="77777777" w:rsidR="00CC7D2C" w:rsidRPr="002176B5" w:rsidRDefault="00CC7D2C" w:rsidP="00320EFD">
            <w:pPr>
              <w:pStyle w:val="InstructionsText"/>
            </w:pPr>
            <w:r w:rsidRPr="002176B5">
              <w:t>0170</w:t>
            </w:r>
          </w:p>
        </w:tc>
        <w:tc>
          <w:tcPr>
            <w:tcW w:w="7620" w:type="dxa"/>
          </w:tcPr>
          <w:p w14:paraId="6B8EF84A" w14:textId="77777777" w:rsid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14.*</w:t>
            </w:r>
            <w:r w:rsidRPr="002176B5">
              <w:tab/>
            </w:r>
            <w:r w:rsidRPr="002176B5">
              <w:rPr>
                <w:rStyle w:val="InstructionsTabelleberschrift"/>
                <w:rFonts w:ascii="Times New Roman" w:hAnsi="Times New Roman"/>
                <w:sz w:val="24"/>
              </w:rPr>
              <w:t>OCR: má byť tvorený kapitálom CET1</w:t>
            </w:r>
          </w:p>
          <w:p w14:paraId="3B6DAF93" w14:textId="35BE960B" w:rsidR="00CC7D2C" w:rsidRPr="002176B5" w:rsidRDefault="00CC7D2C" w:rsidP="00320EFD">
            <w:pPr>
              <w:pStyle w:val="InstructionsText"/>
            </w:pPr>
            <w:r w:rsidRPr="002176B5">
              <w:t>Súčet bodov i)</w:t>
            </w:r>
            <w:r w:rsidR="002176B5">
              <w:t xml:space="preserve"> a </w:t>
            </w:r>
            <w:r w:rsidRPr="002176B5">
              <w:t>ii) takto:</w:t>
            </w:r>
          </w:p>
          <w:p w14:paraId="79F55B10" w14:textId="7D9A0779" w:rsidR="00CC7D2C" w:rsidRPr="002176B5" w:rsidRDefault="00CC7D2C" w:rsidP="00320EFD">
            <w:pPr>
              <w:pStyle w:val="InstructionsText"/>
              <w:numPr>
                <w:ilvl w:val="0"/>
                <w:numId w:val="23"/>
              </w:numPr>
            </w:pPr>
            <w:r w:rsidRPr="002176B5">
              <w:t>podiel TSCR má byť tvorený kapitálom CET1 uvedeným</w:t>
            </w:r>
            <w:r w:rsidR="002176B5">
              <w:t xml:space="preserve"> v </w:t>
            </w:r>
            <w:r w:rsidRPr="002176B5">
              <w:t>riadku 0140;</w:t>
            </w:r>
          </w:p>
          <w:p w14:paraId="54B36BA6" w14:textId="0CD65698" w:rsidR="00CC7D2C" w:rsidRPr="002176B5" w:rsidRDefault="00CC7D2C" w:rsidP="00320EFD">
            <w:pPr>
              <w:pStyle w:val="InstructionsText"/>
              <w:numPr>
                <w:ilvl w:val="0"/>
                <w:numId w:val="23"/>
              </w:numPr>
              <w:rPr>
                <w:bCs/>
                <w:u w:val="single"/>
              </w:rPr>
            </w:pPr>
            <w:r w:rsidRPr="002176B5">
              <w:t>v rozsahu,</w:t>
            </w:r>
            <w:r w:rsidR="002176B5">
              <w:t xml:space="preserve"> v </w:t>
            </w:r>
            <w:r w:rsidRPr="002176B5">
              <w:t>akom je zákonne uplatniteľný, podiel požiadavky na kombinovaný vankúš uvedenej</w:t>
            </w:r>
            <w:r w:rsidR="002176B5">
              <w:t xml:space="preserve"> v </w:t>
            </w:r>
            <w:r w:rsidRPr="002176B5">
              <w:t>článku 128 bode 6) smernice 2013/36/EÚ.</w:t>
            </w:r>
          </w:p>
          <w:p w14:paraId="02359C72" w14:textId="77777777" w:rsidR="00CC7D2C" w:rsidRPr="002176B5" w:rsidRDefault="00CC7D2C" w:rsidP="00320EFD">
            <w:pPr>
              <w:pStyle w:val="InstructionsText"/>
              <w:rPr>
                <w:rStyle w:val="InstructionsTabelleberschrift"/>
                <w:rFonts w:ascii="Times New Roman" w:hAnsi="Times New Roman"/>
                <w:b w:val="0"/>
                <w:sz w:val="24"/>
              </w:rPr>
            </w:pPr>
            <w:r w:rsidRPr="002176B5">
              <w:t>Ak sa neuplatňuje žiadna požiadavka na vankúš, vykazuje sa iba bod i).</w:t>
            </w:r>
          </w:p>
        </w:tc>
      </w:tr>
      <w:tr w:rsidR="00CC7D2C" w:rsidRPr="002176B5" w14:paraId="466E0813" w14:textId="77777777" w:rsidTr="00822842">
        <w:tc>
          <w:tcPr>
            <w:tcW w:w="1163" w:type="dxa"/>
          </w:tcPr>
          <w:p w14:paraId="13AF4F1F" w14:textId="77777777" w:rsidR="00CC7D2C" w:rsidRPr="002176B5" w:rsidRDefault="00CC7D2C" w:rsidP="00320EFD">
            <w:pPr>
              <w:pStyle w:val="InstructionsText"/>
            </w:pPr>
            <w:r w:rsidRPr="002176B5">
              <w:t>0180</w:t>
            </w:r>
          </w:p>
        </w:tc>
        <w:tc>
          <w:tcPr>
            <w:tcW w:w="7620" w:type="dxa"/>
          </w:tcPr>
          <w:p w14:paraId="477B013F" w14:textId="77777777"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14.**</w:t>
            </w:r>
            <w:r w:rsidRPr="002176B5">
              <w:tab/>
            </w:r>
            <w:r w:rsidRPr="002176B5">
              <w:rPr>
                <w:rStyle w:val="InstructionsTabelleberschrift"/>
                <w:rFonts w:ascii="Times New Roman" w:hAnsi="Times New Roman"/>
                <w:sz w:val="24"/>
              </w:rPr>
              <w:t xml:space="preserve">OCR: má byť tvorený kapitálom </w:t>
            </w:r>
            <w:proofErr w:type="spellStart"/>
            <w:r w:rsidRPr="002176B5">
              <w:rPr>
                <w:rStyle w:val="InstructionsTabelleberschrift"/>
                <w:rFonts w:ascii="Times New Roman" w:hAnsi="Times New Roman"/>
                <w:sz w:val="24"/>
              </w:rPr>
              <w:t>Tier</w:t>
            </w:r>
            <w:proofErr w:type="spellEnd"/>
            <w:r w:rsidRPr="002176B5">
              <w:rPr>
                <w:rStyle w:val="InstructionsTabelleberschrift"/>
                <w:rFonts w:ascii="Times New Roman" w:hAnsi="Times New Roman"/>
                <w:sz w:val="24"/>
              </w:rPr>
              <w:t xml:space="preserve"> 1</w:t>
            </w:r>
          </w:p>
          <w:p w14:paraId="54EBB570" w14:textId="1573DCAE" w:rsidR="00CC7D2C" w:rsidRPr="002176B5" w:rsidRDefault="00CC7D2C" w:rsidP="00320EFD">
            <w:pPr>
              <w:pStyle w:val="InstructionsText"/>
            </w:pPr>
            <w:r w:rsidRPr="002176B5">
              <w:t>Súčet bodov i)</w:t>
            </w:r>
            <w:r w:rsidR="002176B5">
              <w:t xml:space="preserve"> a </w:t>
            </w:r>
            <w:r w:rsidRPr="002176B5">
              <w:t>ii) takto:</w:t>
            </w:r>
          </w:p>
          <w:p w14:paraId="719C6493" w14:textId="38E27FD5" w:rsidR="00CC7D2C" w:rsidRPr="002176B5" w:rsidRDefault="00CC7D2C" w:rsidP="00320EFD">
            <w:pPr>
              <w:pStyle w:val="InstructionsText"/>
              <w:numPr>
                <w:ilvl w:val="0"/>
                <w:numId w:val="24"/>
              </w:numPr>
            </w:pPr>
            <w:r w:rsidRPr="002176B5">
              <w:t xml:space="preserve">podiel TSCR má byť tvorený kapitálom </w:t>
            </w:r>
            <w:proofErr w:type="spellStart"/>
            <w:r w:rsidRPr="002176B5">
              <w:t>Tier</w:t>
            </w:r>
            <w:proofErr w:type="spellEnd"/>
            <w:r w:rsidRPr="002176B5">
              <w:t xml:space="preserve"> 1 uvedeným</w:t>
            </w:r>
            <w:r w:rsidR="002176B5">
              <w:t xml:space="preserve"> v </w:t>
            </w:r>
            <w:r w:rsidRPr="002176B5">
              <w:t>riadku 0150;</w:t>
            </w:r>
          </w:p>
          <w:p w14:paraId="17CB41E8" w14:textId="6C9B2383" w:rsidR="00CC7D2C" w:rsidRPr="002176B5" w:rsidRDefault="00CC7D2C" w:rsidP="00320EFD">
            <w:pPr>
              <w:pStyle w:val="InstructionsText"/>
              <w:numPr>
                <w:ilvl w:val="0"/>
                <w:numId w:val="24"/>
              </w:numPr>
              <w:rPr>
                <w:bCs/>
                <w:u w:val="single"/>
              </w:rPr>
            </w:pPr>
            <w:r w:rsidRPr="002176B5">
              <w:t>v rozsahu,</w:t>
            </w:r>
            <w:r w:rsidR="002176B5">
              <w:t xml:space="preserve"> v </w:t>
            </w:r>
            <w:r w:rsidRPr="002176B5">
              <w:t>akom je zákonne uplatniteľný, podiel požiadavky na kombinovaný vankúš uvedenej</w:t>
            </w:r>
            <w:r w:rsidR="002176B5">
              <w:t xml:space="preserve"> v </w:t>
            </w:r>
            <w:r w:rsidRPr="002176B5">
              <w:t>článku 128 bode 6) smernice 2013/36/EÚ.</w:t>
            </w:r>
          </w:p>
          <w:p w14:paraId="6BAC2756" w14:textId="77777777" w:rsidR="00CC7D2C" w:rsidRPr="002176B5" w:rsidRDefault="00CC7D2C" w:rsidP="00320EFD">
            <w:pPr>
              <w:pStyle w:val="InstructionsText"/>
              <w:rPr>
                <w:rStyle w:val="InstructionsTabelleberschrift"/>
                <w:rFonts w:ascii="Times New Roman" w:hAnsi="Times New Roman"/>
                <w:b w:val="0"/>
                <w:sz w:val="24"/>
              </w:rPr>
            </w:pPr>
            <w:r w:rsidRPr="002176B5">
              <w:t>Ak sa neuplatňuje žiadna požiadavka na vankúš, vykazuje sa iba bod i).</w:t>
            </w:r>
          </w:p>
        </w:tc>
      </w:tr>
      <w:tr w:rsidR="00CC7D2C" w:rsidRPr="002176B5" w14:paraId="1C64807A" w14:textId="77777777" w:rsidTr="00822842">
        <w:tc>
          <w:tcPr>
            <w:tcW w:w="1163" w:type="dxa"/>
          </w:tcPr>
          <w:p w14:paraId="0638A83B" w14:textId="77777777" w:rsidR="00CC7D2C" w:rsidRPr="002176B5" w:rsidRDefault="00CC7D2C" w:rsidP="00320EFD">
            <w:pPr>
              <w:pStyle w:val="InstructionsText"/>
            </w:pPr>
            <w:r w:rsidRPr="002176B5">
              <w:t>0190</w:t>
            </w:r>
          </w:p>
        </w:tc>
        <w:tc>
          <w:tcPr>
            <w:tcW w:w="7620" w:type="dxa"/>
          </w:tcPr>
          <w:p w14:paraId="469AA56B" w14:textId="4171BFAD"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15.</w:t>
            </w:r>
            <w:r w:rsidRPr="002176B5">
              <w:tab/>
            </w:r>
            <w:r w:rsidRPr="002176B5">
              <w:rPr>
                <w:rStyle w:val="InstructionsTabelleberschrift"/>
                <w:rFonts w:ascii="Times New Roman" w:hAnsi="Times New Roman"/>
                <w:sz w:val="24"/>
              </w:rPr>
              <w:t>Podiel celkovej kapitálovej požiadavky (OCR)</w:t>
            </w:r>
            <w:r w:rsidR="002176B5">
              <w:rPr>
                <w:rStyle w:val="InstructionsTabelleberschrift"/>
                <w:rFonts w:ascii="Times New Roman" w:hAnsi="Times New Roman"/>
                <w:sz w:val="24"/>
              </w:rPr>
              <w:t xml:space="preserve"> a </w:t>
            </w:r>
            <w:r w:rsidRPr="002176B5">
              <w:rPr>
                <w:rStyle w:val="InstructionsTabelleberschrift"/>
                <w:rFonts w:ascii="Times New Roman" w:hAnsi="Times New Roman"/>
                <w:sz w:val="24"/>
              </w:rPr>
              <w:t>usmernenia pre pilier 2 (P2G)</w:t>
            </w:r>
          </w:p>
          <w:p w14:paraId="35C8C660" w14:textId="15B6E4D7" w:rsidR="00CC7D2C" w:rsidRPr="002176B5" w:rsidRDefault="00CC7D2C" w:rsidP="00320EFD">
            <w:pPr>
              <w:pStyle w:val="InstructionsText"/>
            </w:pPr>
            <w:r w:rsidRPr="002176B5">
              <w:t>Súčet bodov i)</w:t>
            </w:r>
            <w:r w:rsidR="002176B5">
              <w:t xml:space="preserve"> a </w:t>
            </w:r>
            <w:r w:rsidRPr="002176B5">
              <w:t>ii) takto:</w:t>
            </w:r>
          </w:p>
          <w:p w14:paraId="726F15CE" w14:textId="37B9CAB4" w:rsidR="00CC7D2C" w:rsidRPr="002176B5" w:rsidRDefault="00CC7D2C" w:rsidP="00320EFD">
            <w:pPr>
              <w:pStyle w:val="InstructionsText"/>
              <w:numPr>
                <w:ilvl w:val="0"/>
                <w:numId w:val="25"/>
              </w:numPr>
            </w:pPr>
            <w:r w:rsidRPr="002176B5">
              <w:t>podiel OCR uvedený</w:t>
            </w:r>
            <w:r w:rsidR="002176B5">
              <w:t xml:space="preserve"> v </w:t>
            </w:r>
            <w:r w:rsidRPr="002176B5">
              <w:t>riadku 160;</w:t>
            </w:r>
          </w:p>
          <w:p w14:paraId="2AA4843C" w14:textId="70141785" w:rsidR="00CC7D2C" w:rsidRPr="002176B5" w:rsidRDefault="00CC7D2C" w:rsidP="00320EFD">
            <w:pPr>
              <w:pStyle w:val="InstructionsText"/>
              <w:numPr>
                <w:ilvl w:val="0"/>
                <w:numId w:val="25"/>
              </w:numPr>
              <w:rPr>
                <w:bCs/>
                <w:u w:val="single"/>
              </w:rPr>
            </w:pPr>
            <w:r w:rsidRPr="002176B5">
              <w:t>v uplatniteľných prípadoch usmernenie týkajúce sa dodatočných vlastných zdrojov, ktoré oznámil príslušný orgán (usmernenie pre pilier 2 – P2G), ako sa uvádza</w:t>
            </w:r>
            <w:r w:rsidR="002176B5">
              <w:t xml:space="preserve"> v </w:t>
            </w:r>
            <w:r w:rsidRPr="002176B5">
              <w:t xml:space="preserve">článku 104b ods. 3 smernice </w:t>
            </w:r>
            <w:r w:rsidRPr="002176B5">
              <w:lastRenderedPageBreak/>
              <w:t>2013/36/EÚ, vyjadrené ako pomer. Vymedzujú sa</w:t>
            </w:r>
            <w:r w:rsidR="002176B5">
              <w:t xml:space="preserve"> v </w:t>
            </w:r>
            <w:r w:rsidRPr="002176B5">
              <w:t>súlade</w:t>
            </w:r>
            <w:r w:rsidR="002176B5">
              <w:t xml:space="preserve"> s </w:t>
            </w:r>
            <w:r w:rsidRPr="002176B5">
              <w:t>oddielom 7.7.1 dokumentu EBA SREP GL. Usmernenie P2G sa zahŕňa iba vtedy, ak to inštitúcii oznámil príslušný orgán.</w:t>
            </w:r>
          </w:p>
          <w:p w14:paraId="0471CA24" w14:textId="77777777" w:rsidR="00CC7D2C" w:rsidRPr="002176B5" w:rsidRDefault="00CC7D2C" w:rsidP="00320EFD">
            <w:pPr>
              <w:pStyle w:val="InstructionsText"/>
              <w:rPr>
                <w:rStyle w:val="InstructionsTabelleberschrift"/>
                <w:rFonts w:ascii="Times New Roman" w:hAnsi="Times New Roman"/>
                <w:b w:val="0"/>
                <w:sz w:val="24"/>
              </w:rPr>
            </w:pPr>
            <w:r w:rsidRPr="002176B5">
              <w:t xml:space="preserve">Ak príslušný orgán neoznámil žiadne P2G, vykazuje sa iba bod i). </w:t>
            </w:r>
          </w:p>
        </w:tc>
      </w:tr>
      <w:tr w:rsidR="00CC7D2C" w:rsidRPr="002176B5" w14:paraId="5ED669FA" w14:textId="77777777" w:rsidTr="00822842">
        <w:tc>
          <w:tcPr>
            <w:tcW w:w="1163" w:type="dxa"/>
          </w:tcPr>
          <w:p w14:paraId="56A1810A" w14:textId="77777777" w:rsidR="00CC7D2C" w:rsidRPr="002176B5" w:rsidRDefault="00CC7D2C" w:rsidP="00320EFD">
            <w:pPr>
              <w:pStyle w:val="InstructionsText"/>
            </w:pPr>
            <w:r w:rsidRPr="002176B5">
              <w:lastRenderedPageBreak/>
              <w:t>0200</w:t>
            </w:r>
          </w:p>
        </w:tc>
        <w:tc>
          <w:tcPr>
            <w:tcW w:w="7620" w:type="dxa"/>
          </w:tcPr>
          <w:p w14:paraId="0AD03BFE" w14:textId="77777777" w:rsid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15.*</w:t>
            </w:r>
            <w:r w:rsidRPr="002176B5">
              <w:tab/>
            </w:r>
            <w:r w:rsidRPr="002176B5">
              <w:rPr>
                <w:rStyle w:val="InstructionsTabelleberschrift"/>
                <w:rFonts w:ascii="Times New Roman" w:hAnsi="Times New Roman"/>
                <w:sz w:val="24"/>
              </w:rPr>
              <w:t>OCR</w:t>
            </w:r>
            <w:r w:rsidR="002176B5">
              <w:rPr>
                <w:rStyle w:val="InstructionsTabelleberschrift"/>
                <w:rFonts w:ascii="Times New Roman" w:hAnsi="Times New Roman"/>
                <w:sz w:val="24"/>
              </w:rPr>
              <w:t xml:space="preserve"> a </w:t>
            </w:r>
            <w:r w:rsidRPr="002176B5">
              <w:rPr>
                <w:rStyle w:val="InstructionsTabelleberschrift"/>
                <w:rFonts w:ascii="Times New Roman" w:hAnsi="Times New Roman"/>
                <w:sz w:val="24"/>
              </w:rPr>
              <w:t>P2G: majú byť tvorené kapitálom CET1</w:t>
            </w:r>
          </w:p>
          <w:p w14:paraId="13795065" w14:textId="66D815FB" w:rsidR="00CC7D2C" w:rsidRPr="002176B5" w:rsidRDefault="00CC7D2C" w:rsidP="00320EFD">
            <w:pPr>
              <w:pStyle w:val="InstructionsText"/>
            </w:pPr>
            <w:r w:rsidRPr="002176B5">
              <w:t>Súčet bodov i)</w:t>
            </w:r>
            <w:r w:rsidR="002176B5">
              <w:t xml:space="preserve"> a </w:t>
            </w:r>
            <w:r w:rsidRPr="002176B5">
              <w:t>ii) takto:</w:t>
            </w:r>
          </w:p>
          <w:p w14:paraId="300DF4C8" w14:textId="5633A049" w:rsidR="00CC7D2C" w:rsidRPr="002176B5" w:rsidRDefault="00CC7D2C" w:rsidP="00320EFD">
            <w:pPr>
              <w:pStyle w:val="InstructionsText"/>
              <w:numPr>
                <w:ilvl w:val="0"/>
                <w:numId w:val="26"/>
              </w:numPr>
            </w:pPr>
            <w:r w:rsidRPr="002176B5">
              <w:t>podiel OCR má byť tvorený kapitálom CET1 uvedeným</w:t>
            </w:r>
            <w:r w:rsidR="002176B5">
              <w:t xml:space="preserve"> v </w:t>
            </w:r>
            <w:r w:rsidRPr="002176B5">
              <w:t>riadku 0170;</w:t>
            </w:r>
          </w:p>
          <w:p w14:paraId="22745814" w14:textId="579C72B3" w:rsidR="00CC7D2C" w:rsidRPr="002176B5" w:rsidRDefault="00CC7D2C" w:rsidP="00320EFD">
            <w:pPr>
              <w:pStyle w:val="InstructionsText"/>
              <w:numPr>
                <w:ilvl w:val="0"/>
                <w:numId w:val="26"/>
              </w:numPr>
              <w:rPr>
                <w:bCs/>
                <w:u w:val="single"/>
              </w:rPr>
            </w:pPr>
            <w:r w:rsidRPr="002176B5">
              <w:t>v uplatniteľných prípadoch časť podielu P2R uvedeného</w:t>
            </w:r>
            <w:r w:rsidR="002176B5">
              <w:t xml:space="preserve"> v </w:t>
            </w:r>
            <w:r w:rsidRPr="002176B5">
              <w:t>bode ii)</w:t>
            </w:r>
            <w:r w:rsidR="002176B5">
              <w:t xml:space="preserve"> v </w:t>
            </w:r>
            <w:r w:rsidRPr="002176B5">
              <w:t>riadku 0190, ktorý na základe požiadavky príslušného orgánu musí byť držaný</w:t>
            </w:r>
            <w:r w:rsidR="002176B5">
              <w:t xml:space="preserve"> v </w:t>
            </w:r>
            <w:r w:rsidRPr="002176B5">
              <w:t>podobe kapitálu CET1. P2G sa zahrnie iba vtedy, ak to inštitúcii oznámil príslušný orgán.</w:t>
            </w:r>
          </w:p>
          <w:p w14:paraId="6463AC50" w14:textId="77777777" w:rsidR="00CC7D2C" w:rsidRPr="002176B5" w:rsidRDefault="00CC7D2C" w:rsidP="00320EFD">
            <w:pPr>
              <w:pStyle w:val="InstructionsText"/>
              <w:rPr>
                <w:rStyle w:val="InstructionsTabelleberschrift"/>
                <w:rFonts w:ascii="Times New Roman" w:hAnsi="Times New Roman"/>
                <w:b w:val="0"/>
                <w:sz w:val="24"/>
              </w:rPr>
            </w:pPr>
            <w:r w:rsidRPr="002176B5">
              <w:t>Ak príslušný orgán neoznámil žiadne P2G, vykazuje sa iba bod i).</w:t>
            </w:r>
          </w:p>
        </w:tc>
      </w:tr>
      <w:tr w:rsidR="00CC7D2C" w:rsidRPr="002176B5" w14:paraId="06764FAD" w14:textId="77777777" w:rsidTr="00822842">
        <w:tc>
          <w:tcPr>
            <w:tcW w:w="1163" w:type="dxa"/>
          </w:tcPr>
          <w:p w14:paraId="62AC91C1" w14:textId="77777777" w:rsidR="00CC7D2C" w:rsidRPr="002176B5" w:rsidRDefault="00CC7D2C" w:rsidP="00320EFD">
            <w:pPr>
              <w:pStyle w:val="InstructionsText"/>
            </w:pPr>
            <w:r w:rsidRPr="002176B5">
              <w:t>0210</w:t>
            </w:r>
          </w:p>
        </w:tc>
        <w:tc>
          <w:tcPr>
            <w:tcW w:w="7620" w:type="dxa"/>
          </w:tcPr>
          <w:p w14:paraId="4374631A" w14:textId="77777777" w:rsid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15.**</w:t>
            </w:r>
            <w:r w:rsidRPr="002176B5">
              <w:tab/>
            </w:r>
            <w:r w:rsidRPr="002176B5">
              <w:rPr>
                <w:rStyle w:val="InstructionsTabelleberschrift"/>
                <w:rFonts w:ascii="Times New Roman" w:hAnsi="Times New Roman"/>
                <w:sz w:val="24"/>
              </w:rPr>
              <w:t>OCR</w:t>
            </w:r>
            <w:r w:rsidR="002176B5">
              <w:rPr>
                <w:rStyle w:val="InstructionsTabelleberschrift"/>
                <w:rFonts w:ascii="Times New Roman" w:hAnsi="Times New Roman"/>
                <w:sz w:val="24"/>
              </w:rPr>
              <w:t xml:space="preserve"> a </w:t>
            </w:r>
            <w:r w:rsidRPr="002176B5">
              <w:rPr>
                <w:rStyle w:val="InstructionsTabelleberschrift"/>
                <w:rFonts w:ascii="Times New Roman" w:hAnsi="Times New Roman"/>
                <w:sz w:val="24"/>
              </w:rPr>
              <w:t xml:space="preserve">P2G: majú byť tvorené kapitálom </w:t>
            </w:r>
            <w:proofErr w:type="spellStart"/>
            <w:r w:rsidRPr="002176B5">
              <w:rPr>
                <w:rStyle w:val="InstructionsTabelleberschrift"/>
                <w:rFonts w:ascii="Times New Roman" w:hAnsi="Times New Roman"/>
                <w:sz w:val="24"/>
              </w:rPr>
              <w:t>Tier</w:t>
            </w:r>
            <w:proofErr w:type="spellEnd"/>
            <w:r w:rsidRPr="002176B5">
              <w:rPr>
                <w:rStyle w:val="InstructionsTabelleberschrift"/>
                <w:rFonts w:ascii="Times New Roman" w:hAnsi="Times New Roman"/>
                <w:sz w:val="24"/>
              </w:rPr>
              <w:t> 1</w:t>
            </w:r>
          </w:p>
          <w:p w14:paraId="4156D090" w14:textId="719A31C6" w:rsidR="00CC7D2C" w:rsidRPr="002176B5" w:rsidRDefault="00CC7D2C" w:rsidP="00320EFD">
            <w:pPr>
              <w:pStyle w:val="InstructionsText"/>
            </w:pPr>
            <w:r w:rsidRPr="002176B5">
              <w:t>Súčet bodov i)</w:t>
            </w:r>
            <w:r w:rsidR="002176B5">
              <w:t xml:space="preserve"> a </w:t>
            </w:r>
            <w:r w:rsidRPr="002176B5">
              <w:t>ii) takto:</w:t>
            </w:r>
          </w:p>
          <w:p w14:paraId="3A8C0BF0" w14:textId="3421F431" w:rsidR="00CC7D2C" w:rsidRPr="002176B5" w:rsidRDefault="00CC7D2C" w:rsidP="00320EFD">
            <w:pPr>
              <w:pStyle w:val="InstructionsText"/>
              <w:numPr>
                <w:ilvl w:val="0"/>
                <w:numId w:val="27"/>
              </w:numPr>
            </w:pPr>
            <w:r w:rsidRPr="002176B5">
              <w:t xml:space="preserve">podiel OCR má byť tvorený kapitálom </w:t>
            </w:r>
            <w:proofErr w:type="spellStart"/>
            <w:r w:rsidRPr="002176B5">
              <w:t>Tier</w:t>
            </w:r>
            <w:proofErr w:type="spellEnd"/>
            <w:r w:rsidRPr="002176B5">
              <w:t xml:space="preserve"> 1 uvedeným</w:t>
            </w:r>
            <w:r w:rsidR="002176B5">
              <w:t xml:space="preserve"> v </w:t>
            </w:r>
            <w:r w:rsidRPr="002176B5">
              <w:t>riadku 0180;</w:t>
            </w:r>
          </w:p>
          <w:p w14:paraId="29B2D80C" w14:textId="562D3C8A" w:rsidR="00CC7D2C" w:rsidRPr="002176B5" w:rsidRDefault="00CC7D2C" w:rsidP="00320EFD">
            <w:pPr>
              <w:pStyle w:val="InstructionsText"/>
              <w:numPr>
                <w:ilvl w:val="0"/>
                <w:numId w:val="27"/>
              </w:numPr>
            </w:pPr>
            <w:r w:rsidRPr="002176B5">
              <w:t>v uplatniteľných prípadoch časť podielu P2R uvedeného</w:t>
            </w:r>
            <w:r w:rsidR="002176B5">
              <w:t xml:space="preserve"> v </w:t>
            </w:r>
            <w:r w:rsidRPr="002176B5">
              <w:t>bode ii)</w:t>
            </w:r>
            <w:r w:rsidR="002176B5">
              <w:t xml:space="preserve"> v </w:t>
            </w:r>
            <w:r w:rsidRPr="002176B5">
              <w:t>riadku 0190, ktorý na základe požiadavky príslušného orgánu musí byť držaný</w:t>
            </w:r>
            <w:r w:rsidR="002176B5">
              <w:t xml:space="preserve"> v </w:t>
            </w:r>
            <w:r w:rsidRPr="002176B5">
              <w:t xml:space="preserve">podobe kapitálu </w:t>
            </w:r>
            <w:proofErr w:type="spellStart"/>
            <w:r w:rsidRPr="002176B5">
              <w:t>Tier</w:t>
            </w:r>
            <w:proofErr w:type="spellEnd"/>
            <w:r w:rsidRPr="002176B5">
              <w:t xml:space="preserve"> 1. P2G sa zahrnie iba vtedy, ak to inštitúcii oznámil príslušný orgán.</w:t>
            </w:r>
          </w:p>
          <w:p w14:paraId="4D170060" w14:textId="77777777" w:rsidR="00CC7D2C" w:rsidRPr="002176B5" w:rsidRDefault="00CC7D2C" w:rsidP="00320EFD">
            <w:pPr>
              <w:pStyle w:val="InstructionsText"/>
              <w:rPr>
                <w:rStyle w:val="InstructionsTabelleberschrift"/>
                <w:rFonts w:ascii="Times New Roman" w:hAnsi="Times New Roman"/>
                <w:b w:val="0"/>
                <w:bCs w:val="0"/>
                <w:sz w:val="24"/>
                <w:u w:val="none"/>
              </w:rPr>
            </w:pPr>
            <w:r w:rsidRPr="002176B5">
              <w:t>Ak príslušný orgán neoznámil žiadne P2G, vykazuje sa iba bod i).</w:t>
            </w:r>
            <w:r w:rsidRPr="002176B5">
              <w:rPr>
                <w:rStyle w:val="InstructionsTabelleberschrift"/>
                <w:rFonts w:ascii="Times New Roman" w:hAnsi="Times New Roman"/>
                <w:b w:val="0"/>
                <w:sz w:val="24"/>
              </w:rPr>
              <w:t xml:space="preserve"> </w:t>
            </w:r>
          </w:p>
        </w:tc>
      </w:tr>
      <w:tr w:rsidR="00CC7D2C" w:rsidRPr="002176B5" w14:paraId="75DAADC0" w14:textId="77777777" w:rsidTr="00822842">
        <w:tc>
          <w:tcPr>
            <w:tcW w:w="1163" w:type="dxa"/>
          </w:tcPr>
          <w:p w14:paraId="03DB4970" w14:textId="77777777" w:rsidR="00CC7D2C" w:rsidRPr="002176B5" w:rsidRDefault="00CC7D2C" w:rsidP="00320EFD">
            <w:pPr>
              <w:pStyle w:val="InstructionsText"/>
            </w:pPr>
            <w:r w:rsidRPr="002176B5">
              <w:t>0220</w:t>
            </w:r>
          </w:p>
        </w:tc>
        <w:tc>
          <w:tcPr>
            <w:tcW w:w="7620" w:type="dxa"/>
          </w:tcPr>
          <w:p w14:paraId="0E9CF9E6" w14:textId="7BA878E3"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Nadbytok (+)/schodok (–) kapitálu CET1 vzhľadom na požiadavky článku 92 nariadenia (EÚ) č. 575/2013</w:t>
            </w:r>
            <w:r w:rsidR="002176B5">
              <w:rPr>
                <w:rStyle w:val="InstructionsTabelleberschrift"/>
                <w:rFonts w:ascii="Times New Roman" w:hAnsi="Times New Roman"/>
                <w:sz w:val="24"/>
              </w:rPr>
              <w:t xml:space="preserve"> a </w:t>
            </w:r>
            <w:r w:rsidRPr="002176B5">
              <w:rPr>
                <w:rStyle w:val="InstructionsTabelleberschrift"/>
                <w:rFonts w:ascii="Times New Roman" w:hAnsi="Times New Roman"/>
                <w:sz w:val="24"/>
              </w:rPr>
              <w:t>článku 104a smernice 2013/36/EÚ</w:t>
            </w:r>
          </w:p>
          <w:p w14:paraId="372BA67A" w14:textId="4BEBC0D7" w:rsidR="00CC7D2C" w:rsidRPr="002176B5" w:rsidRDefault="00CC7D2C" w:rsidP="00320EFD">
            <w:pPr>
              <w:pStyle w:val="InstructionsText"/>
            </w:pPr>
            <w:r w:rsidRPr="002176B5">
              <w:t>Táto položka</w:t>
            </w:r>
            <w:r w:rsidR="002176B5">
              <w:t xml:space="preserve"> v </w:t>
            </w:r>
            <w:r w:rsidRPr="002176B5">
              <w:t>absolútnych číslach udáva hodnotu nadbytku alebo schodku kapitálu CET1</w:t>
            </w:r>
            <w:r w:rsidR="002176B5">
              <w:t xml:space="preserve"> v </w:t>
            </w:r>
            <w:r w:rsidRPr="002176B5">
              <w:t>súvislosti</w:t>
            </w:r>
            <w:r w:rsidR="002176B5">
              <w:t xml:space="preserve"> s </w:t>
            </w:r>
            <w:r w:rsidRPr="002176B5">
              <w:t>požiadavkou stanovenou</w:t>
            </w:r>
            <w:r w:rsidR="002176B5">
              <w:t xml:space="preserve"> v </w:t>
            </w:r>
            <w:r w:rsidRPr="002176B5">
              <w:t>článku 92 ods. 1 písm. a) nariadenia (EÚ) č. 575/2013 (4,5</w:t>
            </w:r>
            <w:r w:rsidR="002176B5">
              <w:t> %</w:t>
            </w:r>
            <w:r w:rsidRPr="002176B5">
              <w:t>)</w:t>
            </w:r>
            <w:r w:rsidR="002176B5">
              <w:t xml:space="preserve"> a </w:t>
            </w:r>
            <w:r w:rsidRPr="002176B5">
              <w:t>článku 104a smernice 2013/36/EÚ – okrem dodatočných vlastných zdrojov potrebných na riešenie rizika nadmerného využívania finančnej páky</w:t>
            </w:r>
            <w:r w:rsidR="002176B5">
              <w:t xml:space="preserve"> v </w:t>
            </w:r>
            <w:r w:rsidRPr="002176B5">
              <w:t>zmysle odseku 3 tohto článku –</w:t>
            </w:r>
            <w:r w:rsidR="002176B5">
              <w:t xml:space="preserve"> v </w:t>
            </w:r>
            <w:r w:rsidRPr="002176B5">
              <w:t>rozsahu,</w:t>
            </w:r>
            <w:r w:rsidR="002176B5">
              <w:t xml:space="preserve"> v </w:t>
            </w:r>
            <w:r w:rsidRPr="002176B5">
              <w:t>akom musí byť požiadavka článku 104a uvedenej smernice splnená prostredníctvom kapitálu CET1. Ak musí inštitúcia na splnenie požiadaviek článku 92 ods. 1 písm. b) a/alebo c) nariadenia (EÚ) č. 575/2013 a/alebo článku 104a smernice 2013/36/EÚ použiť svoj kapitál CET1 nad rámec rozsahu,</w:t>
            </w:r>
            <w:r w:rsidR="002176B5">
              <w:t xml:space="preserve"> v </w:t>
            </w:r>
            <w:r w:rsidRPr="002176B5">
              <w:t>akom musí byť požiadavka článku 104a smernice 2013/36/EÚ splnená prostredníctvom kapitálu CET1, zohľadňuje sa to vo vykazovanom nadbytku alebo schodku.</w:t>
            </w:r>
          </w:p>
          <w:p w14:paraId="209E5975" w14:textId="551C3D06" w:rsidR="00CC7D2C" w:rsidRPr="002176B5" w:rsidRDefault="00CC7D2C" w:rsidP="00320EFD">
            <w:pPr>
              <w:pStyle w:val="InstructionsText"/>
              <w:rPr>
                <w:rStyle w:val="InstructionsTabelleberschrift"/>
                <w:rFonts w:ascii="Times New Roman" w:hAnsi="Times New Roman"/>
                <w:sz w:val="24"/>
              </w:rPr>
            </w:pPr>
            <w:r w:rsidRPr="002176B5">
              <w:t>Táto hodnota odzrkadľuje kapitál CET1, ktorý je</w:t>
            </w:r>
            <w:r w:rsidR="002176B5">
              <w:t xml:space="preserve"> k </w:t>
            </w:r>
            <w:r w:rsidRPr="002176B5">
              <w:t>dispozícii na splnenie požiadavky na kombinovaný vankúš</w:t>
            </w:r>
            <w:r w:rsidR="002176B5">
              <w:t xml:space="preserve"> a </w:t>
            </w:r>
            <w:r w:rsidRPr="002176B5">
              <w:t>iných požiadaviek.</w:t>
            </w:r>
          </w:p>
        </w:tc>
      </w:tr>
      <w:tr w:rsidR="00CC7D2C" w:rsidRPr="002176B5" w14:paraId="134193DA" w14:textId="77777777" w:rsidTr="00822842">
        <w:tc>
          <w:tcPr>
            <w:tcW w:w="1163" w:type="dxa"/>
          </w:tcPr>
          <w:p w14:paraId="6F26DDB0" w14:textId="77777777" w:rsidR="00CC7D2C" w:rsidRPr="002176B5" w:rsidRDefault="00CC7D2C" w:rsidP="00822842">
            <w:pPr>
              <w:rPr>
                <w:rFonts w:ascii="Times New Roman" w:hAnsi="Times New Roman"/>
                <w:sz w:val="24"/>
              </w:rPr>
            </w:pPr>
            <w:r w:rsidRPr="002176B5">
              <w:rPr>
                <w:rFonts w:ascii="Times New Roman" w:hAnsi="Times New Roman"/>
                <w:sz w:val="24"/>
              </w:rPr>
              <w:t>0330</w:t>
            </w:r>
          </w:p>
        </w:tc>
        <w:tc>
          <w:tcPr>
            <w:tcW w:w="7620" w:type="dxa"/>
          </w:tcPr>
          <w:p w14:paraId="2F390696" w14:textId="77777777" w:rsidR="002176B5" w:rsidRDefault="00CC7D2C" w:rsidP="00822842">
            <w:pPr>
              <w:rPr>
                <w:rFonts w:ascii="Times New Roman" w:hAnsi="Times New Roman"/>
                <w:b/>
                <w:sz w:val="24"/>
                <w:u w:val="single"/>
              </w:rPr>
            </w:pPr>
            <w:r w:rsidRPr="002176B5">
              <w:rPr>
                <w:rFonts w:ascii="Times New Roman" w:hAnsi="Times New Roman"/>
                <w:b/>
                <w:sz w:val="24"/>
                <w:u w:val="single"/>
              </w:rPr>
              <w:t>Úplný podiel kapitálu CET1</w:t>
            </w:r>
          </w:p>
          <w:p w14:paraId="2949E777" w14:textId="630AC51E" w:rsidR="00CC7D2C" w:rsidRPr="002176B5" w:rsidRDefault="00CC7D2C" w:rsidP="00822842">
            <w:pPr>
              <w:rPr>
                <w:rFonts w:ascii="Times New Roman" w:hAnsi="Times New Roman"/>
                <w:sz w:val="24"/>
              </w:rPr>
            </w:pPr>
            <w:r w:rsidRPr="002176B5">
              <w:rPr>
                <w:rFonts w:ascii="Times New Roman" w:hAnsi="Times New Roman"/>
                <w:sz w:val="24"/>
              </w:rPr>
              <w:t>Článok 92 ods. 2 písm. a) nariadenia (EÚ) č. 575/2013 bez uplatnenia článku 465 uvedeného nariadenia.</w:t>
            </w:r>
          </w:p>
        </w:tc>
      </w:tr>
      <w:tr w:rsidR="00CC7D2C" w:rsidRPr="002176B5" w14:paraId="12FA81D8" w14:textId="77777777" w:rsidTr="00822842">
        <w:tc>
          <w:tcPr>
            <w:tcW w:w="1163" w:type="dxa"/>
          </w:tcPr>
          <w:p w14:paraId="55D1E0F2" w14:textId="77777777" w:rsidR="00CC7D2C" w:rsidRPr="002176B5" w:rsidRDefault="00CC7D2C" w:rsidP="00822842">
            <w:pPr>
              <w:rPr>
                <w:rFonts w:ascii="Times New Roman" w:hAnsi="Times New Roman"/>
                <w:sz w:val="24"/>
              </w:rPr>
            </w:pPr>
            <w:r w:rsidRPr="002176B5">
              <w:rPr>
                <w:rFonts w:ascii="Times New Roman" w:hAnsi="Times New Roman"/>
                <w:sz w:val="24"/>
              </w:rPr>
              <w:lastRenderedPageBreak/>
              <w:t>0340</w:t>
            </w:r>
          </w:p>
        </w:tc>
        <w:tc>
          <w:tcPr>
            <w:tcW w:w="7620" w:type="dxa"/>
          </w:tcPr>
          <w:p w14:paraId="5AFCDB2C" w14:textId="77777777" w:rsidR="002176B5" w:rsidRDefault="00CC7D2C" w:rsidP="00822842">
            <w:pPr>
              <w:rPr>
                <w:rFonts w:ascii="Times New Roman" w:hAnsi="Times New Roman"/>
                <w:b/>
                <w:sz w:val="24"/>
                <w:u w:val="single"/>
              </w:rPr>
            </w:pPr>
            <w:r w:rsidRPr="002176B5">
              <w:rPr>
                <w:rFonts w:ascii="Times New Roman" w:hAnsi="Times New Roman"/>
                <w:b/>
                <w:sz w:val="24"/>
                <w:u w:val="single"/>
              </w:rPr>
              <w:t>Úplný podiel kapitálu T1</w:t>
            </w:r>
          </w:p>
          <w:p w14:paraId="39EB4D1F" w14:textId="39BE778B" w:rsidR="00CC7D2C" w:rsidRPr="002176B5" w:rsidRDefault="00CC7D2C" w:rsidP="00822842">
            <w:pPr>
              <w:rPr>
                <w:rFonts w:ascii="Times New Roman" w:hAnsi="Times New Roman"/>
                <w:sz w:val="24"/>
              </w:rPr>
            </w:pPr>
            <w:r w:rsidRPr="002176B5">
              <w:rPr>
                <w:rFonts w:ascii="Times New Roman" w:hAnsi="Times New Roman"/>
                <w:sz w:val="24"/>
              </w:rPr>
              <w:t>Článok 92 ods. 2 písm. b) nariadenia (EÚ) č. 575/2013 bez uplatnenia článku 465 uvedeného nariadenia.</w:t>
            </w:r>
          </w:p>
        </w:tc>
      </w:tr>
      <w:tr w:rsidR="00CC7D2C" w:rsidRPr="002176B5" w14:paraId="43102FE5" w14:textId="77777777" w:rsidTr="00822842">
        <w:tc>
          <w:tcPr>
            <w:tcW w:w="1163" w:type="dxa"/>
          </w:tcPr>
          <w:p w14:paraId="2F53FE4E" w14:textId="77777777" w:rsidR="00CC7D2C" w:rsidRPr="002176B5" w:rsidRDefault="00CC7D2C" w:rsidP="00822842">
            <w:pPr>
              <w:rPr>
                <w:rFonts w:ascii="Times New Roman" w:hAnsi="Times New Roman"/>
                <w:sz w:val="24"/>
              </w:rPr>
            </w:pPr>
            <w:r w:rsidRPr="002176B5">
              <w:rPr>
                <w:rFonts w:ascii="Times New Roman" w:hAnsi="Times New Roman"/>
                <w:sz w:val="24"/>
              </w:rPr>
              <w:t>0350</w:t>
            </w:r>
          </w:p>
        </w:tc>
        <w:tc>
          <w:tcPr>
            <w:tcW w:w="7620" w:type="dxa"/>
          </w:tcPr>
          <w:p w14:paraId="59DA1210" w14:textId="77777777" w:rsidR="002176B5" w:rsidRDefault="00CC7D2C" w:rsidP="00822842">
            <w:pPr>
              <w:rPr>
                <w:rFonts w:ascii="Times New Roman" w:hAnsi="Times New Roman"/>
                <w:b/>
                <w:sz w:val="24"/>
                <w:u w:val="single"/>
              </w:rPr>
            </w:pPr>
            <w:r w:rsidRPr="002176B5">
              <w:rPr>
                <w:rFonts w:ascii="Times New Roman" w:hAnsi="Times New Roman"/>
                <w:b/>
                <w:sz w:val="24"/>
                <w:u w:val="single"/>
              </w:rPr>
              <w:t>Úplný podiel celkového kapitálu</w:t>
            </w:r>
          </w:p>
          <w:p w14:paraId="45149E78" w14:textId="3171125C" w:rsidR="00CC7D2C" w:rsidRPr="002176B5" w:rsidRDefault="00CC7D2C" w:rsidP="00822842">
            <w:pPr>
              <w:rPr>
                <w:rFonts w:ascii="Times New Roman" w:hAnsi="Times New Roman"/>
                <w:sz w:val="24"/>
              </w:rPr>
            </w:pPr>
            <w:r w:rsidRPr="002176B5">
              <w:rPr>
                <w:rFonts w:ascii="Times New Roman" w:hAnsi="Times New Roman"/>
                <w:sz w:val="24"/>
              </w:rPr>
              <w:t>Článok 92 ods. 2 písm. c) nariadenia (EÚ) č. 575/2013, bez uplatnenia článku 465 uvedeného nariadenia.</w:t>
            </w:r>
          </w:p>
        </w:tc>
      </w:tr>
      <w:tr w:rsidR="00CC7D2C" w:rsidRPr="002176B5" w14:paraId="791CEE7E" w14:textId="77777777" w:rsidTr="00822842">
        <w:tc>
          <w:tcPr>
            <w:tcW w:w="1163" w:type="dxa"/>
          </w:tcPr>
          <w:p w14:paraId="5F0A36E9" w14:textId="77777777" w:rsidR="00CC7D2C" w:rsidRPr="002176B5" w:rsidRDefault="00CC7D2C" w:rsidP="00822842">
            <w:pPr>
              <w:rPr>
                <w:rFonts w:ascii="Times New Roman" w:hAnsi="Times New Roman"/>
                <w:sz w:val="24"/>
              </w:rPr>
            </w:pPr>
            <w:r w:rsidRPr="002176B5">
              <w:rPr>
                <w:rFonts w:ascii="Times New Roman" w:hAnsi="Times New Roman"/>
                <w:sz w:val="24"/>
              </w:rPr>
              <w:t>0360</w:t>
            </w:r>
          </w:p>
        </w:tc>
        <w:tc>
          <w:tcPr>
            <w:tcW w:w="7620" w:type="dxa"/>
          </w:tcPr>
          <w:p w14:paraId="25E976DE" w14:textId="2B9E3583" w:rsidR="00CC7D2C" w:rsidRPr="002176B5" w:rsidRDefault="00CC7D2C" w:rsidP="00822842">
            <w:pPr>
              <w:rPr>
                <w:rFonts w:ascii="Times New Roman" w:hAnsi="Times New Roman"/>
                <w:b/>
                <w:bCs/>
                <w:sz w:val="24"/>
                <w:u w:val="single"/>
              </w:rPr>
            </w:pPr>
            <w:r w:rsidRPr="002176B5">
              <w:rPr>
                <w:rFonts w:ascii="Times New Roman" w:hAnsi="Times New Roman"/>
                <w:b/>
                <w:sz w:val="24"/>
                <w:u w:val="single"/>
              </w:rPr>
              <w:t>Podiel kapitálu CET1 bez uplatnenia prechodných ustanovení</w:t>
            </w:r>
            <w:r w:rsidR="002176B5">
              <w:rPr>
                <w:rFonts w:ascii="Times New Roman" w:hAnsi="Times New Roman"/>
                <w:b/>
                <w:sz w:val="24"/>
                <w:u w:val="single"/>
              </w:rPr>
              <w:t xml:space="preserve"> o </w:t>
            </w:r>
            <w:r w:rsidRPr="002176B5">
              <w:rPr>
                <w:rFonts w:ascii="Times New Roman" w:hAnsi="Times New Roman"/>
                <w:b/>
                <w:sz w:val="24"/>
                <w:u w:val="single"/>
              </w:rPr>
              <w:t>spodnej hranici pre výstupné hodnoty S-TREA [článok 465 ods. 3, 4, 5</w:t>
            </w:r>
            <w:r w:rsidR="002176B5">
              <w:rPr>
                <w:rFonts w:ascii="Times New Roman" w:hAnsi="Times New Roman"/>
                <w:b/>
                <w:sz w:val="24"/>
                <w:u w:val="single"/>
              </w:rPr>
              <w:t xml:space="preserve"> a </w:t>
            </w:r>
            <w:r w:rsidRPr="002176B5">
              <w:rPr>
                <w:rFonts w:ascii="Times New Roman" w:hAnsi="Times New Roman"/>
                <w:b/>
                <w:sz w:val="24"/>
                <w:u w:val="single"/>
              </w:rPr>
              <w:t>7 nariadenia (EÚ) č. 575/2013]</w:t>
            </w:r>
          </w:p>
          <w:p w14:paraId="0881DD8C" w14:textId="5D319467" w:rsidR="00CC7D2C" w:rsidRPr="002176B5" w:rsidRDefault="00CC7D2C" w:rsidP="00822842">
            <w:pPr>
              <w:rPr>
                <w:rFonts w:ascii="Times New Roman" w:hAnsi="Times New Roman"/>
                <w:sz w:val="24"/>
              </w:rPr>
            </w:pPr>
            <w:r w:rsidRPr="002176B5">
              <w:rPr>
                <w:rFonts w:ascii="Times New Roman" w:hAnsi="Times New Roman"/>
                <w:sz w:val="24"/>
              </w:rPr>
              <w:t>Článok 92 ods. 2 písm. a) nariadenia (EÚ) č. 575/2013, bez uplatnenia článku 465 ods. 3, 4, 5</w:t>
            </w:r>
            <w:r w:rsidR="002176B5">
              <w:rPr>
                <w:rFonts w:ascii="Times New Roman" w:hAnsi="Times New Roman"/>
                <w:sz w:val="24"/>
              </w:rPr>
              <w:t xml:space="preserve"> a </w:t>
            </w:r>
            <w:r w:rsidRPr="002176B5">
              <w:rPr>
                <w:rFonts w:ascii="Times New Roman" w:hAnsi="Times New Roman"/>
                <w:sz w:val="24"/>
              </w:rPr>
              <w:t>7 uvedeného nariadenia.</w:t>
            </w:r>
          </w:p>
        </w:tc>
      </w:tr>
      <w:tr w:rsidR="00CC7D2C" w:rsidRPr="002176B5" w14:paraId="401A905E" w14:textId="77777777" w:rsidTr="00822842">
        <w:tc>
          <w:tcPr>
            <w:tcW w:w="1163" w:type="dxa"/>
          </w:tcPr>
          <w:p w14:paraId="65F63F2C" w14:textId="77777777" w:rsidR="00CC7D2C" w:rsidRPr="002176B5" w:rsidRDefault="00CC7D2C" w:rsidP="00822842">
            <w:pPr>
              <w:rPr>
                <w:rFonts w:ascii="Times New Roman" w:hAnsi="Times New Roman"/>
                <w:sz w:val="24"/>
              </w:rPr>
            </w:pPr>
            <w:r w:rsidRPr="002176B5">
              <w:rPr>
                <w:rFonts w:ascii="Times New Roman" w:hAnsi="Times New Roman"/>
                <w:sz w:val="24"/>
              </w:rPr>
              <w:t>0370</w:t>
            </w:r>
          </w:p>
        </w:tc>
        <w:tc>
          <w:tcPr>
            <w:tcW w:w="7620" w:type="dxa"/>
          </w:tcPr>
          <w:p w14:paraId="32E26E4D" w14:textId="5AB1DFA5" w:rsidR="00CC7D2C" w:rsidRPr="002176B5" w:rsidRDefault="00CC7D2C" w:rsidP="00822842">
            <w:pPr>
              <w:rPr>
                <w:rFonts w:ascii="Times New Roman" w:hAnsi="Times New Roman"/>
                <w:b/>
                <w:bCs/>
                <w:sz w:val="24"/>
                <w:u w:val="single"/>
              </w:rPr>
            </w:pPr>
            <w:r w:rsidRPr="002176B5">
              <w:rPr>
                <w:rFonts w:ascii="Times New Roman" w:hAnsi="Times New Roman"/>
                <w:b/>
                <w:sz w:val="24"/>
                <w:u w:val="single"/>
              </w:rPr>
              <w:t>Podiel kapitálu T1 bez uplatnenia prechodných ustanovení</w:t>
            </w:r>
            <w:r w:rsidR="002176B5">
              <w:rPr>
                <w:rFonts w:ascii="Times New Roman" w:hAnsi="Times New Roman"/>
                <w:b/>
                <w:sz w:val="24"/>
                <w:u w:val="single"/>
              </w:rPr>
              <w:t xml:space="preserve"> o </w:t>
            </w:r>
            <w:r w:rsidRPr="002176B5">
              <w:rPr>
                <w:rFonts w:ascii="Times New Roman" w:hAnsi="Times New Roman"/>
                <w:b/>
                <w:sz w:val="24"/>
                <w:u w:val="single"/>
              </w:rPr>
              <w:t>spodnej hranici pre výstupné hodnoty S-TREA [článok 465 ods. 3, 4, 5</w:t>
            </w:r>
            <w:r w:rsidR="002176B5">
              <w:rPr>
                <w:rFonts w:ascii="Times New Roman" w:hAnsi="Times New Roman"/>
                <w:b/>
                <w:sz w:val="24"/>
                <w:u w:val="single"/>
              </w:rPr>
              <w:t xml:space="preserve"> a </w:t>
            </w:r>
            <w:r w:rsidRPr="002176B5">
              <w:rPr>
                <w:rFonts w:ascii="Times New Roman" w:hAnsi="Times New Roman"/>
                <w:b/>
                <w:sz w:val="24"/>
                <w:u w:val="single"/>
              </w:rPr>
              <w:t>7 nariadenia (EÚ) č. 575/2013]</w:t>
            </w:r>
          </w:p>
          <w:p w14:paraId="33AE485B" w14:textId="76F66568" w:rsidR="00CC7D2C" w:rsidRPr="002176B5" w:rsidRDefault="00CC7D2C" w:rsidP="00822842">
            <w:pPr>
              <w:rPr>
                <w:rFonts w:ascii="Times New Roman" w:hAnsi="Times New Roman"/>
                <w:sz w:val="24"/>
              </w:rPr>
            </w:pPr>
            <w:r w:rsidRPr="002176B5">
              <w:rPr>
                <w:rFonts w:ascii="Times New Roman" w:hAnsi="Times New Roman"/>
                <w:sz w:val="24"/>
              </w:rPr>
              <w:t>Článok 92 ods. 2 písm. b) nariadenia (EÚ) č. 575/2013, bez uplatnenia článku 465 ods. 3, 4, 5</w:t>
            </w:r>
            <w:r w:rsidR="002176B5">
              <w:rPr>
                <w:rFonts w:ascii="Times New Roman" w:hAnsi="Times New Roman"/>
                <w:sz w:val="24"/>
              </w:rPr>
              <w:t xml:space="preserve"> a </w:t>
            </w:r>
            <w:r w:rsidRPr="002176B5">
              <w:rPr>
                <w:rFonts w:ascii="Times New Roman" w:hAnsi="Times New Roman"/>
                <w:sz w:val="24"/>
              </w:rPr>
              <w:t>7 uvedeného nariadenia.</w:t>
            </w:r>
          </w:p>
        </w:tc>
      </w:tr>
      <w:tr w:rsidR="00CC7D2C" w:rsidRPr="002176B5" w14:paraId="3606F55E" w14:textId="77777777" w:rsidTr="00822842">
        <w:tc>
          <w:tcPr>
            <w:tcW w:w="1163" w:type="dxa"/>
          </w:tcPr>
          <w:p w14:paraId="562140A9" w14:textId="77777777" w:rsidR="00CC7D2C" w:rsidRPr="002176B5" w:rsidRDefault="00CC7D2C" w:rsidP="00822842">
            <w:pPr>
              <w:rPr>
                <w:rFonts w:ascii="Times New Roman" w:hAnsi="Times New Roman"/>
                <w:sz w:val="24"/>
              </w:rPr>
            </w:pPr>
            <w:r w:rsidRPr="002176B5">
              <w:rPr>
                <w:rFonts w:ascii="Times New Roman" w:hAnsi="Times New Roman"/>
                <w:sz w:val="24"/>
              </w:rPr>
              <w:t>0380</w:t>
            </w:r>
          </w:p>
        </w:tc>
        <w:tc>
          <w:tcPr>
            <w:tcW w:w="7620" w:type="dxa"/>
          </w:tcPr>
          <w:p w14:paraId="54BA7D6B" w14:textId="5DA20454" w:rsidR="00CC7D2C" w:rsidRPr="002176B5" w:rsidRDefault="00CC7D2C" w:rsidP="00822842">
            <w:pPr>
              <w:rPr>
                <w:rFonts w:ascii="Times New Roman" w:hAnsi="Times New Roman"/>
                <w:b/>
                <w:bCs/>
                <w:sz w:val="24"/>
                <w:u w:val="single"/>
              </w:rPr>
            </w:pPr>
            <w:r w:rsidRPr="002176B5">
              <w:rPr>
                <w:rFonts w:ascii="Times New Roman" w:hAnsi="Times New Roman"/>
                <w:b/>
                <w:sz w:val="24"/>
                <w:u w:val="single"/>
              </w:rPr>
              <w:t>Celkový podiel kapitálu bez uplatnenia prechodných ustanovení</w:t>
            </w:r>
            <w:r w:rsidR="002176B5">
              <w:rPr>
                <w:rFonts w:ascii="Times New Roman" w:hAnsi="Times New Roman"/>
                <w:b/>
                <w:sz w:val="24"/>
                <w:u w:val="single"/>
              </w:rPr>
              <w:t xml:space="preserve"> o </w:t>
            </w:r>
            <w:r w:rsidRPr="002176B5">
              <w:rPr>
                <w:rFonts w:ascii="Times New Roman" w:hAnsi="Times New Roman"/>
                <w:b/>
                <w:sz w:val="24"/>
                <w:u w:val="single"/>
              </w:rPr>
              <w:t>spodnej hranici pre výstupné hodnoty S-TREA [článok 465 ods. 3, 4, 5</w:t>
            </w:r>
            <w:r w:rsidR="002176B5">
              <w:rPr>
                <w:rFonts w:ascii="Times New Roman" w:hAnsi="Times New Roman"/>
                <w:b/>
                <w:sz w:val="24"/>
                <w:u w:val="single"/>
              </w:rPr>
              <w:t xml:space="preserve"> a </w:t>
            </w:r>
            <w:r w:rsidRPr="002176B5">
              <w:rPr>
                <w:rFonts w:ascii="Times New Roman" w:hAnsi="Times New Roman"/>
                <w:b/>
                <w:sz w:val="24"/>
                <w:u w:val="single"/>
              </w:rPr>
              <w:t>7 nariadenia (EÚ) č. 575/2013]</w:t>
            </w:r>
          </w:p>
          <w:p w14:paraId="116A4C8A" w14:textId="574C66CA" w:rsidR="00CC7D2C" w:rsidRPr="002176B5" w:rsidRDefault="00CC7D2C" w:rsidP="00822842">
            <w:pPr>
              <w:rPr>
                <w:rFonts w:ascii="Times New Roman" w:hAnsi="Times New Roman"/>
                <w:sz w:val="24"/>
              </w:rPr>
            </w:pPr>
            <w:r w:rsidRPr="002176B5">
              <w:rPr>
                <w:rFonts w:ascii="Times New Roman" w:hAnsi="Times New Roman"/>
                <w:sz w:val="24"/>
              </w:rPr>
              <w:t>Článok 92 ods. 2 písm. c) nariadenia (EÚ) č. 575/2013, bez uplatnenia článku 465 ods. 3, 4, 5</w:t>
            </w:r>
            <w:r w:rsidR="002176B5">
              <w:rPr>
                <w:rFonts w:ascii="Times New Roman" w:hAnsi="Times New Roman"/>
                <w:sz w:val="24"/>
              </w:rPr>
              <w:t xml:space="preserve"> a </w:t>
            </w:r>
            <w:r w:rsidRPr="002176B5">
              <w:rPr>
                <w:rFonts w:ascii="Times New Roman" w:hAnsi="Times New Roman"/>
                <w:sz w:val="24"/>
              </w:rPr>
              <w:t>7 uvedeného nariadenia.</w:t>
            </w:r>
          </w:p>
        </w:tc>
      </w:tr>
    </w:tbl>
    <w:p w14:paraId="43FFE992" w14:textId="77777777" w:rsidR="00CC7D2C" w:rsidRPr="002176B5" w:rsidRDefault="00CC7D2C" w:rsidP="00320EFD">
      <w:pPr>
        <w:pStyle w:val="InstructionsText"/>
      </w:pPr>
    </w:p>
    <w:p w14:paraId="2BB1672C" w14:textId="77777777" w:rsidR="002176B5" w:rsidRDefault="00CC7D2C" w:rsidP="00D1404A">
      <w:pPr>
        <w:pStyle w:val="Instructionsberschrift2"/>
        <w:numPr>
          <w:ilvl w:val="0"/>
          <w:numId w:val="0"/>
        </w:numPr>
        <w:ind w:left="357" w:hanging="357"/>
      </w:pPr>
      <w:bookmarkStart w:id="38" w:name="_Toc473560879"/>
      <w:bookmarkStart w:id="39" w:name="_Toc151714367"/>
      <w:bookmarkStart w:id="40" w:name="_Toc308175830"/>
      <w:bookmarkStart w:id="41" w:name="_Toc360188331"/>
      <w:r w:rsidRPr="002176B5">
        <w:rPr>
          <w:u w:val="none"/>
        </w:rPr>
        <w:t>1.5.</w:t>
      </w:r>
      <w:r w:rsidRPr="002176B5">
        <w:tab/>
        <w:t>C 04.00 – DOPLŇUJÚCE POLOŽKY (CA4)</w:t>
      </w:r>
      <w:bookmarkEnd w:id="38"/>
      <w:bookmarkEnd w:id="39"/>
      <w:bookmarkEnd w:id="40"/>
      <w:bookmarkEnd w:id="41"/>
    </w:p>
    <w:p w14:paraId="473B9958" w14:textId="1DF3C3F6" w:rsidR="00CC7D2C" w:rsidRPr="002176B5" w:rsidRDefault="00CC7D2C" w:rsidP="00D1404A">
      <w:pPr>
        <w:pStyle w:val="Instructionsberschrift2"/>
        <w:numPr>
          <w:ilvl w:val="0"/>
          <w:numId w:val="0"/>
        </w:numPr>
        <w:ind w:left="357" w:hanging="357"/>
      </w:pPr>
      <w:bookmarkStart w:id="42" w:name="_Toc308175831"/>
      <w:bookmarkStart w:id="43" w:name="_Toc310414974"/>
      <w:bookmarkStart w:id="44" w:name="_Toc360188332"/>
      <w:bookmarkStart w:id="45" w:name="_Toc473560880"/>
      <w:bookmarkStart w:id="46" w:name="_Toc151714368"/>
      <w:r w:rsidRPr="002176B5">
        <w:rPr>
          <w:u w:val="none"/>
        </w:rPr>
        <w:t>1.5.1.</w:t>
      </w:r>
      <w:r w:rsidRPr="002176B5">
        <w:tab/>
        <w:t xml:space="preserve">Pokyny týkajúce sa konkrétnych </w:t>
      </w:r>
      <w:bookmarkEnd w:id="42"/>
      <w:bookmarkEnd w:id="43"/>
      <w:r w:rsidRPr="002176B5">
        <w:t>pozícií</w:t>
      </w:r>
      <w:bookmarkEnd w:id="44"/>
      <w:bookmarkEnd w:id="45"/>
      <w:bookmarkEnd w:id="46"/>
    </w:p>
    <w:p w14:paraId="54769477" w14:textId="77777777" w:rsidR="00CC7D2C" w:rsidRPr="002176B5" w:rsidRDefault="00CC7D2C" w:rsidP="00320EFD">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0"/>
        <w:gridCol w:w="7007"/>
      </w:tblGrid>
      <w:tr w:rsidR="00CC7D2C" w:rsidRPr="002176B5" w14:paraId="4FB1FB7D" w14:textId="77777777" w:rsidTr="00822842">
        <w:tc>
          <w:tcPr>
            <w:tcW w:w="8523" w:type="dxa"/>
            <w:gridSpan w:val="2"/>
            <w:shd w:val="clear" w:color="auto" w:fill="D9D9D9"/>
          </w:tcPr>
          <w:p w14:paraId="642A8EB7" w14:textId="77777777" w:rsidR="00CC7D2C" w:rsidRPr="002176B5" w:rsidRDefault="00CC7D2C" w:rsidP="00320EFD">
            <w:pPr>
              <w:pStyle w:val="InstructionsText"/>
            </w:pPr>
            <w:r w:rsidRPr="002176B5">
              <w:t>Riadky</w:t>
            </w:r>
          </w:p>
        </w:tc>
      </w:tr>
      <w:tr w:rsidR="00CC7D2C" w:rsidRPr="002176B5" w14:paraId="68CF0504" w14:textId="77777777" w:rsidTr="00822842">
        <w:tc>
          <w:tcPr>
            <w:tcW w:w="1474" w:type="dxa"/>
          </w:tcPr>
          <w:p w14:paraId="7A09D1A8" w14:textId="77777777" w:rsidR="00CC7D2C" w:rsidRPr="002176B5" w:rsidRDefault="00CC7D2C" w:rsidP="00320EFD">
            <w:pPr>
              <w:pStyle w:val="InstructionsText"/>
            </w:pPr>
            <w:r w:rsidRPr="002176B5">
              <w:t>0010</w:t>
            </w:r>
          </w:p>
        </w:tc>
        <w:tc>
          <w:tcPr>
            <w:tcW w:w="7049" w:type="dxa"/>
          </w:tcPr>
          <w:p w14:paraId="65BD25C5" w14:textId="77777777" w:rsidR="00CC7D2C" w:rsidRPr="002176B5" w:rsidRDefault="00CC7D2C" w:rsidP="00320EFD">
            <w:pPr>
              <w:pStyle w:val="InstructionsText"/>
            </w:pPr>
            <w:r w:rsidRPr="002176B5">
              <w:rPr>
                <w:rStyle w:val="InstructionsTabelleberschrift"/>
                <w:rFonts w:ascii="Times New Roman" w:hAnsi="Times New Roman"/>
                <w:sz w:val="24"/>
              </w:rPr>
              <w:t>1.</w:t>
            </w:r>
            <w:r w:rsidRPr="002176B5">
              <w:tab/>
            </w:r>
            <w:r w:rsidRPr="002176B5">
              <w:rPr>
                <w:rStyle w:val="InstructionsTabelleberschrift"/>
                <w:rFonts w:ascii="Times New Roman" w:hAnsi="Times New Roman"/>
                <w:sz w:val="24"/>
              </w:rPr>
              <w:t>Celkové odložené daňové pohľadávky</w:t>
            </w:r>
          </w:p>
          <w:p w14:paraId="245EEDA1" w14:textId="597039E2" w:rsidR="00CC7D2C" w:rsidRPr="002176B5" w:rsidRDefault="00CC7D2C" w:rsidP="00320EFD">
            <w:pPr>
              <w:pStyle w:val="InstructionsText"/>
            </w:pPr>
            <w:r w:rsidRPr="002176B5">
              <w:t>Hodnota vykazovaná</w:t>
            </w:r>
            <w:r w:rsidR="002176B5">
              <w:t xml:space="preserve"> v </w:t>
            </w:r>
            <w:r w:rsidRPr="002176B5">
              <w:t>tejto položke sa rovná hodnote vykázanej</w:t>
            </w:r>
            <w:r w:rsidR="002176B5">
              <w:t xml:space="preserve"> v </w:t>
            </w:r>
            <w:r w:rsidRPr="002176B5">
              <w:t>poslednej overenej/auditovanej účtovnej súvahe.</w:t>
            </w:r>
          </w:p>
        </w:tc>
      </w:tr>
      <w:tr w:rsidR="00CC7D2C" w:rsidRPr="002176B5" w14:paraId="6A0E9EA3" w14:textId="77777777" w:rsidTr="00822842">
        <w:tc>
          <w:tcPr>
            <w:tcW w:w="1474" w:type="dxa"/>
          </w:tcPr>
          <w:p w14:paraId="690047E3" w14:textId="77777777" w:rsidR="00CC7D2C" w:rsidRPr="002176B5" w:rsidRDefault="00CC7D2C" w:rsidP="00320EFD">
            <w:pPr>
              <w:pStyle w:val="InstructionsText"/>
            </w:pPr>
            <w:r w:rsidRPr="002176B5">
              <w:t>0020</w:t>
            </w:r>
          </w:p>
        </w:tc>
        <w:tc>
          <w:tcPr>
            <w:tcW w:w="7049" w:type="dxa"/>
          </w:tcPr>
          <w:p w14:paraId="4AD2BCB6" w14:textId="77777777" w:rsidR="00CC7D2C" w:rsidRPr="002176B5" w:rsidRDefault="00CC7D2C" w:rsidP="00320EFD">
            <w:pPr>
              <w:pStyle w:val="InstructionsText"/>
            </w:pPr>
            <w:r w:rsidRPr="002176B5">
              <w:rPr>
                <w:rStyle w:val="InstructionsTabelleberschrift"/>
                <w:rFonts w:ascii="Times New Roman" w:hAnsi="Times New Roman"/>
                <w:sz w:val="24"/>
              </w:rPr>
              <w:t>1.1.</w:t>
            </w:r>
            <w:r w:rsidRPr="002176B5">
              <w:tab/>
            </w:r>
            <w:r w:rsidRPr="002176B5">
              <w:rPr>
                <w:rStyle w:val="InstructionsTabelleberschrift"/>
                <w:rFonts w:ascii="Times New Roman" w:hAnsi="Times New Roman"/>
                <w:sz w:val="24"/>
              </w:rPr>
              <w:t>Odložené daňové pohľadávky, ktoré nezávisia od budúcej ziskovosti</w:t>
            </w:r>
          </w:p>
          <w:p w14:paraId="119E6584" w14:textId="77777777" w:rsidR="00CC7D2C" w:rsidRPr="002176B5" w:rsidRDefault="00CC7D2C" w:rsidP="00320EFD">
            <w:pPr>
              <w:pStyle w:val="InstructionsText"/>
            </w:pPr>
            <w:r w:rsidRPr="002176B5">
              <w:t>Článok 39 ods. 2 nariadenia (EÚ) č. 575/2013</w:t>
            </w:r>
          </w:p>
          <w:p w14:paraId="04A932CD" w14:textId="35561D00" w:rsidR="00CC7D2C" w:rsidRPr="002176B5" w:rsidRDefault="00CC7D2C" w:rsidP="00320EFD">
            <w:pPr>
              <w:pStyle w:val="InstructionsText"/>
            </w:pPr>
            <w:r w:rsidRPr="002176B5">
              <w:t>Odložené daňové pohľadávky, ktoré boli vytvorené pred 23. novembrom 2016</w:t>
            </w:r>
            <w:r w:rsidR="002176B5">
              <w:t xml:space="preserve"> a </w:t>
            </w:r>
            <w:r w:rsidRPr="002176B5">
              <w:t>nezávisia od budúcej ziskovosti,</w:t>
            </w:r>
            <w:r w:rsidR="002176B5">
              <w:t xml:space="preserve"> a </w:t>
            </w:r>
            <w:r w:rsidRPr="002176B5">
              <w:t xml:space="preserve">preto sa na </w:t>
            </w:r>
            <w:proofErr w:type="spellStart"/>
            <w:r w:rsidRPr="002176B5">
              <w:t>ne</w:t>
            </w:r>
            <w:proofErr w:type="spellEnd"/>
            <w:r w:rsidRPr="002176B5">
              <w:t xml:space="preserve"> uplatňuje riziková váha.</w:t>
            </w:r>
          </w:p>
        </w:tc>
      </w:tr>
      <w:tr w:rsidR="00CC7D2C" w:rsidRPr="002176B5" w14:paraId="2F7B8C1E" w14:textId="77777777" w:rsidTr="00822842">
        <w:tc>
          <w:tcPr>
            <w:tcW w:w="1474" w:type="dxa"/>
          </w:tcPr>
          <w:p w14:paraId="4DE8CDF2" w14:textId="77777777" w:rsidR="00CC7D2C" w:rsidRPr="002176B5" w:rsidRDefault="00CC7D2C" w:rsidP="00320EFD">
            <w:pPr>
              <w:pStyle w:val="InstructionsText"/>
            </w:pPr>
            <w:r w:rsidRPr="002176B5">
              <w:lastRenderedPageBreak/>
              <w:t>0030</w:t>
            </w:r>
          </w:p>
        </w:tc>
        <w:tc>
          <w:tcPr>
            <w:tcW w:w="7049" w:type="dxa"/>
          </w:tcPr>
          <w:p w14:paraId="7731AAFB" w14:textId="69EF0A80" w:rsidR="00CC7D2C" w:rsidRPr="002176B5" w:rsidRDefault="00CC7D2C" w:rsidP="00320EFD">
            <w:pPr>
              <w:pStyle w:val="InstructionsText"/>
            </w:pPr>
            <w:r w:rsidRPr="002176B5">
              <w:rPr>
                <w:rStyle w:val="InstructionsTabelleberschrift"/>
                <w:rFonts w:ascii="Times New Roman" w:hAnsi="Times New Roman"/>
                <w:sz w:val="24"/>
              </w:rPr>
              <w:t>1.2.</w:t>
            </w:r>
            <w:r w:rsidRPr="002176B5">
              <w:tab/>
            </w:r>
            <w:r w:rsidRPr="002176B5">
              <w:rPr>
                <w:rStyle w:val="InstructionsTabelleberschrift"/>
                <w:rFonts w:ascii="Times New Roman" w:hAnsi="Times New Roman"/>
                <w:sz w:val="24"/>
              </w:rPr>
              <w:t>Odložené daňové pohľadávky, ktoré závisia od budúcej ziskovosti</w:t>
            </w:r>
            <w:r w:rsidR="002176B5">
              <w:rPr>
                <w:rStyle w:val="InstructionsTabelleberschrift"/>
                <w:rFonts w:ascii="Times New Roman" w:hAnsi="Times New Roman"/>
                <w:sz w:val="24"/>
              </w:rPr>
              <w:t xml:space="preserve"> a </w:t>
            </w:r>
            <w:r w:rsidRPr="002176B5">
              <w:rPr>
                <w:rStyle w:val="InstructionsTabelleberschrift"/>
                <w:rFonts w:ascii="Times New Roman" w:hAnsi="Times New Roman"/>
                <w:sz w:val="24"/>
              </w:rPr>
              <w:t>nevyplývajú</w:t>
            </w:r>
            <w:r w:rsidR="002176B5">
              <w:rPr>
                <w:rStyle w:val="InstructionsTabelleberschrift"/>
                <w:rFonts w:ascii="Times New Roman" w:hAnsi="Times New Roman"/>
                <w:sz w:val="24"/>
              </w:rPr>
              <w:t xml:space="preserve"> z </w:t>
            </w:r>
            <w:r w:rsidRPr="002176B5">
              <w:rPr>
                <w:rStyle w:val="InstructionsTabelleberschrift"/>
                <w:rFonts w:ascii="Times New Roman" w:hAnsi="Times New Roman"/>
                <w:sz w:val="24"/>
              </w:rPr>
              <w:t>dočasných rozdielov</w:t>
            </w:r>
          </w:p>
          <w:p w14:paraId="477958DE" w14:textId="563C8369" w:rsidR="00CC7D2C" w:rsidRPr="002176B5" w:rsidRDefault="00CC7D2C" w:rsidP="00320EFD">
            <w:pPr>
              <w:pStyle w:val="InstructionsText"/>
            </w:pPr>
            <w:r w:rsidRPr="002176B5">
              <w:t>Článok 36 ods. 1 písm. c)</w:t>
            </w:r>
            <w:r w:rsidR="002176B5">
              <w:t xml:space="preserve"> a </w:t>
            </w:r>
            <w:r w:rsidRPr="002176B5">
              <w:t>článok 38 nariadenia (EÚ) č. 575/2013</w:t>
            </w:r>
          </w:p>
          <w:p w14:paraId="155315E4" w14:textId="54D22FDA" w:rsidR="00CC7D2C" w:rsidRPr="002176B5" w:rsidRDefault="00CC7D2C" w:rsidP="00320EFD">
            <w:pPr>
              <w:pStyle w:val="InstructionsText"/>
            </w:pPr>
            <w:r w:rsidRPr="002176B5">
              <w:t>Odložené daňové pohľadávky, ktoré závisia od budúcej ziskovosti, ale nevyplývajú</w:t>
            </w:r>
            <w:r w:rsidR="002176B5">
              <w:t xml:space="preserve"> z </w:t>
            </w:r>
            <w:r w:rsidRPr="002176B5">
              <w:t>dočasných rozdielov,</w:t>
            </w:r>
            <w:r w:rsidR="002176B5">
              <w:t xml:space="preserve"> a </w:t>
            </w:r>
            <w:r w:rsidRPr="002176B5">
              <w:t xml:space="preserve">preto sa na </w:t>
            </w:r>
            <w:proofErr w:type="spellStart"/>
            <w:r w:rsidRPr="002176B5">
              <w:t>ne</w:t>
            </w:r>
            <w:proofErr w:type="spellEnd"/>
            <w:r w:rsidRPr="002176B5">
              <w:t xml:space="preserve"> neuplatňuje prahová hodnota (t. j.</w:t>
            </w:r>
            <w:r w:rsidR="002176B5">
              <w:t xml:space="preserve"> v </w:t>
            </w:r>
            <w:r w:rsidRPr="002176B5">
              <w:t>plnej miere sa odpočítavajú od CET1).</w:t>
            </w:r>
          </w:p>
        </w:tc>
      </w:tr>
      <w:tr w:rsidR="00CC7D2C" w:rsidRPr="002176B5" w14:paraId="3583A917" w14:textId="77777777" w:rsidTr="00822842">
        <w:tc>
          <w:tcPr>
            <w:tcW w:w="1474" w:type="dxa"/>
          </w:tcPr>
          <w:p w14:paraId="31BB2EE5" w14:textId="77777777" w:rsidR="00CC7D2C" w:rsidRPr="002176B5" w:rsidRDefault="00CC7D2C" w:rsidP="00320EFD">
            <w:pPr>
              <w:pStyle w:val="InstructionsText"/>
            </w:pPr>
            <w:r w:rsidRPr="002176B5">
              <w:t>0040</w:t>
            </w:r>
          </w:p>
        </w:tc>
        <w:tc>
          <w:tcPr>
            <w:tcW w:w="7049" w:type="dxa"/>
          </w:tcPr>
          <w:p w14:paraId="7502D26B" w14:textId="14A1D0D7" w:rsidR="00CC7D2C" w:rsidRPr="002176B5" w:rsidRDefault="00CC7D2C" w:rsidP="00320EFD">
            <w:pPr>
              <w:pStyle w:val="InstructionsText"/>
            </w:pPr>
            <w:r w:rsidRPr="002176B5">
              <w:rPr>
                <w:rStyle w:val="InstructionsTabelleberschrift"/>
                <w:rFonts w:ascii="Times New Roman" w:hAnsi="Times New Roman"/>
                <w:sz w:val="24"/>
              </w:rPr>
              <w:t>1.3.</w:t>
            </w:r>
            <w:r w:rsidRPr="002176B5">
              <w:tab/>
            </w:r>
            <w:r w:rsidRPr="002176B5">
              <w:rPr>
                <w:rStyle w:val="InstructionsTabelleberschrift"/>
                <w:rFonts w:ascii="Times New Roman" w:hAnsi="Times New Roman"/>
                <w:sz w:val="24"/>
              </w:rPr>
              <w:t>Odložené daňové pohľadávky, ktoré závisia od budúcej ziskovosti</w:t>
            </w:r>
            <w:r w:rsidR="002176B5">
              <w:rPr>
                <w:rStyle w:val="InstructionsTabelleberschrift"/>
                <w:rFonts w:ascii="Times New Roman" w:hAnsi="Times New Roman"/>
                <w:sz w:val="24"/>
              </w:rPr>
              <w:t xml:space="preserve"> a </w:t>
            </w:r>
            <w:r w:rsidRPr="002176B5">
              <w:rPr>
                <w:rStyle w:val="InstructionsTabelleberschrift"/>
                <w:rFonts w:ascii="Times New Roman" w:hAnsi="Times New Roman"/>
                <w:sz w:val="24"/>
              </w:rPr>
              <w:t>vyplývajú</w:t>
            </w:r>
            <w:r w:rsidR="002176B5">
              <w:rPr>
                <w:rStyle w:val="InstructionsTabelleberschrift"/>
                <w:rFonts w:ascii="Times New Roman" w:hAnsi="Times New Roman"/>
                <w:sz w:val="24"/>
              </w:rPr>
              <w:t xml:space="preserve"> z </w:t>
            </w:r>
            <w:r w:rsidRPr="002176B5">
              <w:rPr>
                <w:rStyle w:val="InstructionsTabelleberschrift"/>
                <w:rFonts w:ascii="Times New Roman" w:hAnsi="Times New Roman"/>
                <w:sz w:val="24"/>
              </w:rPr>
              <w:t>dočasných rozdielov</w:t>
            </w:r>
          </w:p>
          <w:p w14:paraId="084F3ACD" w14:textId="7EA81829" w:rsidR="00CC7D2C" w:rsidRPr="002176B5" w:rsidRDefault="00CC7D2C" w:rsidP="00320EFD">
            <w:pPr>
              <w:pStyle w:val="InstructionsText"/>
            </w:pPr>
            <w:r w:rsidRPr="002176B5">
              <w:t>Článok 36 ods. 1 písm. c), článok 38</w:t>
            </w:r>
            <w:r w:rsidR="002176B5">
              <w:t xml:space="preserve"> a </w:t>
            </w:r>
            <w:r w:rsidRPr="002176B5">
              <w:t>článok 48 ods. 1 písm. a) nariadenia (EÚ) č. 575/2013</w:t>
            </w:r>
          </w:p>
          <w:p w14:paraId="628F7B8D" w14:textId="2924C695" w:rsidR="00CC7D2C" w:rsidRPr="002176B5" w:rsidRDefault="00CC7D2C" w:rsidP="00320EFD">
            <w:pPr>
              <w:pStyle w:val="InstructionsText"/>
            </w:pPr>
            <w:r w:rsidRPr="002176B5">
              <w:t>Odložené daňové pohľadávky, ktoré závisia od budúcej ziskovosti</w:t>
            </w:r>
            <w:r w:rsidR="002176B5">
              <w:t xml:space="preserve"> a </w:t>
            </w:r>
            <w:r w:rsidRPr="002176B5">
              <w:t>vyplývajú</w:t>
            </w:r>
            <w:r w:rsidR="002176B5">
              <w:t xml:space="preserve"> z </w:t>
            </w:r>
            <w:r w:rsidRPr="002176B5">
              <w:t>dočasných rozdielov,</w:t>
            </w:r>
            <w:r w:rsidR="002176B5">
              <w:t xml:space="preserve"> a </w:t>
            </w:r>
            <w:r w:rsidRPr="002176B5">
              <w:t>preto sa na ich odpočet od CET1 uplatňujú prahové hodnoty 10</w:t>
            </w:r>
            <w:r w:rsidR="002176B5">
              <w:t> % a </w:t>
            </w:r>
            <w:r w:rsidRPr="002176B5">
              <w:t>17,65</w:t>
            </w:r>
            <w:r w:rsidR="002176B5">
              <w:t> %</w:t>
            </w:r>
            <w:r w:rsidRPr="002176B5">
              <w:t xml:space="preserve"> stanovené</w:t>
            </w:r>
            <w:r w:rsidR="002176B5">
              <w:t xml:space="preserve"> v </w:t>
            </w:r>
            <w:r w:rsidRPr="002176B5">
              <w:t>článku 48 nariadenia (EÚ) č. 575/2013.</w:t>
            </w:r>
          </w:p>
        </w:tc>
      </w:tr>
      <w:tr w:rsidR="00CC7D2C" w:rsidRPr="002176B5" w14:paraId="3E13A5F7" w14:textId="77777777" w:rsidTr="00822842">
        <w:tc>
          <w:tcPr>
            <w:tcW w:w="1474" w:type="dxa"/>
          </w:tcPr>
          <w:p w14:paraId="16FA9B2B" w14:textId="77777777" w:rsidR="00CC7D2C" w:rsidRPr="002176B5" w:rsidRDefault="00CC7D2C" w:rsidP="00320EFD">
            <w:pPr>
              <w:pStyle w:val="InstructionsText"/>
            </w:pPr>
            <w:r w:rsidRPr="002176B5">
              <w:t>0050</w:t>
            </w:r>
          </w:p>
        </w:tc>
        <w:tc>
          <w:tcPr>
            <w:tcW w:w="7049" w:type="dxa"/>
          </w:tcPr>
          <w:p w14:paraId="271F82DC" w14:textId="77777777" w:rsidR="00CC7D2C" w:rsidRPr="002176B5" w:rsidRDefault="00CC7D2C" w:rsidP="00320EFD">
            <w:pPr>
              <w:pStyle w:val="InstructionsText"/>
            </w:pPr>
            <w:r w:rsidRPr="002176B5">
              <w:rPr>
                <w:rStyle w:val="InstructionsTabelleberschrift"/>
                <w:rFonts w:ascii="Times New Roman" w:hAnsi="Times New Roman"/>
                <w:sz w:val="24"/>
              </w:rPr>
              <w:t>2. Celkové odložené daňové záväzky</w:t>
            </w:r>
          </w:p>
          <w:p w14:paraId="7EEBFB46" w14:textId="618A8D67" w:rsidR="00CC7D2C" w:rsidRPr="002176B5" w:rsidRDefault="00CC7D2C" w:rsidP="00320EFD">
            <w:pPr>
              <w:pStyle w:val="InstructionsText"/>
            </w:pPr>
            <w:r w:rsidRPr="002176B5">
              <w:t>Hodnota vykazovaná</w:t>
            </w:r>
            <w:r w:rsidR="002176B5">
              <w:t xml:space="preserve"> v </w:t>
            </w:r>
            <w:r w:rsidRPr="002176B5">
              <w:t>tejto položke sa rovná hodnote vykázanej</w:t>
            </w:r>
            <w:r w:rsidR="002176B5">
              <w:t xml:space="preserve"> v </w:t>
            </w:r>
            <w:r w:rsidRPr="002176B5">
              <w:t>poslednej overenej/auditovanej účtovnej súvahe.</w:t>
            </w:r>
          </w:p>
        </w:tc>
      </w:tr>
      <w:tr w:rsidR="00CC7D2C" w:rsidRPr="002176B5" w14:paraId="222A2B0C" w14:textId="77777777" w:rsidTr="00822842">
        <w:tc>
          <w:tcPr>
            <w:tcW w:w="1474" w:type="dxa"/>
          </w:tcPr>
          <w:p w14:paraId="12D2C030" w14:textId="77777777" w:rsidR="00CC7D2C" w:rsidRPr="002176B5" w:rsidRDefault="00CC7D2C" w:rsidP="00320EFD">
            <w:pPr>
              <w:pStyle w:val="InstructionsText"/>
            </w:pPr>
            <w:r w:rsidRPr="002176B5">
              <w:t>0060</w:t>
            </w:r>
          </w:p>
        </w:tc>
        <w:tc>
          <w:tcPr>
            <w:tcW w:w="7049" w:type="dxa"/>
          </w:tcPr>
          <w:p w14:paraId="3A23A18B" w14:textId="77777777" w:rsidR="00CC7D2C" w:rsidRPr="002176B5" w:rsidRDefault="00CC7D2C" w:rsidP="00320EFD">
            <w:pPr>
              <w:pStyle w:val="InstructionsText"/>
            </w:pPr>
            <w:r w:rsidRPr="002176B5">
              <w:rPr>
                <w:rStyle w:val="InstructionsTabelleberschrift"/>
                <w:rFonts w:ascii="Times New Roman" w:hAnsi="Times New Roman"/>
                <w:sz w:val="24"/>
              </w:rPr>
              <w:t>2.1.</w:t>
            </w:r>
            <w:r w:rsidRPr="002176B5">
              <w:tab/>
            </w:r>
            <w:r w:rsidRPr="002176B5">
              <w:rPr>
                <w:rStyle w:val="InstructionsTabelleberschrift"/>
                <w:rFonts w:ascii="Times New Roman" w:hAnsi="Times New Roman"/>
                <w:sz w:val="24"/>
              </w:rPr>
              <w:t>Odložené daňové záväzky, ktoré sa neodpočítavajú od odložených daňových pohľadávok, ktoré závisia od budúcej ziskovosti</w:t>
            </w:r>
          </w:p>
          <w:p w14:paraId="03F91C81" w14:textId="00A5203A" w:rsidR="00CC7D2C" w:rsidRPr="002176B5" w:rsidRDefault="00CC7D2C" w:rsidP="00320EFD">
            <w:pPr>
              <w:pStyle w:val="InstructionsText"/>
            </w:pPr>
            <w:r w:rsidRPr="002176B5">
              <w:t>Článok 38 ods. 3</w:t>
            </w:r>
            <w:r w:rsidR="002176B5">
              <w:t xml:space="preserve"> a </w:t>
            </w:r>
            <w:r w:rsidRPr="002176B5">
              <w:t>4 nariadenia (EÚ) č. 575/2013</w:t>
            </w:r>
          </w:p>
          <w:p w14:paraId="06C72D86" w14:textId="636EA4A6" w:rsidR="00CC7D2C" w:rsidRPr="002176B5" w:rsidRDefault="00CC7D2C" w:rsidP="00320EFD">
            <w:pPr>
              <w:pStyle w:val="InstructionsText"/>
            </w:pPr>
            <w:r w:rsidRPr="002176B5">
              <w:t>Odložené daňové záväzky, pre ktoré nie sú splnené podmienky stanovené</w:t>
            </w:r>
            <w:r w:rsidR="002176B5">
              <w:t xml:space="preserve"> v </w:t>
            </w:r>
            <w:r w:rsidRPr="002176B5">
              <w:t>článku 38 ods. 3</w:t>
            </w:r>
            <w:r w:rsidR="002176B5">
              <w:t xml:space="preserve"> a </w:t>
            </w:r>
            <w:r w:rsidRPr="002176B5">
              <w:t xml:space="preserve">4 nariadenia (EÚ) č. 575/2013. Táto položka teda zahŕňa odložené daňové záväzky, ktoré znižujú hodnotu </w:t>
            </w:r>
            <w:proofErr w:type="spellStart"/>
            <w:r w:rsidRPr="002176B5">
              <w:t>goodwillu</w:t>
            </w:r>
            <w:proofErr w:type="spellEnd"/>
            <w:r w:rsidRPr="002176B5">
              <w:t>, ostatných nehmotných aktív alebo majetku dôchodkového fondu so stanovenými požitkami, ktoré sa musia odpočítať, ktoré sa vykazujú</w:t>
            </w:r>
            <w:r w:rsidR="002176B5">
              <w:t xml:space="preserve"> v </w:t>
            </w:r>
            <w:r w:rsidRPr="002176B5">
              <w:t>príslušných položkách vzoru CA1 – 1.1.1.10.3, 1.1.1.11.2</w:t>
            </w:r>
            <w:r w:rsidR="002176B5">
              <w:t xml:space="preserve"> a </w:t>
            </w:r>
            <w:r w:rsidRPr="002176B5">
              <w:t>1.1.1.14.2.</w:t>
            </w:r>
          </w:p>
        </w:tc>
      </w:tr>
      <w:tr w:rsidR="00CC7D2C" w:rsidRPr="002176B5" w14:paraId="5BFF850F" w14:textId="77777777" w:rsidTr="00822842">
        <w:tc>
          <w:tcPr>
            <w:tcW w:w="1474" w:type="dxa"/>
          </w:tcPr>
          <w:p w14:paraId="46C23C22" w14:textId="77777777" w:rsidR="00CC7D2C" w:rsidRPr="002176B5" w:rsidRDefault="00CC7D2C" w:rsidP="00320EFD">
            <w:pPr>
              <w:pStyle w:val="InstructionsText"/>
            </w:pPr>
            <w:r w:rsidRPr="002176B5">
              <w:t>0070</w:t>
            </w:r>
          </w:p>
        </w:tc>
        <w:tc>
          <w:tcPr>
            <w:tcW w:w="7049" w:type="dxa"/>
          </w:tcPr>
          <w:p w14:paraId="2489B6DA" w14:textId="77777777" w:rsidR="00CC7D2C" w:rsidRPr="002176B5" w:rsidRDefault="00CC7D2C" w:rsidP="00320EFD">
            <w:pPr>
              <w:pStyle w:val="InstructionsText"/>
            </w:pPr>
            <w:r w:rsidRPr="002176B5">
              <w:rPr>
                <w:rStyle w:val="InstructionsTabelleberschrift"/>
                <w:rFonts w:ascii="Times New Roman" w:hAnsi="Times New Roman"/>
                <w:sz w:val="24"/>
              </w:rPr>
              <w:t>2.2.</w:t>
            </w:r>
            <w:r w:rsidRPr="002176B5">
              <w:tab/>
            </w:r>
            <w:r w:rsidRPr="002176B5">
              <w:rPr>
                <w:rStyle w:val="InstructionsTabelleberschrift"/>
                <w:rFonts w:ascii="Times New Roman" w:hAnsi="Times New Roman"/>
                <w:sz w:val="24"/>
              </w:rPr>
              <w:t>Odložené daňové záväzky odpočítateľné od odložených daňových pohľadávok, ktoré závisia od budúcej ziskovosti</w:t>
            </w:r>
          </w:p>
          <w:p w14:paraId="52387C25" w14:textId="77777777" w:rsidR="00CC7D2C" w:rsidRPr="002176B5" w:rsidRDefault="00CC7D2C" w:rsidP="00320EFD">
            <w:pPr>
              <w:pStyle w:val="InstructionsText"/>
            </w:pPr>
            <w:r w:rsidRPr="002176B5">
              <w:t>Článok 38 nariadenia (EÚ) č. 575/2013</w:t>
            </w:r>
          </w:p>
        </w:tc>
      </w:tr>
      <w:tr w:rsidR="00CC7D2C" w:rsidRPr="002176B5" w14:paraId="7EB41DD9" w14:textId="77777777" w:rsidTr="00822842">
        <w:tc>
          <w:tcPr>
            <w:tcW w:w="1474" w:type="dxa"/>
          </w:tcPr>
          <w:p w14:paraId="74A086AF" w14:textId="77777777" w:rsidR="00CC7D2C" w:rsidRPr="002176B5" w:rsidRDefault="00CC7D2C" w:rsidP="00320EFD">
            <w:pPr>
              <w:pStyle w:val="InstructionsText"/>
            </w:pPr>
            <w:r w:rsidRPr="002176B5">
              <w:t>0080</w:t>
            </w:r>
          </w:p>
        </w:tc>
        <w:tc>
          <w:tcPr>
            <w:tcW w:w="7049" w:type="dxa"/>
          </w:tcPr>
          <w:p w14:paraId="4D5BD98A" w14:textId="2F75262F" w:rsidR="00CC7D2C" w:rsidRPr="002176B5" w:rsidRDefault="00CC7D2C" w:rsidP="00320EFD">
            <w:pPr>
              <w:pStyle w:val="InstructionsText"/>
            </w:pPr>
            <w:r w:rsidRPr="002176B5">
              <w:rPr>
                <w:rStyle w:val="InstructionsTabelleberschrift"/>
                <w:rFonts w:ascii="Times New Roman" w:hAnsi="Times New Roman"/>
                <w:sz w:val="24"/>
              </w:rPr>
              <w:t>2.2.1.</w:t>
            </w:r>
            <w:r w:rsidRPr="002176B5">
              <w:tab/>
            </w:r>
            <w:r w:rsidRPr="002176B5">
              <w:rPr>
                <w:rStyle w:val="InstructionsTabelleberschrift"/>
                <w:rFonts w:ascii="Times New Roman" w:hAnsi="Times New Roman"/>
                <w:sz w:val="24"/>
              </w:rPr>
              <w:t>Odpočítateľné odložené daňové záväzky spojené</w:t>
            </w:r>
            <w:r w:rsidR="002176B5">
              <w:rPr>
                <w:rStyle w:val="InstructionsTabelleberschrift"/>
                <w:rFonts w:ascii="Times New Roman" w:hAnsi="Times New Roman"/>
                <w:sz w:val="24"/>
              </w:rPr>
              <w:t xml:space="preserve"> s </w:t>
            </w:r>
            <w:r w:rsidRPr="002176B5">
              <w:rPr>
                <w:rStyle w:val="InstructionsTabelleberschrift"/>
                <w:rFonts w:ascii="Times New Roman" w:hAnsi="Times New Roman"/>
                <w:sz w:val="24"/>
              </w:rPr>
              <w:t>odloženými daňovými pohľadávkami, ktoré závisia od budúcej ziskovosti</w:t>
            </w:r>
            <w:r w:rsidR="002176B5">
              <w:rPr>
                <w:rStyle w:val="InstructionsTabelleberschrift"/>
                <w:rFonts w:ascii="Times New Roman" w:hAnsi="Times New Roman"/>
                <w:sz w:val="24"/>
              </w:rPr>
              <w:t xml:space="preserve"> a </w:t>
            </w:r>
            <w:r w:rsidRPr="002176B5">
              <w:rPr>
                <w:rStyle w:val="InstructionsTabelleberschrift"/>
                <w:rFonts w:ascii="Times New Roman" w:hAnsi="Times New Roman"/>
                <w:sz w:val="24"/>
              </w:rPr>
              <w:t>nevyplývajú</w:t>
            </w:r>
            <w:r w:rsidR="002176B5">
              <w:rPr>
                <w:rStyle w:val="InstructionsTabelleberschrift"/>
                <w:rFonts w:ascii="Times New Roman" w:hAnsi="Times New Roman"/>
                <w:sz w:val="24"/>
              </w:rPr>
              <w:t xml:space="preserve"> z </w:t>
            </w:r>
            <w:r w:rsidRPr="002176B5">
              <w:rPr>
                <w:rStyle w:val="InstructionsTabelleberschrift"/>
                <w:rFonts w:ascii="Times New Roman" w:hAnsi="Times New Roman"/>
                <w:sz w:val="24"/>
              </w:rPr>
              <w:t>dočasných rozdielov</w:t>
            </w:r>
          </w:p>
          <w:p w14:paraId="57B5679C" w14:textId="7AF4FE99" w:rsidR="00CC7D2C" w:rsidRPr="002176B5" w:rsidRDefault="00CC7D2C" w:rsidP="00320EFD">
            <w:pPr>
              <w:pStyle w:val="InstructionsText"/>
            </w:pPr>
            <w:r w:rsidRPr="002176B5">
              <w:t>Článok 38 ods. 3, 4</w:t>
            </w:r>
            <w:r w:rsidR="002176B5">
              <w:t xml:space="preserve"> a </w:t>
            </w:r>
            <w:r w:rsidRPr="002176B5">
              <w:t>5 nariadenia (EÚ) č. 575/2013</w:t>
            </w:r>
          </w:p>
          <w:p w14:paraId="6554BBC3" w14:textId="64F12BA6" w:rsidR="00CC7D2C" w:rsidRPr="002176B5" w:rsidRDefault="00CC7D2C" w:rsidP="00320EFD">
            <w:pPr>
              <w:pStyle w:val="InstructionsText"/>
            </w:pPr>
            <w:r w:rsidRPr="002176B5">
              <w:t>Odložené daňové záväzky, ktoré môžu</w:t>
            </w:r>
            <w:r w:rsidR="002176B5">
              <w:t xml:space="preserve"> v </w:t>
            </w:r>
            <w:r w:rsidRPr="002176B5">
              <w:rPr>
                <w:rStyle w:val="FormatvorlageInstructionsTabelleText"/>
                <w:rFonts w:ascii="Times New Roman" w:hAnsi="Times New Roman"/>
                <w:sz w:val="24"/>
              </w:rPr>
              <w:t>súlade</w:t>
            </w:r>
            <w:r w:rsidR="002176B5">
              <w:rPr>
                <w:rStyle w:val="FormatvorlageInstructionsTabelleText"/>
                <w:rFonts w:ascii="Times New Roman" w:hAnsi="Times New Roman"/>
                <w:sz w:val="24"/>
              </w:rPr>
              <w:t xml:space="preserve"> s </w:t>
            </w:r>
            <w:r w:rsidRPr="002176B5">
              <w:rPr>
                <w:rStyle w:val="FormatvorlageInstructionsTabelleText"/>
                <w:rFonts w:ascii="Times New Roman" w:hAnsi="Times New Roman"/>
                <w:sz w:val="24"/>
              </w:rPr>
              <w:t>článkom</w:t>
            </w:r>
            <w:r w:rsidRPr="002176B5">
              <w:t xml:space="preserve"> 38 ods. 3</w:t>
            </w:r>
            <w:r w:rsidR="002176B5">
              <w:t xml:space="preserve"> a </w:t>
            </w:r>
            <w:r w:rsidRPr="002176B5">
              <w:t>4 nariadenia (EÚ) č. 575/2013 znížiť hodnotu odložených daňových pohľadávok, ktoré závisia od budúcej ziskovosti,</w:t>
            </w:r>
            <w:r w:rsidR="002176B5">
              <w:t xml:space="preserve"> a </w:t>
            </w:r>
            <w:r w:rsidRPr="002176B5">
              <w:t>ktoré neprislúchajú odloženým daňovým pohľadávkam, ktoré závisia od budúcej ziskovosti</w:t>
            </w:r>
            <w:r w:rsidR="002176B5">
              <w:t xml:space="preserve"> a </w:t>
            </w:r>
            <w:r w:rsidRPr="002176B5">
              <w:t>vyplývajú</w:t>
            </w:r>
            <w:r w:rsidR="002176B5">
              <w:t xml:space="preserve"> z </w:t>
            </w:r>
            <w:r w:rsidRPr="002176B5">
              <w:t>dočasných rozdielov, ako sa stanovuje</w:t>
            </w:r>
            <w:r w:rsidR="002176B5">
              <w:t xml:space="preserve"> v </w:t>
            </w:r>
            <w:r w:rsidRPr="002176B5">
              <w:t>článku 38 ods. 5 nariadenia (EÚ) č. 575/2013.</w:t>
            </w:r>
          </w:p>
        </w:tc>
      </w:tr>
      <w:tr w:rsidR="00CC7D2C" w:rsidRPr="002176B5" w14:paraId="0A4C3052" w14:textId="77777777" w:rsidTr="00822842">
        <w:tc>
          <w:tcPr>
            <w:tcW w:w="1474" w:type="dxa"/>
          </w:tcPr>
          <w:p w14:paraId="5EEA1141" w14:textId="77777777" w:rsidR="00CC7D2C" w:rsidRPr="002176B5" w:rsidRDefault="00CC7D2C" w:rsidP="00320EFD">
            <w:pPr>
              <w:pStyle w:val="InstructionsText"/>
            </w:pPr>
            <w:r w:rsidRPr="002176B5">
              <w:lastRenderedPageBreak/>
              <w:t>0090</w:t>
            </w:r>
          </w:p>
        </w:tc>
        <w:tc>
          <w:tcPr>
            <w:tcW w:w="7049" w:type="dxa"/>
          </w:tcPr>
          <w:p w14:paraId="54A4DB87" w14:textId="7A171194" w:rsidR="00CC7D2C" w:rsidRPr="002176B5" w:rsidRDefault="00CC7D2C" w:rsidP="00320EFD">
            <w:pPr>
              <w:pStyle w:val="InstructionsText"/>
            </w:pPr>
            <w:r w:rsidRPr="002176B5">
              <w:rPr>
                <w:rStyle w:val="InstructionsTabelleberschrift"/>
                <w:rFonts w:ascii="Times New Roman" w:hAnsi="Times New Roman"/>
                <w:sz w:val="24"/>
              </w:rPr>
              <w:t>2.2.2.</w:t>
            </w:r>
            <w:r w:rsidRPr="002176B5">
              <w:tab/>
            </w:r>
            <w:r w:rsidRPr="002176B5">
              <w:rPr>
                <w:rStyle w:val="InstructionsTabelleberschrift"/>
                <w:rFonts w:ascii="Times New Roman" w:hAnsi="Times New Roman"/>
                <w:sz w:val="24"/>
              </w:rPr>
              <w:t>Odpočítateľné odložené daňové záväzky spojené</w:t>
            </w:r>
            <w:r w:rsidR="002176B5">
              <w:rPr>
                <w:rStyle w:val="InstructionsTabelleberschrift"/>
                <w:rFonts w:ascii="Times New Roman" w:hAnsi="Times New Roman"/>
                <w:sz w:val="24"/>
              </w:rPr>
              <w:t xml:space="preserve"> s </w:t>
            </w:r>
            <w:r w:rsidRPr="002176B5">
              <w:rPr>
                <w:rStyle w:val="InstructionsTabelleberschrift"/>
                <w:rFonts w:ascii="Times New Roman" w:hAnsi="Times New Roman"/>
                <w:sz w:val="24"/>
              </w:rPr>
              <w:t>odloženými daňovými pohľadávkami, ktoré závisia od budúcej ziskovosti</w:t>
            </w:r>
            <w:r w:rsidR="002176B5">
              <w:rPr>
                <w:rStyle w:val="InstructionsTabelleberschrift"/>
                <w:rFonts w:ascii="Times New Roman" w:hAnsi="Times New Roman"/>
                <w:sz w:val="24"/>
              </w:rPr>
              <w:t xml:space="preserve"> a </w:t>
            </w:r>
            <w:r w:rsidRPr="002176B5">
              <w:rPr>
                <w:rStyle w:val="InstructionsTabelleberschrift"/>
                <w:rFonts w:ascii="Times New Roman" w:hAnsi="Times New Roman"/>
                <w:sz w:val="24"/>
              </w:rPr>
              <w:t>vyplývajú</w:t>
            </w:r>
            <w:r w:rsidR="002176B5">
              <w:rPr>
                <w:rStyle w:val="InstructionsTabelleberschrift"/>
                <w:rFonts w:ascii="Times New Roman" w:hAnsi="Times New Roman"/>
                <w:sz w:val="24"/>
              </w:rPr>
              <w:t xml:space="preserve"> z </w:t>
            </w:r>
            <w:r w:rsidRPr="002176B5">
              <w:rPr>
                <w:rStyle w:val="InstructionsTabelleberschrift"/>
                <w:rFonts w:ascii="Times New Roman" w:hAnsi="Times New Roman"/>
                <w:sz w:val="24"/>
              </w:rPr>
              <w:t>dočasných rozdielov</w:t>
            </w:r>
          </w:p>
          <w:p w14:paraId="5386BFFB" w14:textId="3EC73681" w:rsidR="00CC7D2C" w:rsidRPr="002176B5" w:rsidRDefault="00CC7D2C" w:rsidP="00320EFD">
            <w:pPr>
              <w:pStyle w:val="InstructionsText"/>
            </w:pPr>
            <w:r w:rsidRPr="002176B5">
              <w:t>Článok 38 ods. 3, 4</w:t>
            </w:r>
            <w:r w:rsidR="002176B5">
              <w:t xml:space="preserve"> a </w:t>
            </w:r>
            <w:r w:rsidRPr="002176B5">
              <w:t>5 nariadenia (EÚ) č. 575/2013</w:t>
            </w:r>
          </w:p>
          <w:p w14:paraId="737FD646" w14:textId="71DEB53F" w:rsidR="00CC7D2C" w:rsidRPr="002176B5" w:rsidRDefault="00CC7D2C" w:rsidP="00320EFD">
            <w:pPr>
              <w:pStyle w:val="InstructionsText"/>
            </w:pPr>
            <w:r w:rsidRPr="002176B5">
              <w:t>Odložené daňové záväzky, ktoré môžu</w:t>
            </w:r>
            <w:r w:rsidR="002176B5">
              <w:t xml:space="preserve"> v </w:t>
            </w:r>
            <w:r w:rsidRPr="002176B5">
              <w:rPr>
                <w:rStyle w:val="FormatvorlageInstructionsTabelleText"/>
                <w:rFonts w:ascii="Times New Roman" w:hAnsi="Times New Roman"/>
                <w:sz w:val="24"/>
              </w:rPr>
              <w:t>súlade</w:t>
            </w:r>
            <w:r w:rsidR="002176B5">
              <w:rPr>
                <w:rStyle w:val="FormatvorlageInstructionsTabelleText"/>
                <w:rFonts w:ascii="Times New Roman" w:hAnsi="Times New Roman"/>
                <w:sz w:val="24"/>
              </w:rPr>
              <w:t xml:space="preserve"> s </w:t>
            </w:r>
            <w:r w:rsidRPr="002176B5">
              <w:rPr>
                <w:rStyle w:val="FormatvorlageInstructionsTabelleText"/>
                <w:rFonts w:ascii="Times New Roman" w:hAnsi="Times New Roman"/>
                <w:sz w:val="24"/>
              </w:rPr>
              <w:t>článkom</w:t>
            </w:r>
            <w:r w:rsidRPr="002176B5">
              <w:t xml:space="preserve"> 38 ods. 3</w:t>
            </w:r>
            <w:r w:rsidR="002176B5">
              <w:t xml:space="preserve"> a </w:t>
            </w:r>
            <w:r w:rsidRPr="002176B5">
              <w:t>4 nariadenia (EÚ) č. 575/2013 znížiť hodnotu odložených daňových pohľadávok, ktoré závisia od budúcej ziskovosti,</w:t>
            </w:r>
            <w:r w:rsidR="002176B5">
              <w:t xml:space="preserve"> a </w:t>
            </w:r>
            <w:r w:rsidRPr="002176B5">
              <w:t>ktoré prislúchajú odloženým daňovým pohľadávkam, ktoré závisia od budúcej ziskovosti</w:t>
            </w:r>
            <w:r w:rsidR="002176B5">
              <w:t xml:space="preserve"> a </w:t>
            </w:r>
            <w:r w:rsidRPr="002176B5">
              <w:t>vyplývajú</w:t>
            </w:r>
            <w:r w:rsidR="002176B5">
              <w:t xml:space="preserve"> z </w:t>
            </w:r>
            <w:r w:rsidRPr="002176B5">
              <w:t>dočasných rozdielov, ako sa stanovuje</w:t>
            </w:r>
            <w:r w:rsidR="002176B5">
              <w:t xml:space="preserve"> v </w:t>
            </w:r>
            <w:r w:rsidRPr="002176B5">
              <w:t>článku 38 ods. 5 nariadenia (EÚ) č. 575/2013.</w:t>
            </w:r>
          </w:p>
        </w:tc>
      </w:tr>
      <w:tr w:rsidR="00CC7D2C" w:rsidRPr="002176B5" w14:paraId="5784AB1C" w14:textId="77777777" w:rsidTr="00822842">
        <w:tc>
          <w:tcPr>
            <w:tcW w:w="1474" w:type="dxa"/>
          </w:tcPr>
          <w:p w14:paraId="27E67B0E" w14:textId="77777777" w:rsidR="00CC7D2C" w:rsidRPr="002176B5" w:rsidRDefault="00CC7D2C" w:rsidP="00320EFD">
            <w:pPr>
              <w:pStyle w:val="InstructionsText"/>
            </w:pPr>
            <w:r w:rsidRPr="002176B5">
              <w:t>0093</w:t>
            </w:r>
          </w:p>
        </w:tc>
        <w:tc>
          <w:tcPr>
            <w:tcW w:w="7049" w:type="dxa"/>
          </w:tcPr>
          <w:p w14:paraId="500B8394" w14:textId="251012F7" w:rsidR="00CC7D2C" w:rsidRPr="002176B5" w:rsidRDefault="00CC7D2C" w:rsidP="00320EFD">
            <w:pPr>
              <w:pStyle w:val="InstructionsText"/>
            </w:pPr>
            <w:r w:rsidRPr="002176B5">
              <w:rPr>
                <w:rStyle w:val="InstructionsTabelleberschrift"/>
                <w:rFonts w:ascii="Times New Roman" w:hAnsi="Times New Roman"/>
                <w:sz w:val="24"/>
              </w:rPr>
              <w:t>2A</w:t>
            </w:r>
            <w:r w:rsidRPr="002176B5">
              <w:tab/>
            </w:r>
            <w:r w:rsidRPr="002176B5">
              <w:rPr>
                <w:rStyle w:val="InstructionsTabelleberschrift"/>
                <w:rFonts w:ascii="Times New Roman" w:hAnsi="Times New Roman"/>
                <w:sz w:val="24"/>
              </w:rPr>
              <w:t>Daňové preplatky</w:t>
            </w:r>
            <w:r w:rsidR="002176B5">
              <w:rPr>
                <w:rStyle w:val="InstructionsTabelleberschrift"/>
                <w:rFonts w:ascii="Times New Roman" w:hAnsi="Times New Roman"/>
                <w:sz w:val="24"/>
              </w:rPr>
              <w:t xml:space="preserve"> a </w:t>
            </w:r>
            <w:r w:rsidRPr="002176B5">
              <w:rPr>
                <w:rStyle w:val="InstructionsTabelleberschrift"/>
                <w:rFonts w:ascii="Times New Roman" w:hAnsi="Times New Roman"/>
                <w:sz w:val="24"/>
              </w:rPr>
              <w:t>prenos daňových strát do predchádzajúcich rokov</w:t>
            </w:r>
          </w:p>
          <w:p w14:paraId="64C3A725" w14:textId="77777777" w:rsidR="00CC7D2C" w:rsidRPr="002176B5" w:rsidRDefault="00CC7D2C" w:rsidP="00320EFD">
            <w:pPr>
              <w:pStyle w:val="InstructionsText"/>
            </w:pPr>
            <w:r w:rsidRPr="002176B5">
              <w:t>Článok 39 ods. 1 nariadenia (EÚ) č. 575/2013</w:t>
            </w:r>
          </w:p>
          <w:p w14:paraId="40F0233D" w14:textId="44166A54" w:rsidR="00CC7D2C" w:rsidRPr="002176B5" w:rsidRDefault="00CC7D2C" w:rsidP="00320EFD">
            <w:pPr>
              <w:pStyle w:val="InstructionsText"/>
              <w:rPr>
                <w:rStyle w:val="InstructionsTabelleberschrift"/>
                <w:rFonts w:ascii="Times New Roman" w:hAnsi="Times New Roman"/>
                <w:b w:val="0"/>
                <w:bCs w:val="0"/>
                <w:sz w:val="24"/>
                <w:u w:val="none"/>
              </w:rPr>
            </w:pPr>
            <w:r w:rsidRPr="002176B5">
              <w:t>Výška daňových preplatkov</w:t>
            </w:r>
            <w:r w:rsidR="002176B5">
              <w:t xml:space="preserve"> a </w:t>
            </w:r>
            <w:r w:rsidRPr="002176B5">
              <w:t>výška daňových strát prenesených do predchádzajúcich rokov, ktoré sa neodpočítavajú od vlastných zdrojov</w:t>
            </w:r>
            <w:r w:rsidR="002176B5">
              <w:t xml:space="preserve"> v </w:t>
            </w:r>
            <w:r w:rsidRPr="002176B5">
              <w:t>súlade</w:t>
            </w:r>
            <w:r w:rsidR="002176B5">
              <w:t xml:space="preserve"> s </w:t>
            </w:r>
            <w:r w:rsidRPr="002176B5">
              <w:t>článkom 39 ods. 1 nariadenia (EÚ) č. 575/2013; vykázaná hodnota je hodnota pred uplatnením rizikových váh.</w:t>
            </w:r>
          </w:p>
        </w:tc>
      </w:tr>
      <w:tr w:rsidR="00CC7D2C" w:rsidRPr="002176B5" w14:paraId="0969065C" w14:textId="77777777" w:rsidTr="00822842">
        <w:tc>
          <w:tcPr>
            <w:tcW w:w="1474" w:type="dxa"/>
          </w:tcPr>
          <w:p w14:paraId="17A523BF" w14:textId="77777777" w:rsidR="00CC7D2C" w:rsidRPr="002176B5" w:rsidRDefault="00CC7D2C" w:rsidP="00320EFD">
            <w:pPr>
              <w:pStyle w:val="InstructionsText"/>
            </w:pPr>
            <w:r w:rsidRPr="002176B5">
              <w:t>0096</w:t>
            </w:r>
          </w:p>
        </w:tc>
        <w:tc>
          <w:tcPr>
            <w:tcW w:w="7049" w:type="dxa"/>
          </w:tcPr>
          <w:p w14:paraId="3559104F" w14:textId="5B47E6B3" w:rsidR="00CC7D2C" w:rsidRPr="002176B5" w:rsidRDefault="00CC7D2C" w:rsidP="00320EFD">
            <w:pPr>
              <w:pStyle w:val="InstructionsText"/>
            </w:pPr>
            <w:r w:rsidRPr="002176B5">
              <w:rPr>
                <w:rStyle w:val="InstructionsTabelleberschrift"/>
                <w:rFonts w:ascii="Times New Roman" w:hAnsi="Times New Roman"/>
                <w:sz w:val="24"/>
              </w:rPr>
              <w:t>2B</w:t>
            </w:r>
            <w:r w:rsidRPr="002176B5">
              <w:tab/>
            </w:r>
            <w:r w:rsidRPr="002176B5">
              <w:rPr>
                <w:rStyle w:val="InstructionsTabelleberschrift"/>
                <w:rFonts w:ascii="Times New Roman" w:hAnsi="Times New Roman"/>
                <w:sz w:val="24"/>
              </w:rPr>
              <w:t>Odložené daňové pohľadávky, na ktoré sa uplatňuje riziková váha 250</w:t>
            </w:r>
            <w:r w:rsidR="002176B5">
              <w:rPr>
                <w:rStyle w:val="InstructionsTabelleberschrift"/>
                <w:rFonts w:ascii="Times New Roman" w:hAnsi="Times New Roman"/>
                <w:sz w:val="24"/>
              </w:rPr>
              <w:t> %</w:t>
            </w:r>
          </w:p>
          <w:p w14:paraId="34D369D6" w14:textId="77777777" w:rsidR="00CC7D2C" w:rsidRPr="002176B5" w:rsidRDefault="00CC7D2C" w:rsidP="00320EFD">
            <w:pPr>
              <w:pStyle w:val="InstructionsText"/>
            </w:pPr>
            <w:r w:rsidRPr="002176B5">
              <w:t>Článok 48 ods. 4 nariadenia (EÚ) č. 575/2013</w:t>
            </w:r>
          </w:p>
          <w:p w14:paraId="2D9006FE" w14:textId="377AF2A6" w:rsidR="00CC7D2C" w:rsidRPr="002176B5" w:rsidRDefault="00CC7D2C" w:rsidP="00320EFD">
            <w:pPr>
              <w:pStyle w:val="InstructionsText"/>
              <w:rPr>
                <w:rStyle w:val="InstructionsTabelleberschrift"/>
                <w:rFonts w:ascii="Times New Roman" w:hAnsi="Times New Roman"/>
                <w:b w:val="0"/>
                <w:bCs w:val="0"/>
                <w:sz w:val="24"/>
                <w:u w:val="none"/>
              </w:rPr>
            </w:pPr>
            <w:r w:rsidRPr="002176B5">
              <w:t>Hodnota odložených daňových pohľadávok, ktoré závisia od budúcej ziskovosti</w:t>
            </w:r>
            <w:r w:rsidR="002176B5">
              <w:t xml:space="preserve"> a </w:t>
            </w:r>
            <w:r w:rsidRPr="002176B5">
              <w:t>vyplývajú</w:t>
            </w:r>
            <w:r w:rsidR="002176B5">
              <w:t xml:space="preserve"> z </w:t>
            </w:r>
            <w:r w:rsidRPr="002176B5">
              <w:t>dočasných rozdielov</w:t>
            </w:r>
            <w:r w:rsidR="002176B5">
              <w:t xml:space="preserve"> a </w:t>
            </w:r>
            <w:r w:rsidRPr="002176B5">
              <w:t>ktoré sa neodpočítavajú podľa článku 48 ods. 1 nariadenia (EÚ) č. 575/2013, ale na ktoré sa vzťahuje riziková váha 250</w:t>
            </w:r>
            <w:r w:rsidR="002176B5">
              <w:t> % v </w:t>
            </w:r>
            <w:r w:rsidRPr="002176B5">
              <w:t>súlade</w:t>
            </w:r>
            <w:r w:rsidR="002176B5">
              <w:t xml:space="preserve"> s </w:t>
            </w:r>
            <w:r w:rsidRPr="002176B5">
              <w:t>článkom 48 ods. 4 uvedeného nariadenia, pričom sa zohľadňuje účinok článku 470</w:t>
            </w:r>
            <w:r w:rsidR="002176B5">
              <w:t xml:space="preserve"> a </w:t>
            </w:r>
            <w:r w:rsidRPr="002176B5">
              <w:t>článku 478 ods. 2 toho istého nariadenia. Vykázaná hodnota je hodnota odložených daňových pohľadávok pred uplatnením rizikových váh.</w:t>
            </w:r>
          </w:p>
        </w:tc>
      </w:tr>
      <w:tr w:rsidR="00CC7D2C" w:rsidRPr="002176B5" w14:paraId="7B66A306" w14:textId="77777777" w:rsidTr="00822842">
        <w:tc>
          <w:tcPr>
            <w:tcW w:w="1474" w:type="dxa"/>
          </w:tcPr>
          <w:p w14:paraId="1D25A0DC" w14:textId="77777777" w:rsidR="00CC7D2C" w:rsidRPr="002176B5" w:rsidRDefault="00CC7D2C" w:rsidP="00320EFD">
            <w:pPr>
              <w:pStyle w:val="InstructionsText"/>
            </w:pPr>
            <w:r w:rsidRPr="002176B5">
              <w:t>0097</w:t>
            </w:r>
          </w:p>
        </w:tc>
        <w:tc>
          <w:tcPr>
            <w:tcW w:w="7049" w:type="dxa"/>
          </w:tcPr>
          <w:p w14:paraId="4798DC8E" w14:textId="74E2621C" w:rsidR="00CC7D2C" w:rsidRPr="002176B5" w:rsidRDefault="00CC7D2C" w:rsidP="00320EFD">
            <w:pPr>
              <w:pStyle w:val="InstructionsText"/>
            </w:pPr>
            <w:r w:rsidRPr="002176B5">
              <w:rPr>
                <w:rStyle w:val="InstructionsTabelleberschrift"/>
                <w:rFonts w:ascii="Times New Roman" w:hAnsi="Times New Roman"/>
                <w:sz w:val="24"/>
              </w:rPr>
              <w:t>2C</w:t>
            </w:r>
            <w:r w:rsidRPr="002176B5">
              <w:tab/>
            </w:r>
            <w:r w:rsidRPr="002176B5">
              <w:rPr>
                <w:rStyle w:val="InstructionsTabelleberschrift"/>
                <w:rFonts w:ascii="Times New Roman" w:hAnsi="Times New Roman"/>
                <w:sz w:val="24"/>
              </w:rPr>
              <w:t>Odložené daňové pohľadávky, na ktoré sa uplatňuje riziková váha 0</w:t>
            </w:r>
            <w:r w:rsidR="002176B5">
              <w:rPr>
                <w:rStyle w:val="InstructionsTabelleberschrift"/>
                <w:rFonts w:ascii="Times New Roman" w:hAnsi="Times New Roman"/>
                <w:sz w:val="24"/>
              </w:rPr>
              <w:t> %</w:t>
            </w:r>
          </w:p>
          <w:p w14:paraId="4E521C1C" w14:textId="6252B3DF" w:rsidR="00CC7D2C" w:rsidRPr="002176B5" w:rsidRDefault="00CC7D2C" w:rsidP="00320EFD">
            <w:pPr>
              <w:pStyle w:val="InstructionsText"/>
            </w:pPr>
            <w:r w:rsidRPr="002176B5">
              <w:t>Článok 469 ods. 1 písm. d), článok 470, článok 472 ods. 5</w:t>
            </w:r>
            <w:r w:rsidR="002176B5">
              <w:t xml:space="preserve"> a </w:t>
            </w:r>
            <w:r w:rsidRPr="002176B5">
              <w:t>článok 478 nariadenia (EÚ) č. 575/2013</w:t>
            </w:r>
          </w:p>
          <w:p w14:paraId="3F0D46EC" w14:textId="0127C6DA" w:rsidR="00CC7D2C" w:rsidRPr="002176B5" w:rsidRDefault="00CC7D2C" w:rsidP="00320EFD">
            <w:pPr>
              <w:pStyle w:val="InstructionsText"/>
              <w:rPr>
                <w:rStyle w:val="InstructionsTabelleberschrift"/>
                <w:rFonts w:ascii="Times New Roman" w:hAnsi="Times New Roman"/>
                <w:b w:val="0"/>
                <w:bCs w:val="0"/>
                <w:sz w:val="24"/>
                <w:u w:val="none"/>
              </w:rPr>
            </w:pPr>
            <w:r w:rsidRPr="002176B5">
              <w:t>Hodnota odložených daňových pohľadávok, ktoré závisia od budúcej ziskovosti</w:t>
            </w:r>
            <w:r w:rsidR="002176B5">
              <w:t xml:space="preserve"> a </w:t>
            </w:r>
            <w:r w:rsidRPr="002176B5">
              <w:t>vyplývajú</w:t>
            </w:r>
            <w:r w:rsidR="002176B5">
              <w:t xml:space="preserve"> z </w:t>
            </w:r>
            <w:r w:rsidRPr="002176B5">
              <w:t>dočasných rozdielov</w:t>
            </w:r>
            <w:r w:rsidR="002176B5">
              <w:t xml:space="preserve"> a </w:t>
            </w:r>
            <w:r w:rsidRPr="002176B5">
              <w:t>ktoré sa neodpočítavajú podľa článku 469 ods. 1 písm. d), článku 470</w:t>
            </w:r>
            <w:r w:rsidR="002176B5">
              <w:t xml:space="preserve"> a </w:t>
            </w:r>
            <w:r w:rsidRPr="002176B5">
              <w:t>článku 478 ods. 2 nariadenia (EÚ) č. 575/2013, ale na ktoré sa vzťahuje riziková váha 0</w:t>
            </w:r>
            <w:r w:rsidR="002176B5">
              <w:t> % v </w:t>
            </w:r>
            <w:r w:rsidRPr="002176B5">
              <w:t>súlade</w:t>
            </w:r>
            <w:r w:rsidR="002176B5">
              <w:t xml:space="preserve"> s </w:t>
            </w:r>
            <w:r w:rsidRPr="002176B5">
              <w:t>článkom 472 ods. 5 uvedeného nariadenia. Vykázaná hodnota je hodnota odložených daňových pohľadávok pred uplatnením rizikových váh.</w:t>
            </w:r>
          </w:p>
        </w:tc>
      </w:tr>
      <w:tr w:rsidR="00CC7D2C" w:rsidRPr="002176B5" w14:paraId="3C504F47" w14:textId="77777777" w:rsidTr="00822842">
        <w:tc>
          <w:tcPr>
            <w:tcW w:w="1474" w:type="dxa"/>
          </w:tcPr>
          <w:p w14:paraId="2B890E79" w14:textId="77777777" w:rsidR="00CC7D2C" w:rsidRPr="002176B5" w:rsidRDefault="00CC7D2C" w:rsidP="00320EFD">
            <w:pPr>
              <w:pStyle w:val="InstructionsText"/>
            </w:pPr>
            <w:r w:rsidRPr="002176B5">
              <w:t>0901</w:t>
            </w:r>
          </w:p>
        </w:tc>
        <w:tc>
          <w:tcPr>
            <w:tcW w:w="7049" w:type="dxa"/>
          </w:tcPr>
          <w:p w14:paraId="43FD0402" w14:textId="70FA97BD"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2W Softvérové aktíva účtované ako nehmotné aktíva vyňaté</w:t>
            </w:r>
            <w:r w:rsidR="002176B5">
              <w:rPr>
                <w:rStyle w:val="InstructionsTabelleberschrift"/>
                <w:rFonts w:ascii="Times New Roman" w:hAnsi="Times New Roman"/>
                <w:sz w:val="24"/>
              </w:rPr>
              <w:t xml:space="preserve"> z </w:t>
            </w:r>
            <w:r w:rsidRPr="002176B5">
              <w:rPr>
                <w:rStyle w:val="InstructionsTabelleberschrift"/>
                <w:rFonts w:ascii="Times New Roman" w:hAnsi="Times New Roman"/>
                <w:sz w:val="24"/>
              </w:rPr>
              <w:t>odpočtu od CET1</w:t>
            </w:r>
          </w:p>
          <w:p w14:paraId="5C8FA893" w14:textId="77777777" w:rsidR="00CC7D2C" w:rsidRPr="002176B5" w:rsidRDefault="00CC7D2C" w:rsidP="00320EFD">
            <w:pPr>
              <w:pStyle w:val="InstructionsText"/>
            </w:pPr>
            <w:r w:rsidRPr="002176B5">
              <w:t>Článok 36 ods. 1 písm. b) nariadenia (EÚ) č. 575/2013</w:t>
            </w:r>
          </w:p>
          <w:p w14:paraId="0E43062B" w14:textId="78DD9CF2" w:rsidR="00CC7D2C" w:rsidRPr="002176B5" w:rsidRDefault="00CC7D2C" w:rsidP="00320EFD">
            <w:pPr>
              <w:pStyle w:val="InstructionsText"/>
              <w:rPr>
                <w:rStyle w:val="InstructionsTabelleberschrift"/>
                <w:rFonts w:ascii="Times New Roman" w:hAnsi="Times New Roman"/>
                <w:sz w:val="24"/>
              </w:rPr>
            </w:pPr>
            <w:r w:rsidRPr="002176B5">
              <w:lastRenderedPageBreak/>
              <w:t>Inštitúcie vykazujú hodnotu obozretne ocenených softvérových aktív, ktorá je vyňatá</w:t>
            </w:r>
            <w:r w:rsidR="002176B5">
              <w:t xml:space="preserve"> z </w:t>
            </w:r>
            <w:r w:rsidRPr="002176B5">
              <w:t>odpočtu od položiek CET1</w:t>
            </w:r>
            <w:r w:rsidR="002176B5">
              <w:t xml:space="preserve"> v </w:t>
            </w:r>
            <w:r w:rsidRPr="002176B5">
              <w:t>súlade</w:t>
            </w:r>
            <w:r w:rsidR="002176B5">
              <w:t xml:space="preserve"> s </w:t>
            </w:r>
            <w:r w:rsidRPr="002176B5">
              <w:t>článkom 13a delegovaného nariadenia (EÚ) č. 241/2014.</w:t>
            </w:r>
          </w:p>
        </w:tc>
      </w:tr>
      <w:tr w:rsidR="00CC7D2C" w:rsidRPr="002176B5" w14:paraId="24F20D09" w14:textId="77777777" w:rsidTr="00822842">
        <w:tc>
          <w:tcPr>
            <w:tcW w:w="1474" w:type="dxa"/>
          </w:tcPr>
          <w:p w14:paraId="6FFE1E59" w14:textId="77777777" w:rsidR="00CC7D2C" w:rsidRPr="002176B5" w:rsidRDefault="00CC7D2C" w:rsidP="00320EFD">
            <w:pPr>
              <w:pStyle w:val="InstructionsText"/>
            </w:pPr>
            <w:r w:rsidRPr="002176B5">
              <w:lastRenderedPageBreak/>
              <w:t>0905</w:t>
            </w:r>
          </w:p>
        </w:tc>
        <w:tc>
          <w:tcPr>
            <w:tcW w:w="7049" w:type="dxa"/>
          </w:tcPr>
          <w:p w14:paraId="02DF2815" w14:textId="031AA3AE"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2Y Nástroje kapitálu AT1</w:t>
            </w:r>
            <w:r w:rsidR="002176B5">
              <w:rPr>
                <w:rStyle w:val="InstructionsTabelleberschrift"/>
                <w:rFonts w:ascii="Times New Roman" w:hAnsi="Times New Roman"/>
                <w:sz w:val="24"/>
              </w:rPr>
              <w:t xml:space="preserve"> a </w:t>
            </w:r>
            <w:r w:rsidRPr="002176B5">
              <w:rPr>
                <w:rStyle w:val="InstructionsTabelleberschrift"/>
                <w:rFonts w:ascii="Times New Roman" w:hAnsi="Times New Roman"/>
                <w:sz w:val="24"/>
              </w:rPr>
              <w:t>súvisiace účty emisného ážia klasifikované ako vlastné imanie podľa uplatniteľných účtovných štandardov</w:t>
            </w:r>
          </w:p>
          <w:p w14:paraId="461168E6" w14:textId="77777777" w:rsidR="00CC7D2C" w:rsidRPr="002176B5" w:rsidRDefault="00CC7D2C" w:rsidP="00320EFD">
            <w:pPr>
              <w:pStyle w:val="InstructionsText"/>
              <w:rPr>
                <w:rStyle w:val="InstructionsTabelleberschrift"/>
                <w:rFonts w:ascii="Times New Roman" w:hAnsi="Times New Roman"/>
                <w:sz w:val="24"/>
              </w:rPr>
            </w:pPr>
            <w:r w:rsidRPr="002176B5">
              <w:t>Hodnota nástrojov AT1 vrátane ich súvisiacich účtov emisného ážia, ktoré sú klasifikované ako vlastné imanie podľa uplatniteľného účtovného štandardu.</w:t>
            </w:r>
          </w:p>
        </w:tc>
      </w:tr>
      <w:tr w:rsidR="00CC7D2C" w:rsidRPr="002176B5" w14:paraId="382EEB77" w14:textId="77777777" w:rsidTr="00822842">
        <w:tc>
          <w:tcPr>
            <w:tcW w:w="1474" w:type="dxa"/>
          </w:tcPr>
          <w:p w14:paraId="74EAD5B4" w14:textId="77777777" w:rsidR="00CC7D2C" w:rsidRPr="002176B5" w:rsidRDefault="00CC7D2C" w:rsidP="00320EFD">
            <w:pPr>
              <w:pStyle w:val="InstructionsText"/>
            </w:pPr>
            <w:r w:rsidRPr="002176B5">
              <w:t>0906</w:t>
            </w:r>
          </w:p>
        </w:tc>
        <w:tc>
          <w:tcPr>
            <w:tcW w:w="7049" w:type="dxa"/>
          </w:tcPr>
          <w:p w14:paraId="70154682" w14:textId="6E7AF649"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2Z Nástroje kapitálu AT1</w:t>
            </w:r>
            <w:r w:rsidR="002176B5">
              <w:rPr>
                <w:rStyle w:val="InstructionsTabelleberschrift"/>
                <w:rFonts w:ascii="Times New Roman" w:hAnsi="Times New Roman"/>
                <w:sz w:val="24"/>
              </w:rPr>
              <w:t xml:space="preserve"> a </w:t>
            </w:r>
            <w:r w:rsidRPr="002176B5">
              <w:rPr>
                <w:rStyle w:val="InstructionsTabelleberschrift"/>
                <w:rFonts w:ascii="Times New Roman" w:hAnsi="Times New Roman"/>
                <w:sz w:val="24"/>
              </w:rPr>
              <w:t>súvisiace účty emisného ážia klasifikované ako záväzky podľa uplatniteľných účtovných štandardov</w:t>
            </w:r>
          </w:p>
          <w:p w14:paraId="7B3EED9F" w14:textId="77777777" w:rsidR="00CC7D2C" w:rsidRPr="002176B5" w:rsidRDefault="00CC7D2C" w:rsidP="00320EFD">
            <w:pPr>
              <w:pStyle w:val="InstructionsText"/>
              <w:rPr>
                <w:rStyle w:val="InstructionsTabelleberschrift"/>
                <w:rFonts w:ascii="Times New Roman" w:hAnsi="Times New Roman"/>
                <w:sz w:val="24"/>
              </w:rPr>
            </w:pPr>
            <w:r w:rsidRPr="002176B5">
              <w:t>Hodnota nástrojov AT1 vrátane ich súvisiacich účtov emisného ážia, ktoré sú klasifikované ako záväzky podľa uplatniteľného účtovného štandardu.</w:t>
            </w:r>
          </w:p>
        </w:tc>
      </w:tr>
      <w:tr w:rsidR="00CC7D2C" w:rsidRPr="002176B5" w14:paraId="58E52AB1" w14:textId="77777777" w:rsidTr="00822842">
        <w:tc>
          <w:tcPr>
            <w:tcW w:w="1474" w:type="dxa"/>
          </w:tcPr>
          <w:p w14:paraId="7B0C140F" w14:textId="77777777" w:rsidR="00CC7D2C" w:rsidRPr="002176B5" w:rsidRDefault="00CC7D2C" w:rsidP="00320EFD">
            <w:pPr>
              <w:pStyle w:val="InstructionsText"/>
            </w:pPr>
            <w:r w:rsidRPr="002176B5">
              <w:t>0100</w:t>
            </w:r>
          </w:p>
        </w:tc>
        <w:tc>
          <w:tcPr>
            <w:tcW w:w="7049" w:type="dxa"/>
          </w:tcPr>
          <w:p w14:paraId="196A8FDE" w14:textId="0E341D19"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3.</w:t>
            </w:r>
            <w:r w:rsidRPr="002176B5">
              <w:tab/>
            </w:r>
            <w:r w:rsidRPr="002176B5">
              <w:rPr>
                <w:rStyle w:val="InstructionsTabelleberschrift"/>
                <w:rFonts w:ascii="Times New Roman" w:hAnsi="Times New Roman"/>
                <w:sz w:val="24"/>
              </w:rPr>
              <w:t>IRB nadbytok (+) alebo schodok (–) úprav kreditného rizika, dodatočných úprav ocenenia</w:t>
            </w:r>
            <w:r w:rsidR="002176B5">
              <w:rPr>
                <w:rStyle w:val="InstructionsTabelleberschrift"/>
                <w:rFonts w:ascii="Times New Roman" w:hAnsi="Times New Roman"/>
                <w:sz w:val="24"/>
              </w:rPr>
              <w:t xml:space="preserve"> a </w:t>
            </w:r>
            <w:r w:rsidRPr="002176B5">
              <w:rPr>
                <w:rStyle w:val="InstructionsTabelleberschrift"/>
                <w:rFonts w:ascii="Times New Roman" w:hAnsi="Times New Roman"/>
                <w:sz w:val="24"/>
              </w:rPr>
              <w:t>iných znížení vlastných zdrojov</w:t>
            </w:r>
            <w:r w:rsidR="002176B5">
              <w:rPr>
                <w:rStyle w:val="InstructionsTabelleberschrift"/>
                <w:rFonts w:ascii="Times New Roman" w:hAnsi="Times New Roman"/>
                <w:sz w:val="24"/>
              </w:rPr>
              <w:t xml:space="preserve"> o </w:t>
            </w:r>
            <w:r w:rsidRPr="002176B5">
              <w:rPr>
                <w:rStyle w:val="InstructionsTabelleberschrift"/>
                <w:rFonts w:ascii="Times New Roman" w:hAnsi="Times New Roman"/>
                <w:sz w:val="24"/>
              </w:rPr>
              <w:t>očakávané straty pre expozície, pri ktorých nedošlo</w:t>
            </w:r>
            <w:r w:rsidR="002176B5">
              <w:rPr>
                <w:rStyle w:val="InstructionsTabelleberschrift"/>
                <w:rFonts w:ascii="Times New Roman" w:hAnsi="Times New Roman"/>
                <w:sz w:val="24"/>
              </w:rPr>
              <w:t xml:space="preserve"> k </w:t>
            </w:r>
            <w:r w:rsidRPr="002176B5">
              <w:rPr>
                <w:rStyle w:val="InstructionsTabelleberschrift"/>
                <w:rFonts w:ascii="Times New Roman" w:hAnsi="Times New Roman"/>
                <w:sz w:val="24"/>
              </w:rPr>
              <w:t>zlyhaniu</w:t>
            </w:r>
          </w:p>
          <w:p w14:paraId="281DFA69" w14:textId="226D04DE" w:rsidR="00CC7D2C" w:rsidRPr="002176B5" w:rsidRDefault="00CC7D2C" w:rsidP="00320EFD">
            <w:pPr>
              <w:pStyle w:val="InstructionsText"/>
            </w:pPr>
            <w:r w:rsidRPr="002176B5">
              <w:t>Článok 36 ods. 1 písm. d), článok 62 písm. d), články 158</w:t>
            </w:r>
            <w:r w:rsidR="002176B5">
              <w:t xml:space="preserve"> a </w:t>
            </w:r>
            <w:r w:rsidRPr="002176B5">
              <w:t>159 nariadenia (EÚ) č. 575/2013</w:t>
            </w:r>
          </w:p>
          <w:p w14:paraId="211C61EB" w14:textId="77777777" w:rsidR="00CC7D2C" w:rsidRPr="002176B5" w:rsidRDefault="00CC7D2C" w:rsidP="00320EFD">
            <w:pPr>
              <w:pStyle w:val="InstructionsText"/>
            </w:pPr>
            <w:r w:rsidRPr="002176B5">
              <w:t>Túto položku vykazujú len inštitúcie používajúce IRB.</w:t>
            </w:r>
          </w:p>
        </w:tc>
      </w:tr>
      <w:tr w:rsidR="00CC7D2C" w:rsidRPr="002176B5" w14:paraId="60712358" w14:textId="77777777" w:rsidTr="00822842">
        <w:tc>
          <w:tcPr>
            <w:tcW w:w="1474" w:type="dxa"/>
          </w:tcPr>
          <w:p w14:paraId="6AA3BC96" w14:textId="77777777" w:rsidR="00CC7D2C" w:rsidRPr="002176B5" w:rsidRDefault="00CC7D2C" w:rsidP="00320EFD">
            <w:pPr>
              <w:pStyle w:val="InstructionsText"/>
            </w:pPr>
            <w:r w:rsidRPr="002176B5">
              <w:t>0110</w:t>
            </w:r>
          </w:p>
        </w:tc>
        <w:tc>
          <w:tcPr>
            <w:tcW w:w="7049" w:type="dxa"/>
          </w:tcPr>
          <w:p w14:paraId="2686C31A" w14:textId="4FCD08E7" w:rsidR="00CC7D2C" w:rsidRPr="002176B5" w:rsidRDefault="00CC7D2C" w:rsidP="00320EFD">
            <w:pPr>
              <w:pStyle w:val="InstructionsText"/>
            </w:pPr>
            <w:r w:rsidRPr="002176B5">
              <w:rPr>
                <w:rStyle w:val="InstructionsTabelleberschrift"/>
                <w:rFonts w:ascii="Times New Roman" w:hAnsi="Times New Roman"/>
                <w:sz w:val="24"/>
              </w:rPr>
              <w:t>3.1.</w:t>
            </w:r>
            <w:r w:rsidRPr="002176B5">
              <w:tab/>
            </w:r>
            <w:r w:rsidRPr="002176B5">
              <w:rPr>
                <w:rStyle w:val="InstructionsTabelleberschrift"/>
                <w:rFonts w:ascii="Times New Roman" w:hAnsi="Times New Roman"/>
                <w:sz w:val="24"/>
              </w:rPr>
              <w:t>Celkové úpravy kreditného rizika, dodatočné úpravy ocenenia</w:t>
            </w:r>
            <w:r w:rsidR="002176B5">
              <w:rPr>
                <w:rStyle w:val="InstructionsTabelleberschrift"/>
                <w:rFonts w:ascii="Times New Roman" w:hAnsi="Times New Roman"/>
                <w:sz w:val="24"/>
              </w:rPr>
              <w:t xml:space="preserve"> a </w:t>
            </w:r>
            <w:r w:rsidRPr="002176B5">
              <w:rPr>
                <w:rStyle w:val="InstructionsTabelleberschrift"/>
                <w:rFonts w:ascii="Times New Roman" w:hAnsi="Times New Roman"/>
                <w:sz w:val="24"/>
              </w:rPr>
              <w:t>iné zníženia vlastných zdrojov prípustné na začlenenie do výpočtu výšky očakávanej straty</w:t>
            </w:r>
          </w:p>
          <w:p w14:paraId="1AF7728C" w14:textId="77777777" w:rsidR="00CC7D2C" w:rsidRPr="002176B5" w:rsidRDefault="00CC7D2C" w:rsidP="00320EFD">
            <w:pPr>
              <w:pStyle w:val="InstructionsText"/>
            </w:pPr>
            <w:r w:rsidRPr="002176B5">
              <w:t>Článok 159 nariadenia (EÚ) č. 575/2013</w:t>
            </w:r>
          </w:p>
          <w:p w14:paraId="21F21DE2" w14:textId="77777777" w:rsidR="00CC7D2C" w:rsidRPr="002176B5" w:rsidRDefault="00CC7D2C" w:rsidP="00320EFD">
            <w:pPr>
              <w:pStyle w:val="InstructionsText"/>
            </w:pPr>
            <w:r w:rsidRPr="002176B5">
              <w:t>Túto položku vykazujú len inštitúcie používajúce IRB.</w:t>
            </w:r>
          </w:p>
        </w:tc>
      </w:tr>
      <w:tr w:rsidR="00CC7D2C" w:rsidRPr="002176B5" w14:paraId="4D77A801" w14:textId="77777777" w:rsidTr="00822842">
        <w:tc>
          <w:tcPr>
            <w:tcW w:w="1474" w:type="dxa"/>
          </w:tcPr>
          <w:p w14:paraId="6F65C24E" w14:textId="77777777" w:rsidR="00CC7D2C" w:rsidRPr="002176B5" w:rsidRDefault="00CC7D2C" w:rsidP="00320EFD">
            <w:pPr>
              <w:pStyle w:val="InstructionsText"/>
            </w:pPr>
            <w:r w:rsidRPr="002176B5">
              <w:t>0120</w:t>
            </w:r>
          </w:p>
        </w:tc>
        <w:tc>
          <w:tcPr>
            <w:tcW w:w="7049" w:type="dxa"/>
          </w:tcPr>
          <w:p w14:paraId="2DDC1449" w14:textId="77777777" w:rsidR="00CC7D2C" w:rsidRPr="002176B5" w:rsidRDefault="00CC7D2C" w:rsidP="00320EFD">
            <w:pPr>
              <w:pStyle w:val="InstructionsText"/>
            </w:pPr>
            <w:r w:rsidRPr="002176B5">
              <w:rPr>
                <w:rStyle w:val="InstructionsTabelleberschrift"/>
                <w:rFonts w:ascii="Times New Roman" w:hAnsi="Times New Roman"/>
                <w:sz w:val="24"/>
              </w:rPr>
              <w:t>3.1.1.</w:t>
            </w:r>
            <w:r w:rsidRPr="002176B5">
              <w:tab/>
            </w:r>
            <w:r w:rsidRPr="002176B5">
              <w:rPr>
                <w:rStyle w:val="InstructionsTabelleberschrift"/>
                <w:rFonts w:ascii="Times New Roman" w:hAnsi="Times New Roman"/>
                <w:sz w:val="24"/>
              </w:rPr>
              <w:t>Všeobecné úpravy kreditného rizika</w:t>
            </w:r>
          </w:p>
          <w:p w14:paraId="6F03085D" w14:textId="77777777" w:rsidR="00CC7D2C" w:rsidRPr="002176B5" w:rsidRDefault="00CC7D2C" w:rsidP="00320EFD">
            <w:pPr>
              <w:pStyle w:val="InstructionsText"/>
            </w:pPr>
            <w:r w:rsidRPr="002176B5">
              <w:t>Článok 159 nariadenia (EÚ) č. 575/2013</w:t>
            </w:r>
          </w:p>
          <w:p w14:paraId="6264BB70" w14:textId="77777777" w:rsidR="00CC7D2C" w:rsidRPr="002176B5" w:rsidRDefault="00CC7D2C" w:rsidP="00320EFD">
            <w:pPr>
              <w:pStyle w:val="InstructionsText"/>
            </w:pPr>
            <w:r w:rsidRPr="002176B5">
              <w:t>Túto položku vykazujú len inštitúcie používajúce IRB.</w:t>
            </w:r>
          </w:p>
        </w:tc>
      </w:tr>
      <w:tr w:rsidR="00CC7D2C" w:rsidRPr="002176B5" w14:paraId="6FF7B336" w14:textId="77777777" w:rsidTr="00822842">
        <w:tc>
          <w:tcPr>
            <w:tcW w:w="1474" w:type="dxa"/>
          </w:tcPr>
          <w:p w14:paraId="027512EC" w14:textId="77777777" w:rsidR="00CC7D2C" w:rsidRPr="002176B5" w:rsidRDefault="00CC7D2C" w:rsidP="00320EFD">
            <w:pPr>
              <w:pStyle w:val="InstructionsText"/>
            </w:pPr>
            <w:r w:rsidRPr="002176B5">
              <w:t>0130</w:t>
            </w:r>
          </w:p>
        </w:tc>
        <w:tc>
          <w:tcPr>
            <w:tcW w:w="7049" w:type="dxa"/>
          </w:tcPr>
          <w:p w14:paraId="60639211" w14:textId="77777777" w:rsidR="00CC7D2C" w:rsidRPr="002176B5" w:rsidRDefault="00CC7D2C" w:rsidP="00320EFD">
            <w:pPr>
              <w:pStyle w:val="InstructionsText"/>
            </w:pPr>
            <w:r w:rsidRPr="002176B5">
              <w:rPr>
                <w:rStyle w:val="InstructionsTabelleberschrift"/>
                <w:rFonts w:ascii="Times New Roman" w:hAnsi="Times New Roman"/>
                <w:sz w:val="24"/>
              </w:rPr>
              <w:t>3.1.2.</w:t>
            </w:r>
            <w:r w:rsidRPr="002176B5">
              <w:tab/>
            </w:r>
            <w:r w:rsidRPr="002176B5">
              <w:rPr>
                <w:rStyle w:val="InstructionsTabelleberschrift"/>
                <w:rFonts w:ascii="Times New Roman" w:hAnsi="Times New Roman"/>
                <w:sz w:val="24"/>
              </w:rPr>
              <w:t>Špecifické úpravy kreditného rizika</w:t>
            </w:r>
          </w:p>
          <w:p w14:paraId="66E78811" w14:textId="77777777" w:rsidR="00CC7D2C" w:rsidRPr="002176B5" w:rsidRDefault="00CC7D2C" w:rsidP="00320EFD">
            <w:pPr>
              <w:pStyle w:val="InstructionsText"/>
            </w:pPr>
            <w:r w:rsidRPr="002176B5">
              <w:t>Článok 159 nariadenia (EÚ) č. 575/2013</w:t>
            </w:r>
          </w:p>
          <w:p w14:paraId="5B5BE89D" w14:textId="77777777" w:rsidR="00CC7D2C" w:rsidRPr="002176B5" w:rsidRDefault="00CC7D2C" w:rsidP="00320EFD">
            <w:pPr>
              <w:pStyle w:val="InstructionsText"/>
            </w:pPr>
            <w:r w:rsidRPr="002176B5">
              <w:t>Túto položku vykazujú len inštitúcie používajúce IRB.</w:t>
            </w:r>
          </w:p>
        </w:tc>
      </w:tr>
      <w:tr w:rsidR="00CC7D2C" w:rsidRPr="002176B5" w14:paraId="1507DD8C" w14:textId="77777777" w:rsidTr="00822842">
        <w:tc>
          <w:tcPr>
            <w:tcW w:w="1474" w:type="dxa"/>
          </w:tcPr>
          <w:p w14:paraId="0CA31934" w14:textId="77777777" w:rsidR="00CC7D2C" w:rsidRPr="002176B5" w:rsidRDefault="00CC7D2C" w:rsidP="00320EFD">
            <w:pPr>
              <w:pStyle w:val="InstructionsText"/>
            </w:pPr>
            <w:r w:rsidRPr="002176B5">
              <w:t>0131</w:t>
            </w:r>
          </w:p>
        </w:tc>
        <w:tc>
          <w:tcPr>
            <w:tcW w:w="7049" w:type="dxa"/>
          </w:tcPr>
          <w:p w14:paraId="680A99A9" w14:textId="07AA537F"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3.1.3.</w:t>
            </w:r>
            <w:r w:rsidRPr="002176B5">
              <w:tab/>
            </w:r>
            <w:r w:rsidRPr="002176B5">
              <w:rPr>
                <w:rStyle w:val="InstructionsTabelleberschrift"/>
                <w:rFonts w:ascii="Times New Roman" w:hAnsi="Times New Roman"/>
                <w:sz w:val="24"/>
              </w:rPr>
              <w:t>Dodatočné úpravy ocenenia</w:t>
            </w:r>
            <w:r w:rsidR="002176B5">
              <w:rPr>
                <w:rStyle w:val="InstructionsTabelleberschrift"/>
                <w:rFonts w:ascii="Times New Roman" w:hAnsi="Times New Roman"/>
                <w:sz w:val="24"/>
              </w:rPr>
              <w:t xml:space="preserve"> a </w:t>
            </w:r>
            <w:r w:rsidRPr="002176B5">
              <w:rPr>
                <w:rStyle w:val="InstructionsTabelleberschrift"/>
                <w:rFonts w:ascii="Times New Roman" w:hAnsi="Times New Roman"/>
                <w:sz w:val="24"/>
              </w:rPr>
              <w:t>iné zníženia vlastných zdrojov</w:t>
            </w:r>
          </w:p>
          <w:p w14:paraId="79B5C3F4" w14:textId="5A7B4935" w:rsidR="00CC7D2C" w:rsidRPr="002176B5" w:rsidRDefault="00CC7D2C" w:rsidP="00320EFD">
            <w:pPr>
              <w:pStyle w:val="InstructionsText"/>
              <w:rPr>
                <w:rStyle w:val="InstructionsTabelleberschrift"/>
                <w:rFonts w:ascii="Times New Roman" w:hAnsi="Times New Roman"/>
                <w:b w:val="0"/>
                <w:sz w:val="24"/>
                <w:u w:val="none"/>
              </w:rPr>
            </w:pPr>
            <w:r w:rsidRPr="002176B5">
              <w:rPr>
                <w:rStyle w:val="InstructionsTabelleberschrift"/>
                <w:rFonts w:ascii="Times New Roman" w:hAnsi="Times New Roman"/>
                <w:b w:val="0"/>
                <w:sz w:val="24"/>
                <w:u w:val="none"/>
              </w:rPr>
              <w:t>Články 34, 110</w:t>
            </w:r>
            <w:r w:rsidR="002176B5">
              <w:rPr>
                <w:rStyle w:val="InstructionsTabelleberschrift"/>
                <w:rFonts w:ascii="Times New Roman" w:hAnsi="Times New Roman"/>
                <w:b w:val="0"/>
                <w:sz w:val="24"/>
                <w:u w:val="none"/>
              </w:rPr>
              <w:t xml:space="preserve"> a </w:t>
            </w:r>
            <w:r w:rsidRPr="002176B5">
              <w:rPr>
                <w:rStyle w:val="InstructionsTabelleberschrift"/>
                <w:rFonts w:ascii="Times New Roman" w:hAnsi="Times New Roman"/>
                <w:b w:val="0"/>
                <w:sz w:val="24"/>
                <w:u w:val="none"/>
              </w:rPr>
              <w:t xml:space="preserve">159 </w:t>
            </w:r>
            <w:r w:rsidRPr="002176B5">
              <w:t>nariadenia (EÚ) č. 575/2013</w:t>
            </w:r>
          </w:p>
          <w:p w14:paraId="4D2B667E" w14:textId="77777777" w:rsidR="00CC7D2C" w:rsidRPr="002176B5" w:rsidRDefault="00CC7D2C" w:rsidP="00320EFD">
            <w:pPr>
              <w:pStyle w:val="InstructionsText"/>
              <w:rPr>
                <w:rStyle w:val="InstructionsTabelleberschrift"/>
                <w:rFonts w:ascii="Times New Roman" w:hAnsi="Times New Roman"/>
                <w:b w:val="0"/>
                <w:bCs w:val="0"/>
                <w:sz w:val="24"/>
                <w:u w:val="none"/>
              </w:rPr>
            </w:pPr>
            <w:r w:rsidRPr="002176B5">
              <w:t>Túto položku vykazujú len inštitúcie používajúce IRB.</w:t>
            </w:r>
          </w:p>
        </w:tc>
      </w:tr>
      <w:tr w:rsidR="00CC7D2C" w:rsidRPr="002176B5" w14:paraId="2D986C78" w14:textId="77777777" w:rsidTr="00822842">
        <w:tc>
          <w:tcPr>
            <w:tcW w:w="1474" w:type="dxa"/>
          </w:tcPr>
          <w:p w14:paraId="69CAFB4E" w14:textId="77777777" w:rsidR="00CC7D2C" w:rsidRPr="002176B5" w:rsidRDefault="00CC7D2C" w:rsidP="00320EFD">
            <w:pPr>
              <w:pStyle w:val="InstructionsText"/>
            </w:pPr>
            <w:r w:rsidRPr="002176B5">
              <w:t>0140</w:t>
            </w:r>
          </w:p>
        </w:tc>
        <w:tc>
          <w:tcPr>
            <w:tcW w:w="7049" w:type="dxa"/>
          </w:tcPr>
          <w:p w14:paraId="0B7F0A82" w14:textId="77777777" w:rsid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3.2.</w:t>
            </w:r>
            <w:r w:rsidRPr="002176B5">
              <w:tab/>
            </w:r>
            <w:r w:rsidRPr="002176B5">
              <w:rPr>
                <w:rStyle w:val="InstructionsTabelleberschrift"/>
                <w:rFonts w:ascii="Times New Roman" w:hAnsi="Times New Roman"/>
                <w:sz w:val="24"/>
              </w:rPr>
              <w:t>Celkové prípustné očakávané straty</w:t>
            </w:r>
          </w:p>
          <w:p w14:paraId="4A89299A" w14:textId="04FA258B" w:rsidR="00CC7D2C" w:rsidRPr="002176B5" w:rsidRDefault="00CC7D2C" w:rsidP="00320EFD">
            <w:pPr>
              <w:pStyle w:val="InstructionsText"/>
            </w:pPr>
            <w:r w:rsidRPr="002176B5">
              <w:t>Článok 158 ods. 5, 6</w:t>
            </w:r>
            <w:r w:rsidR="002176B5">
              <w:t xml:space="preserve"> a </w:t>
            </w:r>
            <w:r w:rsidRPr="002176B5">
              <w:t>10</w:t>
            </w:r>
            <w:r w:rsidR="002176B5">
              <w:t xml:space="preserve"> a </w:t>
            </w:r>
            <w:r w:rsidRPr="002176B5">
              <w:t>článok 159 nariadenia (EÚ) č. 575/2013</w:t>
            </w:r>
          </w:p>
          <w:p w14:paraId="0B0DDB08" w14:textId="5875824E" w:rsidR="00CC7D2C" w:rsidRPr="002176B5" w:rsidRDefault="00CC7D2C" w:rsidP="00320EFD">
            <w:pPr>
              <w:pStyle w:val="InstructionsText"/>
            </w:pPr>
            <w:r w:rsidRPr="002176B5">
              <w:lastRenderedPageBreak/>
              <w:t>Túto položku vykazujú len inštitúcie používajúce IRB. Vykazuje sa len očakávaná strata súvisiaca</w:t>
            </w:r>
            <w:r w:rsidR="002176B5">
              <w:t xml:space="preserve"> s </w:t>
            </w:r>
            <w:r w:rsidRPr="002176B5">
              <w:t>expozíciami, pri ktorých nedošlo</w:t>
            </w:r>
            <w:r w:rsidR="002176B5">
              <w:t xml:space="preserve"> k </w:t>
            </w:r>
            <w:r w:rsidRPr="002176B5">
              <w:t>zlyhaniu.</w:t>
            </w:r>
          </w:p>
        </w:tc>
      </w:tr>
      <w:tr w:rsidR="00CC7D2C" w:rsidRPr="002176B5" w14:paraId="0CCA5EBD" w14:textId="77777777" w:rsidTr="00822842">
        <w:tc>
          <w:tcPr>
            <w:tcW w:w="1474" w:type="dxa"/>
          </w:tcPr>
          <w:p w14:paraId="4B85F1AA" w14:textId="77777777" w:rsidR="00CC7D2C" w:rsidRPr="002176B5" w:rsidRDefault="00CC7D2C" w:rsidP="00320EFD">
            <w:pPr>
              <w:pStyle w:val="InstructionsText"/>
            </w:pPr>
            <w:r w:rsidRPr="002176B5">
              <w:lastRenderedPageBreak/>
              <w:t>0145</w:t>
            </w:r>
          </w:p>
        </w:tc>
        <w:tc>
          <w:tcPr>
            <w:tcW w:w="7049" w:type="dxa"/>
          </w:tcPr>
          <w:p w14:paraId="6C94D7D4" w14:textId="7B29FA7E"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4. IRB nadbytok (+) alebo schodok (–) špecifických úprav kreditného rizika</w:t>
            </w:r>
            <w:r w:rsidR="002176B5">
              <w:rPr>
                <w:rStyle w:val="InstructionsTabelleberschrift"/>
                <w:rFonts w:ascii="Times New Roman" w:hAnsi="Times New Roman"/>
                <w:sz w:val="24"/>
              </w:rPr>
              <w:t xml:space="preserve"> o </w:t>
            </w:r>
            <w:r w:rsidRPr="002176B5">
              <w:rPr>
                <w:rStyle w:val="InstructionsTabelleberschrift"/>
                <w:rFonts w:ascii="Times New Roman" w:hAnsi="Times New Roman"/>
                <w:sz w:val="24"/>
              </w:rPr>
              <w:t>očakávané straty pre expozície</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stave zlyhania</w:t>
            </w:r>
          </w:p>
          <w:p w14:paraId="2528CE63" w14:textId="306EAEAB" w:rsidR="00CC7D2C" w:rsidRPr="002176B5" w:rsidRDefault="00CC7D2C" w:rsidP="00320EFD">
            <w:pPr>
              <w:pStyle w:val="InstructionsText"/>
            </w:pPr>
            <w:r w:rsidRPr="002176B5">
              <w:t>Článok 36 ods. 1 písm. d), článok 62 písm. d), články 158</w:t>
            </w:r>
            <w:r w:rsidR="002176B5">
              <w:t xml:space="preserve"> a </w:t>
            </w:r>
            <w:r w:rsidRPr="002176B5">
              <w:t>159 nariadenia (EÚ) č. 575/2013</w:t>
            </w:r>
          </w:p>
          <w:p w14:paraId="298274DF" w14:textId="77777777" w:rsidR="00CC7D2C" w:rsidRPr="002176B5" w:rsidRDefault="00CC7D2C" w:rsidP="00320EFD">
            <w:pPr>
              <w:pStyle w:val="InstructionsText"/>
              <w:rPr>
                <w:rStyle w:val="InstructionsTabelleberschrift"/>
                <w:rFonts w:ascii="Times New Roman" w:hAnsi="Times New Roman"/>
                <w:b w:val="0"/>
                <w:bCs w:val="0"/>
                <w:sz w:val="24"/>
                <w:u w:val="none"/>
              </w:rPr>
            </w:pPr>
            <w:r w:rsidRPr="002176B5">
              <w:t>Túto položku vykazujú len inštitúcie používajúce IRB.</w:t>
            </w:r>
          </w:p>
        </w:tc>
      </w:tr>
      <w:tr w:rsidR="00CC7D2C" w:rsidRPr="002176B5" w14:paraId="49FDD675" w14:textId="77777777" w:rsidTr="00822842">
        <w:tc>
          <w:tcPr>
            <w:tcW w:w="1474" w:type="dxa"/>
          </w:tcPr>
          <w:p w14:paraId="4AA13653" w14:textId="77777777" w:rsidR="00CC7D2C" w:rsidRPr="002176B5" w:rsidRDefault="00CC7D2C" w:rsidP="00320EFD">
            <w:pPr>
              <w:pStyle w:val="InstructionsText"/>
            </w:pPr>
            <w:r w:rsidRPr="002176B5">
              <w:t>0150</w:t>
            </w:r>
          </w:p>
        </w:tc>
        <w:tc>
          <w:tcPr>
            <w:tcW w:w="7049" w:type="dxa"/>
          </w:tcPr>
          <w:p w14:paraId="25ADFACD" w14:textId="38C1389E"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4.1.</w:t>
            </w:r>
            <w:r w:rsidRPr="002176B5">
              <w:tab/>
            </w:r>
            <w:r w:rsidRPr="002176B5">
              <w:rPr>
                <w:rStyle w:val="InstructionsTabelleberschrift"/>
                <w:rFonts w:ascii="Times New Roman" w:hAnsi="Times New Roman"/>
                <w:sz w:val="24"/>
              </w:rPr>
              <w:t>Špecifické úpravy kreditného rizika</w:t>
            </w:r>
            <w:r w:rsidR="002176B5">
              <w:rPr>
                <w:rStyle w:val="InstructionsTabelleberschrift"/>
                <w:rFonts w:ascii="Times New Roman" w:hAnsi="Times New Roman"/>
                <w:sz w:val="24"/>
              </w:rPr>
              <w:t xml:space="preserve"> a </w:t>
            </w:r>
            <w:r w:rsidRPr="002176B5">
              <w:rPr>
                <w:rStyle w:val="InstructionsTabelleberschrift"/>
                <w:rFonts w:ascii="Times New Roman" w:hAnsi="Times New Roman"/>
                <w:sz w:val="24"/>
              </w:rPr>
              <w:t>pozície,</w:t>
            </w:r>
            <w:r w:rsidR="002176B5">
              <w:rPr>
                <w:rStyle w:val="InstructionsTabelleberschrift"/>
                <w:rFonts w:ascii="Times New Roman" w:hAnsi="Times New Roman"/>
                <w:sz w:val="24"/>
              </w:rPr>
              <w:t xml:space="preserve"> s </w:t>
            </w:r>
            <w:r w:rsidRPr="002176B5">
              <w:rPr>
                <w:rStyle w:val="InstructionsTabelleberschrift"/>
                <w:rFonts w:ascii="Times New Roman" w:hAnsi="Times New Roman"/>
                <w:sz w:val="24"/>
              </w:rPr>
              <w:t>ktorými sa zaobchádza podobne</w:t>
            </w:r>
          </w:p>
          <w:p w14:paraId="1E7B4C7D" w14:textId="77777777" w:rsidR="00CC7D2C" w:rsidRPr="002176B5" w:rsidRDefault="00CC7D2C" w:rsidP="00320EFD">
            <w:pPr>
              <w:pStyle w:val="InstructionsText"/>
            </w:pPr>
            <w:r w:rsidRPr="002176B5">
              <w:t>Článok 159 nariadenia (EÚ) č. 575/2013</w:t>
            </w:r>
          </w:p>
          <w:p w14:paraId="7B320BDB" w14:textId="77777777" w:rsidR="00CC7D2C" w:rsidRPr="002176B5" w:rsidRDefault="00CC7D2C" w:rsidP="00320EFD">
            <w:pPr>
              <w:pStyle w:val="InstructionsText"/>
              <w:rPr>
                <w:rStyle w:val="InstructionsTabelleberschrift"/>
                <w:rFonts w:ascii="Times New Roman" w:hAnsi="Times New Roman"/>
                <w:b w:val="0"/>
                <w:bCs w:val="0"/>
                <w:sz w:val="24"/>
                <w:u w:val="none"/>
              </w:rPr>
            </w:pPr>
            <w:r w:rsidRPr="002176B5">
              <w:t>Túto položku vykazujú len inštitúcie používajúce IRB.</w:t>
            </w:r>
          </w:p>
        </w:tc>
      </w:tr>
      <w:tr w:rsidR="00CC7D2C" w:rsidRPr="002176B5" w14:paraId="2F2C21CB" w14:textId="77777777" w:rsidTr="00822842">
        <w:tc>
          <w:tcPr>
            <w:tcW w:w="1474" w:type="dxa"/>
          </w:tcPr>
          <w:p w14:paraId="2A1910C2" w14:textId="77777777" w:rsidR="00CC7D2C" w:rsidRPr="002176B5" w:rsidRDefault="00CC7D2C" w:rsidP="00320EFD">
            <w:pPr>
              <w:pStyle w:val="InstructionsText"/>
            </w:pPr>
            <w:r w:rsidRPr="002176B5">
              <w:t>0155</w:t>
            </w:r>
          </w:p>
        </w:tc>
        <w:tc>
          <w:tcPr>
            <w:tcW w:w="7049" w:type="dxa"/>
          </w:tcPr>
          <w:p w14:paraId="1EA4BC8B" w14:textId="77777777"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4.2.</w:t>
            </w:r>
            <w:r w:rsidRPr="002176B5">
              <w:tab/>
            </w:r>
            <w:r w:rsidRPr="002176B5">
              <w:rPr>
                <w:rStyle w:val="InstructionsTabelleberschrift"/>
                <w:rFonts w:ascii="Times New Roman" w:hAnsi="Times New Roman"/>
                <w:sz w:val="24"/>
              </w:rPr>
              <w:t>Celkové prípustné očakávané straty</w:t>
            </w:r>
          </w:p>
          <w:p w14:paraId="30E1E0B6" w14:textId="525C393A" w:rsidR="00CC7D2C" w:rsidRPr="002176B5" w:rsidRDefault="00CC7D2C" w:rsidP="00320EFD">
            <w:pPr>
              <w:pStyle w:val="InstructionsText"/>
              <w:rPr>
                <w:rStyle w:val="InstructionsTabelleberschrift"/>
                <w:rFonts w:ascii="Times New Roman" w:hAnsi="Times New Roman"/>
                <w:sz w:val="24"/>
              </w:rPr>
            </w:pPr>
            <w:r w:rsidRPr="002176B5">
              <w:t>Článok 158 ods. 5, 6</w:t>
            </w:r>
            <w:r w:rsidR="002176B5">
              <w:t xml:space="preserve"> a </w:t>
            </w:r>
            <w:r w:rsidRPr="002176B5">
              <w:t>10</w:t>
            </w:r>
            <w:r w:rsidR="002176B5">
              <w:t xml:space="preserve"> a </w:t>
            </w:r>
            <w:r w:rsidRPr="002176B5">
              <w:t>článok 159 nariadenia (EÚ) č. 575/2013</w:t>
            </w:r>
          </w:p>
          <w:p w14:paraId="64767324" w14:textId="6669E9F3" w:rsidR="00CC7D2C" w:rsidRPr="002176B5" w:rsidRDefault="00CC7D2C" w:rsidP="00320EFD">
            <w:pPr>
              <w:pStyle w:val="InstructionsText"/>
              <w:rPr>
                <w:rStyle w:val="InstructionsTabelleberschrift"/>
                <w:rFonts w:ascii="Times New Roman" w:hAnsi="Times New Roman"/>
                <w:b w:val="0"/>
                <w:bCs w:val="0"/>
                <w:sz w:val="24"/>
                <w:u w:val="none"/>
              </w:rPr>
            </w:pPr>
            <w:r w:rsidRPr="002176B5">
              <w:t>Túto položku vykazujú len inštitúcie používajúce IRB. Vykazuje sa len očakávaná strata súvisiaca</w:t>
            </w:r>
            <w:r w:rsidR="002176B5">
              <w:t xml:space="preserve"> s </w:t>
            </w:r>
            <w:r w:rsidRPr="002176B5">
              <w:t>expozíciami</w:t>
            </w:r>
            <w:r w:rsidR="002176B5">
              <w:t xml:space="preserve"> v </w:t>
            </w:r>
            <w:r w:rsidRPr="002176B5">
              <w:t>stave zlyhania.</w:t>
            </w:r>
          </w:p>
        </w:tc>
      </w:tr>
      <w:tr w:rsidR="00CC7D2C" w:rsidRPr="002176B5" w14:paraId="3D2CC5A7" w14:textId="77777777" w:rsidTr="00822842">
        <w:tc>
          <w:tcPr>
            <w:tcW w:w="1474" w:type="dxa"/>
          </w:tcPr>
          <w:p w14:paraId="4B1929EF" w14:textId="77777777" w:rsidR="00CC7D2C" w:rsidRPr="002176B5" w:rsidRDefault="00CC7D2C" w:rsidP="00320EFD">
            <w:pPr>
              <w:pStyle w:val="InstructionsText"/>
            </w:pPr>
            <w:r w:rsidRPr="002176B5">
              <w:t>0160</w:t>
            </w:r>
          </w:p>
        </w:tc>
        <w:tc>
          <w:tcPr>
            <w:tcW w:w="7049" w:type="dxa"/>
          </w:tcPr>
          <w:p w14:paraId="1F6A90B7" w14:textId="77777777" w:rsidR="00CC7D2C" w:rsidRPr="002176B5" w:rsidRDefault="00CC7D2C" w:rsidP="00320EFD">
            <w:pPr>
              <w:pStyle w:val="InstructionsText"/>
            </w:pPr>
            <w:r w:rsidRPr="002176B5">
              <w:rPr>
                <w:rStyle w:val="InstructionsTabelleberschrift"/>
                <w:rFonts w:ascii="Times New Roman" w:hAnsi="Times New Roman"/>
                <w:sz w:val="24"/>
              </w:rPr>
              <w:t>5.</w:t>
            </w:r>
            <w:r w:rsidRPr="002176B5">
              <w:tab/>
            </w:r>
            <w:r w:rsidRPr="002176B5">
              <w:rPr>
                <w:rStyle w:val="InstructionsTabelleberschrift"/>
                <w:rFonts w:ascii="Times New Roman" w:hAnsi="Times New Roman"/>
                <w:sz w:val="24"/>
              </w:rPr>
              <w:t>Hodnoty rizikovo vážených expozícií pre výpočet hornej hranice na prekročenie rezervy prípustnej ako T2</w:t>
            </w:r>
          </w:p>
          <w:p w14:paraId="563E7C9E" w14:textId="77777777" w:rsidR="00CC7D2C" w:rsidRPr="002176B5" w:rsidRDefault="00CC7D2C" w:rsidP="00320EFD">
            <w:pPr>
              <w:pStyle w:val="InstructionsText"/>
            </w:pPr>
            <w:r w:rsidRPr="002176B5">
              <w:t>Článok 62 písm. d) nariadenia (EÚ) č. 575/2013</w:t>
            </w:r>
          </w:p>
          <w:p w14:paraId="363FA5D2" w14:textId="348B64D7" w:rsidR="00CC7D2C" w:rsidRPr="002176B5" w:rsidRDefault="00CC7D2C" w:rsidP="00320EFD">
            <w:pPr>
              <w:pStyle w:val="InstructionsText"/>
            </w:pPr>
            <w:r w:rsidRPr="002176B5">
              <w:t xml:space="preserve">V prípade inštitúcií používajúcich IRB sa prekračujúca hodnota rezerv (oproti očakávaným stratám) prípustná na začlenenie do kapitálu </w:t>
            </w:r>
            <w:proofErr w:type="spellStart"/>
            <w:r w:rsidRPr="002176B5">
              <w:t>Tier</w:t>
            </w:r>
            <w:proofErr w:type="spellEnd"/>
            <w:r w:rsidRPr="002176B5">
              <w:t xml:space="preserve"> 2 ohraničí vo výške 0,6</w:t>
            </w:r>
            <w:r w:rsidR="002176B5">
              <w:t> %</w:t>
            </w:r>
            <w:r w:rsidRPr="002176B5">
              <w:t xml:space="preserve"> hodnôt rizikovo vážených expozícií vypočítaných pomocou prístupu IRB</w:t>
            </w:r>
            <w:r w:rsidR="002176B5">
              <w:t xml:space="preserve"> v </w:t>
            </w:r>
            <w:r w:rsidRPr="002176B5">
              <w:rPr>
                <w:rStyle w:val="FormatvorlageInstructionsTabelleText"/>
                <w:rFonts w:ascii="Times New Roman" w:hAnsi="Times New Roman"/>
                <w:sz w:val="24"/>
              </w:rPr>
              <w:t>súlade</w:t>
            </w:r>
            <w:r w:rsidR="002176B5">
              <w:rPr>
                <w:rStyle w:val="FormatvorlageInstructionsTabelleText"/>
                <w:rFonts w:ascii="Times New Roman" w:hAnsi="Times New Roman"/>
                <w:sz w:val="24"/>
              </w:rPr>
              <w:t xml:space="preserve"> s </w:t>
            </w:r>
            <w:r w:rsidRPr="002176B5">
              <w:t>článkom 62 písm. d) nariadenia (EÚ) č. 575/2013.</w:t>
            </w:r>
          </w:p>
          <w:p w14:paraId="42C93CC2" w14:textId="72363CC1" w:rsidR="00CC7D2C" w:rsidRPr="002176B5" w:rsidRDefault="00CC7D2C" w:rsidP="00320EFD">
            <w:pPr>
              <w:pStyle w:val="InstructionsText"/>
            </w:pPr>
            <w:r w:rsidRPr="002176B5">
              <w:t>Hodnota vykazovaná</w:t>
            </w:r>
            <w:r w:rsidR="002176B5">
              <w:t xml:space="preserve"> v </w:t>
            </w:r>
            <w:r w:rsidRPr="002176B5">
              <w:t>tejto položke sa rovná hodnotám rizikovo vážených expozícií (t. j. nenásobia sa 0,6</w:t>
            </w:r>
            <w:r w:rsidR="002176B5">
              <w:t> %</w:t>
            </w:r>
            <w:r w:rsidRPr="002176B5">
              <w:t>), čo je základom na výpočet horného ohraničenia.</w:t>
            </w:r>
          </w:p>
        </w:tc>
      </w:tr>
      <w:tr w:rsidR="00CC7D2C" w:rsidRPr="002176B5" w14:paraId="60C783AB" w14:textId="77777777" w:rsidTr="00822842">
        <w:tc>
          <w:tcPr>
            <w:tcW w:w="1474" w:type="dxa"/>
          </w:tcPr>
          <w:p w14:paraId="79A77613" w14:textId="77777777" w:rsidR="00CC7D2C" w:rsidRPr="002176B5" w:rsidRDefault="00CC7D2C" w:rsidP="00320EFD">
            <w:pPr>
              <w:pStyle w:val="InstructionsText"/>
            </w:pPr>
            <w:r w:rsidRPr="002176B5">
              <w:t>0170</w:t>
            </w:r>
          </w:p>
        </w:tc>
        <w:tc>
          <w:tcPr>
            <w:tcW w:w="7049" w:type="dxa"/>
          </w:tcPr>
          <w:p w14:paraId="2869B203" w14:textId="77777777" w:rsidR="00CC7D2C" w:rsidRPr="002176B5" w:rsidRDefault="00CC7D2C" w:rsidP="00320EFD">
            <w:pPr>
              <w:pStyle w:val="InstructionsText"/>
            </w:pPr>
            <w:r w:rsidRPr="002176B5">
              <w:rPr>
                <w:rStyle w:val="InstructionsTabelleberschrift"/>
                <w:rFonts w:ascii="Times New Roman" w:hAnsi="Times New Roman"/>
                <w:sz w:val="24"/>
              </w:rPr>
              <w:t>6.</w:t>
            </w:r>
            <w:r w:rsidRPr="002176B5">
              <w:tab/>
            </w:r>
            <w:r w:rsidRPr="002176B5">
              <w:rPr>
                <w:rStyle w:val="InstructionsTabelleberschrift"/>
                <w:rFonts w:ascii="Times New Roman" w:hAnsi="Times New Roman"/>
                <w:sz w:val="24"/>
              </w:rPr>
              <w:t>Celkové brutto rezervy prípustné na začlenenie do kapitálu T2</w:t>
            </w:r>
          </w:p>
          <w:p w14:paraId="79DEE159" w14:textId="77777777" w:rsidR="00CC7D2C" w:rsidRPr="002176B5" w:rsidRDefault="00CC7D2C" w:rsidP="00320EFD">
            <w:pPr>
              <w:pStyle w:val="InstructionsText"/>
            </w:pPr>
            <w:r w:rsidRPr="002176B5">
              <w:t>Článok 62 písm. c) nariadenia (EÚ) č. 575/2013</w:t>
            </w:r>
          </w:p>
          <w:p w14:paraId="7677FF60" w14:textId="77777777" w:rsidR="00CC7D2C" w:rsidRPr="002176B5" w:rsidRDefault="00CC7D2C" w:rsidP="00320EFD">
            <w:pPr>
              <w:pStyle w:val="InstructionsText"/>
            </w:pPr>
            <w:r w:rsidRPr="002176B5">
              <w:t>Táto položka zahŕňa všeobecné úpravy kreditného rizika, ktoré sú prípustné na začlenenie do kapitálu T2, pred uplatnením horného ohraničenia.</w:t>
            </w:r>
          </w:p>
          <w:p w14:paraId="748D0361" w14:textId="77777777" w:rsidR="00CC7D2C" w:rsidRPr="002176B5" w:rsidRDefault="00CC7D2C" w:rsidP="00320EFD">
            <w:pPr>
              <w:pStyle w:val="InstructionsText"/>
            </w:pPr>
            <w:r w:rsidRPr="002176B5">
              <w:t>Vo vykazovanej hodnote sa nezohľadňujú daňové účinky.</w:t>
            </w:r>
          </w:p>
        </w:tc>
      </w:tr>
      <w:tr w:rsidR="00CC7D2C" w:rsidRPr="002176B5" w14:paraId="61A88AE0" w14:textId="77777777" w:rsidTr="00822842">
        <w:tc>
          <w:tcPr>
            <w:tcW w:w="1474" w:type="dxa"/>
          </w:tcPr>
          <w:p w14:paraId="61131275" w14:textId="77777777" w:rsidR="00CC7D2C" w:rsidRPr="002176B5" w:rsidRDefault="00CC7D2C" w:rsidP="00320EFD">
            <w:pPr>
              <w:pStyle w:val="InstructionsText"/>
            </w:pPr>
            <w:r w:rsidRPr="002176B5">
              <w:t>0180</w:t>
            </w:r>
          </w:p>
        </w:tc>
        <w:tc>
          <w:tcPr>
            <w:tcW w:w="7049" w:type="dxa"/>
          </w:tcPr>
          <w:p w14:paraId="33B7FC74" w14:textId="77777777" w:rsidR="00CC7D2C" w:rsidRPr="002176B5" w:rsidRDefault="00CC7D2C" w:rsidP="00320EFD">
            <w:pPr>
              <w:pStyle w:val="InstructionsText"/>
            </w:pPr>
            <w:r w:rsidRPr="002176B5">
              <w:rPr>
                <w:rStyle w:val="InstructionsTabelleberschrift"/>
                <w:rFonts w:ascii="Times New Roman" w:hAnsi="Times New Roman"/>
                <w:sz w:val="24"/>
              </w:rPr>
              <w:t>7.</w:t>
            </w:r>
            <w:r w:rsidRPr="002176B5">
              <w:tab/>
            </w:r>
            <w:r w:rsidRPr="002176B5">
              <w:rPr>
                <w:rStyle w:val="InstructionsTabelleberschrift"/>
                <w:rFonts w:ascii="Times New Roman" w:hAnsi="Times New Roman"/>
                <w:sz w:val="24"/>
              </w:rPr>
              <w:t>Hodnoty rizikovo vážených expozícií pre výpočet hornej hranice rezervy prípustnej ako T2</w:t>
            </w:r>
          </w:p>
          <w:p w14:paraId="345CC1D6" w14:textId="77777777" w:rsidR="00CC7D2C" w:rsidRPr="002176B5" w:rsidRDefault="00CC7D2C" w:rsidP="00320EFD">
            <w:pPr>
              <w:pStyle w:val="InstructionsText"/>
            </w:pPr>
            <w:r w:rsidRPr="002176B5">
              <w:t>Článok 62 písm. c) nariadenia (EÚ) č. 575/2013</w:t>
            </w:r>
          </w:p>
          <w:p w14:paraId="65850475" w14:textId="2C3A18D0" w:rsidR="00CC7D2C" w:rsidRPr="002176B5" w:rsidRDefault="00CC7D2C" w:rsidP="00320EFD">
            <w:pPr>
              <w:pStyle w:val="InstructionsText"/>
            </w:pPr>
            <w:r w:rsidRPr="002176B5">
              <w:t xml:space="preserve">Podľa článku 62 písm. c) nariadenia (EÚ) č. 575/2013 sú úpravy kreditného rizika prípustné na začlenenie do kapitálu </w:t>
            </w:r>
            <w:proofErr w:type="spellStart"/>
            <w:r w:rsidRPr="002176B5">
              <w:t>Tier</w:t>
            </w:r>
            <w:proofErr w:type="spellEnd"/>
            <w:r w:rsidRPr="002176B5">
              <w:t xml:space="preserve"> 2 obmedzené do výšky 1,25</w:t>
            </w:r>
            <w:r w:rsidR="002176B5">
              <w:t> %</w:t>
            </w:r>
            <w:r w:rsidRPr="002176B5">
              <w:t xml:space="preserve"> hodnôt rizikovo vážených expozícií.</w:t>
            </w:r>
          </w:p>
          <w:p w14:paraId="3B08F4EA" w14:textId="073E54D4" w:rsidR="00CC7D2C" w:rsidRPr="002176B5" w:rsidRDefault="00CC7D2C" w:rsidP="00320EFD">
            <w:pPr>
              <w:pStyle w:val="InstructionsText"/>
            </w:pPr>
            <w:r w:rsidRPr="002176B5">
              <w:lastRenderedPageBreak/>
              <w:t>Hodnota vykazovaná</w:t>
            </w:r>
            <w:r w:rsidR="002176B5">
              <w:t xml:space="preserve"> v </w:t>
            </w:r>
            <w:r w:rsidRPr="002176B5">
              <w:t>tejto položke sa rovná hodnotám rizikovo vážených expozícií (t. j. nenásobia sa 1,25</w:t>
            </w:r>
            <w:r w:rsidR="002176B5">
              <w:t> %</w:t>
            </w:r>
            <w:r w:rsidRPr="002176B5">
              <w:t>), čo je základom na výpočet horného ohraničenia.</w:t>
            </w:r>
          </w:p>
        </w:tc>
      </w:tr>
      <w:tr w:rsidR="00CC7D2C" w:rsidRPr="002176B5" w14:paraId="42A495BB" w14:textId="77777777" w:rsidTr="00822842">
        <w:tc>
          <w:tcPr>
            <w:tcW w:w="1474" w:type="dxa"/>
          </w:tcPr>
          <w:p w14:paraId="19E4935C" w14:textId="77777777" w:rsidR="00CC7D2C" w:rsidRPr="002176B5" w:rsidRDefault="00CC7D2C" w:rsidP="00320EFD">
            <w:pPr>
              <w:pStyle w:val="InstructionsText"/>
            </w:pPr>
            <w:r w:rsidRPr="002176B5">
              <w:lastRenderedPageBreak/>
              <w:t>0190</w:t>
            </w:r>
          </w:p>
        </w:tc>
        <w:tc>
          <w:tcPr>
            <w:tcW w:w="7049" w:type="dxa"/>
          </w:tcPr>
          <w:p w14:paraId="70F5FE0C" w14:textId="4EEF50C4" w:rsidR="00CC7D2C" w:rsidRPr="002176B5" w:rsidRDefault="00CC7D2C" w:rsidP="00320EFD">
            <w:pPr>
              <w:pStyle w:val="InstructionsText"/>
            </w:pPr>
            <w:r w:rsidRPr="002176B5">
              <w:rPr>
                <w:rStyle w:val="InstructionsTabelleberschrift"/>
                <w:rFonts w:ascii="Times New Roman" w:hAnsi="Times New Roman"/>
                <w:sz w:val="24"/>
              </w:rPr>
              <w:t>8.</w:t>
            </w:r>
            <w:r w:rsidRPr="002176B5">
              <w:tab/>
            </w:r>
            <w:r w:rsidRPr="002176B5">
              <w:rPr>
                <w:rStyle w:val="InstructionsTabelleberschrift"/>
                <w:rFonts w:ascii="Times New Roman" w:hAnsi="Times New Roman"/>
                <w:sz w:val="24"/>
              </w:rPr>
              <w:t>Neodpočítateľná prahová hodnota podielov</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subjektoch finančného sektora,</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ktorých inštitúcia nemá významnú investíciu</w:t>
            </w:r>
          </w:p>
          <w:p w14:paraId="281FF318" w14:textId="77777777" w:rsidR="00CC7D2C" w:rsidRPr="002176B5" w:rsidRDefault="00CC7D2C" w:rsidP="00320EFD">
            <w:pPr>
              <w:pStyle w:val="InstructionsText"/>
            </w:pPr>
            <w:r w:rsidRPr="002176B5">
              <w:t>Článok 46 ods. 1 písm. a) nariadenia (EÚ) č. 575/2013</w:t>
            </w:r>
          </w:p>
          <w:p w14:paraId="6CBDA660" w14:textId="737E65C8" w:rsidR="00CC7D2C" w:rsidRPr="002176B5" w:rsidRDefault="00CC7D2C" w:rsidP="00320EFD">
            <w:pPr>
              <w:pStyle w:val="InstructionsText"/>
            </w:pPr>
            <w:r w:rsidRPr="002176B5">
              <w:t>Táto položka obsahuje prahovú hodnotu, do výšky ktorej sa neodpočítavajú podiely</w:t>
            </w:r>
            <w:r w:rsidR="002176B5">
              <w:t xml:space="preserve"> v </w:t>
            </w:r>
            <w:r w:rsidRPr="002176B5">
              <w:t>subjekte finančného sektora, keď inštitúcia nemá významnú investíciu. Hodnota je výsledkom spočítania všetkých položiek, ktoré sú základom prahovej hodnoty,</w:t>
            </w:r>
            <w:r w:rsidR="002176B5">
              <w:t xml:space="preserve"> a </w:t>
            </w:r>
            <w:r w:rsidRPr="002176B5">
              <w:t>vynásobenia takto získaného súčtu hodnotou 10</w:t>
            </w:r>
            <w:r w:rsidR="002176B5">
              <w:t> %</w:t>
            </w:r>
            <w:r w:rsidRPr="002176B5">
              <w:t>.</w:t>
            </w:r>
          </w:p>
        </w:tc>
      </w:tr>
      <w:tr w:rsidR="00CC7D2C" w:rsidRPr="002176B5" w14:paraId="016320B7" w14:textId="77777777" w:rsidTr="00822842">
        <w:tc>
          <w:tcPr>
            <w:tcW w:w="1474" w:type="dxa"/>
          </w:tcPr>
          <w:p w14:paraId="3F10ED4B" w14:textId="77777777" w:rsidR="00CC7D2C" w:rsidRPr="002176B5" w:rsidRDefault="00CC7D2C" w:rsidP="00320EFD">
            <w:pPr>
              <w:pStyle w:val="InstructionsText"/>
            </w:pPr>
            <w:r w:rsidRPr="002176B5">
              <w:t>0200</w:t>
            </w:r>
          </w:p>
        </w:tc>
        <w:tc>
          <w:tcPr>
            <w:tcW w:w="7049" w:type="dxa"/>
          </w:tcPr>
          <w:p w14:paraId="0579A7CC" w14:textId="301E2013" w:rsid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9.</w:t>
            </w:r>
            <w:r w:rsidRPr="002176B5">
              <w:tab/>
            </w:r>
            <w:r w:rsidRPr="002176B5">
              <w:rPr>
                <w:rStyle w:val="InstructionsTabelleberschrift"/>
                <w:rFonts w:ascii="Times New Roman" w:hAnsi="Times New Roman"/>
                <w:sz w:val="24"/>
              </w:rPr>
              <w:t>10</w:t>
            </w:r>
            <w:r w:rsidR="002176B5">
              <w:t> %</w:t>
            </w:r>
            <w:r w:rsidRPr="002176B5">
              <w:rPr>
                <w:rStyle w:val="InstructionsTabelleberschrift"/>
                <w:rFonts w:ascii="Times New Roman" w:hAnsi="Times New Roman"/>
                <w:sz w:val="24"/>
              </w:rPr>
              <w:t xml:space="preserve"> prahová hodnota CET1</w:t>
            </w:r>
          </w:p>
          <w:p w14:paraId="59F6CAC3" w14:textId="23C2DBDE" w:rsidR="00CC7D2C" w:rsidRPr="002176B5" w:rsidRDefault="00CC7D2C" w:rsidP="00320EFD">
            <w:pPr>
              <w:pStyle w:val="InstructionsText"/>
            </w:pPr>
            <w:r w:rsidRPr="002176B5">
              <w:t>Článok 48 ods. 1 písm. a)</w:t>
            </w:r>
            <w:r w:rsidR="002176B5">
              <w:t xml:space="preserve"> a </w:t>
            </w:r>
            <w:r w:rsidRPr="002176B5">
              <w:t>b) nariadenia (EÚ) č. 575/2013</w:t>
            </w:r>
          </w:p>
          <w:p w14:paraId="6BCD7ABF" w14:textId="24FE2955" w:rsidR="00CC7D2C" w:rsidRPr="002176B5" w:rsidRDefault="00CC7D2C" w:rsidP="00320EFD">
            <w:pPr>
              <w:pStyle w:val="InstructionsText"/>
            </w:pPr>
            <w:r w:rsidRPr="002176B5">
              <w:t>Táto položka obsahuje 10</w:t>
            </w:r>
            <w:r w:rsidR="002176B5">
              <w:t> %</w:t>
            </w:r>
            <w:r w:rsidRPr="002176B5">
              <w:t xml:space="preserve"> prahovú hodnotu pre podiely</w:t>
            </w:r>
            <w:r w:rsidR="002176B5">
              <w:t xml:space="preserve"> v </w:t>
            </w:r>
            <w:r w:rsidRPr="002176B5">
              <w:t>subjektoch finančného sektora, keď inštitúcia má významnú investíciu,</w:t>
            </w:r>
            <w:r w:rsidR="002176B5">
              <w:t xml:space="preserve"> a </w:t>
            </w:r>
            <w:r w:rsidRPr="002176B5">
              <w:t>pre odložené daňové pohľadávky, ktoré závisia od budúcej ziskovosti</w:t>
            </w:r>
            <w:r w:rsidR="002176B5">
              <w:t xml:space="preserve"> a </w:t>
            </w:r>
            <w:r w:rsidRPr="002176B5">
              <w:t>vyplývajú</w:t>
            </w:r>
            <w:r w:rsidR="002176B5">
              <w:t xml:space="preserve"> z </w:t>
            </w:r>
            <w:r w:rsidRPr="002176B5">
              <w:t>dočasných rozdielov.</w:t>
            </w:r>
          </w:p>
          <w:p w14:paraId="44EADE68" w14:textId="04DEC6CA" w:rsidR="00CC7D2C" w:rsidRPr="002176B5" w:rsidRDefault="00CC7D2C" w:rsidP="00320EFD">
            <w:pPr>
              <w:pStyle w:val="InstructionsText"/>
            </w:pPr>
            <w:r w:rsidRPr="002176B5">
              <w:t>Hodnota je výsledkom spočítania všetkých položiek, ktoré sú základom prahovej hodnoty,</w:t>
            </w:r>
            <w:r w:rsidR="002176B5">
              <w:t xml:space="preserve"> a </w:t>
            </w:r>
            <w:r w:rsidRPr="002176B5">
              <w:t>vynásobenia takto získaného súčtu hodnotou 10</w:t>
            </w:r>
            <w:r w:rsidR="002176B5">
              <w:t> %</w:t>
            </w:r>
            <w:r w:rsidRPr="002176B5">
              <w:t>.</w:t>
            </w:r>
          </w:p>
        </w:tc>
      </w:tr>
      <w:tr w:rsidR="00CC7D2C" w:rsidRPr="002176B5" w14:paraId="60475AA7" w14:textId="77777777" w:rsidTr="00822842">
        <w:tc>
          <w:tcPr>
            <w:tcW w:w="1474" w:type="dxa"/>
          </w:tcPr>
          <w:p w14:paraId="52EAB34B" w14:textId="77777777" w:rsidR="00CC7D2C" w:rsidRPr="002176B5" w:rsidRDefault="00CC7D2C" w:rsidP="00320EFD">
            <w:pPr>
              <w:pStyle w:val="InstructionsText"/>
            </w:pPr>
            <w:r w:rsidRPr="002176B5">
              <w:t>0210</w:t>
            </w:r>
          </w:p>
        </w:tc>
        <w:tc>
          <w:tcPr>
            <w:tcW w:w="7049" w:type="dxa"/>
          </w:tcPr>
          <w:p w14:paraId="1BCE9D55" w14:textId="5FA8B7FB" w:rsid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10.</w:t>
            </w:r>
            <w:r w:rsidRPr="002176B5">
              <w:tab/>
            </w:r>
            <w:r w:rsidRPr="002176B5">
              <w:rPr>
                <w:rStyle w:val="InstructionsTabelleberschrift"/>
                <w:rFonts w:ascii="Times New Roman" w:hAnsi="Times New Roman"/>
                <w:sz w:val="24"/>
              </w:rPr>
              <w:t>17,65</w:t>
            </w:r>
            <w:r w:rsidR="002176B5">
              <w:rPr>
                <w:rStyle w:val="InstructionsTabelleberschrift"/>
                <w:rFonts w:ascii="Times New Roman" w:hAnsi="Times New Roman"/>
                <w:sz w:val="24"/>
              </w:rPr>
              <w:t> %</w:t>
            </w:r>
            <w:r w:rsidRPr="002176B5">
              <w:rPr>
                <w:rStyle w:val="InstructionsTabelleberschrift"/>
                <w:rFonts w:ascii="Times New Roman" w:hAnsi="Times New Roman"/>
                <w:sz w:val="24"/>
              </w:rPr>
              <w:t xml:space="preserve"> prahová hodnota CET1</w:t>
            </w:r>
          </w:p>
          <w:p w14:paraId="742C492D" w14:textId="2726EFEA" w:rsidR="00CC7D2C" w:rsidRPr="002176B5" w:rsidRDefault="00CC7D2C" w:rsidP="00320EFD">
            <w:pPr>
              <w:pStyle w:val="InstructionsText"/>
            </w:pPr>
            <w:r w:rsidRPr="002176B5">
              <w:t>Článok 48 ods. 1 nariadenia (EÚ) č. 575/2013</w:t>
            </w:r>
          </w:p>
          <w:p w14:paraId="62003D54" w14:textId="1728C62A" w:rsidR="00CC7D2C" w:rsidRPr="002176B5" w:rsidRDefault="00CC7D2C" w:rsidP="00320EFD">
            <w:pPr>
              <w:pStyle w:val="InstructionsText"/>
            </w:pPr>
            <w:r w:rsidRPr="002176B5">
              <w:t>Táto položka obsahuje 17,65</w:t>
            </w:r>
            <w:r w:rsidR="002176B5">
              <w:t> %</w:t>
            </w:r>
            <w:r w:rsidRPr="002176B5">
              <w:t xml:space="preserve"> prahovú hodnotu pre podiely</w:t>
            </w:r>
            <w:r w:rsidR="002176B5">
              <w:t xml:space="preserve"> v </w:t>
            </w:r>
            <w:r w:rsidRPr="002176B5">
              <w:t>subjektoch finančného sektora, keď inštitúcia má významnú investíciu,</w:t>
            </w:r>
            <w:r w:rsidR="002176B5">
              <w:t xml:space="preserve"> a </w:t>
            </w:r>
            <w:r w:rsidRPr="002176B5">
              <w:t>pre odložené daňové pohľadávky, ktoré závisia od budúcej ziskovosti</w:t>
            </w:r>
            <w:r w:rsidR="002176B5">
              <w:t xml:space="preserve"> a </w:t>
            </w:r>
            <w:r w:rsidRPr="002176B5">
              <w:t>vyplývajú</w:t>
            </w:r>
            <w:r w:rsidR="002176B5">
              <w:t xml:space="preserve"> z </w:t>
            </w:r>
            <w:r w:rsidRPr="002176B5">
              <w:t>dočasných rozdielov, ktorá sa uplatňuje po 10</w:t>
            </w:r>
            <w:r w:rsidR="002176B5">
              <w:t> %</w:t>
            </w:r>
            <w:r w:rsidRPr="002176B5">
              <w:t xml:space="preserve"> prahovej hodnote.</w:t>
            </w:r>
          </w:p>
          <w:p w14:paraId="3E3DB4A1" w14:textId="45A43D97" w:rsidR="00CC7D2C" w:rsidRPr="002176B5" w:rsidRDefault="00CC7D2C" w:rsidP="00320EFD">
            <w:pPr>
              <w:pStyle w:val="InstructionsText"/>
            </w:pPr>
            <w:r w:rsidRPr="002176B5">
              <w:t>Prahová hodnota sa vypočítava tak, aby hodnota dvoch položiek, ktorá sa vykazuje, neprekročila 15</w:t>
            </w:r>
            <w:r w:rsidR="002176B5">
              <w:t> %</w:t>
            </w:r>
            <w:r w:rsidRPr="002176B5">
              <w:t xml:space="preserve"> konečného vlastného kapitálu </w:t>
            </w:r>
            <w:proofErr w:type="spellStart"/>
            <w:r w:rsidRPr="002176B5">
              <w:t>Tier</w:t>
            </w:r>
            <w:proofErr w:type="spellEnd"/>
            <w:r w:rsidRPr="002176B5">
              <w:t xml:space="preserve"> 1, t. j. kapitálu CET1 vypočítaného po všetkých odpočtoch</w:t>
            </w:r>
            <w:r w:rsidR="002176B5">
              <w:t xml:space="preserve"> a </w:t>
            </w:r>
            <w:r w:rsidRPr="002176B5">
              <w:t>bez úprav na základe prechodných ustanovení.</w:t>
            </w:r>
          </w:p>
        </w:tc>
      </w:tr>
      <w:tr w:rsidR="00CC7D2C" w:rsidRPr="002176B5" w14:paraId="0142E433" w14:textId="77777777" w:rsidTr="00822842">
        <w:tc>
          <w:tcPr>
            <w:tcW w:w="1474" w:type="dxa"/>
          </w:tcPr>
          <w:p w14:paraId="2C6DB487" w14:textId="77777777" w:rsidR="00CC7D2C" w:rsidRPr="002176B5" w:rsidRDefault="00CC7D2C" w:rsidP="00320EFD">
            <w:pPr>
              <w:pStyle w:val="InstructionsText"/>
            </w:pPr>
            <w:r w:rsidRPr="002176B5">
              <w:t>0225</w:t>
            </w:r>
          </w:p>
        </w:tc>
        <w:tc>
          <w:tcPr>
            <w:tcW w:w="7049" w:type="dxa"/>
          </w:tcPr>
          <w:p w14:paraId="07B35C30" w14:textId="77777777"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11.</w:t>
            </w:r>
            <w:r w:rsidRPr="002176B5">
              <w:tab/>
            </w:r>
            <w:r w:rsidRPr="002176B5">
              <w:rPr>
                <w:rStyle w:val="InstructionsTabelleberschrift"/>
                <w:rFonts w:ascii="Times New Roman" w:hAnsi="Times New Roman"/>
                <w:sz w:val="24"/>
              </w:rPr>
              <w:t>Prípustný kapitál na účely kvalifikovaných účastí mimo finančného sektora</w:t>
            </w:r>
          </w:p>
          <w:p w14:paraId="06E4594F" w14:textId="77777777"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b w:val="0"/>
                <w:sz w:val="24"/>
                <w:u w:val="none"/>
              </w:rPr>
              <w:t xml:space="preserve"> Článok 4 ods. 1 bod 71 písm. a) </w:t>
            </w:r>
            <w:r w:rsidRPr="002176B5">
              <w:t>nariadenia (EÚ) č. 575/2013</w:t>
            </w:r>
          </w:p>
        </w:tc>
      </w:tr>
      <w:tr w:rsidR="00CC7D2C" w:rsidRPr="002176B5" w14:paraId="01AAA752" w14:textId="77777777" w:rsidTr="00822842">
        <w:tc>
          <w:tcPr>
            <w:tcW w:w="1474" w:type="dxa"/>
          </w:tcPr>
          <w:p w14:paraId="7E392A5A" w14:textId="77777777" w:rsidR="00CC7D2C" w:rsidRPr="002176B5" w:rsidRDefault="00CC7D2C" w:rsidP="00320EFD">
            <w:pPr>
              <w:pStyle w:val="InstructionsText"/>
            </w:pPr>
            <w:r w:rsidRPr="002176B5">
              <w:t>0230</w:t>
            </w:r>
          </w:p>
        </w:tc>
        <w:tc>
          <w:tcPr>
            <w:tcW w:w="7049" w:type="dxa"/>
          </w:tcPr>
          <w:p w14:paraId="721AB6E1" w14:textId="259FE491" w:rsidR="00CC7D2C" w:rsidRPr="002176B5" w:rsidRDefault="00CC7D2C" w:rsidP="00320EFD">
            <w:pPr>
              <w:pStyle w:val="InstructionsText"/>
            </w:pPr>
            <w:r w:rsidRPr="002176B5">
              <w:rPr>
                <w:rStyle w:val="InstructionsTabelleberschrift"/>
                <w:rFonts w:ascii="Times New Roman" w:hAnsi="Times New Roman"/>
                <w:sz w:val="24"/>
              </w:rPr>
              <w:t>12.</w:t>
            </w:r>
            <w:r w:rsidRPr="002176B5">
              <w:tab/>
            </w:r>
            <w:r w:rsidRPr="002176B5">
              <w:rPr>
                <w:rStyle w:val="InstructionsTabelleberschrift"/>
                <w:rFonts w:ascii="Times New Roman" w:hAnsi="Times New Roman"/>
                <w:sz w:val="24"/>
              </w:rPr>
              <w:t>Podiely kapitálu CET1 subjektov finančného sektora,</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ktorých inštitúcia nemá významnú investíciu, po odpočítaní krátkych pozícií</w:t>
            </w:r>
          </w:p>
          <w:p w14:paraId="05E6C89B" w14:textId="2C03F12A" w:rsidR="00CC7D2C" w:rsidRPr="002176B5" w:rsidRDefault="00CC7D2C" w:rsidP="00320EFD">
            <w:pPr>
              <w:pStyle w:val="InstructionsText"/>
            </w:pPr>
            <w:r w:rsidRPr="002176B5">
              <w:t>Články 44, 45, 46</w:t>
            </w:r>
            <w:r w:rsidR="002176B5">
              <w:t xml:space="preserve"> a </w:t>
            </w:r>
            <w:r w:rsidRPr="002176B5">
              <w:t>49 nariadenia (EÚ) č. 575/2013</w:t>
            </w:r>
          </w:p>
        </w:tc>
      </w:tr>
      <w:tr w:rsidR="00CC7D2C" w:rsidRPr="002176B5" w14:paraId="26F36F77" w14:textId="77777777" w:rsidTr="00822842">
        <w:tc>
          <w:tcPr>
            <w:tcW w:w="1474" w:type="dxa"/>
          </w:tcPr>
          <w:p w14:paraId="0AE1B36F" w14:textId="77777777" w:rsidR="00CC7D2C" w:rsidRPr="002176B5" w:rsidRDefault="00CC7D2C" w:rsidP="00320EFD">
            <w:pPr>
              <w:pStyle w:val="InstructionsText"/>
            </w:pPr>
            <w:r w:rsidRPr="002176B5">
              <w:t>0240</w:t>
            </w:r>
          </w:p>
        </w:tc>
        <w:tc>
          <w:tcPr>
            <w:tcW w:w="7049" w:type="dxa"/>
          </w:tcPr>
          <w:p w14:paraId="0FAD571C" w14:textId="49A90B95" w:rsidR="00CC7D2C" w:rsidRPr="002176B5" w:rsidRDefault="00CC7D2C" w:rsidP="00320EFD">
            <w:pPr>
              <w:pStyle w:val="InstructionsText"/>
            </w:pPr>
            <w:r w:rsidRPr="002176B5">
              <w:rPr>
                <w:rStyle w:val="InstructionsTabelleberschrift"/>
                <w:rFonts w:ascii="Times New Roman" w:hAnsi="Times New Roman"/>
                <w:sz w:val="24"/>
              </w:rPr>
              <w:t>12.1.</w:t>
            </w:r>
            <w:r w:rsidRPr="002176B5">
              <w:tab/>
            </w:r>
            <w:r w:rsidRPr="002176B5">
              <w:rPr>
                <w:rStyle w:val="InstructionsTabelleberschrift"/>
                <w:rFonts w:ascii="Times New Roman" w:hAnsi="Times New Roman"/>
                <w:sz w:val="24"/>
              </w:rPr>
              <w:t>Priame podiely kapitálu CET1 subjektov finančného sektora,</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ktorých inštitúcia nemá významnú investíciu</w:t>
            </w:r>
          </w:p>
          <w:p w14:paraId="07F396F8" w14:textId="0FCD37A7" w:rsidR="00CC7D2C" w:rsidRPr="002176B5" w:rsidRDefault="00CC7D2C" w:rsidP="00320EFD">
            <w:pPr>
              <w:pStyle w:val="InstructionsText"/>
            </w:pPr>
            <w:r w:rsidRPr="002176B5">
              <w:t>Články 44, 45, 46</w:t>
            </w:r>
            <w:r w:rsidR="002176B5">
              <w:t xml:space="preserve"> a </w:t>
            </w:r>
            <w:r w:rsidRPr="002176B5">
              <w:t>49 nariadenia (EÚ) č. 575/2013</w:t>
            </w:r>
          </w:p>
        </w:tc>
      </w:tr>
      <w:tr w:rsidR="00CC7D2C" w:rsidRPr="002176B5" w14:paraId="2EA80006" w14:textId="77777777" w:rsidTr="00822842">
        <w:tc>
          <w:tcPr>
            <w:tcW w:w="1474" w:type="dxa"/>
          </w:tcPr>
          <w:p w14:paraId="6407EF5F" w14:textId="77777777" w:rsidR="00CC7D2C" w:rsidRPr="002176B5" w:rsidRDefault="00CC7D2C" w:rsidP="00320EFD">
            <w:pPr>
              <w:pStyle w:val="InstructionsText"/>
            </w:pPr>
            <w:r w:rsidRPr="002176B5">
              <w:lastRenderedPageBreak/>
              <w:t>0250</w:t>
            </w:r>
          </w:p>
        </w:tc>
        <w:tc>
          <w:tcPr>
            <w:tcW w:w="7049" w:type="dxa"/>
          </w:tcPr>
          <w:p w14:paraId="1F770E7B" w14:textId="08FE5D92" w:rsidR="00CC7D2C" w:rsidRPr="002176B5" w:rsidRDefault="00CC7D2C" w:rsidP="00320EFD">
            <w:pPr>
              <w:pStyle w:val="InstructionsText"/>
            </w:pPr>
            <w:r w:rsidRPr="002176B5">
              <w:rPr>
                <w:rStyle w:val="InstructionsTabelleberschrift"/>
                <w:rFonts w:ascii="Times New Roman" w:hAnsi="Times New Roman"/>
                <w:sz w:val="24"/>
              </w:rPr>
              <w:t>12.1.1.</w:t>
            </w:r>
            <w:r w:rsidRPr="002176B5">
              <w:tab/>
            </w:r>
            <w:r w:rsidRPr="002176B5">
              <w:rPr>
                <w:rStyle w:val="InstructionsTabelleberschrift"/>
                <w:rFonts w:ascii="Times New Roman" w:hAnsi="Times New Roman"/>
                <w:sz w:val="24"/>
              </w:rPr>
              <w:t>Brutto priame podiely kapitálu CET1 subjektov finančného sektora,</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ktorých inštitúcia nemá významnú investíciu</w:t>
            </w:r>
          </w:p>
          <w:p w14:paraId="35734353" w14:textId="0679C2F5" w:rsidR="00CC7D2C" w:rsidRPr="002176B5" w:rsidRDefault="00CC7D2C" w:rsidP="00320EFD">
            <w:pPr>
              <w:pStyle w:val="InstructionsText"/>
            </w:pPr>
            <w:r w:rsidRPr="002176B5">
              <w:t>Články 44, 46</w:t>
            </w:r>
            <w:r w:rsidR="002176B5">
              <w:t xml:space="preserve"> a </w:t>
            </w:r>
            <w:r w:rsidRPr="002176B5">
              <w:t>49 nariadenia (EÚ) č. 575/2013</w:t>
            </w:r>
          </w:p>
          <w:p w14:paraId="21EA9B4D" w14:textId="77777777" w:rsidR="00CC7D2C" w:rsidRPr="002176B5" w:rsidRDefault="00CC7D2C" w:rsidP="00320EFD">
            <w:pPr>
              <w:pStyle w:val="InstructionsText"/>
            </w:pPr>
            <w:r w:rsidRPr="002176B5">
              <w:t>Priame podiely kapitálu CET1 subjektov finančného sektora, keď inštitúcia nemá významnú investíciu, bez:</w:t>
            </w:r>
          </w:p>
          <w:p w14:paraId="2BF01249" w14:textId="780DDD87" w:rsidR="002176B5" w:rsidRDefault="00CC7D2C" w:rsidP="00320EFD">
            <w:pPr>
              <w:pStyle w:val="InstructionsText"/>
            </w:pPr>
            <w:r w:rsidRPr="002176B5">
              <w:t>a)</w:t>
            </w:r>
            <w:r w:rsidRPr="002176B5">
              <w:tab/>
              <w:t>pozícií</w:t>
            </w:r>
            <w:r w:rsidR="002176B5">
              <w:t xml:space="preserve"> z </w:t>
            </w:r>
            <w:r w:rsidRPr="002176B5">
              <w:t>upísania držaných päť pracovných dní alebo menej</w:t>
            </w:r>
            <w:r w:rsidR="002176B5">
              <w:t>;</w:t>
            </w:r>
          </w:p>
          <w:p w14:paraId="3BD84CB5" w14:textId="77777777" w:rsidR="002176B5" w:rsidRDefault="00CC7D2C" w:rsidP="00320EFD">
            <w:pPr>
              <w:pStyle w:val="InstructionsText"/>
            </w:pPr>
            <w:r w:rsidRPr="002176B5">
              <w:t>b)</w:t>
            </w:r>
            <w:r w:rsidRPr="002176B5">
              <w:tab/>
              <w:t>hodnôt súvisiacich</w:t>
            </w:r>
            <w:r w:rsidR="002176B5">
              <w:t xml:space="preserve"> s </w:t>
            </w:r>
            <w:r w:rsidRPr="002176B5">
              <w:t>investíciami, na ktoré sa uplatňuje alternatíva podľa článku 49;</w:t>
            </w:r>
            <w:r w:rsidR="002176B5">
              <w:t xml:space="preserve"> a</w:t>
            </w:r>
          </w:p>
          <w:p w14:paraId="6C3B0126" w14:textId="607677A1" w:rsidR="00CC7D2C" w:rsidRPr="002176B5" w:rsidRDefault="00CC7D2C" w:rsidP="00320EFD">
            <w:pPr>
              <w:pStyle w:val="InstructionsText"/>
            </w:pPr>
            <w:r w:rsidRPr="002176B5">
              <w:t>c)</w:t>
            </w:r>
            <w:r w:rsidRPr="002176B5">
              <w:tab/>
              <w:t>podielov,</w:t>
            </w:r>
            <w:r w:rsidR="002176B5">
              <w:t xml:space="preserve"> s </w:t>
            </w:r>
            <w:r w:rsidRPr="002176B5">
              <w:t>ktorými sa zaobchádza ako</w:t>
            </w:r>
            <w:r w:rsidR="002176B5">
              <w:t xml:space="preserve"> s </w:t>
            </w:r>
            <w:r w:rsidRPr="002176B5">
              <w:t>recipročnými krížovými podielmi</w:t>
            </w:r>
            <w:r w:rsidR="002176B5">
              <w:t xml:space="preserve"> v </w:t>
            </w:r>
            <w:r w:rsidRPr="002176B5">
              <w:t>súlade</w:t>
            </w:r>
            <w:r w:rsidR="002176B5">
              <w:t xml:space="preserve"> s </w:t>
            </w:r>
            <w:r w:rsidRPr="002176B5">
              <w:t>článkom 36 ods. 1 písm. g) nariadenia (EÚ) č. 575/2013.</w:t>
            </w:r>
          </w:p>
        </w:tc>
      </w:tr>
      <w:tr w:rsidR="00CC7D2C" w:rsidRPr="002176B5" w14:paraId="029CB7B9" w14:textId="77777777" w:rsidTr="00822842">
        <w:tc>
          <w:tcPr>
            <w:tcW w:w="1474" w:type="dxa"/>
          </w:tcPr>
          <w:p w14:paraId="7E15AB56" w14:textId="77777777" w:rsidR="00CC7D2C" w:rsidRPr="002176B5" w:rsidRDefault="00CC7D2C" w:rsidP="00320EFD">
            <w:pPr>
              <w:pStyle w:val="InstructionsText"/>
            </w:pPr>
            <w:r w:rsidRPr="002176B5">
              <w:t>0260</w:t>
            </w:r>
          </w:p>
        </w:tc>
        <w:tc>
          <w:tcPr>
            <w:tcW w:w="7049" w:type="dxa"/>
          </w:tcPr>
          <w:p w14:paraId="205AF52F" w14:textId="614D5FD7" w:rsidR="00CC7D2C" w:rsidRPr="002176B5" w:rsidRDefault="00CC7D2C" w:rsidP="00320EFD">
            <w:pPr>
              <w:pStyle w:val="InstructionsText"/>
            </w:pPr>
            <w:r w:rsidRPr="002176B5">
              <w:rPr>
                <w:rStyle w:val="InstructionsTabelleberschrift"/>
                <w:rFonts w:ascii="Times New Roman" w:hAnsi="Times New Roman"/>
                <w:sz w:val="24"/>
              </w:rPr>
              <w:t>12.1.2.</w:t>
            </w:r>
            <w:r w:rsidRPr="002176B5">
              <w:tab/>
            </w:r>
            <w:r w:rsidRPr="002176B5">
              <w:rPr>
                <w:rStyle w:val="InstructionsTabelleberschrift"/>
                <w:rFonts w:ascii="Times New Roman" w:hAnsi="Times New Roman"/>
                <w:sz w:val="24"/>
              </w:rPr>
              <w:t>(–) Povolené kompenzačné krátke pozície</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súvislosti</w:t>
            </w:r>
            <w:r w:rsidR="002176B5">
              <w:rPr>
                <w:rStyle w:val="InstructionsTabelleberschrift"/>
                <w:rFonts w:ascii="Times New Roman" w:hAnsi="Times New Roman"/>
                <w:sz w:val="24"/>
              </w:rPr>
              <w:t xml:space="preserve"> s </w:t>
            </w:r>
            <w:r w:rsidRPr="002176B5">
              <w:rPr>
                <w:rStyle w:val="InstructionsTabelleberschrift"/>
                <w:rFonts w:ascii="Times New Roman" w:hAnsi="Times New Roman"/>
                <w:sz w:val="24"/>
              </w:rPr>
              <w:t>priamymi brutto podielmi uvedenými vyššie</w:t>
            </w:r>
          </w:p>
          <w:p w14:paraId="5C7CD820" w14:textId="77777777" w:rsidR="00CC7D2C" w:rsidRPr="002176B5" w:rsidRDefault="00CC7D2C" w:rsidP="00320EFD">
            <w:pPr>
              <w:pStyle w:val="InstructionsText"/>
            </w:pPr>
            <w:r w:rsidRPr="002176B5">
              <w:t>Článok 45 nariadenia (EÚ) č. 575/2013</w:t>
            </w:r>
          </w:p>
          <w:p w14:paraId="3C7C2B7A" w14:textId="146E31C2" w:rsidR="00CC7D2C" w:rsidRPr="002176B5" w:rsidRDefault="00CC7D2C" w:rsidP="00320EFD">
            <w:pPr>
              <w:pStyle w:val="InstructionsText"/>
            </w:pPr>
            <w:r w:rsidRPr="002176B5">
              <w:t>Článkom 45 písm. a) nariadenia (EÚ) č. 575/2013 sa povoľujú kompenzačné krátke pozície</w:t>
            </w:r>
            <w:r w:rsidR="002176B5">
              <w:t xml:space="preserve"> v </w:t>
            </w:r>
            <w:r w:rsidRPr="002176B5">
              <w:t>rovnakej podkladovej expozícii pod podmienkou, že dátum splatnosti krátkej pozície je buď rovnaký alebo neskorší ako dátum splatnosti dlhej pozície, alebo zostatková splatnosť krátkej pozície je najmenej jeden rok.</w:t>
            </w:r>
          </w:p>
        </w:tc>
      </w:tr>
      <w:tr w:rsidR="00CC7D2C" w:rsidRPr="002176B5" w14:paraId="25EDF7FA" w14:textId="77777777" w:rsidTr="00822842">
        <w:tc>
          <w:tcPr>
            <w:tcW w:w="1474" w:type="dxa"/>
          </w:tcPr>
          <w:p w14:paraId="5140E3DC" w14:textId="77777777" w:rsidR="00CC7D2C" w:rsidRPr="002176B5" w:rsidRDefault="00CC7D2C" w:rsidP="00320EFD">
            <w:pPr>
              <w:pStyle w:val="InstructionsText"/>
            </w:pPr>
            <w:r w:rsidRPr="002176B5">
              <w:t>0270</w:t>
            </w:r>
          </w:p>
        </w:tc>
        <w:tc>
          <w:tcPr>
            <w:tcW w:w="7049" w:type="dxa"/>
          </w:tcPr>
          <w:p w14:paraId="41725CD8" w14:textId="1FC37286" w:rsidR="00CC7D2C" w:rsidRPr="002176B5" w:rsidRDefault="00CC7D2C" w:rsidP="00320EFD">
            <w:pPr>
              <w:pStyle w:val="InstructionsText"/>
            </w:pPr>
            <w:r w:rsidRPr="002176B5">
              <w:rPr>
                <w:rStyle w:val="InstructionsTabelleberschrift"/>
                <w:rFonts w:ascii="Times New Roman" w:hAnsi="Times New Roman"/>
                <w:sz w:val="24"/>
              </w:rPr>
              <w:t>12.2.</w:t>
            </w:r>
            <w:r w:rsidRPr="002176B5">
              <w:tab/>
            </w:r>
            <w:r w:rsidRPr="002176B5">
              <w:rPr>
                <w:rStyle w:val="InstructionsTabelleberschrift"/>
                <w:rFonts w:ascii="Times New Roman" w:hAnsi="Times New Roman"/>
                <w:sz w:val="24"/>
              </w:rPr>
              <w:t>Nepriame podiely kapitálu CET1 subjektov finančného sektora,</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ktorých inštitúcia nemá významnú investíciu</w:t>
            </w:r>
          </w:p>
          <w:p w14:paraId="5B60A6DB" w14:textId="004D4E4C" w:rsidR="00CC7D2C" w:rsidRPr="002176B5" w:rsidRDefault="00CC7D2C" w:rsidP="00320EFD">
            <w:pPr>
              <w:pStyle w:val="InstructionsText"/>
            </w:pPr>
            <w:r w:rsidRPr="002176B5">
              <w:t>Článok 4 ods. 1 bod 114</w:t>
            </w:r>
            <w:r w:rsidR="002176B5">
              <w:t xml:space="preserve"> a </w:t>
            </w:r>
            <w:r w:rsidRPr="002176B5">
              <w:t>články 44</w:t>
            </w:r>
            <w:r w:rsidR="002176B5">
              <w:t xml:space="preserve"> a </w:t>
            </w:r>
            <w:r w:rsidRPr="002176B5">
              <w:t>45 nariadenia (EÚ) č. 575/2013</w:t>
            </w:r>
          </w:p>
        </w:tc>
      </w:tr>
      <w:tr w:rsidR="00CC7D2C" w:rsidRPr="002176B5" w14:paraId="72270045" w14:textId="77777777" w:rsidTr="00822842">
        <w:tc>
          <w:tcPr>
            <w:tcW w:w="1474" w:type="dxa"/>
          </w:tcPr>
          <w:p w14:paraId="354EF22F" w14:textId="77777777" w:rsidR="00CC7D2C" w:rsidRPr="002176B5" w:rsidRDefault="00CC7D2C" w:rsidP="00320EFD">
            <w:pPr>
              <w:pStyle w:val="InstructionsText"/>
            </w:pPr>
            <w:r w:rsidRPr="002176B5">
              <w:t>0280</w:t>
            </w:r>
          </w:p>
        </w:tc>
        <w:tc>
          <w:tcPr>
            <w:tcW w:w="7049" w:type="dxa"/>
          </w:tcPr>
          <w:p w14:paraId="30ADD00A" w14:textId="1E1EB0A3" w:rsidR="00CC7D2C" w:rsidRPr="002176B5" w:rsidRDefault="00CC7D2C" w:rsidP="00320EFD">
            <w:pPr>
              <w:pStyle w:val="InstructionsText"/>
            </w:pPr>
            <w:r w:rsidRPr="002176B5">
              <w:rPr>
                <w:rStyle w:val="InstructionsTabelleberschrift"/>
                <w:rFonts w:ascii="Times New Roman" w:hAnsi="Times New Roman"/>
                <w:sz w:val="24"/>
              </w:rPr>
              <w:t>12.2.1.</w:t>
            </w:r>
            <w:r w:rsidRPr="002176B5">
              <w:tab/>
            </w:r>
            <w:r w:rsidRPr="002176B5">
              <w:rPr>
                <w:rStyle w:val="InstructionsTabelleberschrift"/>
                <w:rFonts w:ascii="Times New Roman" w:hAnsi="Times New Roman"/>
                <w:sz w:val="24"/>
              </w:rPr>
              <w:t>Brutto nepriame podiely kapitálu CET1 subjektov finančného sektora,</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ktorých inštitúcia nemá významnú investíciu</w:t>
            </w:r>
          </w:p>
          <w:p w14:paraId="1712D6BE" w14:textId="5D238C7E" w:rsidR="00CC7D2C" w:rsidRPr="002176B5" w:rsidRDefault="00CC7D2C" w:rsidP="00320EFD">
            <w:pPr>
              <w:pStyle w:val="InstructionsText"/>
            </w:pPr>
            <w:r w:rsidRPr="002176B5">
              <w:t>Článok 4 ods. 1 bod 114</w:t>
            </w:r>
            <w:r w:rsidR="002176B5">
              <w:t xml:space="preserve"> a </w:t>
            </w:r>
            <w:r w:rsidRPr="002176B5">
              <w:t>články 44</w:t>
            </w:r>
            <w:r w:rsidR="002176B5">
              <w:t xml:space="preserve"> a </w:t>
            </w:r>
            <w:r w:rsidRPr="002176B5">
              <w:t>45 nariadenia (EÚ) č. 575/2013</w:t>
            </w:r>
          </w:p>
          <w:p w14:paraId="48C4F8F6" w14:textId="4F281B1D" w:rsidR="00CC7D2C" w:rsidRPr="002176B5" w:rsidRDefault="00CC7D2C" w:rsidP="00320EFD">
            <w:pPr>
              <w:pStyle w:val="InstructionsText"/>
            </w:pPr>
            <w:r w:rsidRPr="002176B5">
              <w:t>Vykazovaná hodnota sa rovná nepriamym podielom</w:t>
            </w:r>
            <w:r w:rsidR="002176B5">
              <w:t xml:space="preserve"> v </w:t>
            </w:r>
            <w:r w:rsidRPr="002176B5">
              <w:t>obchodnej knihe na kapitálových nástrojoch subjektov finančného sektora, ktoré sú vo forme podielov cenných papierov zaradených do indexu. Dosiahne sa vypočítaním podkladovej expozície voči kapitálovým nástrojom subjektov finančného sektora</w:t>
            </w:r>
            <w:r w:rsidR="002176B5">
              <w:t xml:space="preserve"> v </w:t>
            </w:r>
            <w:r w:rsidRPr="002176B5">
              <w:t>týchto indexoch.</w:t>
            </w:r>
          </w:p>
          <w:p w14:paraId="478FC936" w14:textId="64079EFF" w:rsidR="00CC7D2C" w:rsidRPr="002176B5" w:rsidRDefault="00CC7D2C" w:rsidP="00320EFD">
            <w:pPr>
              <w:pStyle w:val="InstructionsText"/>
            </w:pPr>
            <w:r w:rsidRPr="002176B5">
              <w:t>Podiely,</w:t>
            </w:r>
            <w:r w:rsidR="002176B5">
              <w:t xml:space="preserve"> s </w:t>
            </w:r>
            <w:r w:rsidRPr="002176B5">
              <w:t>ktorými sa zaobchádza ako</w:t>
            </w:r>
            <w:r w:rsidR="002176B5">
              <w:t xml:space="preserve"> s </w:t>
            </w:r>
            <w:r w:rsidRPr="002176B5">
              <w:t>recipročnými krížovými podielmi</w:t>
            </w:r>
            <w:r w:rsidR="002176B5">
              <w:t xml:space="preserve"> v </w:t>
            </w:r>
            <w:r w:rsidRPr="002176B5">
              <w:t>súlade</w:t>
            </w:r>
            <w:r w:rsidR="002176B5">
              <w:t xml:space="preserve"> s </w:t>
            </w:r>
            <w:r w:rsidRPr="002176B5">
              <w:t>článkom 36 ods. 1 písm. g) nariadenia (EÚ) č. 575/2013, sa nezapočítavajú.</w:t>
            </w:r>
          </w:p>
        </w:tc>
      </w:tr>
      <w:tr w:rsidR="00CC7D2C" w:rsidRPr="002176B5" w14:paraId="70929844" w14:textId="77777777" w:rsidTr="00822842">
        <w:trPr>
          <w:trHeight w:val="850"/>
        </w:trPr>
        <w:tc>
          <w:tcPr>
            <w:tcW w:w="1474" w:type="dxa"/>
          </w:tcPr>
          <w:p w14:paraId="5D42473C" w14:textId="77777777" w:rsidR="00CC7D2C" w:rsidRPr="002176B5" w:rsidRDefault="00CC7D2C" w:rsidP="00320EFD">
            <w:pPr>
              <w:pStyle w:val="InstructionsText"/>
            </w:pPr>
            <w:r w:rsidRPr="002176B5">
              <w:t>0290</w:t>
            </w:r>
          </w:p>
        </w:tc>
        <w:tc>
          <w:tcPr>
            <w:tcW w:w="7049" w:type="dxa"/>
          </w:tcPr>
          <w:p w14:paraId="52B39F7D" w14:textId="1D98AD64" w:rsidR="00CC7D2C" w:rsidRPr="002176B5" w:rsidRDefault="00CC7D2C" w:rsidP="00320EFD">
            <w:pPr>
              <w:pStyle w:val="InstructionsText"/>
            </w:pPr>
            <w:r w:rsidRPr="002176B5">
              <w:rPr>
                <w:rStyle w:val="InstructionsTabelleberschrift"/>
                <w:rFonts w:ascii="Times New Roman" w:hAnsi="Times New Roman"/>
                <w:sz w:val="24"/>
              </w:rPr>
              <w:t>12.2.2.</w:t>
            </w:r>
            <w:r w:rsidRPr="002176B5">
              <w:tab/>
            </w:r>
            <w:r w:rsidRPr="002176B5">
              <w:rPr>
                <w:rStyle w:val="InstructionsTabelleberschrift"/>
                <w:rFonts w:ascii="Times New Roman" w:hAnsi="Times New Roman"/>
                <w:sz w:val="24"/>
              </w:rPr>
              <w:t>(–) Povolené kompenzačné krátke pozície</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súvislosti</w:t>
            </w:r>
            <w:r w:rsidR="002176B5">
              <w:rPr>
                <w:rStyle w:val="InstructionsTabelleberschrift"/>
                <w:rFonts w:ascii="Times New Roman" w:hAnsi="Times New Roman"/>
                <w:sz w:val="24"/>
              </w:rPr>
              <w:t xml:space="preserve"> s </w:t>
            </w:r>
            <w:r w:rsidRPr="002176B5">
              <w:rPr>
                <w:rStyle w:val="InstructionsTabelleberschrift"/>
                <w:rFonts w:ascii="Times New Roman" w:hAnsi="Times New Roman"/>
                <w:sz w:val="24"/>
              </w:rPr>
              <w:t>nepriamymi brutto podielmi uvedenými vyššie</w:t>
            </w:r>
          </w:p>
          <w:p w14:paraId="4FFA5E51" w14:textId="018C52DD" w:rsidR="00CC7D2C" w:rsidRPr="002176B5" w:rsidRDefault="00CC7D2C" w:rsidP="00320EFD">
            <w:pPr>
              <w:pStyle w:val="InstructionsText"/>
            </w:pPr>
            <w:r w:rsidRPr="002176B5">
              <w:t>Článok 4 ods. 1 bod 114</w:t>
            </w:r>
            <w:r w:rsidR="002176B5">
              <w:t xml:space="preserve"> a </w:t>
            </w:r>
            <w:r w:rsidRPr="002176B5">
              <w:t>článok 45 nariadenia (EÚ) č. 575/2013</w:t>
            </w:r>
          </w:p>
          <w:p w14:paraId="53013672" w14:textId="18D58C9D" w:rsidR="00CC7D2C" w:rsidRPr="002176B5" w:rsidRDefault="00CC7D2C" w:rsidP="00320EFD">
            <w:pPr>
              <w:pStyle w:val="InstructionsText"/>
            </w:pPr>
            <w:r w:rsidRPr="002176B5">
              <w:lastRenderedPageBreak/>
              <w:t>Článkom 45 písm. a) nariadenia (EÚ) č. 575/2013 sa povoľujú kompenzačné krátke pozície</w:t>
            </w:r>
            <w:r w:rsidR="002176B5">
              <w:t xml:space="preserve"> v </w:t>
            </w:r>
            <w:r w:rsidRPr="002176B5">
              <w:t>rovnakej podkladovej expozícii pod podmienkou, že dátum splatnosti krátkej pozície je buď rovnaký alebo neskorší ako dátum splatnosti dlhej pozície, alebo zostatková splatnosť krátkej pozície je najmenej jeden rok.</w:t>
            </w:r>
          </w:p>
        </w:tc>
      </w:tr>
      <w:tr w:rsidR="00CC7D2C" w:rsidRPr="002176B5" w14:paraId="1C10DCE6" w14:textId="77777777" w:rsidTr="00822842">
        <w:tc>
          <w:tcPr>
            <w:tcW w:w="1474" w:type="dxa"/>
          </w:tcPr>
          <w:p w14:paraId="42E85546" w14:textId="77777777" w:rsidR="00CC7D2C" w:rsidRPr="002176B5" w:rsidRDefault="00CC7D2C" w:rsidP="00320EFD">
            <w:pPr>
              <w:pStyle w:val="InstructionsText"/>
            </w:pPr>
            <w:r w:rsidRPr="002176B5">
              <w:lastRenderedPageBreak/>
              <w:t>0291</w:t>
            </w:r>
          </w:p>
        </w:tc>
        <w:tc>
          <w:tcPr>
            <w:tcW w:w="7049" w:type="dxa"/>
            <w:vAlign w:val="center"/>
          </w:tcPr>
          <w:p w14:paraId="661C3FE9" w14:textId="7487AA46" w:rsidR="00CC7D2C" w:rsidRPr="002176B5" w:rsidRDefault="00CC7D2C" w:rsidP="00320EFD">
            <w:pPr>
              <w:pStyle w:val="InstructionsText"/>
              <w:rPr>
                <w:rStyle w:val="InstructionsTabelleberschrift"/>
                <w:rFonts w:ascii="Times New Roman" w:hAnsi="Times New Roman"/>
                <w:b w:val="0"/>
                <w:sz w:val="24"/>
                <w:u w:val="none"/>
              </w:rPr>
            </w:pPr>
            <w:r w:rsidRPr="002176B5">
              <w:rPr>
                <w:rStyle w:val="InstructionsTabelleberschrift"/>
                <w:rFonts w:ascii="Times New Roman" w:hAnsi="Times New Roman"/>
                <w:sz w:val="24"/>
              </w:rPr>
              <w:t>12.3.1.</w:t>
            </w:r>
            <w:r w:rsidRPr="002176B5">
              <w:tab/>
            </w:r>
            <w:r w:rsidRPr="002176B5">
              <w:rPr>
                <w:rStyle w:val="InstructionsTabelleberschrift"/>
                <w:rFonts w:ascii="Times New Roman" w:hAnsi="Times New Roman"/>
                <w:sz w:val="24"/>
              </w:rPr>
              <w:t>Syntetické podiely kapitálu CET1 subjektov finančného sektora,</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ktorých inštitúcia nemá významnú investíciu</w:t>
            </w:r>
          </w:p>
          <w:p w14:paraId="64CCB38C" w14:textId="36A3ABAC" w:rsidR="00CC7D2C" w:rsidRPr="002176B5" w:rsidRDefault="00CC7D2C" w:rsidP="00320EFD">
            <w:pPr>
              <w:pStyle w:val="InstructionsText"/>
              <w:rPr>
                <w:rStyle w:val="InstructionsTabelleberschrift"/>
                <w:rFonts w:ascii="Times New Roman" w:hAnsi="Times New Roman"/>
                <w:b w:val="0"/>
                <w:sz w:val="24"/>
                <w:u w:val="none"/>
              </w:rPr>
            </w:pPr>
            <w:r w:rsidRPr="002176B5">
              <w:rPr>
                <w:rStyle w:val="InstructionsTabelleberschrift"/>
                <w:rFonts w:ascii="Times New Roman" w:hAnsi="Times New Roman"/>
                <w:b w:val="0"/>
                <w:sz w:val="24"/>
                <w:u w:val="none"/>
              </w:rPr>
              <w:t>Článok 4 ods. 1 bod 126</w:t>
            </w:r>
            <w:r w:rsidR="002176B5">
              <w:rPr>
                <w:rStyle w:val="InstructionsTabelleberschrift"/>
                <w:rFonts w:ascii="Times New Roman" w:hAnsi="Times New Roman"/>
                <w:b w:val="0"/>
                <w:sz w:val="24"/>
                <w:u w:val="none"/>
              </w:rPr>
              <w:t xml:space="preserve"> a </w:t>
            </w:r>
            <w:r w:rsidRPr="002176B5">
              <w:rPr>
                <w:rStyle w:val="InstructionsTabelleberschrift"/>
                <w:rFonts w:ascii="Times New Roman" w:hAnsi="Times New Roman"/>
                <w:b w:val="0"/>
                <w:sz w:val="24"/>
                <w:u w:val="none"/>
              </w:rPr>
              <w:t>články 44</w:t>
            </w:r>
            <w:r w:rsidR="002176B5">
              <w:rPr>
                <w:rStyle w:val="InstructionsTabelleberschrift"/>
                <w:rFonts w:ascii="Times New Roman" w:hAnsi="Times New Roman"/>
                <w:b w:val="0"/>
                <w:sz w:val="24"/>
                <w:u w:val="none"/>
              </w:rPr>
              <w:t xml:space="preserve"> a </w:t>
            </w:r>
            <w:r w:rsidRPr="002176B5">
              <w:rPr>
                <w:rStyle w:val="InstructionsTabelleberschrift"/>
                <w:rFonts w:ascii="Times New Roman" w:hAnsi="Times New Roman"/>
                <w:b w:val="0"/>
                <w:sz w:val="24"/>
                <w:u w:val="none"/>
              </w:rPr>
              <w:t>45</w:t>
            </w:r>
            <w:r w:rsidRPr="002176B5">
              <w:t xml:space="preserve"> nariadenia (EÚ) č. 575/2013</w:t>
            </w:r>
          </w:p>
        </w:tc>
      </w:tr>
      <w:tr w:rsidR="00CC7D2C" w:rsidRPr="002176B5" w14:paraId="546A26BD" w14:textId="77777777" w:rsidTr="00822842">
        <w:tc>
          <w:tcPr>
            <w:tcW w:w="1474" w:type="dxa"/>
          </w:tcPr>
          <w:p w14:paraId="4DF731A1" w14:textId="77777777" w:rsidR="00CC7D2C" w:rsidRPr="002176B5" w:rsidRDefault="00CC7D2C" w:rsidP="00320EFD">
            <w:pPr>
              <w:pStyle w:val="InstructionsText"/>
            </w:pPr>
            <w:r w:rsidRPr="002176B5">
              <w:t>0292</w:t>
            </w:r>
          </w:p>
        </w:tc>
        <w:tc>
          <w:tcPr>
            <w:tcW w:w="7049" w:type="dxa"/>
            <w:vAlign w:val="center"/>
          </w:tcPr>
          <w:p w14:paraId="1F37D1AB" w14:textId="6D55EF2E" w:rsidR="00CC7D2C" w:rsidRPr="002176B5" w:rsidRDefault="00CC7D2C" w:rsidP="00320EFD">
            <w:pPr>
              <w:pStyle w:val="InstructionsText"/>
              <w:rPr>
                <w:rStyle w:val="InstructionsTabelleberschrift"/>
                <w:rFonts w:ascii="Times New Roman" w:hAnsi="Times New Roman"/>
                <w:b w:val="0"/>
                <w:sz w:val="24"/>
                <w:u w:val="none"/>
              </w:rPr>
            </w:pPr>
            <w:r w:rsidRPr="002176B5">
              <w:rPr>
                <w:rStyle w:val="InstructionsTabelleberschrift"/>
                <w:rFonts w:ascii="Times New Roman" w:hAnsi="Times New Roman"/>
                <w:sz w:val="24"/>
              </w:rPr>
              <w:t>12.3.2.</w:t>
            </w:r>
            <w:r w:rsidRPr="002176B5">
              <w:tab/>
            </w:r>
            <w:r w:rsidRPr="002176B5">
              <w:rPr>
                <w:rStyle w:val="InstructionsTabelleberschrift"/>
                <w:rFonts w:ascii="Times New Roman" w:hAnsi="Times New Roman"/>
                <w:sz w:val="24"/>
              </w:rPr>
              <w:t>Brutto syntetické podiely kapitálu CET1 subjektov finančného sektora,</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ktorých inštitúcia nemá významnú investíciu</w:t>
            </w:r>
          </w:p>
          <w:p w14:paraId="3B736157" w14:textId="3192B4AF" w:rsidR="00CC7D2C" w:rsidRPr="002176B5" w:rsidRDefault="00CC7D2C" w:rsidP="00320EFD">
            <w:pPr>
              <w:pStyle w:val="InstructionsText"/>
              <w:rPr>
                <w:rStyle w:val="InstructionsTabelleberschrift"/>
                <w:rFonts w:ascii="Times New Roman" w:hAnsi="Times New Roman"/>
                <w:b w:val="0"/>
                <w:sz w:val="24"/>
                <w:u w:val="none"/>
              </w:rPr>
            </w:pPr>
            <w:r w:rsidRPr="002176B5">
              <w:rPr>
                <w:rStyle w:val="InstructionsTabelleberschrift"/>
                <w:rFonts w:ascii="Times New Roman" w:hAnsi="Times New Roman"/>
                <w:b w:val="0"/>
                <w:sz w:val="24"/>
                <w:u w:val="none"/>
              </w:rPr>
              <w:t>Článok 4 ods. 1 bod 126</w:t>
            </w:r>
            <w:r w:rsidR="002176B5">
              <w:rPr>
                <w:rStyle w:val="InstructionsTabelleberschrift"/>
                <w:rFonts w:ascii="Times New Roman" w:hAnsi="Times New Roman"/>
                <w:b w:val="0"/>
                <w:sz w:val="24"/>
                <w:u w:val="none"/>
              </w:rPr>
              <w:t xml:space="preserve"> a </w:t>
            </w:r>
            <w:r w:rsidRPr="002176B5">
              <w:rPr>
                <w:rStyle w:val="InstructionsTabelleberschrift"/>
                <w:rFonts w:ascii="Times New Roman" w:hAnsi="Times New Roman"/>
                <w:b w:val="0"/>
                <w:sz w:val="24"/>
                <w:u w:val="none"/>
              </w:rPr>
              <w:t>články 44</w:t>
            </w:r>
            <w:r w:rsidR="002176B5">
              <w:rPr>
                <w:rStyle w:val="InstructionsTabelleberschrift"/>
                <w:rFonts w:ascii="Times New Roman" w:hAnsi="Times New Roman"/>
                <w:b w:val="0"/>
                <w:sz w:val="24"/>
                <w:u w:val="none"/>
              </w:rPr>
              <w:t xml:space="preserve"> a </w:t>
            </w:r>
            <w:r w:rsidRPr="002176B5">
              <w:rPr>
                <w:rStyle w:val="InstructionsTabelleberschrift"/>
                <w:rFonts w:ascii="Times New Roman" w:hAnsi="Times New Roman"/>
                <w:b w:val="0"/>
                <w:sz w:val="24"/>
                <w:u w:val="none"/>
              </w:rPr>
              <w:t>45</w:t>
            </w:r>
            <w:r w:rsidRPr="002176B5">
              <w:t xml:space="preserve"> nariadenia (EÚ) č. 575/2013</w:t>
            </w:r>
          </w:p>
        </w:tc>
      </w:tr>
      <w:tr w:rsidR="00CC7D2C" w:rsidRPr="002176B5" w14:paraId="3479AAB0" w14:textId="77777777" w:rsidTr="00822842">
        <w:tc>
          <w:tcPr>
            <w:tcW w:w="1474" w:type="dxa"/>
          </w:tcPr>
          <w:p w14:paraId="075CFC3A" w14:textId="77777777" w:rsidR="00CC7D2C" w:rsidRPr="002176B5" w:rsidRDefault="00CC7D2C" w:rsidP="00320EFD">
            <w:pPr>
              <w:pStyle w:val="InstructionsText"/>
            </w:pPr>
            <w:r w:rsidRPr="002176B5">
              <w:t>0293</w:t>
            </w:r>
          </w:p>
        </w:tc>
        <w:tc>
          <w:tcPr>
            <w:tcW w:w="7049" w:type="dxa"/>
            <w:vAlign w:val="center"/>
          </w:tcPr>
          <w:p w14:paraId="1544EF33" w14:textId="7F5B8744"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12.3.3.</w:t>
            </w:r>
            <w:r w:rsidRPr="002176B5">
              <w:tab/>
            </w:r>
            <w:r w:rsidRPr="002176B5">
              <w:rPr>
                <w:rStyle w:val="InstructionsTabelleberschrift"/>
                <w:rFonts w:ascii="Times New Roman" w:hAnsi="Times New Roman"/>
                <w:sz w:val="24"/>
              </w:rPr>
              <w:t>(–) Povolené kompenzačné krátke pozície</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súvislosti</w:t>
            </w:r>
            <w:r w:rsidR="002176B5">
              <w:rPr>
                <w:rStyle w:val="InstructionsTabelleberschrift"/>
                <w:rFonts w:ascii="Times New Roman" w:hAnsi="Times New Roman"/>
                <w:sz w:val="24"/>
              </w:rPr>
              <w:t xml:space="preserve"> s </w:t>
            </w:r>
            <w:r w:rsidRPr="002176B5">
              <w:rPr>
                <w:rStyle w:val="InstructionsTabelleberschrift"/>
                <w:rFonts w:ascii="Times New Roman" w:hAnsi="Times New Roman"/>
                <w:sz w:val="24"/>
              </w:rPr>
              <w:t>brutto syntetickými podielmi uvedenými vyššie</w:t>
            </w:r>
          </w:p>
          <w:p w14:paraId="10993EDD" w14:textId="49FAC8C9" w:rsidR="00CC7D2C" w:rsidRPr="002176B5" w:rsidRDefault="00CC7D2C" w:rsidP="00320EFD">
            <w:pPr>
              <w:pStyle w:val="InstructionsText"/>
              <w:rPr>
                <w:rStyle w:val="InstructionsTabelleberschrift"/>
                <w:rFonts w:ascii="Times New Roman" w:hAnsi="Times New Roman"/>
                <w:b w:val="0"/>
                <w:sz w:val="24"/>
                <w:u w:val="none"/>
              </w:rPr>
            </w:pPr>
            <w:r w:rsidRPr="002176B5">
              <w:rPr>
                <w:rStyle w:val="InstructionsTabelleberschrift"/>
                <w:rFonts w:ascii="Times New Roman" w:hAnsi="Times New Roman"/>
                <w:b w:val="0"/>
                <w:sz w:val="24"/>
                <w:u w:val="none"/>
              </w:rPr>
              <w:t>Článok 4 ods. 1 bod 126</w:t>
            </w:r>
            <w:r w:rsidR="002176B5">
              <w:rPr>
                <w:rStyle w:val="InstructionsTabelleberschrift"/>
                <w:rFonts w:ascii="Times New Roman" w:hAnsi="Times New Roman"/>
                <w:b w:val="0"/>
                <w:sz w:val="24"/>
                <w:u w:val="none"/>
              </w:rPr>
              <w:t xml:space="preserve"> a </w:t>
            </w:r>
            <w:r w:rsidRPr="002176B5">
              <w:rPr>
                <w:rStyle w:val="InstructionsTabelleberschrift"/>
                <w:rFonts w:ascii="Times New Roman" w:hAnsi="Times New Roman"/>
                <w:b w:val="0"/>
                <w:sz w:val="24"/>
                <w:u w:val="none"/>
              </w:rPr>
              <w:t xml:space="preserve">článok 45 </w:t>
            </w:r>
            <w:r w:rsidRPr="002176B5">
              <w:t>nariadenia (EÚ) č. 575/2013</w:t>
            </w:r>
          </w:p>
          <w:p w14:paraId="620D54C3" w14:textId="2F60984D" w:rsidR="00CC7D2C" w:rsidRPr="002176B5" w:rsidRDefault="00CC7D2C" w:rsidP="00320EFD">
            <w:pPr>
              <w:pStyle w:val="InstructionsText"/>
              <w:rPr>
                <w:rStyle w:val="InstructionsTabelleberschrift"/>
                <w:rFonts w:ascii="Times New Roman" w:hAnsi="Times New Roman"/>
                <w:b w:val="0"/>
                <w:sz w:val="24"/>
                <w:u w:val="none"/>
              </w:rPr>
            </w:pPr>
            <w:r w:rsidRPr="002176B5">
              <w:t>Článkom 45 písm. a) nariadenia (EÚ) č. 575/2013 sa povoľujú kompenzačné krátke pozície</w:t>
            </w:r>
            <w:r w:rsidR="002176B5">
              <w:t xml:space="preserve"> v </w:t>
            </w:r>
            <w:r w:rsidRPr="002176B5">
              <w:t>rovnakej podkladovej expozícii pod podmienkou, že dátum splatnosti krátkej pozície je buď rovnaký alebo neskorší ako dátum splatnosti dlhej pozície, alebo zostatková splatnosť krátkej pozície je najmenej jeden rok.</w:t>
            </w:r>
          </w:p>
        </w:tc>
      </w:tr>
      <w:tr w:rsidR="00CC7D2C" w:rsidRPr="002176B5" w14:paraId="49B8F446" w14:textId="77777777" w:rsidTr="00822842">
        <w:tc>
          <w:tcPr>
            <w:tcW w:w="1474" w:type="dxa"/>
          </w:tcPr>
          <w:p w14:paraId="3A95E05A" w14:textId="77777777" w:rsidR="00CC7D2C" w:rsidRPr="002176B5" w:rsidRDefault="00CC7D2C" w:rsidP="00320EFD">
            <w:pPr>
              <w:pStyle w:val="InstructionsText"/>
            </w:pPr>
            <w:r w:rsidRPr="002176B5">
              <w:t>0300</w:t>
            </w:r>
          </w:p>
        </w:tc>
        <w:tc>
          <w:tcPr>
            <w:tcW w:w="7049" w:type="dxa"/>
          </w:tcPr>
          <w:p w14:paraId="22CCC24D" w14:textId="7B2B5EDB"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13.</w:t>
            </w:r>
            <w:r w:rsidRPr="002176B5">
              <w:tab/>
            </w:r>
            <w:r w:rsidRPr="002176B5">
              <w:rPr>
                <w:rStyle w:val="InstructionsTabelleberschrift"/>
                <w:rFonts w:ascii="Times New Roman" w:hAnsi="Times New Roman"/>
                <w:sz w:val="24"/>
              </w:rPr>
              <w:t>Podiely kapitálu AT1 subjektov finančného sektora,</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ktorých inštitúcia nemá významnú investíciu, po odpočítaní krátkych pozícií</w:t>
            </w:r>
          </w:p>
          <w:p w14:paraId="2446C324" w14:textId="4FA45886" w:rsidR="00CC7D2C" w:rsidRPr="002176B5" w:rsidRDefault="00CC7D2C" w:rsidP="00320EFD">
            <w:pPr>
              <w:pStyle w:val="InstructionsText"/>
            </w:pPr>
            <w:r w:rsidRPr="002176B5">
              <w:t>Články 58, 59</w:t>
            </w:r>
            <w:r w:rsidR="002176B5">
              <w:t xml:space="preserve"> a </w:t>
            </w:r>
            <w:r w:rsidRPr="002176B5">
              <w:t>60 nariadenia (EÚ) č. 575/2013</w:t>
            </w:r>
          </w:p>
        </w:tc>
      </w:tr>
      <w:tr w:rsidR="00CC7D2C" w:rsidRPr="002176B5" w14:paraId="630703DF" w14:textId="77777777" w:rsidTr="00822842">
        <w:tc>
          <w:tcPr>
            <w:tcW w:w="1474" w:type="dxa"/>
          </w:tcPr>
          <w:p w14:paraId="5780041C" w14:textId="77777777" w:rsidR="00CC7D2C" w:rsidRPr="002176B5" w:rsidRDefault="00CC7D2C" w:rsidP="00320EFD">
            <w:pPr>
              <w:pStyle w:val="InstructionsText"/>
            </w:pPr>
            <w:r w:rsidRPr="002176B5">
              <w:t>0310</w:t>
            </w:r>
          </w:p>
        </w:tc>
        <w:tc>
          <w:tcPr>
            <w:tcW w:w="7049" w:type="dxa"/>
          </w:tcPr>
          <w:p w14:paraId="652A887A" w14:textId="2028A98B" w:rsidR="00CC7D2C" w:rsidRPr="002176B5" w:rsidRDefault="00CC7D2C" w:rsidP="00320EFD">
            <w:pPr>
              <w:pStyle w:val="InstructionsText"/>
            </w:pPr>
            <w:r w:rsidRPr="002176B5">
              <w:rPr>
                <w:rStyle w:val="InstructionsTabelleberschrift"/>
                <w:rFonts w:ascii="Times New Roman" w:hAnsi="Times New Roman"/>
                <w:sz w:val="24"/>
              </w:rPr>
              <w:t>13.1.</w:t>
            </w:r>
            <w:r w:rsidRPr="002176B5">
              <w:tab/>
            </w:r>
            <w:r w:rsidRPr="002176B5">
              <w:rPr>
                <w:rStyle w:val="InstructionsTabelleberschrift"/>
                <w:rFonts w:ascii="Times New Roman" w:hAnsi="Times New Roman"/>
                <w:sz w:val="24"/>
              </w:rPr>
              <w:t>Priame podiely kapitálu AT1 subjektov finančného sektora,</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ktorých inštitúcia nemá významnú investíciu</w:t>
            </w:r>
          </w:p>
          <w:p w14:paraId="2BC29626" w14:textId="5D529AA9" w:rsidR="00CC7D2C" w:rsidRPr="002176B5" w:rsidRDefault="00CC7D2C" w:rsidP="00320EFD">
            <w:pPr>
              <w:pStyle w:val="InstructionsText"/>
            </w:pPr>
            <w:r w:rsidRPr="002176B5">
              <w:t>Články 58, 59</w:t>
            </w:r>
            <w:r w:rsidR="002176B5">
              <w:t xml:space="preserve"> a </w:t>
            </w:r>
            <w:r w:rsidRPr="002176B5">
              <w:t>článok 60 ods. 2 nariadenia (EÚ) č. 575/2013</w:t>
            </w:r>
          </w:p>
        </w:tc>
      </w:tr>
      <w:tr w:rsidR="00CC7D2C" w:rsidRPr="002176B5" w14:paraId="2DD3B3A5" w14:textId="77777777" w:rsidTr="00822842">
        <w:tc>
          <w:tcPr>
            <w:tcW w:w="1474" w:type="dxa"/>
          </w:tcPr>
          <w:p w14:paraId="1F2C7A93" w14:textId="77777777" w:rsidR="00CC7D2C" w:rsidRPr="002176B5" w:rsidRDefault="00CC7D2C" w:rsidP="00320EFD">
            <w:pPr>
              <w:pStyle w:val="InstructionsText"/>
            </w:pPr>
            <w:r w:rsidRPr="002176B5">
              <w:t>0320</w:t>
            </w:r>
          </w:p>
        </w:tc>
        <w:tc>
          <w:tcPr>
            <w:tcW w:w="7049" w:type="dxa"/>
          </w:tcPr>
          <w:p w14:paraId="086716D9" w14:textId="4C4CBBEE" w:rsidR="00CC7D2C" w:rsidRPr="002176B5" w:rsidRDefault="00CC7D2C" w:rsidP="00320EFD">
            <w:pPr>
              <w:pStyle w:val="InstructionsText"/>
            </w:pPr>
            <w:r w:rsidRPr="002176B5">
              <w:rPr>
                <w:rStyle w:val="InstructionsTabelleberschrift"/>
                <w:rFonts w:ascii="Times New Roman" w:hAnsi="Times New Roman"/>
                <w:sz w:val="24"/>
              </w:rPr>
              <w:t>13.1.1.</w:t>
            </w:r>
            <w:r w:rsidRPr="002176B5">
              <w:tab/>
            </w:r>
            <w:r w:rsidRPr="002176B5">
              <w:rPr>
                <w:rStyle w:val="InstructionsTabelleberschrift"/>
                <w:rFonts w:ascii="Times New Roman" w:hAnsi="Times New Roman"/>
                <w:sz w:val="24"/>
              </w:rPr>
              <w:t>Brutto priame podiely kapitálu AT1 subjektov finančného sektora,</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ktorých inštitúcia nemá významnú investíciu</w:t>
            </w:r>
          </w:p>
          <w:p w14:paraId="75E43435" w14:textId="4D25F054" w:rsidR="00CC7D2C" w:rsidRPr="002176B5" w:rsidRDefault="00CC7D2C" w:rsidP="00320EFD">
            <w:pPr>
              <w:pStyle w:val="InstructionsText"/>
            </w:pPr>
            <w:r w:rsidRPr="002176B5">
              <w:t>Článok 58</w:t>
            </w:r>
            <w:r w:rsidR="002176B5">
              <w:t xml:space="preserve"> a </w:t>
            </w:r>
            <w:r w:rsidRPr="002176B5">
              <w:t>článok 60 ods. 2 nariadenia (EÚ) č. 575/2013</w:t>
            </w:r>
          </w:p>
          <w:p w14:paraId="4EB3C9FE" w14:textId="77777777" w:rsidR="00CC7D2C" w:rsidRPr="002176B5" w:rsidRDefault="00CC7D2C" w:rsidP="00320EFD">
            <w:pPr>
              <w:pStyle w:val="InstructionsText"/>
            </w:pPr>
            <w:r w:rsidRPr="002176B5">
              <w:t>Priame podiely kapitálu AT1 subjektov finančného sektora, keď inštitúcia nemá významnú investíciu, bez:</w:t>
            </w:r>
          </w:p>
          <w:p w14:paraId="45727DB7" w14:textId="77777777" w:rsidR="002176B5" w:rsidRDefault="00CC7D2C" w:rsidP="00320EFD">
            <w:pPr>
              <w:pStyle w:val="InstructionsText"/>
            </w:pPr>
            <w:r w:rsidRPr="002176B5">
              <w:t>a)</w:t>
            </w:r>
            <w:r w:rsidRPr="002176B5">
              <w:tab/>
              <w:t>pozícií</w:t>
            </w:r>
            <w:r w:rsidR="002176B5">
              <w:t xml:space="preserve"> z </w:t>
            </w:r>
            <w:r w:rsidRPr="002176B5">
              <w:t>upísania držaných päť pracovných dní alebo menej;</w:t>
            </w:r>
            <w:r w:rsidR="002176B5">
              <w:t xml:space="preserve"> a</w:t>
            </w:r>
          </w:p>
          <w:p w14:paraId="08D9FD36" w14:textId="740380D6" w:rsidR="00CC7D2C" w:rsidRPr="002176B5" w:rsidRDefault="00CC7D2C" w:rsidP="00320EFD">
            <w:pPr>
              <w:pStyle w:val="InstructionsText"/>
            </w:pPr>
            <w:r w:rsidRPr="002176B5">
              <w:t>b)</w:t>
            </w:r>
            <w:r w:rsidRPr="002176B5">
              <w:tab/>
              <w:t>podielov,</w:t>
            </w:r>
            <w:r w:rsidR="002176B5">
              <w:t xml:space="preserve"> s </w:t>
            </w:r>
            <w:r w:rsidRPr="002176B5">
              <w:t>ktorými sa zaobchádza ako</w:t>
            </w:r>
            <w:r w:rsidR="002176B5">
              <w:t xml:space="preserve"> s </w:t>
            </w:r>
            <w:r w:rsidRPr="002176B5">
              <w:t>recipročnými krížovými podielmi</w:t>
            </w:r>
            <w:r w:rsidR="002176B5">
              <w:t xml:space="preserve"> v </w:t>
            </w:r>
            <w:r w:rsidRPr="002176B5">
              <w:t>súlade</w:t>
            </w:r>
            <w:r w:rsidR="002176B5">
              <w:t xml:space="preserve"> s </w:t>
            </w:r>
            <w:r w:rsidRPr="002176B5">
              <w:t>článkom 56 písm. b) nariadenia (EÚ) č. 575/2013.</w:t>
            </w:r>
          </w:p>
        </w:tc>
      </w:tr>
      <w:tr w:rsidR="00CC7D2C" w:rsidRPr="002176B5" w14:paraId="1085BDCA" w14:textId="77777777" w:rsidTr="00822842">
        <w:tc>
          <w:tcPr>
            <w:tcW w:w="1474" w:type="dxa"/>
          </w:tcPr>
          <w:p w14:paraId="2D9F8F2B" w14:textId="77777777" w:rsidR="00CC7D2C" w:rsidRPr="002176B5" w:rsidRDefault="00CC7D2C" w:rsidP="00320EFD">
            <w:pPr>
              <w:pStyle w:val="InstructionsText"/>
            </w:pPr>
            <w:r w:rsidRPr="002176B5">
              <w:t>0330</w:t>
            </w:r>
          </w:p>
        </w:tc>
        <w:tc>
          <w:tcPr>
            <w:tcW w:w="7049" w:type="dxa"/>
          </w:tcPr>
          <w:p w14:paraId="5D44305F" w14:textId="0892A4F0" w:rsidR="00CC7D2C" w:rsidRPr="002176B5" w:rsidRDefault="00CC7D2C" w:rsidP="00320EFD">
            <w:pPr>
              <w:pStyle w:val="InstructionsText"/>
            </w:pPr>
            <w:r w:rsidRPr="002176B5">
              <w:rPr>
                <w:rStyle w:val="InstructionsTabelleberschrift"/>
                <w:rFonts w:ascii="Times New Roman" w:hAnsi="Times New Roman"/>
                <w:sz w:val="24"/>
              </w:rPr>
              <w:t>13.1.2.</w:t>
            </w:r>
            <w:r w:rsidRPr="002176B5">
              <w:tab/>
            </w:r>
            <w:r w:rsidRPr="002176B5">
              <w:rPr>
                <w:rStyle w:val="InstructionsTabelleberschrift"/>
                <w:rFonts w:ascii="Times New Roman" w:hAnsi="Times New Roman"/>
                <w:sz w:val="24"/>
              </w:rPr>
              <w:t>(–) Povolené kompenzačné krátke pozície</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súvislosti</w:t>
            </w:r>
            <w:r w:rsidR="002176B5">
              <w:rPr>
                <w:rStyle w:val="InstructionsTabelleberschrift"/>
                <w:rFonts w:ascii="Times New Roman" w:hAnsi="Times New Roman"/>
                <w:sz w:val="24"/>
              </w:rPr>
              <w:t xml:space="preserve"> s </w:t>
            </w:r>
            <w:r w:rsidRPr="002176B5">
              <w:rPr>
                <w:rStyle w:val="InstructionsTabelleberschrift"/>
                <w:rFonts w:ascii="Times New Roman" w:hAnsi="Times New Roman"/>
                <w:sz w:val="24"/>
              </w:rPr>
              <w:t>priamymi brutto podielmi uvedenými vyššie</w:t>
            </w:r>
          </w:p>
          <w:p w14:paraId="1C009EDB" w14:textId="77777777" w:rsidR="00CC7D2C" w:rsidRPr="002176B5" w:rsidRDefault="00CC7D2C" w:rsidP="00320EFD">
            <w:pPr>
              <w:pStyle w:val="InstructionsText"/>
            </w:pPr>
            <w:r w:rsidRPr="002176B5">
              <w:lastRenderedPageBreak/>
              <w:t>Článok 59 nariadenia (EÚ) č. 575/2013</w:t>
            </w:r>
          </w:p>
          <w:p w14:paraId="5EDAF213" w14:textId="0F5AF087" w:rsidR="00CC7D2C" w:rsidRPr="002176B5" w:rsidRDefault="00CC7D2C" w:rsidP="00320EFD">
            <w:pPr>
              <w:pStyle w:val="InstructionsText"/>
            </w:pPr>
            <w:r w:rsidRPr="002176B5">
              <w:t>Článkom 59 písm. a) nariadenia (EÚ) č. 575/2013 sa povoľujú kompenzačné krátke pozície</w:t>
            </w:r>
            <w:r w:rsidR="002176B5">
              <w:t xml:space="preserve"> v </w:t>
            </w:r>
            <w:r w:rsidRPr="002176B5">
              <w:t>rovnakej podkladovej expozícii pod podmienkou, že dátum splatnosti krátkej pozície je buď rovnaký alebo neskorší ako dátum splatnosti dlhej pozície, alebo zostatková splatnosť krátkej pozície je najmenej jeden rok.</w:t>
            </w:r>
          </w:p>
        </w:tc>
      </w:tr>
      <w:tr w:rsidR="00CC7D2C" w:rsidRPr="002176B5" w14:paraId="11527949" w14:textId="77777777" w:rsidTr="00822842">
        <w:tc>
          <w:tcPr>
            <w:tcW w:w="1474" w:type="dxa"/>
          </w:tcPr>
          <w:p w14:paraId="75CE9DA9" w14:textId="77777777" w:rsidR="00CC7D2C" w:rsidRPr="002176B5" w:rsidRDefault="00CC7D2C" w:rsidP="00320EFD">
            <w:pPr>
              <w:pStyle w:val="InstructionsText"/>
            </w:pPr>
            <w:r w:rsidRPr="002176B5">
              <w:lastRenderedPageBreak/>
              <w:t>0340</w:t>
            </w:r>
          </w:p>
        </w:tc>
        <w:tc>
          <w:tcPr>
            <w:tcW w:w="7049" w:type="dxa"/>
          </w:tcPr>
          <w:p w14:paraId="12834DD7" w14:textId="1C605637" w:rsidR="00CC7D2C" w:rsidRPr="002176B5" w:rsidRDefault="00CC7D2C" w:rsidP="00320EFD">
            <w:pPr>
              <w:pStyle w:val="InstructionsText"/>
            </w:pPr>
            <w:r w:rsidRPr="002176B5">
              <w:rPr>
                <w:rStyle w:val="InstructionsTabelleberschrift"/>
                <w:rFonts w:ascii="Times New Roman" w:hAnsi="Times New Roman"/>
                <w:sz w:val="24"/>
              </w:rPr>
              <w:t>13.2.</w:t>
            </w:r>
            <w:r w:rsidRPr="002176B5">
              <w:tab/>
            </w:r>
            <w:r w:rsidRPr="002176B5">
              <w:rPr>
                <w:rStyle w:val="InstructionsTabelleberschrift"/>
                <w:rFonts w:ascii="Times New Roman" w:hAnsi="Times New Roman"/>
                <w:sz w:val="24"/>
              </w:rPr>
              <w:t>Nepriame podiely kapitálu AT1 subjektov finančného sektora,</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ktorých inštitúcia nemá významnú investíciu</w:t>
            </w:r>
          </w:p>
          <w:p w14:paraId="524DE4E1" w14:textId="6B149506" w:rsidR="00CC7D2C" w:rsidRPr="002176B5" w:rsidRDefault="00CC7D2C" w:rsidP="00320EFD">
            <w:pPr>
              <w:pStyle w:val="InstructionsText"/>
            </w:pPr>
            <w:r w:rsidRPr="002176B5">
              <w:t>Článok 4 ods. 1 bod 114</w:t>
            </w:r>
            <w:r w:rsidR="002176B5">
              <w:t xml:space="preserve"> a </w:t>
            </w:r>
            <w:r w:rsidRPr="002176B5">
              <w:t>články 58</w:t>
            </w:r>
            <w:r w:rsidR="002176B5">
              <w:t xml:space="preserve"> a </w:t>
            </w:r>
            <w:r w:rsidRPr="002176B5">
              <w:t>59 nariadenia (EÚ) č. 575/2013</w:t>
            </w:r>
          </w:p>
        </w:tc>
      </w:tr>
      <w:tr w:rsidR="00CC7D2C" w:rsidRPr="002176B5" w14:paraId="779C9C51" w14:textId="77777777" w:rsidTr="00822842">
        <w:tc>
          <w:tcPr>
            <w:tcW w:w="1474" w:type="dxa"/>
          </w:tcPr>
          <w:p w14:paraId="2403AE6D" w14:textId="77777777" w:rsidR="00CC7D2C" w:rsidRPr="002176B5" w:rsidRDefault="00CC7D2C" w:rsidP="00320EFD">
            <w:pPr>
              <w:pStyle w:val="InstructionsText"/>
            </w:pPr>
            <w:r w:rsidRPr="002176B5">
              <w:t>0350</w:t>
            </w:r>
          </w:p>
        </w:tc>
        <w:tc>
          <w:tcPr>
            <w:tcW w:w="7049" w:type="dxa"/>
          </w:tcPr>
          <w:p w14:paraId="3C475B52" w14:textId="1DF4F4F0" w:rsidR="00CC7D2C" w:rsidRPr="002176B5" w:rsidRDefault="00CC7D2C" w:rsidP="00320EFD">
            <w:pPr>
              <w:pStyle w:val="InstructionsText"/>
            </w:pPr>
            <w:r w:rsidRPr="002176B5">
              <w:rPr>
                <w:rStyle w:val="InstructionsTabelleberschrift"/>
                <w:rFonts w:ascii="Times New Roman" w:hAnsi="Times New Roman"/>
                <w:sz w:val="24"/>
              </w:rPr>
              <w:t>13.2.1.</w:t>
            </w:r>
            <w:r w:rsidRPr="002176B5">
              <w:tab/>
            </w:r>
            <w:r w:rsidRPr="002176B5">
              <w:rPr>
                <w:rStyle w:val="InstructionsTabelleberschrift"/>
                <w:rFonts w:ascii="Times New Roman" w:hAnsi="Times New Roman"/>
                <w:sz w:val="24"/>
              </w:rPr>
              <w:t>Brutto nepriame podiely kapitálu AT1 subjektov finančného sektora,</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ktorých inštitúcia nemá významnú investíciu</w:t>
            </w:r>
          </w:p>
          <w:p w14:paraId="18873CD2" w14:textId="57ED50D2" w:rsidR="00CC7D2C" w:rsidRPr="002176B5" w:rsidRDefault="00CC7D2C" w:rsidP="00320EFD">
            <w:pPr>
              <w:pStyle w:val="InstructionsText"/>
            </w:pPr>
            <w:r w:rsidRPr="002176B5">
              <w:t>Článok 4 ods. 1 bod 114</w:t>
            </w:r>
            <w:r w:rsidR="002176B5">
              <w:t xml:space="preserve"> a </w:t>
            </w:r>
            <w:r w:rsidRPr="002176B5">
              <w:t>články 58</w:t>
            </w:r>
            <w:r w:rsidR="002176B5">
              <w:t xml:space="preserve"> a </w:t>
            </w:r>
            <w:r w:rsidRPr="002176B5">
              <w:t>59 nariadenia (EÚ) č. 575/2013</w:t>
            </w:r>
          </w:p>
          <w:p w14:paraId="17350A93" w14:textId="64E821EF" w:rsidR="00CC7D2C" w:rsidRPr="002176B5" w:rsidRDefault="00CC7D2C" w:rsidP="00320EFD">
            <w:pPr>
              <w:pStyle w:val="InstructionsText"/>
            </w:pPr>
            <w:r w:rsidRPr="002176B5">
              <w:t>Vykazovaná hodnota sa rovná nepriamym podielom</w:t>
            </w:r>
            <w:r w:rsidR="002176B5">
              <w:t xml:space="preserve"> v </w:t>
            </w:r>
            <w:r w:rsidRPr="002176B5">
              <w:t>obchodnej knihe na kapitálových nástrojoch subjektov finančného sektora, ktoré sú vo forme podielov cenných papierov zaradených do indexu. Dosiahne sa vypočítaním podkladovej expozície voči kapitálovým nástrojom subjektov finančného sektora</w:t>
            </w:r>
            <w:r w:rsidR="002176B5">
              <w:t xml:space="preserve"> v </w:t>
            </w:r>
            <w:r w:rsidRPr="002176B5">
              <w:t>týchto indexoch.</w:t>
            </w:r>
          </w:p>
          <w:p w14:paraId="68E36B69" w14:textId="702A655B" w:rsidR="00CC7D2C" w:rsidRPr="002176B5" w:rsidRDefault="00CC7D2C" w:rsidP="00320EFD">
            <w:pPr>
              <w:pStyle w:val="InstructionsText"/>
            </w:pPr>
            <w:r w:rsidRPr="002176B5">
              <w:t>Podiely,</w:t>
            </w:r>
            <w:r w:rsidR="002176B5">
              <w:t xml:space="preserve"> s </w:t>
            </w:r>
            <w:r w:rsidRPr="002176B5">
              <w:t>ktorými sa zaobchádza ako</w:t>
            </w:r>
            <w:r w:rsidR="002176B5">
              <w:t xml:space="preserve"> s </w:t>
            </w:r>
            <w:r w:rsidRPr="002176B5">
              <w:t>recipročnými krížovými podielmi</w:t>
            </w:r>
            <w:r w:rsidR="002176B5">
              <w:t xml:space="preserve"> v </w:t>
            </w:r>
            <w:r w:rsidRPr="002176B5">
              <w:t>súlade</w:t>
            </w:r>
            <w:r w:rsidR="002176B5">
              <w:t xml:space="preserve"> s </w:t>
            </w:r>
            <w:r w:rsidRPr="002176B5">
              <w:t>článkom 56 písm. b) nariadenia (EÚ) č. 575/2013, sa nezapočítavajú.</w:t>
            </w:r>
          </w:p>
        </w:tc>
      </w:tr>
      <w:tr w:rsidR="00CC7D2C" w:rsidRPr="002176B5" w14:paraId="7B68D862" w14:textId="77777777" w:rsidTr="00822842">
        <w:tc>
          <w:tcPr>
            <w:tcW w:w="1474" w:type="dxa"/>
          </w:tcPr>
          <w:p w14:paraId="4E25D552" w14:textId="77777777" w:rsidR="00CC7D2C" w:rsidRPr="002176B5" w:rsidRDefault="00CC7D2C" w:rsidP="00320EFD">
            <w:pPr>
              <w:pStyle w:val="InstructionsText"/>
            </w:pPr>
            <w:r w:rsidRPr="002176B5">
              <w:t>0360</w:t>
            </w:r>
          </w:p>
        </w:tc>
        <w:tc>
          <w:tcPr>
            <w:tcW w:w="7049" w:type="dxa"/>
          </w:tcPr>
          <w:p w14:paraId="1C759B69" w14:textId="1FB6ACC3" w:rsidR="00CC7D2C" w:rsidRPr="002176B5" w:rsidRDefault="00CC7D2C" w:rsidP="00320EFD">
            <w:pPr>
              <w:pStyle w:val="InstructionsText"/>
            </w:pPr>
            <w:r w:rsidRPr="002176B5">
              <w:rPr>
                <w:rStyle w:val="InstructionsTabelleberschrift"/>
                <w:rFonts w:ascii="Times New Roman" w:hAnsi="Times New Roman"/>
                <w:sz w:val="24"/>
              </w:rPr>
              <w:t>13.2.2.</w:t>
            </w:r>
            <w:r w:rsidRPr="002176B5">
              <w:tab/>
            </w:r>
            <w:r w:rsidRPr="002176B5">
              <w:rPr>
                <w:rStyle w:val="InstructionsTabelleberschrift"/>
                <w:rFonts w:ascii="Times New Roman" w:hAnsi="Times New Roman"/>
                <w:sz w:val="24"/>
              </w:rPr>
              <w:t>(–) Povolené kompenzačné krátke pozície</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súvislosti</w:t>
            </w:r>
            <w:r w:rsidR="002176B5">
              <w:rPr>
                <w:rStyle w:val="InstructionsTabelleberschrift"/>
                <w:rFonts w:ascii="Times New Roman" w:hAnsi="Times New Roman"/>
                <w:sz w:val="24"/>
              </w:rPr>
              <w:t xml:space="preserve"> s </w:t>
            </w:r>
            <w:r w:rsidRPr="002176B5">
              <w:rPr>
                <w:rStyle w:val="InstructionsTabelleberschrift"/>
                <w:rFonts w:ascii="Times New Roman" w:hAnsi="Times New Roman"/>
                <w:sz w:val="24"/>
              </w:rPr>
              <w:t>nepriamymi brutto podielmi uvedenými vyššie</w:t>
            </w:r>
          </w:p>
          <w:p w14:paraId="66D7BED8" w14:textId="7E1CC23D" w:rsidR="00CC7D2C" w:rsidRPr="002176B5" w:rsidRDefault="00CC7D2C" w:rsidP="00320EFD">
            <w:pPr>
              <w:pStyle w:val="InstructionsText"/>
            </w:pPr>
            <w:r w:rsidRPr="002176B5">
              <w:t>Článok 4 ods. 1 bod 114</w:t>
            </w:r>
            <w:r w:rsidR="002176B5">
              <w:t xml:space="preserve"> a </w:t>
            </w:r>
            <w:r w:rsidRPr="002176B5">
              <w:t>článok 59 nariadenia (EÚ) č. 575/2013</w:t>
            </w:r>
          </w:p>
          <w:p w14:paraId="7DC14B0B" w14:textId="4DC6EEEE" w:rsidR="00CC7D2C" w:rsidRPr="002176B5" w:rsidRDefault="00CC7D2C" w:rsidP="00320EFD">
            <w:pPr>
              <w:pStyle w:val="InstructionsText"/>
            </w:pPr>
            <w:r w:rsidRPr="002176B5">
              <w:t>Článkom 59 písm. a) nariadenia (EÚ) č. 575/2013 sa povoľujú kompenzačné krátke pozície</w:t>
            </w:r>
            <w:r w:rsidR="002176B5">
              <w:t xml:space="preserve"> v </w:t>
            </w:r>
            <w:r w:rsidRPr="002176B5">
              <w:t>rovnakej podkladovej expozícii pod podmienkou, že dátum splatnosti krátkej pozície je buď rovnaký alebo neskorší ako dátum splatnosti dlhej pozície, alebo zostatková splatnosť krátkej pozície je najmenej jeden rok.</w:t>
            </w:r>
          </w:p>
        </w:tc>
      </w:tr>
      <w:tr w:rsidR="00CC7D2C" w:rsidRPr="002176B5" w14:paraId="1DE58E80" w14:textId="77777777" w:rsidTr="00822842">
        <w:tc>
          <w:tcPr>
            <w:tcW w:w="1474" w:type="dxa"/>
          </w:tcPr>
          <w:p w14:paraId="00421D51" w14:textId="77777777" w:rsidR="00CC7D2C" w:rsidRPr="002176B5" w:rsidRDefault="00CC7D2C" w:rsidP="00320EFD">
            <w:pPr>
              <w:pStyle w:val="InstructionsText"/>
            </w:pPr>
            <w:r w:rsidRPr="002176B5">
              <w:t>0361</w:t>
            </w:r>
          </w:p>
        </w:tc>
        <w:tc>
          <w:tcPr>
            <w:tcW w:w="7049" w:type="dxa"/>
            <w:vAlign w:val="center"/>
          </w:tcPr>
          <w:p w14:paraId="036B6DB1" w14:textId="2E236592" w:rsidR="00CC7D2C" w:rsidRPr="002176B5" w:rsidRDefault="00CC7D2C" w:rsidP="00320EFD">
            <w:pPr>
              <w:pStyle w:val="InstructionsText"/>
            </w:pPr>
            <w:r w:rsidRPr="002176B5">
              <w:rPr>
                <w:rStyle w:val="InstructionsTabelleberschrift"/>
                <w:rFonts w:ascii="Times New Roman" w:hAnsi="Times New Roman"/>
                <w:sz w:val="24"/>
              </w:rPr>
              <w:t>13.3.</w:t>
            </w:r>
            <w:r w:rsidRPr="002176B5">
              <w:tab/>
            </w:r>
            <w:r w:rsidRPr="002176B5">
              <w:rPr>
                <w:rStyle w:val="InstructionsTabelleberschrift"/>
                <w:rFonts w:ascii="Times New Roman" w:hAnsi="Times New Roman"/>
                <w:sz w:val="24"/>
              </w:rPr>
              <w:t>Syntetické podiely kapitálu AT1 subjektov finančného sektora,</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ktorých inštitúcia nemá významnú investíciu</w:t>
            </w:r>
          </w:p>
          <w:p w14:paraId="4B5BDACC" w14:textId="1F44DB9D" w:rsidR="00CC7D2C" w:rsidRPr="002176B5" w:rsidRDefault="00CC7D2C" w:rsidP="00320EFD">
            <w:pPr>
              <w:pStyle w:val="InstructionsText"/>
              <w:rPr>
                <w:rStyle w:val="InstructionsTabelleberschrift"/>
                <w:rFonts w:ascii="Times New Roman" w:hAnsi="Times New Roman"/>
                <w:b w:val="0"/>
                <w:bCs w:val="0"/>
                <w:sz w:val="24"/>
                <w:u w:val="none"/>
              </w:rPr>
            </w:pPr>
            <w:r w:rsidRPr="002176B5">
              <w:t>Článok 4 ods. 1 bod 126</w:t>
            </w:r>
            <w:r w:rsidR="002176B5">
              <w:t xml:space="preserve"> a </w:t>
            </w:r>
            <w:r w:rsidRPr="002176B5">
              <w:t>články 58</w:t>
            </w:r>
            <w:r w:rsidR="002176B5">
              <w:t xml:space="preserve"> a </w:t>
            </w:r>
            <w:r w:rsidRPr="002176B5">
              <w:t>59 nariadenia (EÚ) č. 575/2013</w:t>
            </w:r>
          </w:p>
        </w:tc>
      </w:tr>
      <w:tr w:rsidR="00CC7D2C" w:rsidRPr="002176B5" w14:paraId="5DFCF3C7" w14:textId="77777777" w:rsidTr="00822842">
        <w:tc>
          <w:tcPr>
            <w:tcW w:w="1474" w:type="dxa"/>
          </w:tcPr>
          <w:p w14:paraId="0A9895A7" w14:textId="77777777" w:rsidR="00CC7D2C" w:rsidRPr="002176B5" w:rsidRDefault="00CC7D2C" w:rsidP="00320EFD">
            <w:pPr>
              <w:pStyle w:val="InstructionsText"/>
            </w:pPr>
            <w:r w:rsidRPr="002176B5">
              <w:t>0362</w:t>
            </w:r>
          </w:p>
        </w:tc>
        <w:tc>
          <w:tcPr>
            <w:tcW w:w="7049" w:type="dxa"/>
            <w:vAlign w:val="center"/>
          </w:tcPr>
          <w:p w14:paraId="1AB1D048" w14:textId="53F75197" w:rsidR="00CC7D2C" w:rsidRPr="002176B5" w:rsidRDefault="00CC7D2C" w:rsidP="00320EFD">
            <w:pPr>
              <w:pStyle w:val="InstructionsText"/>
            </w:pPr>
            <w:r w:rsidRPr="002176B5">
              <w:rPr>
                <w:rStyle w:val="InstructionsTabelleberschrift"/>
                <w:rFonts w:ascii="Times New Roman" w:hAnsi="Times New Roman"/>
                <w:sz w:val="24"/>
              </w:rPr>
              <w:t>13.3.1.</w:t>
            </w:r>
            <w:r w:rsidRPr="002176B5">
              <w:tab/>
            </w:r>
            <w:r w:rsidRPr="002176B5">
              <w:rPr>
                <w:rStyle w:val="InstructionsTabelleberschrift"/>
                <w:rFonts w:ascii="Times New Roman" w:hAnsi="Times New Roman"/>
                <w:sz w:val="24"/>
              </w:rPr>
              <w:t>Brutto syntetické podiely kapitálu AT1 subjektov finančného sektora,</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ktorých inštitúcia nemá významnú investíciu</w:t>
            </w:r>
          </w:p>
          <w:p w14:paraId="32901EDE" w14:textId="3D10EBBB" w:rsidR="00CC7D2C" w:rsidRPr="002176B5" w:rsidRDefault="00CC7D2C" w:rsidP="00320EFD">
            <w:pPr>
              <w:pStyle w:val="InstructionsText"/>
              <w:rPr>
                <w:rStyle w:val="InstructionsTabelleberschrift"/>
                <w:rFonts w:ascii="Times New Roman" w:hAnsi="Times New Roman"/>
                <w:b w:val="0"/>
                <w:bCs w:val="0"/>
                <w:sz w:val="24"/>
                <w:u w:val="none"/>
              </w:rPr>
            </w:pPr>
            <w:r w:rsidRPr="002176B5">
              <w:t>Článok 4 ods. 1 bod 126</w:t>
            </w:r>
            <w:r w:rsidR="002176B5">
              <w:t xml:space="preserve"> a </w:t>
            </w:r>
            <w:r w:rsidRPr="002176B5">
              <w:t>články 58</w:t>
            </w:r>
            <w:r w:rsidR="002176B5">
              <w:t xml:space="preserve"> a </w:t>
            </w:r>
            <w:r w:rsidRPr="002176B5">
              <w:t>59 nariadenia (EÚ) č. 575/2013</w:t>
            </w:r>
          </w:p>
        </w:tc>
      </w:tr>
      <w:tr w:rsidR="00CC7D2C" w:rsidRPr="002176B5" w14:paraId="68C6A097" w14:textId="77777777" w:rsidTr="00822842">
        <w:tc>
          <w:tcPr>
            <w:tcW w:w="1474" w:type="dxa"/>
          </w:tcPr>
          <w:p w14:paraId="4C20FDEC" w14:textId="77777777" w:rsidR="00CC7D2C" w:rsidRPr="002176B5" w:rsidRDefault="00CC7D2C" w:rsidP="00320EFD">
            <w:pPr>
              <w:pStyle w:val="InstructionsText"/>
            </w:pPr>
            <w:r w:rsidRPr="002176B5">
              <w:lastRenderedPageBreak/>
              <w:t>0363</w:t>
            </w:r>
          </w:p>
        </w:tc>
        <w:tc>
          <w:tcPr>
            <w:tcW w:w="7049" w:type="dxa"/>
            <w:vAlign w:val="center"/>
          </w:tcPr>
          <w:p w14:paraId="28BA1E67" w14:textId="31ABE099" w:rsidR="00CC7D2C" w:rsidRPr="002176B5" w:rsidRDefault="00CC7D2C" w:rsidP="00320EFD">
            <w:pPr>
              <w:pStyle w:val="InstructionsText"/>
            </w:pPr>
            <w:r w:rsidRPr="002176B5">
              <w:rPr>
                <w:rStyle w:val="InstructionsTabelleberschrift"/>
                <w:rFonts w:ascii="Times New Roman" w:hAnsi="Times New Roman"/>
                <w:sz w:val="24"/>
              </w:rPr>
              <w:t>13.3.2.</w:t>
            </w:r>
            <w:r w:rsidRPr="002176B5">
              <w:tab/>
            </w:r>
            <w:r w:rsidRPr="002176B5">
              <w:rPr>
                <w:rStyle w:val="InstructionsTabelleberschrift"/>
                <w:rFonts w:ascii="Times New Roman" w:hAnsi="Times New Roman"/>
                <w:sz w:val="24"/>
              </w:rPr>
              <w:t>(–) Povolené kompenzačné krátke pozície</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súvislosti</w:t>
            </w:r>
            <w:r w:rsidR="002176B5">
              <w:rPr>
                <w:rStyle w:val="InstructionsTabelleberschrift"/>
                <w:rFonts w:ascii="Times New Roman" w:hAnsi="Times New Roman"/>
                <w:sz w:val="24"/>
              </w:rPr>
              <w:t xml:space="preserve"> s </w:t>
            </w:r>
            <w:r w:rsidRPr="002176B5">
              <w:rPr>
                <w:rStyle w:val="InstructionsTabelleberschrift"/>
                <w:rFonts w:ascii="Times New Roman" w:hAnsi="Times New Roman"/>
                <w:sz w:val="24"/>
              </w:rPr>
              <w:t>brutto syntetickými podielmi uvedenými vyššie</w:t>
            </w:r>
          </w:p>
          <w:p w14:paraId="072D1CD4" w14:textId="4F04A22E" w:rsidR="00CC7D2C" w:rsidRPr="002176B5" w:rsidRDefault="00CC7D2C" w:rsidP="00320EFD">
            <w:pPr>
              <w:pStyle w:val="InstructionsText"/>
            </w:pPr>
            <w:r w:rsidRPr="002176B5">
              <w:t>Článok 4 ods. 1 bod 126</w:t>
            </w:r>
            <w:r w:rsidR="002176B5">
              <w:t xml:space="preserve"> a </w:t>
            </w:r>
            <w:r w:rsidRPr="002176B5">
              <w:t>článok 59 nariadenia (EÚ) č. 575/2013</w:t>
            </w:r>
          </w:p>
          <w:p w14:paraId="68B7A876" w14:textId="4BD681F3" w:rsidR="00CC7D2C" w:rsidRPr="002176B5" w:rsidRDefault="00CC7D2C" w:rsidP="00320EFD">
            <w:pPr>
              <w:pStyle w:val="InstructionsText"/>
              <w:rPr>
                <w:rStyle w:val="InstructionsTabelleberschrift"/>
                <w:rFonts w:ascii="Times New Roman" w:hAnsi="Times New Roman"/>
                <w:b w:val="0"/>
                <w:bCs w:val="0"/>
                <w:sz w:val="24"/>
                <w:u w:val="none"/>
              </w:rPr>
            </w:pPr>
            <w:r w:rsidRPr="002176B5">
              <w:t>Článkom 59 písm. a) nariadenia (EÚ) č. 575/2013 sa povoľujú kompenzačné krátke pozície</w:t>
            </w:r>
            <w:r w:rsidR="002176B5">
              <w:t xml:space="preserve"> v </w:t>
            </w:r>
            <w:r w:rsidRPr="002176B5">
              <w:t>rovnakej podkladovej expozícii pod podmienkou, že dátum splatnosti krátkej pozície je buď rovnaký alebo neskorší ako dátum splatnosti dlhej pozície, alebo zostatková splatnosť krátkej pozície je najmenej jeden rok.</w:t>
            </w:r>
          </w:p>
        </w:tc>
      </w:tr>
      <w:tr w:rsidR="00CC7D2C" w:rsidRPr="002176B5" w14:paraId="74FB9FB1" w14:textId="77777777" w:rsidTr="00822842">
        <w:tc>
          <w:tcPr>
            <w:tcW w:w="1474" w:type="dxa"/>
          </w:tcPr>
          <w:p w14:paraId="270BA603" w14:textId="77777777" w:rsidR="00CC7D2C" w:rsidRPr="002176B5" w:rsidRDefault="00CC7D2C" w:rsidP="00320EFD">
            <w:pPr>
              <w:pStyle w:val="InstructionsText"/>
            </w:pPr>
            <w:r w:rsidRPr="002176B5">
              <w:t>0370</w:t>
            </w:r>
          </w:p>
        </w:tc>
        <w:tc>
          <w:tcPr>
            <w:tcW w:w="7049" w:type="dxa"/>
          </w:tcPr>
          <w:p w14:paraId="04EC7CD0" w14:textId="72168052" w:rsidR="00CC7D2C" w:rsidRPr="002176B5" w:rsidRDefault="00CC7D2C" w:rsidP="00320EFD">
            <w:pPr>
              <w:pStyle w:val="InstructionsText"/>
            </w:pPr>
            <w:r w:rsidRPr="002176B5">
              <w:rPr>
                <w:rStyle w:val="InstructionsTabelleberschrift"/>
                <w:rFonts w:ascii="Times New Roman" w:hAnsi="Times New Roman"/>
                <w:sz w:val="24"/>
              </w:rPr>
              <w:t>14.</w:t>
            </w:r>
            <w:r w:rsidRPr="002176B5">
              <w:tab/>
            </w:r>
            <w:r w:rsidRPr="002176B5">
              <w:rPr>
                <w:rStyle w:val="InstructionsTabelleberschrift"/>
                <w:rFonts w:ascii="Times New Roman" w:hAnsi="Times New Roman"/>
                <w:sz w:val="24"/>
              </w:rPr>
              <w:t>Podiely kapitálu T2 subjektov finančného sektora,</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ktorých inštitúcia nemá významnú investíciu, po odpočítaní krátkych pozícií</w:t>
            </w:r>
          </w:p>
          <w:p w14:paraId="7F7CE21E" w14:textId="32A297B3" w:rsidR="00CC7D2C" w:rsidRPr="002176B5" w:rsidRDefault="00CC7D2C" w:rsidP="00320EFD">
            <w:pPr>
              <w:pStyle w:val="InstructionsText"/>
            </w:pPr>
            <w:r w:rsidRPr="002176B5">
              <w:t>Články 68, 69</w:t>
            </w:r>
            <w:r w:rsidR="002176B5">
              <w:t xml:space="preserve"> a </w:t>
            </w:r>
            <w:r w:rsidRPr="002176B5">
              <w:t>70 nariadenia (EÚ) č. 575/2013</w:t>
            </w:r>
          </w:p>
        </w:tc>
      </w:tr>
      <w:tr w:rsidR="00CC7D2C" w:rsidRPr="002176B5" w14:paraId="3575655C" w14:textId="77777777" w:rsidTr="00822842">
        <w:tc>
          <w:tcPr>
            <w:tcW w:w="1474" w:type="dxa"/>
          </w:tcPr>
          <w:p w14:paraId="742A40CF" w14:textId="77777777" w:rsidR="00CC7D2C" w:rsidRPr="002176B5" w:rsidRDefault="00CC7D2C" w:rsidP="00320EFD">
            <w:pPr>
              <w:pStyle w:val="InstructionsText"/>
            </w:pPr>
            <w:r w:rsidRPr="002176B5">
              <w:t>0380</w:t>
            </w:r>
          </w:p>
        </w:tc>
        <w:tc>
          <w:tcPr>
            <w:tcW w:w="7049" w:type="dxa"/>
          </w:tcPr>
          <w:p w14:paraId="14053A9D" w14:textId="61E4C3BB" w:rsidR="00CC7D2C" w:rsidRPr="002176B5" w:rsidRDefault="00CC7D2C" w:rsidP="00320EFD">
            <w:pPr>
              <w:pStyle w:val="InstructionsText"/>
            </w:pPr>
            <w:r w:rsidRPr="002176B5">
              <w:rPr>
                <w:rStyle w:val="InstructionsTabelleberschrift"/>
                <w:rFonts w:ascii="Times New Roman" w:hAnsi="Times New Roman"/>
                <w:sz w:val="24"/>
              </w:rPr>
              <w:t>14.1.</w:t>
            </w:r>
            <w:r w:rsidRPr="002176B5">
              <w:tab/>
            </w:r>
            <w:r w:rsidRPr="002176B5">
              <w:rPr>
                <w:rStyle w:val="InstructionsTabelleberschrift"/>
                <w:rFonts w:ascii="Times New Roman" w:hAnsi="Times New Roman"/>
                <w:sz w:val="24"/>
              </w:rPr>
              <w:t>Priame podiely kapitálu T2 subjektov finančného sektora,</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ktorých inštitúcia nemá významnú investíciu</w:t>
            </w:r>
          </w:p>
          <w:p w14:paraId="27A664CA" w14:textId="683D2C01" w:rsidR="00CC7D2C" w:rsidRPr="002176B5" w:rsidRDefault="00CC7D2C" w:rsidP="00320EFD">
            <w:pPr>
              <w:pStyle w:val="InstructionsText"/>
            </w:pPr>
            <w:r w:rsidRPr="002176B5">
              <w:t>Články 68</w:t>
            </w:r>
            <w:r w:rsidR="002176B5">
              <w:t xml:space="preserve"> a </w:t>
            </w:r>
            <w:r w:rsidRPr="002176B5">
              <w:t>69</w:t>
            </w:r>
            <w:r w:rsidR="002176B5">
              <w:t xml:space="preserve"> a </w:t>
            </w:r>
            <w:r w:rsidRPr="002176B5">
              <w:t>článok 70 ods. 2 nariadenia (EÚ) č. 575/2013</w:t>
            </w:r>
          </w:p>
        </w:tc>
      </w:tr>
      <w:tr w:rsidR="00CC7D2C" w:rsidRPr="002176B5" w14:paraId="7A4D414E" w14:textId="77777777" w:rsidTr="00822842">
        <w:tc>
          <w:tcPr>
            <w:tcW w:w="1474" w:type="dxa"/>
          </w:tcPr>
          <w:p w14:paraId="73BE5B4D" w14:textId="77777777" w:rsidR="00CC7D2C" w:rsidRPr="002176B5" w:rsidRDefault="00CC7D2C" w:rsidP="00320EFD">
            <w:pPr>
              <w:pStyle w:val="InstructionsText"/>
            </w:pPr>
            <w:r w:rsidRPr="002176B5">
              <w:t>0390</w:t>
            </w:r>
          </w:p>
        </w:tc>
        <w:tc>
          <w:tcPr>
            <w:tcW w:w="7049" w:type="dxa"/>
          </w:tcPr>
          <w:p w14:paraId="68C193DA" w14:textId="47CB7A70" w:rsidR="00CC7D2C" w:rsidRPr="002176B5" w:rsidRDefault="00CC7D2C" w:rsidP="00320EFD">
            <w:pPr>
              <w:pStyle w:val="InstructionsText"/>
            </w:pPr>
            <w:r w:rsidRPr="002176B5">
              <w:rPr>
                <w:rStyle w:val="InstructionsTabelleberschrift"/>
                <w:rFonts w:ascii="Times New Roman" w:hAnsi="Times New Roman"/>
                <w:sz w:val="24"/>
              </w:rPr>
              <w:t>14.1.1.</w:t>
            </w:r>
            <w:r w:rsidRPr="002176B5">
              <w:tab/>
            </w:r>
            <w:r w:rsidRPr="002176B5">
              <w:rPr>
                <w:rStyle w:val="InstructionsTabelleberschrift"/>
                <w:rFonts w:ascii="Times New Roman" w:hAnsi="Times New Roman"/>
                <w:sz w:val="24"/>
              </w:rPr>
              <w:t>Brutto priame podiely kapitálu T2 subjektov finančného sektora,</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ktorých inštitúcia nemá významnú investíciu</w:t>
            </w:r>
          </w:p>
          <w:p w14:paraId="65520E33" w14:textId="33CC977E" w:rsidR="00CC7D2C" w:rsidRPr="002176B5" w:rsidRDefault="00CC7D2C" w:rsidP="00320EFD">
            <w:pPr>
              <w:pStyle w:val="InstructionsText"/>
            </w:pPr>
            <w:r w:rsidRPr="002176B5">
              <w:t>Článok 68</w:t>
            </w:r>
            <w:r w:rsidR="002176B5">
              <w:t xml:space="preserve"> a </w:t>
            </w:r>
            <w:r w:rsidRPr="002176B5">
              <w:t>článok 70 ods. 2 nariadenia (EÚ) č. 575/2013</w:t>
            </w:r>
          </w:p>
          <w:p w14:paraId="17F7ABF9" w14:textId="77777777" w:rsidR="00CC7D2C" w:rsidRPr="002176B5" w:rsidRDefault="00CC7D2C" w:rsidP="00320EFD">
            <w:pPr>
              <w:pStyle w:val="InstructionsText"/>
            </w:pPr>
            <w:r w:rsidRPr="002176B5">
              <w:t>Priame podiely kapitálu T2 subjektov finančného sektora, keď inštitúcia nemá významnú investíciu, bez:</w:t>
            </w:r>
          </w:p>
          <w:p w14:paraId="41D5FF46" w14:textId="77777777" w:rsidR="002176B5" w:rsidRDefault="00CC7D2C" w:rsidP="00320EFD">
            <w:pPr>
              <w:pStyle w:val="InstructionsText"/>
            </w:pPr>
            <w:r w:rsidRPr="002176B5">
              <w:t>a)</w:t>
            </w:r>
            <w:r w:rsidRPr="002176B5">
              <w:tab/>
              <w:t>pozícií</w:t>
            </w:r>
            <w:r w:rsidR="002176B5">
              <w:t xml:space="preserve"> z </w:t>
            </w:r>
            <w:r w:rsidRPr="002176B5">
              <w:t>upísania držaných päť pracovných dní alebo menej;</w:t>
            </w:r>
            <w:r w:rsidR="002176B5">
              <w:t xml:space="preserve"> a</w:t>
            </w:r>
          </w:p>
          <w:p w14:paraId="2887BC3D" w14:textId="544DA594" w:rsidR="00CC7D2C" w:rsidRPr="002176B5" w:rsidRDefault="00CC7D2C" w:rsidP="00320EFD">
            <w:pPr>
              <w:pStyle w:val="InstructionsText"/>
            </w:pPr>
            <w:r w:rsidRPr="002176B5">
              <w:t>b)</w:t>
            </w:r>
            <w:r w:rsidRPr="002176B5">
              <w:tab/>
              <w:t>podielov,</w:t>
            </w:r>
            <w:r w:rsidR="002176B5">
              <w:t xml:space="preserve"> s </w:t>
            </w:r>
            <w:r w:rsidRPr="002176B5">
              <w:t>ktorými sa zaobchádza ako</w:t>
            </w:r>
            <w:r w:rsidR="002176B5">
              <w:t xml:space="preserve"> s </w:t>
            </w:r>
            <w:r w:rsidRPr="002176B5">
              <w:t>recipročnými krížovými podielmi</w:t>
            </w:r>
            <w:r w:rsidR="002176B5">
              <w:t xml:space="preserve"> v </w:t>
            </w:r>
            <w:r w:rsidRPr="002176B5">
              <w:t>súlade</w:t>
            </w:r>
            <w:r w:rsidR="002176B5">
              <w:t xml:space="preserve"> s </w:t>
            </w:r>
            <w:r w:rsidRPr="002176B5">
              <w:t>článkom 66 písm. b) nariadenia (EÚ) č. 575/2013.</w:t>
            </w:r>
          </w:p>
        </w:tc>
      </w:tr>
      <w:tr w:rsidR="00CC7D2C" w:rsidRPr="002176B5" w14:paraId="5F3D0269" w14:textId="77777777" w:rsidTr="00822842">
        <w:tc>
          <w:tcPr>
            <w:tcW w:w="1474" w:type="dxa"/>
          </w:tcPr>
          <w:p w14:paraId="00CF42AE" w14:textId="77777777" w:rsidR="00CC7D2C" w:rsidRPr="002176B5" w:rsidRDefault="00CC7D2C" w:rsidP="00320EFD">
            <w:pPr>
              <w:pStyle w:val="InstructionsText"/>
            </w:pPr>
            <w:r w:rsidRPr="002176B5">
              <w:t>0400</w:t>
            </w:r>
          </w:p>
        </w:tc>
        <w:tc>
          <w:tcPr>
            <w:tcW w:w="7049" w:type="dxa"/>
          </w:tcPr>
          <w:p w14:paraId="2A3DABB5" w14:textId="2D7BEC78" w:rsidR="00CC7D2C" w:rsidRPr="002176B5" w:rsidRDefault="00CC7D2C" w:rsidP="00320EFD">
            <w:pPr>
              <w:pStyle w:val="InstructionsText"/>
            </w:pPr>
            <w:r w:rsidRPr="002176B5">
              <w:rPr>
                <w:rStyle w:val="InstructionsTabelleberschrift"/>
                <w:rFonts w:ascii="Times New Roman" w:hAnsi="Times New Roman"/>
                <w:sz w:val="24"/>
              </w:rPr>
              <w:t>14.1.2.</w:t>
            </w:r>
            <w:r w:rsidRPr="002176B5">
              <w:tab/>
            </w:r>
            <w:r w:rsidRPr="002176B5">
              <w:rPr>
                <w:rStyle w:val="InstructionsTabelleberschrift"/>
                <w:rFonts w:ascii="Times New Roman" w:hAnsi="Times New Roman"/>
                <w:sz w:val="24"/>
              </w:rPr>
              <w:t>(–) Povolené kompenzačné krátke pozície</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súvislosti</w:t>
            </w:r>
            <w:r w:rsidR="002176B5">
              <w:rPr>
                <w:rStyle w:val="InstructionsTabelleberschrift"/>
                <w:rFonts w:ascii="Times New Roman" w:hAnsi="Times New Roman"/>
                <w:sz w:val="24"/>
              </w:rPr>
              <w:t xml:space="preserve"> s </w:t>
            </w:r>
            <w:r w:rsidRPr="002176B5">
              <w:rPr>
                <w:rStyle w:val="InstructionsTabelleberschrift"/>
                <w:rFonts w:ascii="Times New Roman" w:hAnsi="Times New Roman"/>
                <w:sz w:val="24"/>
              </w:rPr>
              <w:t>priamymi brutto podielmi uvedenými vyššie</w:t>
            </w:r>
          </w:p>
          <w:p w14:paraId="1AF115D3" w14:textId="77777777" w:rsidR="00CC7D2C" w:rsidRPr="002176B5" w:rsidRDefault="00CC7D2C" w:rsidP="00320EFD">
            <w:pPr>
              <w:pStyle w:val="InstructionsText"/>
            </w:pPr>
            <w:r w:rsidRPr="002176B5">
              <w:t>Článok 69 nariadenia (EÚ) č. 575/2013</w:t>
            </w:r>
          </w:p>
          <w:p w14:paraId="2DDF012E" w14:textId="4E4C59F5" w:rsidR="00CC7D2C" w:rsidRPr="002176B5" w:rsidRDefault="00CC7D2C" w:rsidP="00320EFD">
            <w:pPr>
              <w:pStyle w:val="InstructionsText"/>
            </w:pPr>
            <w:r w:rsidRPr="002176B5">
              <w:t>Článkom 69 písm. a) nariadenia (EÚ) č. 575/2013 sa povoľujú kompenzačné krátke pozície</w:t>
            </w:r>
            <w:r w:rsidR="002176B5">
              <w:t xml:space="preserve"> v </w:t>
            </w:r>
            <w:r w:rsidRPr="002176B5">
              <w:t>rovnakej podkladovej expozícii pod podmienkou, že dátum splatnosti krátkej pozície je buď rovnaký alebo neskorší ako dátum splatnosti dlhej pozície, alebo zostatková splatnosť krátkej pozície je najmenej jeden rok.</w:t>
            </w:r>
          </w:p>
        </w:tc>
      </w:tr>
      <w:tr w:rsidR="00CC7D2C" w:rsidRPr="002176B5" w14:paraId="6EC67C75" w14:textId="77777777" w:rsidTr="00822842">
        <w:tc>
          <w:tcPr>
            <w:tcW w:w="1474" w:type="dxa"/>
          </w:tcPr>
          <w:p w14:paraId="42925D49" w14:textId="77777777" w:rsidR="00CC7D2C" w:rsidRPr="002176B5" w:rsidRDefault="00CC7D2C" w:rsidP="00320EFD">
            <w:pPr>
              <w:pStyle w:val="InstructionsText"/>
            </w:pPr>
            <w:r w:rsidRPr="002176B5">
              <w:t>0410</w:t>
            </w:r>
          </w:p>
        </w:tc>
        <w:tc>
          <w:tcPr>
            <w:tcW w:w="7049" w:type="dxa"/>
          </w:tcPr>
          <w:p w14:paraId="0411814E" w14:textId="149A53A3" w:rsidR="00CC7D2C" w:rsidRPr="002176B5" w:rsidRDefault="00CC7D2C" w:rsidP="00320EFD">
            <w:pPr>
              <w:pStyle w:val="InstructionsText"/>
            </w:pPr>
            <w:r w:rsidRPr="002176B5">
              <w:rPr>
                <w:rStyle w:val="InstructionsTabelleberschrift"/>
                <w:rFonts w:ascii="Times New Roman" w:hAnsi="Times New Roman"/>
                <w:sz w:val="24"/>
              </w:rPr>
              <w:t>14.2.</w:t>
            </w:r>
            <w:r w:rsidRPr="002176B5">
              <w:tab/>
            </w:r>
            <w:r w:rsidRPr="002176B5">
              <w:rPr>
                <w:rStyle w:val="InstructionsTabelleberschrift"/>
                <w:rFonts w:ascii="Times New Roman" w:hAnsi="Times New Roman"/>
                <w:sz w:val="24"/>
              </w:rPr>
              <w:t>Nepriame podiely kapitálu T2 subjektov finančného sektora,</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ktorých inštitúcia nemá významnú investíciu</w:t>
            </w:r>
          </w:p>
          <w:p w14:paraId="2E9A4143" w14:textId="2EBF1386" w:rsidR="00CC7D2C" w:rsidRPr="002176B5" w:rsidRDefault="00CC7D2C" w:rsidP="00320EFD">
            <w:pPr>
              <w:pStyle w:val="InstructionsText"/>
            </w:pPr>
            <w:r w:rsidRPr="002176B5">
              <w:t>Článok 4 ods. 1 bod 114</w:t>
            </w:r>
            <w:r w:rsidR="002176B5">
              <w:t xml:space="preserve"> a </w:t>
            </w:r>
            <w:r w:rsidRPr="002176B5">
              <w:t>články 68</w:t>
            </w:r>
            <w:r w:rsidR="002176B5">
              <w:t xml:space="preserve"> a </w:t>
            </w:r>
            <w:r w:rsidRPr="002176B5">
              <w:t>69 nariadenia (EÚ) č. 575/2013</w:t>
            </w:r>
          </w:p>
        </w:tc>
      </w:tr>
      <w:tr w:rsidR="00CC7D2C" w:rsidRPr="002176B5" w14:paraId="494E5F97" w14:textId="77777777" w:rsidTr="00822842">
        <w:tc>
          <w:tcPr>
            <w:tcW w:w="1474" w:type="dxa"/>
          </w:tcPr>
          <w:p w14:paraId="4FA17B88" w14:textId="77777777" w:rsidR="00CC7D2C" w:rsidRPr="002176B5" w:rsidRDefault="00CC7D2C" w:rsidP="00320EFD">
            <w:pPr>
              <w:pStyle w:val="InstructionsText"/>
            </w:pPr>
            <w:r w:rsidRPr="002176B5">
              <w:t>0420</w:t>
            </w:r>
          </w:p>
        </w:tc>
        <w:tc>
          <w:tcPr>
            <w:tcW w:w="7049" w:type="dxa"/>
          </w:tcPr>
          <w:p w14:paraId="010CE0F5" w14:textId="05D8ABD4" w:rsidR="00CC7D2C" w:rsidRPr="002176B5" w:rsidRDefault="00CC7D2C" w:rsidP="00320EFD">
            <w:pPr>
              <w:pStyle w:val="InstructionsText"/>
            </w:pPr>
            <w:r w:rsidRPr="002176B5">
              <w:rPr>
                <w:rStyle w:val="InstructionsTabelleberschrift"/>
                <w:rFonts w:ascii="Times New Roman" w:hAnsi="Times New Roman"/>
                <w:sz w:val="24"/>
              </w:rPr>
              <w:t>14.2.1.</w:t>
            </w:r>
            <w:r w:rsidRPr="002176B5">
              <w:tab/>
            </w:r>
            <w:r w:rsidRPr="002176B5">
              <w:rPr>
                <w:rStyle w:val="InstructionsTabelleberschrift"/>
                <w:rFonts w:ascii="Times New Roman" w:hAnsi="Times New Roman"/>
                <w:sz w:val="24"/>
              </w:rPr>
              <w:t>Brutto nepriame podiely kapitálu T2 subjektov finančného sektora,</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ktorých inštitúcia nemá významnú investíciu</w:t>
            </w:r>
          </w:p>
          <w:p w14:paraId="661ED498" w14:textId="5EA1907C" w:rsidR="00CC7D2C" w:rsidRPr="002176B5" w:rsidRDefault="00CC7D2C" w:rsidP="00320EFD">
            <w:pPr>
              <w:pStyle w:val="InstructionsText"/>
            </w:pPr>
            <w:r w:rsidRPr="002176B5">
              <w:t>Článok 4 ods. 1 bod 114</w:t>
            </w:r>
            <w:r w:rsidR="002176B5">
              <w:t xml:space="preserve"> a </w:t>
            </w:r>
            <w:r w:rsidRPr="002176B5">
              <w:t>články 68</w:t>
            </w:r>
            <w:r w:rsidR="002176B5">
              <w:t xml:space="preserve"> a </w:t>
            </w:r>
            <w:r w:rsidRPr="002176B5">
              <w:t>69 nariadenia (EÚ) č. 575/2013</w:t>
            </w:r>
          </w:p>
          <w:p w14:paraId="47CEB0E6" w14:textId="145A6854" w:rsidR="00CC7D2C" w:rsidRPr="002176B5" w:rsidRDefault="00CC7D2C" w:rsidP="00320EFD">
            <w:pPr>
              <w:pStyle w:val="InstructionsText"/>
            </w:pPr>
            <w:r w:rsidRPr="002176B5">
              <w:lastRenderedPageBreak/>
              <w:t>Vykazovaná hodnota sa rovná nepriamym podielom</w:t>
            </w:r>
            <w:r w:rsidR="002176B5">
              <w:t xml:space="preserve"> v </w:t>
            </w:r>
            <w:r w:rsidRPr="002176B5">
              <w:t>obchodnej knihe na kapitálových nástrojoch subjektov finančného sektora, ktoré sú vo forme podielov cenných papierov zaradených do indexu. Dosiahne sa vypočítaním podkladovej expozície voči kapitálovým nástrojom subjektov finančného sektora</w:t>
            </w:r>
            <w:r w:rsidR="002176B5">
              <w:t xml:space="preserve"> v </w:t>
            </w:r>
            <w:r w:rsidRPr="002176B5">
              <w:t>týchto indexoch.</w:t>
            </w:r>
          </w:p>
          <w:p w14:paraId="5F653926" w14:textId="0504DA12" w:rsidR="00CC7D2C" w:rsidRPr="002176B5" w:rsidRDefault="00CC7D2C" w:rsidP="00320EFD">
            <w:pPr>
              <w:pStyle w:val="InstructionsText"/>
            </w:pPr>
            <w:r w:rsidRPr="002176B5">
              <w:t>Podiely,</w:t>
            </w:r>
            <w:r w:rsidR="002176B5">
              <w:t xml:space="preserve"> s </w:t>
            </w:r>
            <w:r w:rsidRPr="002176B5">
              <w:t>ktorými sa zaobchádza ako</w:t>
            </w:r>
            <w:r w:rsidR="002176B5">
              <w:t xml:space="preserve"> s </w:t>
            </w:r>
            <w:r w:rsidRPr="002176B5">
              <w:t>recipročnými krížovými podielmi</w:t>
            </w:r>
            <w:r w:rsidR="002176B5">
              <w:t xml:space="preserve"> v </w:t>
            </w:r>
            <w:r w:rsidRPr="002176B5">
              <w:t>súlade</w:t>
            </w:r>
            <w:r w:rsidR="002176B5">
              <w:t xml:space="preserve"> s </w:t>
            </w:r>
            <w:r w:rsidRPr="002176B5">
              <w:t>článkom 66 písm. b) nariadenia (EÚ) č. 575/2013, sa nezapočítavajú.</w:t>
            </w:r>
          </w:p>
        </w:tc>
      </w:tr>
      <w:tr w:rsidR="00CC7D2C" w:rsidRPr="002176B5" w14:paraId="5466EA1E" w14:textId="77777777" w:rsidTr="00822842">
        <w:tc>
          <w:tcPr>
            <w:tcW w:w="1474" w:type="dxa"/>
          </w:tcPr>
          <w:p w14:paraId="5EB5F633" w14:textId="77777777" w:rsidR="00CC7D2C" w:rsidRPr="002176B5" w:rsidRDefault="00CC7D2C" w:rsidP="00320EFD">
            <w:pPr>
              <w:pStyle w:val="InstructionsText"/>
            </w:pPr>
            <w:r w:rsidRPr="002176B5">
              <w:lastRenderedPageBreak/>
              <w:t>0430</w:t>
            </w:r>
          </w:p>
        </w:tc>
        <w:tc>
          <w:tcPr>
            <w:tcW w:w="7049" w:type="dxa"/>
          </w:tcPr>
          <w:p w14:paraId="05B2F446" w14:textId="65D8141F" w:rsidR="00CC7D2C" w:rsidRPr="002176B5" w:rsidRDefault="00CC7D2C" w:rsidP="00320EFD">
            <w:pPr>
              <w:pStyle w:val="InstructionsText"/>
            </w:pPr>
            <w:r w:rsidRPr="002176B5">
              <w:rPr>
                <w:rStyle w:val="InstructionsTabelleberschrift"/>
                <w:rFonts w:ascii="Times New Roman" w:hAnsi="Times New Roman"/>
                <w:sz w:val="24"/>
              </w:rPr>
              <w:t>14.2.2.</w:t>
            </w:r>
            <w:r w:rsidRPr="002176B5">
              <w:tab/>
            </w:r>
            <w:r w:rsidRPr="002176B5">
              <w:rPr>
                <w:rStyle w:val="InstructionsTabelleberschrift"/>
                <w:rFonts w:ascii="Times New Roman" w:hAnsi="Times New Roman"/>
                <w:sz w:val="24"/>
              </w:rPr>
              <w:t>(–) Povolené kompenzačné krátke pozície</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súvislosti</w:t>
            </w:r>
            <w:r w:rsidR="002176B5">
              <w:rPr>
                <w:rStyle w:val="InstructionsTabelleberschrift"/>
                <w:rFonts w:ascii="Times New Roman" w:hAnsi="Times New Roman"/>
                <w:sz w:val="24"/>
              </w:rPr>
              <w:t xml:space="preserve"> s </w:t>
            </w:r>
            <w:r w:rsidRPr="002176B5">
              <w:rPr>
                <w:rStyle w:val="InstructionsTabelleberschrift"/>
                <w:rFonts w:ascii="Times New Roman" w:hAnsi="Times New Roman"/>
                <w:sz w:val="24"/>
              </w:rPr>
              <w:t>nepriamymi brutto podielmi uvedenými vyššie</w:t>
            </w:r>
          </w:p>
          <w:p w14:paraId="3D51CA91" w14:textId="28116E5B" w:rsidR="00CC7D2C" w:rsidRPr="002176B5" w:rsidRDefault="00CC7D2C" w:rsidP="00320EFD">
            <w:pPr>
              <w:pStyle w:val="InstructionsText"/>
            </w:pPr>
            <w:r w:rsidRPr="002176B5">
              <w:t>Článok 4 ods. 1 bod 114</w:t>
            </w:r>
            <w:r w:rsidR="002176B5">
              <w:t xml:space="preserve"> a </w:t>
            </w:r>
            <w:r w:rsidRPr="002176B5">
              <w:t>článok 69 nariadenia (EÚ) č. 575/2013</w:t>
            </w:r>
          </w:p>
          <w:p w14:paraId="05D4EBCE" w14:textId="75B9AB32" w:rsidR="00CC7D2C" w:rsidRPr="002176B5" w:rsidRDefault="00CC7D2C" w:rsidP="00320EFD">
            <w:pPr>
              <w:pStyle w:val="InstructionsText"/>
            </w:pPr>
            <w:r w:rsidRPr="002176B5">
              <w:t>Článkom 69 písm. a) nariadenia (EÚ) č. 575/2013 sa povoľujú kompenzačné krátke pozície</w:t>
            </w:r>
            <w:r w:rsidR="002176B5">
              <w:t xml:space="preserve"> v </w:t>
            </w:r>
            <w:r w:rsidRPr="002176B5">
              <w:t>rovnakej podkladovej expozícii pod podmienkou, že dátum splatnosti krátkej pozície je buď rovnaký alebo neskorší ako dátum splatnosti dlhej pozície, alebo zostatková splatnosť krátkej pozície je najmenej jeden rok.</w:t>
            </w:r>
          </w:p>
        </w:tc>
      </w:tr>
      <w:tr w:rsidR="00CC7D2C" w:rsidRPr="002176B5" w14:paraId="4925BD96" w14:textId="77777777" w:rsidTr="00822842">
        <w:tc>
          <w:tcPr>
            <w:tcW w:w="1474" w:type="dxa"/>
          </w:tcPr>
          <w:p w14:paraId="0B306827" w14:textId="77777777" w:rsidR="00CC7D2C" w:rsidRPr="002176B5" w:rsidRDefault="00CC7D2C" w:rsidP="00320EFD">
            <w:pPr>
              <w:pStyle w:val="InstructionsText"/>
            </w:pPr>
            <w:r w:rsidRPr="002176B5">
              <w:t>0431</w:t>
            </w:r>
          </w:p>
        </w:tc>
        <w:tc>
          <w:tcPr>
            <w:tcW w:w="7049" w:type="dxa"/>
          </w:tcPr>
          <w:p w14:paraId="5B185F2E" w14:textId="132FF1EF" w:rsidR="00CC7D2C" w:rsidRPr="002176B5" w:rsidRDefault="00CC7D2C" w:rsidP="00320EFD">
            <w:pPr>
              <w:pStyle w:val="InstructionsText"/>
            </w:pPr>
            <w:r w:rsidRPr="002176B5">
              <w:rPr>
                <w:rStyle w:val="InstructionsTabelleberschrift"/>
                <w:rFonts w:ascii="Times New Roman" w:hAnsi="Times New Roman"/>
                <w:sz w:val="24"/>
              </w:rPr>
              <w:t>14.3.</w:t>
            </w:r>
            <w:r w:rsidRPr="002176B5">
              <w:tab/>
            </w:r>
            <w:r w:rsidRPr="002176B5">
              <w:rPr>
                <w:rStyle w:val="InstructionsTabelleberschrift"/>
                <w:rFonts w:ascii="Times New Roman" w:hAnsi="Times New Roman"/>
                <w:sz w:val="24"/>
              </w:rPr>
              <w:t>Syntetické podiely kapitálu T2 subjektov finančného sektora,</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ktorých inštitúcia nemá významnú investíciu</w:t>
            </w:r>
          </w:p>
          <w:p w14:paraId="51085EB2" w14:textId="005DE60B" w:rsidR="00CC7D2C" w:rsidRPr="002176B5" w:rsidRDefault="00CC7D2C" w:rsidP="00320EFD">
            <w:pPr>
              <w:pStyle w:val="InstructionsText"/>
              <w:rPr>
                <w:rStyle w:val="InstructionsTabelleberschrift"/>
                <w:rFonts w:ascii="Times New Roman" w:hAnsi="Times New Roman"/>
                <w:sz w:val="24"/>
              </w:rPr>
            </w:pPr>
            <w:r w:rsidRPr="002176B5">
              <w:t>Článok 4 ods. 1 bod 126</w:t>
            </w:r>
            <w:r w:rsidR="002176B5">
              <w:t xml:space="preserve"> a </w:t>
            </w:r>
            <w:r w:rsidRPr="002176B5">
              <w:t>články 68</w:t>
            </w:r>
            <w:r w:rsidR="002176B5">
              <w:t xml:space="preserve"> a </w:t>
            </w:r>
            <w:r w:rsidRPr="002176B5">
              <w:t>69 nariadenia (EÚ) č. 575/2013</w:t>
            </w:r>
          </w:p>
        </w:tc>
      </w:tr>
      <w:tr w:rsidR="00CC7D2C" w:rsidRPr="002176B5" w14:paraId="505DDB25" w14:textId="77777777" w:rsidTr="00822842">
        <w:tc>
          <w:tcPr>
            <w:tcW w:w="1474" w:type="dxa"/>
          </w:tcPr>
          <w:p w14:paraId="47E7050C" w14:textId="77777777" w:rsidR="00CC7D2C" w:rsidRPr="002176B5" w:rsidRDefault="00CC7D2C" w:rsidP="00320EFD">
            <w:pPr>
              <w:pStyle w:val="InstructionsText"/>
            </w:pPr>
            <w:r w:rsidRPr="002176B5">
              <w:t>0432</w:t>
            </w:r>
          </w:p>
        </w:tc>
        <w:tc>
          <w:tcPr>
            <w:tcW w:w="7049" w:type="dxa"/>
          </w:tcPr>
          <w:p w14:paraId="04B98A3C" w14:textId="740F8693" w:rsidR="00CC7D2C" w:rsidRPr="002176B5" w:rsidRDefault="00CC7D2C" w:rsidP="00320EFD">
            <w:pPr>
              <w:pStyle w:val="InstructionsText"/>
            </w:pPr>
            <w:r w:rsidRPr="002176B5">
              <w:rPr>
                <w:rStyle w:val="InstructionsTabelleberschrift"/>
                <w:rFonts w:ascii="Times New Roman" w:hAnsi="Times New Roman"/>
                <w:sz w:val="24"/>
              </w:rPr>
              <w:t>14.3.1.</w:t>
            </w:r>
            <w:r w:rsidRPr="002176B5">
              <w:tab/>
            </w:r>
            <w:r w:rsidRPr="002176B5">
              <w:rPr>
                <w:rStyle w:val="InstructionsTabelleberschrift"/>
                <w:rFonts w:ascii="Times New Roman" w:hAnsi="Times New Roman"/>
                <w:sz w:val="24"/>
              </w:rPr>
              <w:t>Brutto syntetické podiely kapitálu T2 subjektov finančného sektora,</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ktorých inštitúcia nemá významnú investíciu</w:t>
            </w:r>
          </w:p>
          <w:p w14:paraId="5CF8D059" w14:textId="535BF8FB" w:rsidR="00CC7D2C" w:rsidRPr="002176B5" w:rsidRDefault="00CC7D2C" w:rsidP="00320EFD">
            <w:pPr>
              <w:pStyle w:val="InstructionsText"/>
              <w:rPr>
                <w:rStyle w:val="InstructionsTabelleberschrift"/>
                <w:rFonts w:ascii="Times New Roman" w:hAnsi="Times New Roman"/>
                <w:b w:val="0"/>
                <w:bCs w:val="0"/>
                <w:sz w:val="24"/>
                <w:u w:val="none"/>
              </w:rPr>
            </w:pPr>
            <w:r w:rsidRPr="002176B5">
              <w:t>Článok 4 ods. 1 bod 126</w:t>
            </w:r>
            <w:r w:rsidR="002176B5">
              <w:t xml:space="preserve"> a </w:t>
            </w:r>
            <w:r w:rsidRPr="002176B5">
              <w:t>články 68</w:t>
            </w:r>
            <w:r w:rsidR="002176B5">
              <w:t xml:space="preserve"> a </w:t>
            </w:r>
            <w:r w:rsidRPr="002176B5">
              <w:t>69 nariadenia (EÚ) č. 575/2013</w:t>
            </w:r>
          </w:p>
        </w:tc>
      </w:tr>
      <w:tr w:rsidR="00CC7D2C" w:rsidRPr="002176B5" w14:paraId="36FD440F" w14:textId="77777777" w:rsidTr="00822842">
        <w:tc>
          <w:tcPr>
            <w:tcW w:w="1474" w:type="dxa"/>
          </w:tcPr>
          <w:p w14:paraId="3BACFB19" w14:textId="77777777" w:rsidR="00CC7D2C" w:rsidRPr="002176B5" w:rsidRDefault="00CC7D2C" w:rsidP="00320EFD">
            <w:pPr>
              <w:pStyle w:val="InstructionsText"/>
            </w:pPr>
            <w:r w:rsidRPr="002176B5">
              <w:t>0433</w:t>
            </w:r>
          </w:p>
        </w:tc>
        <w:tc>
          <w:tcPr>
            <w:tcW w:w="7049" w:type="dxa"/>
          </w:tcPr>
          <w:p w14:paraId="7629D40E" w14:textId="35D2BD6D" w:rsidR="00CC7D2C" w:rsidRPr="002176B5" w:rsidRDefault="00CC7D2C" w:rsidP="00320EFD">
            <w:pPr>
              <w:pStyle w:val="InstructionsText"/>
            </w:pPr>
            <w:r w:rsidRPr="002176B5">
              <w:rPr>
                <w:rStyle w:val="InstructionsTabelleberschrift"/>
                <w:rFonts w:ascii="Times New Roman" w:hAnsi="Times New Roman"/>
                <w:sz w:val="24"/>
              </w:rPr>
              <w:t>14.3.2.</w:t>
            </w:r>
            <w:r w:rsidRPr="002176B5">
              <w:tab/>
            </w:r>
            <w:r w:rsidRPr="002176B5">
              <w:rPr>
                <w:rStyle w:val="InstructionsTabelleberschrift"/>
                <w:rFonts w:ascii="Times New Roman" w:hAnsi="Times New Roman"/>
                <w:sz w:val="24"/>
              </w:rPr>
              <w:t>(–) Povolené kompenzačné krátke pozície</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súvislosti</w:t>
            </w:r>
            <w:r w:rsidR="002176B5">
              <w:rPr>
                <w:rStyle w:val="InstructionsTabelleberschrift"/>
                <w:rFonts w:ascii="Times New Roman" w:hAnsi="Times New Roman"/>
                <w:sz w:val="24"/>
              </w:rPr>
              <w:t xml:space="preserve"> s </w:t>
            </w:r>
            <w:r w:rsidRPr="002176B5">
              <w:rPr>
                <w:rStyle w:val="InstructionsTabelleberschrift"/>
                <w:rFonts w:ascii="Times New Roman" w:hAnsi="Times New Roman"/>
                <w:sz w:val="24"/>
              </w:rPr>
              <w:t>brutto syntetickými podielmi uvedenými vyššie</w:t>
            </w:r>
          </w:p>
          <w:p w14:paraId="3DB92575" w14:textId="5B382C67" w:rsidR="00CC7D2C" w:rsidRPr="002176B5" w:rsidRDefault="00CC7D2C" w:rsidP="00320EFD">
            <w:pPr>
              <w:pStyle w:val="InstructionsText"/>
            </w:pPr>
            <w:r w:rsidRPr="002176B5">
              <w:t>Článok 4 ods. 1 bod 126</w:t>
            </w:r>
            <w:r w:rsidR="002176B5">
              <w:t xml:space="preserve"> a </w:t>
            </w:r>
            <w:r w:rsidRPr="002176B5">
              <w:t>článok 69 nariadenia (EÚ) č. 575/2013</w:t>
            </w:r>
          </w:p>
          <w:p w14:paraId="02DEC376" w14:textId="20EE1DB0" w:rsidR="00CC7D2C" w:rsidRPr="002176B5" w:rsidRDefault="00CC7D2C" w:rsidP="00320EFD">
            <w:pPr>
              <w:pStyle w:val="InstructionsText"/>
              <w:rPr>
                <w:rStyle w:val="InstructionsTabelleberschrift"/>
                <w:rFonts w:ascii="Times New Roman" w:hAnsi="Times New Roman"/>
                <w:b w:val="0"/>
                <w:bCs w:val="0"/>
                <w:sz w:val="24"/>
                <w:u w:val="none"/>
              </w:rPr>
            </w:pPr>
            <w:r w:rsidRPr="002176B5">
              <w:t>Článkom 69 písm. a) nariadenia (EÚ) č. 575/2013 sa povoľujú kompenzačné krátke pozície</w:t>
            </w:r>
            <w:r w:rsidR="002176B5">
              <w:t xml:space="preserve"> v </w:t>
            </w:r>
            <w:r w:rsidRPr="002176B5">
              <w:t>rovnakej podkladovej expozícii pod podmienkou, že dátum splatnosti krátkej pozície je buď rovnaký alebo neskorší ako dátum splatnosti dlhej pozície, alebo zostatková splatnosť krátkej pozície je najmenej jeden rok.</w:t>
            </w:r>
          </w:p>
        </w:tc>
      </w:tr>
      <w:tr w:rsidR="00CC7D2C" w:rsidRPr="002176B5" w14:paraId="706BD1BD" w14:textId="77777777" w:rsidTr="00822842">
        <w:tc>
          <w:tcPr>
            <w:tcW w:w="1474" w:type="dxa"/>
          </w:tcPr>
          <w:p w14:paraId="2D28C427" w14:textId="77777777" w:rsidR="00CC7D2C" w:rsidRPr="002176B5" w:rsidRDefault="00CC7D2C" w:rsidP="00320EFD">
            <w:pPr>
              <w:pStyle w:val="InstructionsText"/>
            </w:pPr>
            <w:r w:rsidRPr="002176B5">
              <w:t>0440</w:t>
            </w:r>
          </w:p>
        </w:tc>
        <w:tc>
          <w:tcPr>
            <w:tcW w:w="7049" w:type="dxa"/>
          </w:tcPr>
          <w:p w14:paraId="0FF9C857" w14:textId="0E5BE1BC" w:rsidR="00CC7D2C" w:rsidRPr="002176B5" w:rsidRDefault="00CC7D2C" w:rsidP="00320EFD">
            <w:pPr>
              <w:pStyle w:val="InstructionsText"/>
            </w:pPr>
            <w:r w:rsidRPr="002176B5">
              <w:rPr>
                <w:rStyle w:val="InstructionsTabelleberschrift"/>
                <w:rFonts w:ascii="Times New Roman" w:hAnsi="Times New Roman"/>
                <w:sz w:val="24"/>
              </w:rPr>
              <w:t>15.</w:t>
            </w:r>
            <w:r w:rsidRPr="002176B5">
              <w:tab/>
            </w:r>
            <w:r w:rsidRPr="002176B5">
              <w:rPr>
                <w:rStyle w:val="InstructionsTabelleberschrift"/>
                <w:rFonts w:ascii="Times New Roman" w:hAnsi="Times New Roman"/>
                <w:sz w:val="24"/>
              </w:rPr>
              <w:t>Podiely kapitálu CET1 subjektov finančného sektora,</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ktorých inštitúcia má významnú investíciu, po odpočítaní krátkych pozícií</w:t>
            </w:r>
          </w:p>
          <w:p w14:paraId="7C875F9C" w14:textId="1461F44A" w:rsidR="00CC7D2C" w:rsidRPr="002176B5" w:rsidRDefault="00CC7D2C" w:rsidP="00320EFD">
            <w:pPr>
              <w:pStyle w:val="InstructionsText"/>
            </w:pPr>
            <w:r w:rsidRPr="002176B5">
              <w:t>Články 44, 45, 47</w:t>
            </w:r>
            <w:r w:rsidR="002176B5">
              <w:t xml:space="preserve"> a </w:t>
            </w:r>
            <w:r w:rsidRPr="002176B5">
              <w:t>49 nariadenia (EÚ) č. 575/2013</w:t>
            </w:r>
          </w:p>
        </w:tc>
      </w:tr>
      <w:tr w:rsidR="00CC7D2C" w:rsidRPr="002176B5" w14:paraId="6AA27B3D" w14:textId="77777777" w:rsidTr="00822842">
        <w:tc>
          <w:tcPr>
            <w:tcW w:w="1474" w:type="dxa"/>
          </w:tcPr>
          <w:p w14:paraId="735A396A" w14:textId="77777777" w:rsidR="00CC7D2C" w:rsidRPr="002176B5" w:rsidRDefault="00CC7D2C" w:rsidP="00320EFD">
            <w:pPr>
              <w:pStyle w:val="InstructionsText"/>
            </w:pPr>
            <w:r w:rsidRPr="002176B5">
              <w:t>0450</w:t>
            </w:r>
          </w:p>
        </w:tc>
        <w:tc>
          <w:tcPr>
            <w:tcW w:w="7049" w:type="dxa"/>
          </w:tcPr>
          <w:p w14:paraId="67599E27" w14:textId="05F6573E" w:rsidR="00CC7D2C" w:rsidRPr="002176B5" w:rsidRDefault="00CC7D2C" w:rsidP="00320EFD">
            <w:pPr>
              <w:pStyle w:val="InstructionsText"/>
            </w:pPr>
            <w:r w:rsidRPr="002176B5">
              <w:rPr>
                <w:rStyle w:val="InstructionsTabelleberschrift"/>
                <w:rFonts w:ascii="Times New Roman" w:hAnsi="Times New Roman"/>
                <w:sz w:val="24"/>
              </w:rPr>
              <w:t>15.1.</w:t>
            </w:r>
            <w:r w:rsidRPr="002176B5">
              <w:tab/>
            </w:r>
            <w:r w:rsidRPr="002176B5">
              <w:rPr>
                <w:rStyle w:val="InstructionsTabelleberschrift"/>
                <w:rFonts w:ascii="Times New Roman" w:hAnsi="Times New Roman"/>
                <w:sz w:val="24"/>
              </w:rPr>
              <w:t>Priame podiely kapitálu CET1 subjektov finančného sektora,</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ktorých inštitúcia má významnú investíciu</w:t>
            </w:r>
          </w:p>
          <w:p w14:paraId="741527BD" w14:textId="5740A2AE" w:rsidR="00CC7D2C" w:rsidRPr="002176B5" w:rsidRDefault="00CC7D2C" w:rsidP="00320EFD">
            <w:pPr>
              <w:pStyle w:val="InstructionsText"/>
            </w:pPr>
            <w:r w:rsidRPr="002176B5">
              <w:t>Články 44, 45, 47</w:t>
            </w:r>
            <w:r w:rsidR="002176B5">
              <w:t xml:space="preserve"> a </w:t>
            </w:r>
            <w:r w:rsidRPr="002176B5">
              <w:t>49 nariadenia (EÚ) č. 575/2013</w:t>
            </w:r>
          </w:p>
        </w:tc>
      </w:tr>
      <w:tr w:rsidR="00CC7D2C" w:rsidRPr="002176B5" w14:paraId="595C7F4D" w14:textId="77777777" w:rsidTr="00822842">
        <w:tc>
          <w:tcPr>
            <w:tcW w:w="1474" w:type="dxa"/>
          </w:tcPr>
          <w:p w14:paraId="765EBD7B" w14:textId="77777777" w:rsidR="00CC7D2C" w:rsidRPr="002176B5" w:rsidRDefault="00CC7D2C" w:rsidP="00320EFD">
            <w:pPr>
              <w:pStyle w:val="InstructionsText"/>
            </w:pPr>
            <w:r w:rsidRPr="002176B5">
              <w:lastRenderedPageBreak/>
              <w:t>0460</w:t>
            </w:r>
          </w:p>
        </w:tc>
        <w:tc>
          <w:tcPr>
            <w:tcW w:w="7049" w:type="dxa"/>
          </w:tcPr>
          <w:p w14:paraId="2B980E39" w14:textId="29DC7843" w:rsidR="00CC7D2C" w:rsidRPr="002176B5" w:rsidRDefault="00CC7D2C" w:rsidP="00320EFD">
            <w:pPr>
              <w:pStyle w:val="InstructionsText"/>
            </w:pPr>
            <w:r w:rsidRPr="002176B5">
              <w:rPr>
                <w:rStyle w:val="InstructionsTabelleberschrift"/>
                <w:rFonts w:ascii="Times New Roman" w:hAnsi="Times New Roman"/>
                <w:sz w:val="24"/>
              </w:rPr>
              <w:t>15.1.1.</w:t>
            </w:r>
            <w:r w:rsidRPr="002176B5">
              <w:tab/>
            </w:r>
            <w:r w:rsidRPr="002176B5">
              <w:rPr>
                <w:rStyle w:val="InstructionsTabelleberschrift"/>
                <w:rFonts w:ascii="Times New Roman" w:hAnsi="Times New Roman"/>
                <w:sz w:val="24"/>
              </w:rPr>
              <w:t>Brutto priame podiely kapitálu CET1 subjektov finančného sektora,</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ktorých inštitúcia má významnú investíciu</w:t>
            </w:r>
          </w:p>
          <w:p w14:paraId="036661F9" w14:textId="5A29A7D2" w:rsidR="00CC7D2C" w:rsidRPr="002176B5" w:rsidRDefault="00CC7D2C" w:rsidP="00320EFD">
            <w:pPr>
              <w:pStyle w:val="InstructionsText"/>
            </w:pPr>
            <w:r w:rsidRPr="002176B5">
              <w:t>Články 44, 45, 47</w:t>
            </w:r>
            <w:r w:rsidR="002176B5">
              <w:t xml:space="preserve"> a </w:t>
            </w:r>
            <w:r w:rsidRPr="002176B5">
              <w:t>49 nariadenia (EÚ) č. 575/2013</w:t>
            </w:r>
          </w:p>
          <w:p w14:paraId="09C948F4" w14:textId="77777777" w:rsidR="00CC7D2C" w:rsidRPr="002176B5" w:rsidRDefault="00CC7D2C" w:rsidP="00320EFD">
            <w:pPr>
              <w:pStyle w:val="InstructionsText"/>
            </w:pPr>
            <w:r w:rsidRPr="002176B5">
              <w:t>Priame podiely kapitálu CET1 subjektov finančného sektora, keď inštitúcia má významnú investíciu, bez:</w:t>
            </w:r>
          </w:p>
          <w:p w14:paraId="25B11D07" w14:textId="5AD31EC9" w:rsidR="002176B5" w:rsidRDefault="00CC7D2C" w:rsidP="00320EFD">
            <w:pPr>
              <w:pStyle w:val="InstructionsText"/>
            </w:pPr>
            <w:r w:rsidRPr="002176B5">
              <w:t>a)</w:t>
            </w:r>
            <w:r w:rsidRPr="002176B5">
              <w:tab/>
              <w:t>pozícií</w:t>
            </w:r>
            <w:r w:rsidR="002176B5">
              <w:t xml:space="preserve"> z </w:t>
            </w:r>
            <w:r w:rsidRPr="002176B5">
              <w:t>upísania držaných päť pracovných dní alebo menej</w:t>
            </w:r>
            <w:r w:rsidR="002176B5">
              <w:t>;</w:t>
            </w:r>
          </w:p>
          <w:p w14:paraId="587EFDD7" w14:textId="77777777" w:rsidR="002176B5" w:rsidRDefault="00CC7D2C" w:rsidP="00320EFD">
            <w:pPr>
              <w:pStyle w:val="InstructionsText"/>
            </w:pPr>
            <w:r w:rsidRPr="002176B5">
              <w:t>b)</w:t>
            </w:r>
            <w:r w:rsidRPr="002176B5">
              <w:tab/>
              <w:t>hodnôt súvisiacich</w:t>
            </w:r>
            <w:r w:rsidR="002176B5">
              <w:t xml:space="preserve"> s </w:t>
            </w:r>
            <w:r w:rsidRPr="002176B5">
              <w:t>investíciami, na ktoré sa uplatňuje alternatíva podľa článku 49;</w:t>
            </w:r>
            <w:r w:rsidR="002176B5">
              <w:t xml:space="preserve"> a</w:t>
            </w:r>
          </w:p>
          <w:p w14:paraId="5BB8BDF6" w14:textId="49AEF878" w:rsidR="00CC7D2C" w:rsidRPr="002176B5" w:rsidRDefault="00CC7D2C" w:rsidP="00320EFD">
            <w:pPr>
              <w:pStyle w:val="InstructionsText"/>
            </w:pPr>
            <w:r w:rsidRPr="002176B5">
              <w:t>c)</w:t>
            </w:r>
            <w:r w:rsidRPr="002176B5">
              <w:tab/>
              <w:t>podielov,</w:t>
            </w:r>
            <w:r w:rsidR="002176B5">
              <w:t xml:space="preserve"> s </w:t>
            </w:r>
            <w:r w:rsidRPr="002176B5">
              <w:t>ktorými sa zaobchádza ako</w:t>
            </w:r>
            <w:r w:rsidR="002176B5">
              <w:t xml:space="preserve"> s </w:t>
            </w:r>
            <w:r w:rsidRPr="002176B5">
              <w:t>recipročnými krížovými podielmi</w:t>
            </w:r>
            <w:r w:rsidR="002176B5">
              <w:t xml:space="preserve"> v </w:t>
            </w:r>
            <w:r w:rsidRPr="002176B5">
              <w:t>súlade</w:t>
            </w:r>
            <w:r w:rsidR="002176B5">
              <w:t xml:space="preserve"> s </w:t>
            </w:r>
            <w:r w:rsidRPr="002176B5">
              <w:t>článkom 36 ods. 1 písm. g) nariadenia (EÚ) č. 575/2013.</w:t>
            </w:r>
          </w:p>
        </w:tc>
      </w:tr>
      <w:tr w:rsidR="00CC7D2C" w:rsidRPr="002176B5" w14:paraId="2554683F" w14:textId="77777777" w:rsidTr="00822842">
        <w:tc>
          <w:tcPr>
            <w:tcW w:w="1474" w:type="dxa"/>
          </w:tcPr>
          <w:p w14:paraId="4C8C8D41" w14:textId="77777777" w:rsidR="00CC7D2C" w:rsidRPr="002176B5" w:rsidRDefault="00CC7D2C" w:rsidP="00320EFD">
            <w:pPr>
              <w:pStyle w:val="InstructionsText"/>
            </w:pPr>
            <w:r w:rsidRPr="002176B5">
              <w:t>0470</w:t>
            </w:r>
          </w:p>
        </w:tc>
        <w:tc>
          <w:tcPr>
            <w:tcW w:w="7049" w:type="dxa"/>
          </w:tcPr>
          <w:p w14:paraId="4713E01D" w14:textId="33AB0EBB" w:rsidR="00CC7D2C" w:rsidRPr="002176B5" w:rsidRDefault="00CC7D2C" w:rsidP="00320EFD">
            <w:pPr>
              <w:pStyle w:val="InstructionsText"/>
            </w:pPr>
            <w:r w:rsidRPr="002176B5">
              <w:rPr>
                <w:rStyle w:val="InstructionsTabelleberschrift"/>
                <w:rFonts w:ascii="Times New Roman" w:hAnsi="Times New Roman"/>
                <w:sz w:val="24"/>
              </w:rPr>
              <w:t>15.1.2.</w:t>
            </w:r>
            <w:r w:rsidRPr="002176B5">
              <w:tab/>
            </w:r>
            <w:r w:rsidRPr="002176B5">
              <w:rPr>
                <w:rStyle w:val="InstructionsTabelleberschrift"/>
                <w:rFonts w:ascii="Times New Roman" w:hAnsi="Times New Roman"/>
                <w:sz w:val="24"/>
              </w:rPr>
              <w:t>(–) Povolené kompenzačné krátke pozície</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súvislosti</w:t>
            </w:r>
            <w:r w:rsidR="002176B5">
              <w:rPr>
                <w:rStyle w:val="InstructionsTabelleberschrift"/>
                <w:rFonts w:ascii="Times New Roman" w:hAnsi="Times New Roman"/>
                <w:sz w:val="24"/>
              </w:rPr>
              <w:t xml:space="preserve"> s </w:t>
            </w:r>
            <w:r w:rsidRPr="002176B5">
              <w:rPr>
                <w:rStyle w:val="InstructionsTabelleberschrift"/>
                <w:rFonts w:ascii="Times New Roman" w:hAnsi="Times New Roman"/>
                <w:sz w:val="24"/>
              </w:rPr>
              <w:t>priamymi brutto podielmi uvedenými vyššie</w:t>
            </w:r>
          </w:p>
          <w:p w14:paraId="608988C8" w14:textId="77777777" w:rsidR="00CC7D2C" w:rsidRPr="002176B5" w:rsidRDefault="00CC7D2C" w:rsidP="00320EFD">
            <w:pPr>
              <w:pStyle w:val="InstructionsText"/>
            </w:pPr>
            <w:r w:rsidRPr="002176B5">
              <w:t>Článok 45 nariadenia (EÚ) č. 575/2013</w:t>
            </w:r>
          </w:p>
          <w:p w14:paraId="17514F1A" w14:textId="55D8A913" w:rsidR="00CC7D2C" w:rsidRPr="002176B5" w:rsidRDefault="00CC7D2C" w:rsidP="00320EFD">
            <w:pPr>
              <w:pStyle w:val="InstructionsText"/>
            </w:pPr>
            <w:r w:rsidRPr="002176B5">
              <w:t>Článkom 45 písm. a) nariadenia (EÚ) č. 575/2013 sa povoľujú kompenzačné krátke pozície</w:t>
            </w:r>
            <w:r w:rsidR="002176B5">
              <w:t xml:space="preserve"> v </w:t>
            </w:r>
            <w:r w:rsidRPr="002176B5">
              <w:t>rovnakej podkladovej expozícii pod podmienkou, že dátum splatnosti krátkej pozície je buď rovnaký alebo neskorší ako dátum splatnosti dlhej pozície, alebo zostatková splatnosť krátkej pozície je najmenej jeden rok.</w:t>
            </w:r>
          </w:p>
        </w:tc>
      </w:tr>
      <w:tr w:rsidR="00CC7D2C" w:rsidRPr="002176B5" w14:paraId="61B04000" w14:textId="77777777" w:rsidTr="00822842">
        <w:tc>
          <w:tcPr>
            <w:tcW w:w="1474" w:type="dxa"/>
          </w:tcPr>
          <w:p w14:paraId="322FFD86" w14:textId="77777777" w:rsidR="00CC7D2C" w:rsidRPr="002176B5" w:rsidRDefault="00CC7D2C" w:rsidP="00320EFD">
            <w:pPr>
              <w:pStyle w:val="InstructionsText"/>
            </w:pPr>
            <w:r w:rsidRPr="002176B5">
              <w:t>0480</w:t>
            </w:r>
          </w:p>
        </w:tc>
        <w:tc>
          <w:tcPr>
            <w:tcW w:w="7049" w:type="dxa"/>
          </w:tcPr>
          <w:p w14:paraId="761DBFD7" w14:textId="3B21580B" w:rsidR="00CC7D2C" w:rsidRPr="002176B5" w:rsidRDefault="00CC7D2C" w:rsidP="00320EFD">
            <w:pPr>
              <w:pStyle w:val="InstructionsText"/>
            </w:pPr>
            <w:r w:rsidRPr="002176B5">
              <w:rPr>
                <w:rStyle w:val="InstructionsTabelleberschrift"/>
                <w:rFonts w:ascii="Times New Roman" w:hAnsi="Times New Roman"/>
                <w:sz w:val="24"/>
              </w:rPr>
              <w:t>15.2.</w:t>
            </w:r>
            <w:r w:rsidRPr="002176B5">
              <w:tab/>
            </w:r>
            <w:r w:rsidRPr="002176B5">
              <w:rPr>
                <w:rStyle w:val="InstructionsTabelleberschrift"/>
                <w:rFonts w:ascii="Times New Roman" w:hAnsi="Times New Roman"/>
                <w:sz w:val="24"/>
              </w:rPr>
              <w:t>Nepriame podiely kapitálu CET1 subjektov finančného sektora,</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ktorých inštitúcia má významnú investíciu</w:t>
            </w:r>
          </w:p>
          <w:p w14:paraId="6E5583DA" w14:textId="25DB36F2" w:rsidR="00CC7D2C" w:rsidRPr="002176B5" w:rsidRDefault="00CC7D2C" w:rsidP="00320EFD">
            <w:pPr>
              <w:pStyle w:val="InstructionsText"/>
            </w:pPr>
            <w:r w:rsidRPr="002176B5">
              <w:t>Článok 4 ods. 1 bod 114</w:t>
            </w:r>
            <w:r w:rsidR="002176B5">
              <w:t xml:space="preserve"> a </w:t>
            </w:r>
            <w:r w:rsidRPr="002176B5">
              <w:t>články 44</w:t>
            </w:r>
            <w:r w:rsidR="002176B5">
              <w:t xml:space="preserve"> a </w:t>
            </w:r>
            <w:r w:rsidRPr="002176B5">
              <w:t>45 nariadenia (EÚ) č. 575/2013</w:t>
            </w:r>
          </w:p>
        </w:tc>
      </w:tr>
      <w:tr w:rsidR="00CC7D2C" w:rsidRPr="002176B5" w14:paraId="18C8A22C" w14:textId="77777777" w:rsidTr="00822842">
        <w:tc>
          <w:tcPr>
            <w:tcW w:w="1474" w:type="dxa"/>
          </w:tcPr>
          <w:p w14:paraId="419418F1" w14:textId="77777777" w:rsidR="00CC7D2C" w:rsidRPr="002176B5" w:rsidRDefault="00CC7D2C" w:rsidP="00320EFD">
            <w:pPr>
              <w:pStyle w:val="InstructionsText"/>
            </w:pPr>
            <w:r w:rsidRPr="002176B5">
              <w:t>0490</w:t>
            </w:r>
          </w:p>
        </w:tc>
        <w:tc>
          <w:tcPr>
            <w:tcW w:w="7049" w:type="dxa"/>
          </w:tcPr>
          <w:p w14:paraId="698DA054" w14:textId="49D899C2" w:rsidR="00CC7D2C" w:rsidRPr="002176B5" w:rsidRDefault="00CC7D2C" w:rsidP="00320EFD">
            <w:pPr>
              <w:pStyle w:val="InstructionsText"/>
            </w:pPr>
            <w:r w:rsidRPr="002176B5">
              <w:rPr>
                <w:rStyle w:val="InstructionsTabelleberschrift"/>
                <w:rFonts w:ascii="Times New Roman" w:hAnsi="Times New Roman"/>
                <w:sz w:val="24"/>
              </w:rPr>
              <w:t>15.2.1.</w:t>
            </w:r>
            <w:r w:rsidRPr="002176B5">
              <w:tab/>
            </w:r>
            <w:r w:rsidRPr="002176B5">
              <w:rPr>
                <w:rStyle w:val="InstructionsTabelleberschrift"/>
                <w:rFonts w:ascii="Times New Roman" w:hAnsi="Times New Roman"/>
                <w:sz w:val="24"/>
              </w:rPr>
              <w:t>Brutto nepriame podiely kapitálu CET1 subjektov finančného sektora,</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ktorých inštitúcia má významnú investíciu</w:t>
            </w:r>
          </w:p>
          <w:p w14:paraId="794C9AFE" w14:textId="50CF7250" w:rsidR="00CC7D2C" w:rsidRPr="002176B5" w:rsidRDefault="00CC7D2C" w:rsidP="00320EFD">
            <w:pPr>
              <w:pStyle w:val="InstructionsText"/>
            </w:pPr>
            <w:r w:rsidRPr="002176B5">
              <w:t>Článok 4 ods. 1 bod 114</w:t>
            </w:r>
            <w:r w:rsidR="002176B5">
              <w:t xml:space="preserve"> a </w:t>
            </w:r>
            <w:r w:rsidRPr="002176B5">
              <w:t>články 44</w:t>
            </w:r>
            <w:r w:rsidR="002176B5">
              <w:t xml:space="preserve"> a </w:t>
            </w:r>
            <w:r w:rsidRPr="002176B5">
              <w:t>45 nariadenia (EÚ) č. 575/2013</w:t>
            </w:r>
          </w:p>
          <w:p w14:paraId="0AE2F25F" w14:textId="0D4076C2" w:rsidR="00CC7D2C" w:rsidRPr="002176B5" w:rsidRDefault="00CC7D2C" w:rsidP="00320EFD">
            <w:pPr>
              <w:pStyle w:val="InstructionsText"/>
            </w:pPr>
            <w:r w:rsidRPr="002176B5">
              <w:t>Vykazovaná hodnota sa rovná nepriamym podielom</w:t>
            </w:r>
            <w:r w:rsidR="002176B5">
              <w:t xml:space="preserve"> v </w:t>
            </w:r>
            <w:r w:rsidRPr="002176B5">
              <w:t>obchodnej knihe na kapitálových nástrojoch subjektov finančného sektora, ktoré sú vo forme podielov cenných papierov zaradených do indexu. Dosiahne sa vypočítaním podkladovej expozície voči kapitálovým nástrojom subjektov finančného sektora</w:t>
            </w:r>
            <w:r w:rsidR="002176B5">
              <w:t xml:space="preserve"> v </w:t>
            </w:r>
            <w:r w:rsidRPr="002176B5">
              <w:t>týchto indexoch.</w:t>
            </w:r>
          </w:p>
          <w:p w14:paraId="3F78CFCC" w14:textId="35061CEF" w:rsidR="00CC7D2C" w:rsidRPr="002176B5" w:rsidRDefault="00CC7D2C" w:rsidP="00320EFD">
            <w:pPr>
              <w:pStyle w:val="InstructionsText"/>
            </w:pPr>
            <w:r w:rsidRPr="002176B5">
              <w:t>Podiely,</w:t>
            </w:r>
            <w:r w:rsidR="002176B5">
              <w:t xml:space="preserve"> s </w:t>
            </w:r>
            <w:r w:rsidRPr="002176B5">
              <w:t>ktorými sa zaobchádza ako</w:t>
            </w:r>
            <w:r w:rsidR="002176B5">
              <w:t xml:space="preserve"> s </w:t>
            </w:r>
            <w:r w:rsidRPr="002176B5">
              <w:t>recipročnými krížovými podielmi</w:t>
            </w:r>
            <w:r w:rsidR="002176B5">
              <w:t xml:space="preserve"> v </w:t>
            </w:r>
            <w:r w:rsidRPr="002176B5">
              <w:t>súlade</w:t>
            </w:r>
            <w:r w:rsidR="002176B5">
              <w:t xml:space="preserve"> s </w:t>
            </w:r>
            <w:r w:rsidRPr="002176B5">
              <w:t>článkom 36 ods. 1 písm. g) nariadenia (EÚ) č. 575/2013, sa nezapočítavajú.</w:t>
            </w:r>
          </w:p>
        </w:tc>
      </w:tr>
      <w:tr w:rsidR="00CC7D2C" w:rsidRPr="002176B5" w14:paraId="0928CCF4" w14:textId="77777777" w:rsidTr="00822842">
        <w:tc>
          <w:tcPr>
            <w:tcW w:w="1474" w:type="dxa"/>
          </w:tcPr>
          <w:p w14:paraId="64023C63" w14:textId="77777777" w:rsidR="00CC7D2C" w:rsidRPr="002176B5" w:rsidRDefault="00CC7D2C" w:rsidP="00320EFD">
            <w:pPr>
              <w:pStyle w:val="InstructionsText"/>
            </w:pPr>
            <w:r w:rsidRPr="002176B5">
              <w:t>0500</w:t>
            </w:r>
          </w:p>
        </w:tc>
        <w:tc>
          <w:tcPr>
            <w:tcW w:w="7049" w:type="dxa"/>
          </w:tcPr>
          <w:p w14:paraId="44D389F7" w14:textId="3D88096E" w:rsidR="00CC7D2C" w:rsidRPr="002176B5" w:rsidRDefault="00CC7D2C" w:rsidP="00320EFD">
            <w:pPr>
              <w:pStyle w:val="InstructionsText"/>
            </w:pPr>
            <w:r w:rsidRPr="002176B5">
              <w:rPr>
                <w:rStyle w:val="InstructionsTabelleberschrift"/>
                <w:rFonts w:ascii="Times New Roman" w:hAnsi="Times New Roman"/>
                <w:sz w:val="24"/>
              </w:rPr>
              <w:t>15.2.2.</w:t>
            </w:r>
            <w:r w:rsidRPr="002176B5">
              <w:tab/>
            </w:r>
            <w:r w:rsidRPr="002176B5">
              <w:rPr>
                <w:rStyle w:val="InstructionsTabelleberschrift"/>
                <w:rFonts w:ascii="Times New Roman" w:hAnsi="Times New Roman"/>
                <w:sz w:val="24"/>
              </w:rPr>
              <w:t>(–) Povolené kompenzačné krátke pozície</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súvislosti</w:t>
            </w:r>
            <w:r w:rsidR="002176B5">
              <w:rPr>
                <w:rStyle w:val="InstructionsTabelleberschrift"/>
                <w:rFonts w:ascii="Times New Roman" w:hAnsi="Times New Roman"/>
                <w:sz w:val="24"/>
              </w:rPr>
              <w:t xml:space="preserve"> s </w:t>
            </w:r>
            <w:r w:rsidRPr="002176B5">
              <w:rPr>
                <w:rStyle w:val="InstructionsTabelleberschrift"/>
                <w:rFonts w:ascii="Times New Roman" w:hAnsi="Times New Roman"/>
                <w:sz w:val="24"/>
              </w:rPr>
              <w:t>nepriamymi brutto podielmi uvedenými vyššie</w:t>
            </w:r>
          </w:p>
          <w:p w14:paraId="0260A712" w14:textId="4CC9DB28" w:rsidR="00CC7D2C" w:rsidRPr="002176B5" w:rsidRDefault="00CC7D2C" w:rsidP="00320EFD">
            <w:pPr>
              <w:pStyle w:val="InstructionsText"/>
            </w:pPr>
            <w:r w:rsidRPr="002176B5">
              <w:t>Článok 4 ods. 1 bod 114</w:t>
            </w:r>
            <w:r w:rsidR="002176B5">
              <w:t xml:space="preserve"> a </w:t>
            </w:r>
            <w:r w:rsidRPr="002176B5">
              <w:t>článok 45 nariadenia (EÚ) č. 575/2013</w:t>
            </w:r>
          </w:p>
          <w:p w14:paraId="50F604F3" w14:textId="44D43CEC" w:rsidR="00CC7D2C" w:rsidRPr="002176B5" w:rsidRDefault="00CC7D2C" w:rsidP="00320EFD">
            <w:pPr>
              <w:pStyle w:val="InstructionsText"/>
            </w:pPr>
            <w:r w:rsidRPr="002176B5">
              <w:lastRenderedPageBreak/>
              <w:t>Článkom 45 písm. a) nariadenia (EÚ) č. 575/2013 sa povoľujú kompenzačné krátke pozície</w:t>
            </w:r>
            <w:r w:rsidR="002176B5">
              <w:t xml:space="preserve"> v </w:t>
            </w:r>
            <w:r w:rsidRPr="002176B5">
              <w:t>rovnakej podkladovej expozícii pod podmienkou, že dátum splatnosti krátkej pozície je buď rovnaký alebo neskorší ako dátum splatnosti dlhej pozície, alebo zostatková splatnosť krátkej pozície je najmenej jeden rok.</w:t>
            </w:r>
          </w:p>
        </w:tc>
      </w:tr>
      <w:tr w:rsidR="00CC7D2C" w:rsidRPr="002176B5" w14:paraId="069A7FC4" w14:textId="77777777" w:rsidTr="00822842">
        <w:tc>
          <w:tcPr>
            <w:tcW w:w="1474" w:type="dxa"/>
          </w:tcPr>
          <w:p w14:paraId="7D4B5B9E" w14:textId="77777777" w:rsidR="00CC7D2C" w:rsidRPr="002176B5" w:rsidRDefault="00CC7D2C" w:rsidP="00320EFD">
            <w:pPr>
              <w:pStyle w:val="InstructionsText"/>
            </w:pPr>
            <w:r w:rsidRPr="002176B5">
              <w:lastRenderedPageBreak/>
              <w:t>0501</w:t>
            </w:r>
          </w:p>
        </w:tc>
        <w:tc>
          <w:tcPr>
            <w:tcW w:w="7049" w:type="dxa"/>
          </w:tcPr>
          <w:p w14:paraId="4F06B854" w14:textId="20A38864" w:rsidR="00CC7D2C" w:rsidRPr="002176B5" w:rsidRDefault="00CC7D2C" w:rsidP="00320EFD">
            <w:pPr>
              <w:pStyle w:val="InstructionsText"/>
            </w:pPr>
            <w:r w:rsidRPr="002176B5">
              <w:rPr>
                <w:rStyle w:val="InstructionsTabelleberschrift"/>
                <w:rFonts w:ascii="Times New Roman" w:hAnsi="Times New Roman"/>
                <w:sz w:val="24"/>
              </w:rPr>
              <w:t>15.3.</w:t>
            </w:r>
            <w:r w:rsidRPr="002176B5">
              <w:tab/>
            </w:r>
            <w:r w:rsidRPr="002176B5">
              <w:rPr>
                <w:rStyle w:val="InstructionsTabelleberschrift"/>
                <w:rFonts w:ascii="Times New Roman" w:hAnsi="Times New Roman"/>
                <w:sz w:val="24"/>
              </w:rPr>
              <w:t>Syntetické podiely kapitálu CET1 subjektov finančného sektora,</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ktorých inštitúcia má významnú investíciu</w:t>
            </w:r>
          </w:p>
          <w:p w14:paraId="4FDA5923" w14:textId="4333B9E5" w:rsidR="00CC7D2C" w:rsidRPr="002176B5" w:rsidRDefault="00CC7D2C" w:rsidP="00320EFD">
            <w:pPr>
              <w:pStyle w:val="InstructionsText"/>
            </w:pPr>
            <w:r w:rsidRPr="002176B5">
              <w:t>Článok 4 ods. 1 bod 126</w:t>
            </w:r>
            <w:r w:rsidR="002176B5">
              <w:t xml:space="preserve"> a </w:t>
            </w:r>
            <w:r w:rsidRPr="002176B5">
              <w:t>články 44</w:t>
            </w:r>
            <w:r w:rsidR="002176B5">
              <w:t xml:space="preserve"> a </w:t>
            </w:r>
            <w:r w:rsidRPr="002176B5">
              <w:t>45 nariadenia (EÚ) č. 575/2013</w:t>
            </w:r>
          </w:p>
        </w:tc>
      </w:tr>
      <w:tr w:rsidR="00CC7D2C" w:rsidRPr="002176B5" w14:paraId="39E8504B" w14:textId="77777777" w:rsidTr="00822842">
        <w:tc>
          <w:tcPr>
            <w:tcW w:w="1474" w:type="dxa"/>
          </w:tcPr>
          <w:p w14:paraId="702432D4" w14:textId="77777777" w:rsidR="00CC7D2C" w:rsidRPr="002176B5" w:rsidRDefault="00CC7D2C" w:rsidP="00320EFD">
            <w:pPr>
              <w:pStyle w:val="InstructionsText"/>
            </w:pPr>
            <w:r w:rsidRPr="002176B5">
              <w:t>0502</w:t>
            </w:r>
          </w:p>
        </w:tc>
        <w:tc>
          <w:tcPr>
            <w:tcW w:w="7049" w:type="dxa"/>
          </w:tcPr>
          <w:p w14:paraId="37BEEACC" w14:textId="65103F59" w:rsidR="00CC7D2C" w:rsidRPr="002176B5" w:rsidRDefault="00CC7D2C" w:rsidP="00320EFD">
            <w:pPr>
              <w:pStyle w:val="InstructionsText"/>
            </w:pPr>
            <w:r w:rsidRPr="002176B5">
              <w:rPr>
                <w:rStyle w:val="InstructionsTabelleberschrift"/>
                <w:rFonts w:ascii="Times New Roman" w:hAnsi="Times New Roman"/>
                <w:sz w:val="24"/>
              </w:rPr>
              <w:t>15.3.1.</w:t>
            </w:r>
            <w:r w:rsidRPr="002176B5">
              <w:tab/>
            </w:r>
            <w:r w:rsidRPr="002176B5">
              <w:rPr>
                <w:rStyle w:val="InstructionsTabelleberschrift"/>
                <w:rFonts w:ascii="Times New Roman" w:hAnsi="Times New Roman"/>
                <w:sz w:val="24"/>
              </w:rPr>
              <w:t>Brutto syntetické podiely kapitálu CET1 subjektov finančného sektora,</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ktorých inštitúcia má významnú investíciu</w:t>
            </w:r>
          </w:p>
          <w:p w14:paraId="324270A6" w14:textId="7BB30E0A" w:rsidR="00CC7D2C" w:rsidRPr="002176B5" w:rsidRDefault="00CC7D2C" w:rsidP="00320EFD">
            <w:pPr>
              <w:pStyle w:val="InstructionsText"/>
            </w:pPr>
            <w:r w:rsidRPr="002176B5">
              <w:t>Článok 4 ods. 1 bod 126</w:t>
            </w:r>
            <w:r w:rsidR="002176B5">
              <w:t xml:space="preserve"> a </w:t>
            </w:r>
            <w:r w:rsidRPr="002176B5">
              <w:t>články 44</w:t>
            </w:r>
            <w:r w:rsidR="002176B5">
              <w:t xml:space="preserve"> a </w:t>
            </w:r>
            <w:r w:rsidRPr="002176B5">
              <w:t>45 nariadenia (EÚ) č. 575/2013</w:t>
            </w:r>
          </w:p>
        </w:tc>
      </w:tr>
      <w:tr w:rsidR="00CC7D2C" w:rsidRPr="002176B5" w14:paraId="1FCF3A8A" w14:textId="77777777" w:rsidTr="00822842">
        <w:tc>
          <w:tcPr>
            <w:tcW w:w="1474" w:type="dxa"/>
          </w:tcPr>
          <w:p w14:paraId="205D2BBC" w14:textId="77777777" w:rsidR="00CC7D2C" w:rsidRPr="002176B5" w:rsidRDefault="00CC7D2C" w:rsidP="00320EFD">
            <w:pPr>
              <w:pStyle w:val="InstructionsText"/>
            </w:pPr>
            <w:r w:rsidRPr="002176B5">
              <w:t>0503</w:t>
            </w:r>
          </w:p>
        </w:tc>
        <w:tc>
          <w:tcPr>
            <w:tcW w:w="7049" w:type="dxa"/>
          </w:tcPr>
          <w:p w14:paraId="316380A6" w14:textId="351A15AF" w:rsidR="00CC7D2C" w:rsidRPr="002176B5" w:rsidRDefault="00CC7D2C" w:rsidP="00320EFD">
            <w:pPr>
              <w:pStyle w:val="InstructionsText"/>
            </w:pPr>
            <w:r w:rsidRPr="002176B5">
              <w:rPr>
                <w:rStyle w:val="InstructionsTabelleberschrift"/>
                <w:rFonts w:ascii="Times New Roman" w:hAnsi="Times New Roman"/>
                <w:sz w:val="24"/>
              </w:rPr>
              <w:t>15.3.2.</w:t>
            </w:r>
            <w:r w:rsidRPr="002176B5">
              <w:tab/>
            </w:r>
            <w:r w:rsidRPr="002176B5">
              <w:rPr>
                <w:rStyle w:val="InstructionsTabelleberschrift"/>
                <w:rFonts w:ascii="Times New Roman" w:hAnsi="Times New Roman"/>
                <w:sz w:val="24"/>
              </w:rPr>
              <w:t>(–) Povolené kompenzačné krátke pozície</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súvislosti</w:t>
            </w:r>
            <w:r w:rsidR="002176B5">
              <w:rPr>
                <w:rStyle w:val="InstructionsTabelleberschrift"/>
                <w:rFonts w:ascii="Times New Roman" w:hAnsi="Times New Roman"/>
                <w:sz w:val="24"/>
              </w:rPr>
              <w:t xml:space="preserve"> s </w:t>
            </w:r>
            <w:r w:rsidRPr="002176B5">
              <w:rPr>
                <w:rStyle w:val="InstructionsTabelleberschrift"/>
                <w:rFonts w:ascii="Times New Roman" w:hAnsi="Times New Roman"/>
                <w:sz w:val="24"/>
              </w:rPr>
              <w:t>brutto syntetickými podielmi uvedenými vyššie</w:t>
            </w:r>
          </w:p>
          <w:p w14:paraId="514B205E" w14:textId="598A60AA" w:rsidR="00CC7D2C" w:rsidRPr="002176B5" w:rsidRDefault="00CC7D2C" w:rsidP="00320EFD">
            <w:pPr>
              <w:pStyle w:val="InstructionsText"/>
            </w:pPr>
            <w:r w:rsidRPr="002176B5">
              <w:t>Článok 4 ods. 1 bod 126</w:t>
            </w:r>
            <w:r w:rsidR="002176B5">
              <w:t xml:space="preserve"> a </w:t>
            </w:r>
            <w:r w:rsidRPr="002176B5">
              <w:t>článok 45 nariadenia (EÚ) č. 575/2013</w:t>
            </w:r>
          </w:p>
          <w:p w14:paraId="4A259B9A" w14:textId="6321D7EB" w:rsidR="00CC7D2C" w:rsidRPr="002176B5" w:rsidRDefault="00CC7D2C" w:rsidP="00320EFD">
            <w:pPr>
              <w:pStyle w:val="InstructionsText"/>
            </w:pPr>
            <w:r w:rsidRPr="002176B5">
              <w:t>Článkom 45 písm. a) nariadenia (EÚ) č. 575/2013 sa povoľujú kompenzačné krátke pozície</w:t>
            </w:r>
            <w:r w:rsidR="002176B5">
              <w:t xml:space="preserve"> v </w:t>
            </w:r>
            <w:r w:rsidRPr="002176B5">
              <w:t>rovnakej podkladovej expozícii pod podmienkou, že dátum splatnosti krátkej pozície je buď rovnaký alebo neskorší ako dátum splatnosti dlhej pozície, alebo zostatková splatnosť krátkej pozície je najmenej jeden rok.</w:t>
            </w:r>
          </w:p>
        </w:tc>
      </w:tr>
      <w:tr w:rsidR="00CC7D2C" w:rsidRPr="002176B5" w14:paraId="7FC3D32E" w14:textId="77777777" w:rsidTr="00822842">
        <w:tc>
          <w:tcPr>
            <w:tcW w:w="1474" w:type="dxa"/>
          </w:tcPr>
          <w:p w14:paraId="6C058092" w14:textId="77777777" w:rsidR="00CC7D2C" w:rsidRPr="002176B5" w:rsidRDefault="00CC7D2C" w:rsidP="00320EFD">
            <w:pPr>
              <w:pStyle w:val="InstructionsText"/>
            </w:pPr>
            <w:r w:rsidRPr="002176B5">
              <w:t>0504</w:t>
            </w:r>
          </w:p>
        </w:tc>
        <w:tc>
          <w:tcPr>
            <w:tcW w:w="7049" w:type="dxa"/>
          </w:tcPr>
          <w:p w14:paraId="2A2242F9" w14:textId="2D1DF599"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Investície do kapitálu CET1 subjektov finančného sektora,</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ktorých inštitúcia má významnú investíciu – podliehajúce rizikovej váhe 250</w:t>
            </w:r>
            <w:r w:rsidR="002176B5">
              <w:rPr>
                <w:rStyle w:val="InstructionsTabelleberschrift"/>
                <w:rFonts w:ascii="Times New Roman" w:hAnsi="Times New Roman"/>
                <w:sz w:val="24"/>
              </w:rPr>
              <w:t> %</w:t>
            </w:r>
          </w:p>
          <w:p w14:paraId="7F700D84" w14:textId="77777777" w:rsidR="00CC7D2C" w:rsidRPr="002176B5" w:rsidRDefault="00CC7D2C" w:rsidP="00320EFD">
            <w:pPr>
              <w:pStyle w:val="InstructionsText"/>
            </w:pPr>
            <w:r w:rsidRPr="002176B5">
              <w:t>Článok 48 ods. 4 nariadenia (EÚ) č. 575/2013</w:t>
            </w:r>
          </w:p>
          <w:p w14:paraId="08C3709A" w14:textId="1777DDAD" w:rsidR="00CC7D2C" w:rsidRPr="002176B5" w:rsidRDefault="00CC7D2C" w:rsidP="00320EFD">
            <w:pPr>
              <w:pStyle w:val="InstructionsText"/>
            </w:pPr>
            <w:r w:rsidRPr="002176B5">
              <w:t>Hodnota významných investícií do kapitálu CET1 subjektov finančného sektora, ktoré sa neodpočítavajú podľa článku 48 ods. 1 nariadenia (EÚ) č. 575/2013, ale ktoré podliehajú rizikovej váhe 250</w:t>
            </w:r>
            <w:r w:rsidR="002176B5">
              <w:t> % v </w:t>
            </w:r>
            <w:r w:rsidRPr="002176B5">
              <w:t>súlade</w:t>
            </w:r>
            <w:r w:rsidR="002176B5">
              <w:t xml:space="preserve"> s </w:t>
            </w:r>
            <w:r w:rsidRPr="002176B5">
              <w:t>článkom 48 ods. 4 uvedeného nariadenia.</w:t>
            </w:r>
          </w:p>
          <w:p w14:paraId="4CC369EF" w14:textId="77777777" w:rsidR="00CC7D2C" w:rsidRPr="002176B5" w:rsidRDefault="00CC7D2C" w:rsidP="00320EFD">
            <w:pPr>
              <w:pStyle w:val="InstructionsText"/>
              <w:rPr>
                <w:rStyle w:val="InstructionsTabelleberschrift"/>
                <w:rFonts w:ascii="Times New Roman" w:hAnsi="Times New Roman"/>
                <w:sz w:val="24"/>
              </w:rPr>
            </w:pPr>
            <w:r w:rsidRPr="002176B5">
              <w:t>Vykázaná hodnota je hodnota významných investícií pred uplatnením rizikových váh.</w:t>
            </w:r>
          </w:p>
        </w:tc>
      </w:tr>
      <w:tr w:rsidR="00CC7D2C" w:rsidRPr="002176B5" w14:paraId="17CC32B9" w14:textId="77777777" w:rsidTr="00822842">
        <w:tc>
          <w:tcPr>
            <w:tcW w:w="1474" w:type="dxa"/>
          </w:tcPr>
          <w:p w14:paraId="1689985B" w14:textId="77777777" w:rsidR="00CC7D2C" w:rsidRPr="002176B5" w:rsidRDefault="00CC7D2C" w:rsidP="00320EFD">
            <w:pPr>
              <w:pStyle w:val="InstructionsText"/>
            </w:pPr>
            <w:r w:rsidRPr="002176B5">
              <w:t>0510</w:t>
            </w:r>
          </w:p>
        </w:tc>
        <w:tc>
          <w:tcPr>
            <w:tcW w:w="7049" w:type="dxa"/>
          </w:tcPr>
          <w:p w14:paraId="37A68C4A" w14:textId="1C6109F3" w:rsidR="00CC7D2C" w:rsidRPr="002176B5" w:rsidRDefault="00CC7D2C" w:rsidP="00320EFD">
            <w:pPr>
              <w:pStyle w:val="InstructionsText"/>
            </w:pPr>
            <w:r w:rsidRPr="002176B5">
              <w:rPr>
                <w:rStyle w:val="InstructionsTabelleberschrift"/>
                <w:rFonts w:ascii="Times New Roman" w:hAnsi="Times New Roman"/>
                <w:sz w:val="24"/>
              </w:rPr>
              <w:t>16. Podiely kapitálu AT1 subjektov finančného sektora,</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ktorých inštitúcia má významnú investíciu, po odpočítaní krátkych pozícií</w:t>
            </w:r>
          </w:p>
          <w:p w14:paraId="0B60B353" w14:textId="3E2C6EA9" w:rsidR="00CC7D2C" w:rsidRPr="002176B5" w:rsidRDefault="00CC7D2C" w:rsidP="00320EFD">
            <w:pPr>
              <w:pStyle w:val="InstructionsText"/>
            </w:pPr>
            <w:r w:rsidRPr="002176B5">
              <w:t>Články 58</w:t>
            </w:r>
            <w:r w:rsidR="002176B5">
              <w:t xml:space="preserve"> a </w:t>
            </w:r>
            <w:r w:rsidRPr="002176B5">
              <w:t>59 nariadenia (EÚ) č. 575/2013</w:t>
            </w:r>
          </w:p>
        </w:tc>
      </w:tr>
      <w:tr w:rsidR="00CC7D2C" w:rsidRPr="002176B5" w14:paraId="3BA4BEFE" w14:textId="77777777" w:rsidTr="00822842">
        <w:tc>
          <w:tcPr>
            <w:tcW w:w="1474" w:type="dxa"/>
          </w:tcPr>
          <w:p w14:paraId="0FC2A632" w14:textId="77777777" w:rsidR="00CC7D2C" w:rsidRPr="002176B5" w:rsidRDefault="00CC7D2C" w:rsidP="00320EFD">
            <w:pPr>
              <w:pStyle w:val="InstructionsText"/>
            </w:pPr>
            <w:r w:rsidRPr="002176B5">
              <w:t>0520</w:t>
            </w:r>
          </w:p>
        </w:tc>
        <w:tc>
          <w:tcPr>
            <w:tcW w:w="7049" w:type="dxa"/>
          </w:tcPr>
          <w:p w14:paraId="396E8E7A" w14:textId="6C26B520" w:rsidR="00CC7D2C" w:rsidRPr="002176B5" w:rsidRDefault="00CC7D2C" w:rsidP="00320EFD">
            <w:pPr>
              <w:pStyle w:val="InstructionsText"/>
            </w:pPr>
            <w:r w:rsidRPr="002176B5">
              <w:rPr>
                <w:rStyle w:val="InstructionsTabelleberschrift"/>
                <w:rFonts w:ascii="Times New Roman" w:hAnsi="Times New Roman"/>
                <w:sz w:val="24"/>
              </w:rPr>
              <w:t>16.1.</w:t>
            </w:r>
            <w:r w:rsidRPr="002176B5">
              <w:tab/>
            </w:r>
            <w:r w:rsidRPr="002176B5">
              <w:rPr>
                <w:rStyle w:val="InstructionsTabelleberschrift"/>
                <w:rFonts w:ascii="Times New Roman" w:hAnsi="Times New Roman"/>
                <w:sz w:val="24"/>
              </w:rPr>
              <w:t>Priame podiely kapitálu AT1 subjektov finančného sektora,</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ktorých inštitúcia má významnú investíciu</w:t>
            </w:r>
          </w:p>
          <w:p w14:paraId="615CAEA4" w14:textId="528F6868" w:rsidR="00CC7D2C" w:rsidRPr="002176B5" w:rsidRDefault="00CC7D2C" w:rsidP="00320EFD">
            <w:pPr>
              <w:pStyle w:val="InstructionsText"/>
            </w:pPr>
            <w:r w:rsidRPr="002176B5">
              <w:t>Články 58</w:t>
            </w:r>
            <w:r w:rsidR="002176B5">
              <w:t xml:space="preserve"> a </w:t>
            </w:r>
            <w:r w:rsidRPr="002176B5">
              <w:t>59 nariadenia (EÚ) č. 575/2013</w:t>
            </w:r>
          </w:p>
        </w:tc>
      </w:tr>
      <w:tr w:rsidR="00CC7D2C" w:rsidRPr="002176B5" w14:paraId="4BE82DE3" w14:textId="77777777" w:rsidTr="00822842">
        <w:tc>
          <w:tcPr>
            <w:tcW w:w="1474" w:type="dxa"/>
          </w:tcPr>
          <w:p w14:paraId="3A3FE1F4" w14:textId="77777777" w:rsidR="00CC7D2C" w:rsidRPr="002176B5" w:rsidRDefault="00CC7D2C" w:rsidP="00320EFD">
            <w:pPr>
              <w:pStyle w:val="InstructionsText"/>
            </w:pPr>
            <w:r w:rsidRPr="002176B5">
              <w:lastRenderedPageBreak/>
              <w:t>0530</w:t>
            </w:r>
          </w:p>
        </w:tc>
        <w:tc>
          <w:tcPr>
            <w:tcW w:w="7049" w:type="dxa"/>
          </w:tcPr>
          <w:p w14:paraId="3FCC12A6" w14:textId="192FE7CA" w:rsidR="00CC7D2C" w:rsidRPr="002176B5" w:rsidRDefault="00CC7D2C" w:rsidP="00320EFD">
            <w:pPr>
              <w:pStyle w:val="InstructionsText"/>
            </w:pPr>
            <w:r w:rsidRPr="002176B5">
              <w:rPr>
                <w:rStyle w:val="InstructionsTabelleberschrift"/>
                <w:rFonts w:ascii="Times New Roman" w:hAnsi="Times New Roman"/>
                <w:sz w:val="24"/>
              </w:rPr>
              <w:t>16.1.1.</w:t>
            </w:r>
            <w:r w:rsidRPr="002176B5">
              <w:tab/>
            </w:r>
            <w:r w:rsidRPr="002176B5">
              <w:rPr>
                <w:rStyle w:val="InstructionsTabelleberschrift"/>
                <w:rFonts w:ascii="Times New Roman" w:hAnsi="Times New Roman"/>
                <w:sz w:val="24"/>
              </w:rPr>
              <w:t>Brutto priame podiely kapitálu AT1 subjektov finančného sektora,</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ktorých inštitúcia má významnú investíciu</w:t>
            </w:r>
          </w:p>
          <w:p w14:paraId="12F44F50" w14:textId="77777777" w:rsidR="00CC7D2C" w:rsidRPr="002176B5" w:rsidRDefault="00CC7D2C" w:rsidP="00320EFD">
            <w:pPr>
              <w:pStyle w:val="InstructionsText"/>
            </w:pPr>
            <w:r w:rsidRPr="002176B5">
              <w:t>Článok 58 nariadenia (EÚ) č. 575/2013</w:t>
            </w:r>
          </w:p>
          <w:p w14:paraId="41935DD8" w14:textId="77777777" w:rsidR="00CC7D2C" w:rsidRPr="002176B5" w:rsidRDefault="00CC7D2C" w:rsidP="00320EFD">
            <w:pPr>
              <w:pStyle w:val="InstructionsText"/>
            </w:pPr>
            <w:r w:rsidRPr="002176B5">
              <w:t>Priame podiely kapitálu AT1 subjektov finančného sektora, keď inštitúcia má významnú investíciu, bez:</w:t>
            </w:r>
          </w:p>
          <w:p w14:paraId="4D8400A2" w14:textId="6AFAFEA6" w:rsidR="00CC7D2C" w:rsidRPr="002176B5" w:rsidRDefault="00CC7D2C" w:rsidP="00320EFD">
            <w:pPr>
              <w:pStyle w:val="InstructionsText"/>
            </w:pPr>
            <w:r w:rsidRPr="002176B5">
              <w:t>a)</w:t>
            </w:r>
            <w:r w:rsidRPr="002176B5">
              <w:tab/>
              <w:t>pozícií</w:t>
            </w:r>
            <w:r w:rsidR="002176B5">
              <w:t xml:space="preserve"> z </w:t>
            </w:r>
            <w:r w:rsidRPr="002176B5">
              <w:t>upísania držaných päť pracovných dní alebo menej [článok 56 písm. d) nariadenia (EÚ) č. 575/2013]; a</w:t>
            </w:r>
          </w:p>
          <w:p w14:paraId="5C192689" w14:textId="58FA927F" w:rsidR="00CC7D2C" w:rsidRPr="002176B5" w:rsidRDefault="00CC7D2C" w:rsidP="00320EFD">
            <w:pPr>
              <w:pStyle w:val="InstructionsText"/>
            </w:pPr>
            <w:r w:rsidRPr="002176B5">
              <w:t>b)</w:t>
            </w:r>
            <w:r w:rsidRPr="002176B5">
              <w:tab/>
              <w:t>podielov,</w:t>
            </w:r>
            <w:r w:rsidR="002176B5">
              <w:t xml:space="preserve"> s </w:t>
            </w:r>
            <w:r w:rsidRPr="002176B5">
              <w:t>ktorými sa zaobchádza ako</w:t>
            </w:r>
            <w:r w:rsidR="002176B5">
              <w:t xml:space="preserve"> s </w:t>
            </w:r>
            <w:r w:rsidRPr="002176B5">
              <w:t>recipročnými krížovými podielmi</w:t>
            </w:r>
            <w:r w:rsidR="002176B5">
              <w:t xml:space="preserve"> v </w:t>
            </w:r>
            <w:r w:rsidRPr="002176B5">
              <w:t>súlade</w:t>
            </w:r>
            <w:r w:rsidR="002176B5">
              <w:t xml:space="preserve"> s </w:t>
            </w:r>
            <w:r w:rsidRPr="002176B5">
              <w:t>článkom 56 písm. b) nariadenia (EÚ) č. 575/2013.</w:t>
            </w:r>
          </w:p>
        </w:tc>
      </w:tr>
      <w:tr w:rsidR="00CC7D2C" w:rsidRPr="002176B5" w14:paraId="1D1E9595" w14:textId="77777777" w:rsidTr="00822842">
        <w:tc>
          <w:tcPr>
            <w:tcW w:w="1474" w:type="dxa"/>
          </w:tcPr>
          <w:p w14:paraId="25352852" w14:textId="77777777" w:rsidR="00CC7D2C" w:rsidRPr="002176B5" w:rsidRDefault="00CC7D2C" w:rsidP="00320EFD">
            <w:pPr>
              <w:pStyle w:val="InstructionsText"/>
            </w:pPr>
            <w:r w:rsidRPr="002176B5">
              <w:t>0540</w:t>
            </w:r>
          </w:p>
        </w:tc>
        <w:tc>
          <w:tcPr>
            <w:tcW w:w="7049" w:type="dxa"/>
          </w:tcPr>
          <w:p w14:paraId="035896E1" w14:textId="7B4EB4FF" w:rsidR="00CC7D2C" w:rsidRPr="002176B5" w:rsidRDefault="00CC7D2C" w:rsidP="00320EFD">
            <w:pPr>
              <w:pStyle w:val="InstructionsText"/>
            </w:pPr>
            <w:r w:rsidRPr="002176B5">
              <w:rPr>
                <w:rStyle w:val="InstructionsTabelleberschrift"/>
                <w:rFonts w:ascii="Times New Roman" w:hAnsi="Times New Roman"/>
                <w:sz w:val="24"/>
              </w:rPr>
              <w:t>16.1.2.</w:t>
            </w:r>
            <w:r w:rsidRPr="002176B5">
              <w:tab/>
            </w:r>
            <w:r w:rsidRPr="002176B5">
              <w:rPr>
                <w:rStyle w:val="InstructionsTabelleberschrift"/>
                <w:rFonts w:ascii="Times New Roman" w:hAnsi="Times New Roman"/>
                <w:sz w:val="24"/>
              </w:rPr>
              <w:t>(–) Povolené kompenzačné krátke pozície</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súvislosti</w:t>
            </w:r>
            <w:r w:rsidR="002176B5">
              <w:rPr>
                <w:rStyle w:val="InstructionsTabelleberschrift"/>
                <w:rFonts w:ascii="Times New Roman" w:hAnsi="Times New Roman"/>
                <w:sz w:val="24"/>
              </w:rPr>
              <w:t xml:space="preserve"> s </w:t>
            </w:r>
            <w:r w:rsidRPr="002176B5">
              <w:rPr>
                <w:rStyle w:val="InstructionsTabelleberschrift"/>
                <w:rFonts w:ascii="Times New Roman" w:hAnsi="Times New Roman"/>
                <w:sz w:val="24"/>
              </w:rPr>
              <w:t>priamymi brutto podielmi uvedenými vyššie</w:t>
            </w:r>
          </w:p>
          <w:p w14:paraId="78A0D4FB" w14:textId="77777777" w:rsidR="00CC7D2C" w:rsidRPr="002176B5" w:rsidRDefault="00CC7D2C" w:rsidP="00320EFD">
            <w:pPr>
              <w:pStyle w:val="InstructionsText"/>
            </w:pPr>
            <w:r w:rsidRPr="002176B5">
              <w:t>Článok 59 nariadenia (EÚ) č. 575/2013</w:t>
            </w:r>
          </w:p>
          <w:p w14:paraId="4D179792" w14:textId="4C55F47A" w:rsidR="00CC7D2C" w:rsidRPr="002176B5" w:rsidRDefault="00CC7D2C" w:rsidP="00320EFD">
            <w:pPr>
              <w:pStyle w:val="InstructionsText"/>
            </w:pPr>
            <w:r w:rsidRPr="002176B5">
              <w:t>Článkom 59 písm. a) nariadenia (EÚ) č. 575/2013 sa povoľujú kompenzačné krátke pozície</w:t>
            </w:r>
            <w:r w:rsidR="002176B5">
              <w:t xml:space="preserve"> v </w:t>
            </w:r>
            <w:r w:rsidRPr="002176B5">
              <w:t>rovnakej podkladovej expozícii pod podmienkou, že dátum splatnosti krátkej pozície je buď rovnaký alebo neskorší ako dátum splatnosti dlhej pozície, alebo zostatková splatnosť krátkej pozície je najmenej jeden rok.</w:t>
            </w:r>
          </w:p>
        </w:tc>
      </w:tr>
      <w:tr w:rsidR="00CC7D2C" w:rsidRPr="002176B5" w14:paraId="5EB6D4E9" w14:textId="77777777" w:rsidTr="00822842">
        <w:tc>
          <w:tcPr>
            <w:tcW w:w="1474" w:type="dxa"/>
          </w:tcPr>
          <w:p w14:paraId="395D2AEE" w14:textId="77777777" w:rsidR="00CC7D2C" w:rsidRPr="002176B5" w:rsidRDefault="00CC7D2C" w:rsidP="00320EFD">
            <w:pPr>
              <w:pStyle w:val="InstructionsText"/>
            </w:pPr>
            <w:r w:rsidRPr="002176B5">
              <w:t>0550</w:t>
            </w:r>
          </w:p>
        </w:tc>
        <w:tc>
          <w:tcPr>
            <w:tcW w:w="7049" w:type="dxa"/>
          </w:tcPr>
          <w:p w14:paraId="4644AFF9" w14:textId="07F76313" w:rsidR="00CC7D2C" w:rsidRPr="002176B5" w:rsidRDefault="00CC7D2C" w:rsidP="00320EFD">
            <w:pPr>
              <w:pStyle w:val="InstructionsText"/>
            </w:pPr>
            <w:r w:rsidRPr="002176B5">
              <w:rPr>
                <w:rStyle w:val="InstructionsTabelleberschrift"/>
                <w:rFonts w:ascii="Times New Roman" w:hAnsi="Times New Roman"/>
                <w:sz w:val="24"/>
              </w:rPr>
              <w:t>16.2.</w:t>
            </w:r>
            <w:r w:rsidRPr="002176B5">
              <w:tab/>
            </w:r>
            <w:r w:rsidRPr="002176B5">
              <w:rPr>
                <w:rStyle w:val="InstructionsTabelleberschrift"/>
                <w:rFonts w:ascii="Times New Roman" w:hAnsi="Times New Roman"/>
                <w:sz w:val="24"/>
              </w:rPr>
              <w:t>Nepriame podiely kapitálu AT1 subjektov finančného sektora,</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ktorých inštitúcia má významnú investíciu</w:t>
            </w:r>
          </w:p>
          <w:p w14:paraId="541FB02F" w14:textId="176CB7F5" w:rsidR="00CC7D2C" w:rsidRPr="002176B5" w:rsidRDefault="00CC7D2C" w:rsidP="00320EFD">
            <w:pPr>
              <w:pStyle w:val="InstructionsText"/>
            </w:pPr>
            <w:r w:rsidRPr="002176B5">
              <w:t>Článok 4 ods. 1 bod 114</w:t>
            </w:r>
            <w:r w:rsidR="002176B5">
              <w:t xml:space="preserve"> a </w:t>
            </w:r>
            <w:r w:rsidRPr="002176B5">
              <w:t>články 58</w:t>
            </w:r>
            <w:r w:rsidR="002176B5">
              <w:t xml:space="preserve"> a </w:t>
            </w:r>
            <w:r w:rsidRPr="002176B5">
              <w:t>59 nariadenia (EÚ) č. 575/2013</w:t>
            </w:r>
          </w:p>
        </w:tc>
      </w:tr>
      <w:tr w:rsidR="00CC7D2C" w:rsidRPr="002176B5" w14:paraId="0E40D2F9" w14:textId="77777777" w:rsidTr="00822842">
        <w:tc>
          <w:tcPr>
            <w:tcW w:w="1474" w:type="dxa"/>
          </w:tcPr>
          <w:p w14:paraId="2712E6AE" w14:textId="77777777" w:rsidR="00CC7D2C" w:rsidRPr="002176B5" w:rsidRDefault="00CC7D2C" w:rsidP="00320EFD">
            <w:pPr>
              <w:pStyle w:val="InstructionsText"/>
            </w:pPr>
            <w:r w:rsidRPr="002176B5">
              <w:t>0560</w:t>
            </w:r>
          </w:p>
        </w:tc>
        <w:tc>
          <w:tcPr>
            <w:tcW w:w="7049" w:type="dxa"/>
          </w:tcPr>
          <w:p w14:paraId="1B287A9A" w14:textId="01D146EC" w:rsidR="00CC7D2C" w:rsidRPr="002176B5" w:rsidRDefault="00CC7D2C" w:rsidP="00320EFD">
            <w:pPr>
              <w:pStyle w:val="InstructionsText"/>
            </w:pPr>
            <w:r w:rsidRPr="002176B5">
              <w:rPr>
                <w:rStyle w:val="InstructionsTabelleberschrift"/>
                <w:rFonts w:ascii="Times New Roman" w:hAnsi="Times New Roman"/>
                <w:sz w:val="24"/>
              </w:rPr>
              <w:t>16.2.1.</w:t>
            </w:r>
            <w:r w:rsidRPr="002176B5">
              <w:tab/>
            </w:r>
            <w:r w:rsidRPr="002176B5">
              <w:rPr>
                <w:rStyle w:val="InstructionsTabelleberschrift"/>
                <w:rFonts w:ascii="Times New Roman" w:hAnsi="Times New Roman"/>
                <w:sz w:val="24"/>
              </w:rPr>
              <w:t>Brutto nepriame podiely kapitálu AT1 subjektov finančného sektora,</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ktorých inštitúcia má významnú investíciu</w:t>
            </w:r>
          </w:p>
          <w:p w14:paraId="7AF4342B" w14:textId="37F42DD8" w:rsidR="00CC7D2C" w:rsidRPr="002176B5" w:rsidRDefault="00CC7D2C" w:rsidP="00320EFD">
            <w:pPr>
              <w:pStyle w:val="InstructionsText"/>
            </w:pPr>
            <w:r w:rsidRPr="002176B5">
              <w:t>Článok 4 ods. 1 bod 114</w:t>
            </w:r>
            <w:r w:rsidR="002176B5">
              <w:t xml:space="preserve"> a </w:t>
            </w:r>
            <w:r w:rsidRPr="002176B5">
              <w:t>články 58</w:t>
            </w:r>
            <w:r w:rsidR="002176B5">
              <w:t xml:space="preserve"> a </w:t>
            </w:r>
            <w:r w:rsidRPr="002176B5">
              <w:t>59 nariadenia (EÚ) č. 575/2013</w:t>
            </w:r>
          </w:p>
          <w:p w14:paraId="058247BE" w14:textId="24C58127" w:rsidR="00CC7D2C" w:rsidRPr="002176B5" w:rsidRDefault="00CC7D2C" w:rsidP="00320EFD">
            <w:pPr>
              <w:pStyle w:val="InstructionsText"/>
            </w:pPr>
            <w:r w:rsidRPr="002176B5">
              <w:t>Vykazovaná hodnota sa rovná nepriamym podielom</w:t>
            </w:r>
            <w:r w:rsidR="002176B5">
              <w:t xml:space="preserve"> v </w:t>
            </w:r>
            <w:r w:rsidRPr="002176B5">
              <w:t>obchodnej knihe na kapitálových nástrojoch subjektov finančného sektora, ktoré sú vo forme podielov cenných papierov zaradených do indexu. Dosiahne sa vypočítaním podkladovej expozície voči kapitálovým nástrojom subjektov finančného sektora</w:t>
            </w:r>
            <w:r w:rsidR="002176B5">
              <w:t xml:space="preserve"> v </w:t>
            </w:r>
            <w:r w:rsidRPr="002176B5">
              <w:t>týchto indexoch.</w:t>
            </w:r>
          </w:p>
          <w:p w14:paraId="7206E9B6" w14:textId="21DE7C14" w:rsidR="00CC7D2C" w:rsidRPr="002176B5" w:rsidRDefault="00CC7D2C" w:rsidP="00320EFD">
            <w:pPr>
              <w:pStyle w:val="InstructionsText"/>
            </w:pPr>
            <w:r w:rsidRPr="002176B5">
              <w:t>Podiely,</w:t>
            </w:r>
            <w:r w:rsidR="002176B5">
              <w:t xml:space="preserve"> s </w:t>
            </w:r>
            <w:r w:rsidRPr="002176B5">
              <w:t>ktorými sa zaobchádza ako</w:t>
            </w:r>
            <w:r w:rsidR="002176B5">
              <w:t xml:space="preserve"> s </w:t>
            </w:r>
            <w:r w:rsidRPr="002176B5">
              <w:t>recipročnými krížovými podielmi</w:t>
            </w:r>
            <w:r w:rsidR="002176B5">
              <w:t xml:space="preserve"> v </w:t>
            </w:r>
            <w:r w:rsidRPr="002176B5">
              <w:t>súlade</w:t>
            </w:r>
            <w:r w:rsidR="002176B5">
              <w:t xml:space="preserve"> s </w:t>
            </w:r>
            <w:r w:rsidRPr="002176B5">
              <w:t>článkom 56 písm. b) nariadenia (EÚ) č. 575/2013, sa nezapočítavajú.</w:t>
            </w:r>
          </w:p>
        </w:tc>
      </w:tr>
      <w:tr w:rsidR="00CC7D2C" w:rsidRPr="002176B5" w14:paraId="2370C611" w14:textId="77777777" w:rsidTr="00822842">
        <w:tc>
          <w:tcPr>
            <w:tcW w:w="1474" w:type="dxa"/>
          </w:tcPr>
          <w:p w14:paraId="67EA44A4" w14:textId="77777777" w:rsidR="00CC7D2C" w:rsidRPr="002176B5" w:rsidRDefault="00CC7D2C" w:rsidP="00320EFD">
            <w:pPr>
              <w:pStyle w:val="InstructionsText"/>
            </w:pPr>
            <w:r w:rsidRPr="002176B5">
              <w:t>0570</w:t>
            </w:r>
          </w:p>
        </w:tc>
        <w:tc>
          <w:tcPr>
            <w:tcW w:w="7049" w:type="dxa"/>
          </w:tcPr>
          <w:p w14:paraId="21582B89" w14:textId="240833BA" w:rsidR="00CC7D2C" w:rsidRPr="002176B5" w:rsidRDefault="00CC7D2C" w:rsidP="00320EFD">
            <w:pPr>
              <w:pStyle w:val="InstructionsText"/>
            </w:pPr>
            <w:r w:rsidRPr="002176B5">
              <w:rPr>
                <w:rStyle w:val="InstructionsTabelleberschrift"/>
                <w:rFonts w:ascii="Times New Roman" w:hAnsi="Times New Roman"/>
                <w:sz w:val="24"/>
              </w:rPr>
              <w:t>16.2.2.</w:t>
            </w:r>
            <w:r w:rsidRPr="002176B5">
              <w:tab/>
            </w:r>
            <w:r w:rsidRPr="002176B5">
              <w:rPr>
                <w:rStyle w:val="InstructionsTabelleberschrift"/>
                <w:rFonts w:ascii="Times New Roman" w:hAnsi="Times New Roman"/>
                <w:sz w:val="24"/>
              </w:rPr>
              <w:t>(–) Povolené kompenzačné krátke pozície</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súvislosti</w:t>
            </w:r>
            <w:r w:rsidR="002176B5">
              <w:rPr>
                <w:rStyle w:val="InstructionsTabelleberschrift"/>
                <w:rFonts w:ascii="Times New Roman" w:hAnsi="Times New Roman"/>
                <w:sz w:val="24"/>
              </w:rPr>
              <w:t xml:space="preserve"> s </w:t>
            </w:r>
            <w:r w:rsidRPr="002176B5">
              <w:rPr>
                <w:rStyle w:val="InstructionsTabelleberschrift"/>
                <w:rFonts w:ascii="Times New Roman" w:hAnsi="Times New Roman"/>
                <w:sz w:val="24"/>
              </w:rPr>
              <w:t>nepriamymi brutto podielmi uvedenými vyššie</w:t>
            </w:r>
          </w:p>
          <w:p w14:paraId="4E8AE615" w14:textId="747C1B43" w:rsidR="00CC7D2C" w:rsidRPr="002176B5" w:rsidRDefault="00CC7D2C" w:rsidP="00320EFD">
            <w:pPr>
              <w:pStyle w:val="InstructionsText"/>
            </w:pPr>
            <w:r w:rsidRPr="002176B5">
              <w:t>Článok 4 ods. 1 bod 114</w:t>
            </w:r>
            <w:r w:rsidR="002176B5">
              <w:t xml:space="preserve"> a </w:t>
            </w:r>
            <w:r w:rsidRPr="002176B5">
              <w:t>článok 59 nariadenia (EÚ) č. 575/2013</w:t>
            </w:r>
          </w:p>
          <w:p w14:paraId="41A9A020" w14:textId="690D5278" w:rsidR="00CC7D2C" w:rsidRPr="002176B5" w:rsidRDefault="00CC7D2C" w:rsidP="00320EFD">
            <w:pPr>
              <w:pStyle w:val="InstructionsText"/>
            </w:pPr>
            <w:r w:rsidRPr="002176B5">
              <w:t>Článkom 59 písm. a) nariadenia (EÚ) č. 575/2013 sa povoľujú kompenzačné krátke pozície</w:t>
            </w:r>
            <w:r w:rsidR="002176B5">
              <w:t xml:space="preserve"> v </w:t>
            </w:r>
            <w:r w:rsidRPr="002176B5">
              <w:t xml:space="preserve">rovnakej podkladovej expozícii pod </w:t>
            </w:r>
            <w:r w:rsidRPr="002176B5">
              <w:lastRenderedPageBreak/>
              <w:t>podmienkou, že dátum splatnosti krátkej pozície je buď rovnaký alebo neskorší ako dátum splatnosti dlhej pozície, alebo zostatková splatnosť krátkej pozície je najmenej jeden rok.</w:t>
            </w:r>
          </w:p>
        </w:tc>
      </w:tr>
      <w:tr w:rsidR="00CC7D2C" w:rsidRPr="002176B5" w14:paraId="363F20CE" w14:textId="77777777" w:rsidTr="00822842">
        <w:tc>
          <w:tcPr>
            <w:tcW w:w="1474" w:type="dxa"/>
          </w:tcPr>
          <w:p w14:paraId="386B36DE" w14:textId="77777777" w:rsidR="00CC7D2C" w:rsidRPr="002176B5" w:rsidRDefault="00CC7D2C" w:rsidP="00320EFD">
            <w:pPr>
              <w:pStyle w:val="InstructionsText"/>
            </w:pPr>
            <w:r w:rsidRPr="002176B5">
              <w:lastRenderedPageBreak/>
              <w:t>0571</w:t>
            </w:r>
          </w:p>
        </w:tc>
        <w:tc>
          <w:tcPr>
            <w:tcW w:w="7049" w:type="dxa"/>
          </w:tcPr>
          <w:p w14:paraId="0424C170" w14:textId="0CD93E5B" w:rsidR="00CC7D2C" w:rsidRPr="002176B5" w:rsidRDefault="00CC7D2C" w:rsidP="00320EFD">
            <w:pPr>
              <w:pStyle w:val="InstructionsText"/>
            </w:pPr>
            <w:r w:rsidRPr="002176B5">
              <w:rPr>
                <w:rStyle w:val="InstructionsTabelleberschrift"/>
                <w:rFonts w:ascii="Times New Roman" w:hAnsi="Times New Roman"/>
                <w:sz w:val="24"/>
              </w:rPr>
              <w:t>16.3.</w:t>
            </w:r>
            <w:r w:rsidRPr="002176B5">
              <w:tab/>
            </w:r>
            <w:r w:rsidRPr="002176B5">
              <w:rPr>
                <w:rStyle w:val="InstructionsTabelleberschrift"/>
                <w:rFonts w:ascii="Times New Roman" w:hAnsi="Times New Roman"/>
                <w:sz w:val="24"/>
              </w:rPr>
              <w:t>Syntetické podiely kapitálu AT1 subjektov finančného sektora,</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ktorých inštitúcia má významnú investíciu</w:t>
            </w:r>
          </w:p>
          <w:p w14:paraId="111D908D" w14:textId="6FA2EB8D" w:rsidR="00CC7D2C" w:rsidRPr="002176B5" w:rsidRDefault="00CC7D2C" w:rsidP="00320EFD">
            <w:pPr>
              <w:pStyle w:val="InstructionsText"/>
              <w:rPr>
                <w:rStyle w:val="InstructionsTabelleberschrift"/>
                <w:rFonts w:ascii="Times New Roman" w:hAnsi="Times New Roman"/>
                <w:b w:val="0"/>
                <w:bCs w:val="0"/>
                <w:sz w:val="24"/>
                <w:u w:val="none"/>
              </w:rPr>
            </w:pPr>
            <w:r w:rsidRPr="002176B5">
              <w:t>Článok 4 ods. 1 bod 126</w:t>
            </w:r>
            <w:r w:rsidR="002176B5">
              <w:t xml:space="preserve"> a </w:t>
            </w:r>
            <w:r w:rsidRPr="002176B5">
              <w:t>články 58</w:t>
            </w:r>
            <w:r w:rsidR="002176B5">
              <w:t xml:space="preserve"> a </w:t>
            </w:r>
            <w:r w:rsidRPr="002176B5">
              <w:t>59 nariadenia (EÚ) č. 575/2013</w:t>
            </w:r>
          </w:p>
        </w:tc>
      </w:tr>
      <w:tr w:rsidR="00CC7D2C" w:rsidRPr="002176B5" w14:paraId="30D98AA6" w14:textId="77777777" w:rsidTr="00822842">
        <w:tc>
          <w:tcPr>
            <w:tcW w:w="1474" w:type="dxa"/>
          </w:tcPr>
          <w:p w14:paraId="2EDA3F6D" w14:textId="77777777" w:rsidR="00CC7D2C" w:rsidRPr="002176B5" w:rsidRDefault="00CC7D2C" w:rsidP="00320EFD">
            <w:pPr>
              <w:pStyle w:val="InstructionsText"/>
            </w:pPr>
            <w:r w:rsidRPr="002176B5">
              <w:t>0572</w:t>
            </w:r>
          </w:p>
        </w:tc>
        <w:tc>
          <w:tcPr>
            <w:tcW w:w="7049" w:type="dxa"/>
          </w:tcPr>
          <w:p w14:paraId="05C0021B" w14:textId="17724995" w:rsidR="00CC7D2C" w:rsidRPr="002176B5" w:rsidRDefault="00CC7D2C" w:rsidP="00320EFD">
            <w:pPr>
              <w:pStyle w:val="InstructionsText"/>
            </w:pPr>
            <w:r w:rsidRPr="002176B5">
              <w:rPr>
                <w:rStyle w:val="InstructionsTabelleberschrift"/>
                <w:rFonts w:ascii="Times New Roman" w:hAnsi="Times New Roman"/>
                <w:sz w:val="24"/>
              </w:rPr>
              <w:t>16.3.1.</w:t>
            </w:r>
            <w:r w:rsidRPr="002176B5">
              <w:tab/>
            </w:r>
            <w:r w:rsidRPr="002176B5">
              <w:rPr>
                <w:rStyle w:val="InstructionsTabelleberschrift"/>
                <w:rFonts w:ascii="Times New Roman" w:hAnsi="Times New Roman"/>
                <w:sz w:val="24"/>
              </w:rPr>
              <w:t>Brutto syntetické podiely kapitálu AT1 subjektov finančného sektora,</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ktorých inštitúcia má významnú investíciu</w:t>
            </w:r>
          </w:p>
          <w:p w14:paraId="321D808E" w14:textId="719328F4" w:rsidR="00CC7D2C" w:rsidRPr="002176B5" w:rsidRDefault="00CC7D2C" w:rsidP="00320EFD">
            <w:pPr>
              <w:pStyle w:val="InstructionsText"/>
              <w:rPr>
                <w:rStyle w:val="InstructionsTabelleberschrift"/>
                <w:rFonts w:ascii="Times New Roman" w:hAnsi="Times New Roman"/>
                <w:b w:val="0"/>
                <w:bCs w:val="0"/>
                <w:sz w:val="24"/>
                <w:u w:val="none"/>
              </w:rPr>
            </w:pPr>
            <w:r w:rsidRPr="002176B5">
              <w:t>Článok 4 ods. 1 bod 126</w:t>
            </w:r>
            <w:r w:rsidR="002176B5">
              <w:t xml:space="preserve"> a </w:t>
            </w:r>
            <w:r w:rsidRPr="002176B5">
              <w:t>články 58</w:t>
            </w:r>
            <w:r w:rsidR="002176B5">
              <w:t xml:space="preserve"> a </w:t>
            </w:r>
            <w:r w:rsidRPr="002176B5">
              <w:t>59 nariadenia (EÚ) č. 575/2013</w:t>
            </w:r>
          </w:p>
        </w:tc>
      </w:tr>
      <w:tr w:rsidR="00CC7D2C" w:rsidRPr="002176B5" w14:paraId="5508FF5B" w14:textId="77777777" w:rsidTr="00822842">
        <w:tc>
          <w:tcPr>
            <w:tcW w:w="1474" w:type="dxa"/>
          </w:tcPr>
          <w:p w14:paraId="24A8CB96" w14:textId="77777777" w:rsidR="00CC7D2C" w:rsidRPr="002176B5" w:rsidRDefault="00CC7D2C" w:rsidP="00320EFD">
            <w:pPr>
              <w:pStyle w:val="InstructionsText"/>
            </w:pPr>
            <w:r w:rsidRPr="002176B5">
              <w:t>0573</w:t>
            </w:r>
          </w:p>
        </w:tc>
        <w:tc>
          <w:tcPr>
            <w:tcW w:w="7049" w:type="dxa"/>
          </w:tcPr>
          <w:p w14:paraId="7A9705B1" w14:textId="6BFA8BC9" w:rsidR="00CC7D2C" w:rsidRPr="002176B5" w:rsidRDefault="00CC7D2C" w:rsidP="00320EFD">
            <w:pPr>
              <w:pStyle w:val="InstructionsText"/>
            </w:pPr>
            <w:r w:rsidRPr="002176B5">
              <w:rPr>
                <w:rStyle w:val="InstructionsTabelleberschrift"/>
                <w:rFonts w:ascii="Times New Roman" w:hAnsi="Times New Roman"/>
                <w:sz w:val="24"/>
              </w:rPr>
              <w:t>16.3.2.</w:t>
            </w:r>
            <w:r w:rsidRPr="002176B5">
              <w:tab/>
            </w:r>
            <w:r w:rsidRPr="002176B5">
              <w:rPr>
                <w:rStyle w:val="InstructionsTabelleberschrift"/>
                <w:rFonts w:ascii="Times New Roman" w:hAnsi="Times New Roman"/>
                <w:sz w:val="24"/>
              </w:rPr>
              <w:t>(–) Povolené kompenzačné krátke pozície</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súvislosti</w:t>
            </w:r>
            <w:r w:rsidR="002176B5">
              <w:rPr>
                <w:rStyle w:val="InstructionsTabelleberschrift"/>
                <w:rFonts w:ascii="Times New Roman" w:hAnsi="Times New Roman"/>
                <w:sz w:val="24"/>
              </w:rPr>
              <w:t xml:space="preserve"> s </w:t>
            </w:r>
            <w:r w:rsidRPr="002176B5">
              <w:rPr>
                <w:rStyle w:val="InstructionsTabelleberschrift"/>
                <w:rFonts w:ascii="Times New Roman" w:hAnsi="Times New Roman"/>
                <w:sz w:val="24"/>
              </w:rPr>
              <w:t>brutto syntetickými podielmi uvedenými vyššie</w:t>
            </w:r>
          </w:p>
          <w:p w14:paraId="0EC24D17" w14:textId="7D484EC0" w:rsidR="00CC7D2C" w:rsidRPr="002176B5" w:rsidRDefault="00CC7D2C" w:rsidP="00320EFD">
            <w:pPr>
              <w:pStyle w:val="InstructionsText"/>
            </w:pPr>
            <w:r w:rsidRPr="002176B5">
              <w:t>Článok 4 ods. 1 bod 126</w:t>
            </w:r>
            <w:r w:rsidR="002176B5">
              <w:t xml:space="preserve"> a </w:t>
            </w:r>
            <w:r w:rsidRPr="002176B5">
              <w:t>článok 59 nariadenia (EÚ) č. 575/2013</w:t>
            </w:r>
          </w:p>
          <w:p w14:paraId="4F143383" w14:textId="53375EE8" w:rsidR="00CC7D2C" w:rsidRPr="002176B5" w:rsidRDefault="00CC7D2C" w:rsidP="00320EFD">
            <w:pPr>
              <w:pStyle w:val="InstructionsText"/>
              <w:rPr>
                <w:rStyle w:val="InstructionsTabelleberschrift"/>
                <w:rFonts w:ascii="Times New Roman" w:hAnsi="Times New Roman"/>
                <w:b w:val="0"/>
                <w:bCs w:val="0"/>
                <w:sz w:val="24"/>
                <w:u w:val="none"/>
              </w:rPr>
            </w:pPr>
            <w:r w:rsidRPr="002176B5">
              <w:t xml:space="preserve">Článkom 59 písm. a) nariadenia (EÚ) č. 575/2013 sa </w:t>
            </w:r>
            <w:r w:rsidRPr="002176B5">
              <w:rPr>
                <w:rStyle w:val="InstructionsTabelleberschrift"/>
                <w:rFonts w:ascii="Times New Roman" w:hAnsi="Times New Roman"/>
                <w:b w:val="0"/>
                <w:sz w:val="24"/>
                <w:u w:val="none"/>
              </w:rPr>
              <w:t>povoľujú kompenzačné krátke pozície</w:t>
            </w:r>
            <w:r w:rsidR="002176B5">
              <w:rPr>
                <w:rStyle w:val="InstructionsTabelleberschrift"/>
                <w:rFonts w:ascii="Times New Roman" w:hAnsi="Times New Roman"/>
                <w:b w:val="0"/>
                <w:sz w:val="24"/>
                <w:u w:val="none"/>
              </w:rPr>
              <w:t xml:space="preserve"> v </w:t>
            </w:r>
            <w:r w:rsidRPr="002176B5">
              <w:rPr>
                <w:rStyle w:val="InstructionsTabelleberschrift"/>
                <w:rFonts w:ascii="Times New Roman" w:hAnsi="Times New Roman"/>
                <w:b w:val="0"/>
                <w:sz w:val="24"/>
                <w:u w:val="none"/>
              </w:rPr>
              <w:t>rovnakej podkladovej expozícii pod podmienkou, že dátum splatnosti krátkej pozície je buď rovnaký alebo neskorší ako dátum splatnosti dlhej pozície, alebo zostatková splatnosť krátkej pozície je najmenej jeden rok.</w:t>
            </w:r>
          </w:p>
        </w:tc>
      </w:tr>
      <w:tr w:rsidR="00CC7D2C" w:rsidRPr="002176B5" w14:paraId="71A70E5F" w14:textId="77777777" w:rsidTr="00822842">
        <w:tc>
          <w:tcPr>
            <w:tcW w:w="1474" w:type="dxa"/>
          </w:tcPr>
          <w:p w14:paraId="55392CEF" w14:textId="77777777" w:rsidR="00CC7D2C" w:rsidRPr="002176B5" w:rsidRDefault="00CC7D2C" w:rsidP="00320EFD">
            <w:pPr>
              <w:pStyle w:val="InstructionsText"/>
            </w:pPr>
            <w:r w:rsidRPr="002176B5">
              <w:t>0580</w:t>
            </w:r>
          </w:p>
        </w:tc>
        <w:tc>
          <w:tcPr>
            <w:tcW w:w="7049" w:type="dxa"/>
          </w:tcPr>
          <w:p w14:paraId="0D7DB5BA" w14:textId="648E57FE" w:rsidR="00CC7D2C" w:rsidRPr="002176B5" w:rsidRDefault="00CC7D2C" w:rsidP="00320EFD">
            <w:pPr>
              <w:pStyle w:val="InstructionsText"/>
            </w:pPr>
            <w:r w:rsidRPr="002176B5">
              <w:rPr>
                <w:rStyle w:val="InstructionsTabelleberschrift"/>
                <w:rFonts w:ascii="Times New Roman" w:hAnsi="Times New Roman"/>
                <w:sz w:val="24"/>
              </w:rPr>
              <w:t>17. Podiely kapitálu T2 subjektov finančného sektora,</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ktorých inštitúcia má významnú investíciu, po odpočítaní krátkych pozícií</w:t>
            </w:r>
          </w:p>
          <w:p w14:paraId="2AB15F70" w14:textId="1F02854A" w:rsidR="00CC7D2C" w:rsidRPr="002176B5" w:rsidRDefault="00CC7D2C" w:rsidP="00320EFD">
            <w:pPr>
              <w:pStyle w:val="InstructionsText"/>
            </w:pPr>
            <w:r w:rsidRPr="002176B5">
              <w:t>Články 68</w:t>
            </w:r>
            <w:r w:rsidR="002176B5">
              <w:t xml:space="preserve"> a </w:t>
            </w:r>
            <w:r w:rsidRPr="002176B5">
              <w:t>69 nariadenia (EÚ) č. 575/2013</w:t>
            </w:r>
          </w:p>
        </w:tc>
      </w:tr>
      <w:tr w:rsidR="00CC7D2C" w:rsidRPr="002176B5" w14:paraId="3465B7C9" w14:textId="77777777" w:rsidTr="00822842">
        <w:tc>
          <w:tcPr>
            <w:tcW w:w="1474" w:type="dxa"/>
          </w:tcPr>
          <w:p w14:paraId="30DF45AE" w14:textId="77777777" w:rsidR="00CC7D2C" w:rsidRPr="002176B5" w:rsidRDefault="00CC7D2C" w:rsidP="00320EFD">
            <w:pPr>
              <w:pStyle w:val="InstructionsText"/>
            </w:pPr>
            <w:r w:rsidRPr="002176B5">
              <w:t>0590</w:t>
            </w:r>
          </w:p>
        </w:tc>
        <w:tc>
          <w:tcPr>
            <w:tcW w:w="7049" w:type="dxa"/>
          </w:tcPr>
          <w:p w14:paraId="0080DEBC" w14:textId="031AA3BB" w:rsidR="00CC7D2C" w:rsidRPr="002176B5" w:rsidRDefault="00CC7D2C" w:rsidP="00320EFD">
            <w:pPr>
              <w:pStyle w:val="InstructionsText"/>
            </w:pPr>
            <w:r w:rsidRPr="002176B5">
              <w:rPr>
                <w:rStyle w:val="InstructionsTabelleberschrift"/>
                <w:rFonts w:ascii="Times New Roman" w:hAnsi="Times New Roman"/>
                <w:sz w:val="24"/>
              </w:rPr>
              <w:t>17.1.</w:t>
            </w:r>
            <w:r w:rsidRPr="002176B5">
              <w:tab/>
            </w:r>
            <w:r w:rsidRPr="002176B5">
              <w:rPr>
                <w:rStyle w:val="InstructionsTabelleberschrift"/>
                <w:rFonts w:ascii="Times New Roman" w:hAnsi="Times New Roman"/>
                <w:sz w:val="24"/>
              </w:rPr>
              <w:t>Priame podiely kapitálu T2 subjektov finančného sektora,</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ktorých inštitúcia má významnú investíciu</w:t>
            </w:r>
          </w:p>
          <w:p w14:paraId="6AED8073" w14:textId="6AE38A39" w:rsidR="00CC7D2C" w:rsidRPr="002176B5" w:rsidRDefault="00CC7D2C" w:rsidP="00320EFD">
            <w:pPr>
              <w:pStyle w:val="InstructionsText"/>
            </w:pPr>
            <w:r w:rsidRPr="002176B5">
              <w:t>Články 68</w:t>
            </w:r>
            <w:r w:rsidR="002176B5">
              <w:t xml:space="preserve"> a </w:t>
            </w:r>
            <w:r w:rsidRPr="002176B5">
              <w:t>69 nariadenia (EÚ) č. 575/2013</w:t>
            </w:r>
          </w:p>
        </w:tc>
      </w:tr>
      <w:tr w:rsidR="00CC7D2C" w:rsidRPr="002176B5" w14:paraId="55ED923E" w14:textId="77777777" w:rsidTr="00822842">
        <w:tc>
          <w:tcPr>
            <w:tcW w:w="1474" w:type="dxa"/>
          </w:tcPr>
          <w:p w14:paraId="3D4870B6" w14:textId="77777777" w:rsidR="00CC7D2C" w:rsidRPr="002176B5" w:rsidRDefault="00CC7D2C" w:rsidP="00320EFD">
            <w:pPr>
              <w:pStyle w:val="InstructionsText"/>
            </w:pPr>
            <w:r w:rsidRPr="002176B5">
              <w:t>0600</w:t>
            </w:r>
          </w:p>
        </w:tc>
        <w:tc>
          <w:tcPr>
            <w:tcW w:w="7049" w:type="dxa"/>
          </w:tcPr>
          <w:p w14:paraId="1F18D607" w14:textId="3B11E428" w:rsidR="00CC7D2C" w:rsidRPr="002176B5" w:rsidRDefault="00CC7D2C" w:rsidP="00320EFD">
            <w:pPr>
              <w:pStyle w:val="InstructionsText"/>
            </w:pPr>
            <w:r w:rsidRPr="002176B5">
              <w:rPr>
                <w:rStyle w:val="InstructionsTabelleberschrift"/>
                <w:rFonts w:ascii="Times New Roman" w:hAnsi="Times New Roman"/>
                <w:sz w:val="24"/>
              </w:rPr>
              <w:t>17.1.1.</w:t>
            </w:r>
            <w:r w:rsidRPr="002176B5">
              <w:tab/>
            </w:r>
            <w:r w:rsidRPr="002176B5">
              <w:rPr>
                <w:rStyle w:val="InstructionsTabelleberschrift"/>
                <w:rFonts w:ascii="Times New Roman" w:hAnsi="Times New Roman"/>
                <w:sz w:val="24"/>
              </w:rPr>
              <w:t>Brutto priame podiely kapitálu T2 subjektov finančného sektora,</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ktorých inštitúcia má významnú investíciu</w:t>
            </w:r>
          </w:p>
          <w:p w14:paraId="16D79134" w14:textId="77777777" w:rsidR="00CC7D2C" w:rsidRPr="002176B5" w:rsidRDefault="00CC7D2C" w:rsidP="00320EFD">
            <w:pPr>
              <w:pStyle w:val="InstructionsText"/>
            </w:pPr>
            <w:r w:rsidRPr="002176B5">
              <w:t>Článok 68 nariadenia (EÚ) č. 575/2013</w:t>
            </w:r>
          </w:p>
          <w:p w14:paraId="66EA3661" w14:textId="77777777" w:rsidR="00CC7D2C" w:rsidRPr="002176B5" w:rsidRDefault="00CC7D2C" w:rsidP="00320EFD">
            <w:pPr>
              <w:pStyle w:val="InstructionsText"/>
            </w:pPr>
            <w:r w:rsidRPr="002176B5">
              <w:t>Priame podiely kapitálu T2 subjektov finančného sektora, keď inštitúcia má významnú investíciu, bez:</w:t>
            </w:r>
          </w:p>
          <w:p w14:paraId="2DD58215" w14:textId="77777777" w:rsidR="002176B5" w:rsidRDefault="00CC7D2C" w:rsidP="00320EFD">
            <w:pPr>
              <w:pStyle w:val="InstructionsText"/>
            </w:pPr>
            <w:r w:rsidRPr="002176B5">
              <w:t>a)</w:t>
            </w:r>
            <w:r w:rsidRPr="002176B5">
              <w:tab/>
              <w:t>pozícií</w:t>
            </w:r>
            <w:r w:rsidR="002176B5">
              <w:t xml:space="preserve"> z </w:t>
            </w:r>
            <w:r w:rsidRPr="002176B5">
              <w:t>upísania držaných päť pracovných dní alebo menej [článok 66 písm. d) nariadenia (EÚ) č. 575/2013];</w:t>
            </w:r>
            <w:r w:rsidR="002176B5">
              <w:t xml:space="preserve"> a</w:t>
            </w:r>
          </w:p>
          <w:p w14:paraId="0945CD9C" w14:textId="1ADD10AD" w:rsidR="00CC7D2C" w:rsidRPr="002176B5" w:rsidRDefault="00CC7D2C" w:rsidP="00320EFD">
            <w:pPr>
              <w:pStyle w:val="InstructionsText"/>
            </w:pPr>
            <w:r w:rsidRPr="002176B5">
              <w:t>b)</w:t>
            </w:r>
            <w:r w:rsidRPr="002176B5">
              <w:tab/>
              <w:t>podielov,</w:t>
            </w:r>
            <w:r w:rsidR="002176B5">
              <w:t xml:space="preserve"> s </w:t>
            </w:r>
            <w:r w:rsidRPr="002176B5">
              <w:t>ktorými sa zaobchádza ako</w:t>
            </w:r>
            <w:r w:rsidR="002176B5">
              <w:t xml:space="preserve"> s </w:t>
            </w:r>
            <w:r w:rsidRPr="002176B5">
              <w:t>recipročnými krížovými podielmi</w:t>
            </w:r>
            <w:r w:rsidR="002176B5">
              <w:t xml:space="preserve"> v </w:t>
            </w:r>
            <w:r w:rsidRPr="002176B5">
              <w:t>súlade</w:t>
            </w:r>
            <w:r w:rsidR="002176B5">
              <w:t xml:space="preserve"> s </w:t>
            </w:r>
            <w:r w:rsidRPr="002176B5">
              <w:t>článkom 66 písm. b) nariadenia (EÚ) č. 575/2013.</w:t>
            </w:r>
          </w:p>
        </w:tc>
      </w:tr>
      <w:tr w:rsidR="00CC7D2C" w:rsidRPr="002176B5" w14:paraId="2EED4ED3" w14:textId="77777777" w:rsidTr="00822842">
        <w:tc>
          <w:tcPr>
            <w:tcW w:w="1474" w:type="dxa"/>
          </w:tcPr>
          <w:p w14:paraId="161033AF" w14:textId="77777777" w:rsidR="00CC7D2C" w:rsidRPr="002176B5" w:rsidRDefault="00CC7D2C" w:rsidP="00320EFD">
            <w:pPr>
              <w:pStyle w:val="InstructionsText"/>
            </w:pPr>
            <w:r w:rsidRPr="002176B5">
              <w:t>0610</w:t>
            </w:r>
          </w:p>
        </w:tc>
        <w:tc>
          <w:tcPr>
            <w:tcW w:w="7049" w:type="dxa"/>
          </w:tcPr>
          <w:p w14:paraId="069B8E47" w14:textId="5292021F" w:rsidR="00CC7D2C" w:rsidRPr="002176B5" w:rsidRDefault="00CC7D2C" w:rsidP="00320EFD">
            <w:pPr>
              <w:pStyle w:val="InstructionsText"/>
            </w:pPr>
            <w:r w:rsidRPr="002176B5">
              <w:rPr>
                <w:rStyle w:val="InstructionsTabelleberschrift"/>
                <w:rFonts w:ascii="Times New Roman" w:hAnsi="Times New Roman"/>
                <w:sz w:val="24"/>
              </w:rPr>
              <w:t>17.1.2.</w:t>
            </w:r>
            <w:r w:rsidRPr="002176B5">
              <w:tab/>
            </w:r>
            <w:r w:rsidRPr="002176B5">
              <w:rPr>
                <w:rStyle w:val="InstructionsTabelleberschrift"/>
                <w:rFonts w:ascii="Times New Roman" w:hAnsi="Times New Roman"/>
                <w:sz w:val="24"/>
              </w:rPr>
              <w:t>(–) Povolené kompenzačné krátke pozície</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súvislosti</w:t>
            </w:r>
            <w:r w:rsidR="002176B5">
              <w:rPr>
                <w:rStyle w:val="InstructionsTabelleberschrift"/>
                <w:rFonts w:ascii="Times New Roman" w:hAnsi="Times New Roman"/>
                <w:sz w:val="24"/>
              </w:rPr>
              <w:t xml:space="preserve"> s </w:t>
            </w:r>
            <w:r w:rsidRPr="002176B5">
              <w:rPr>
                <w:rStyle w:val="InstructionsTabelleberschrift"/>
                <w:rFonts w:ascii="Times New Roman" w:hAnsi="Times New Roman"/>
                <w:sz w:val="24"/>
              </w:rPr>
              <w:t>priamymi brutto podielmi uvedenými vyššie</w:t>
            </w:r>
          </w:p>
          <w:p w14:paraId="18ADFB22" w14:textId="77777777" w:rsidR="00CC7D2C" w:rsidRPr="002176B5" w:rsidRDefault="00CC7D2C" w:rsidP="00320EFD">
            <w:pPr>
              <w:pStyle w:val="InstructionsText"/>
            </w:pPr>
            <w:r w:rsidRPr="002176B5">
              <w:lastRenderedPageBreak/>
              <w:t>Článok 69 nariadenia (EÚ) č. 575/2013</w:t>
            </w:r>
          </w:p>
          <w:p w14:paraId="658809D0" w14:textId="262FD9F5" w:rsidR="00CC7D2C" w:rsidRPr="002176B5" w:rsidRDefault="00CC7D2C" w:rsidP="00320EFD">
            <w:pPr>
              <w:pStyle w:val="InstructionsText"/>
            </w:pPr>
            <w:r w:rsidRPr="002176B5">
              <w:t>Článkom 69 písm. a) nariadenia (EÚ) č. 575/2013 sa povoľujú kompenzačné krátke pozície</w:t>
            </w:r>
            <w:r w:rsidR="002176B5">
              <w:t xml:space="preserve"> v </w:t>
            </w:r>
            <w:r w:rsidRPr="002176B5">
              <w:t>rovnakej podkladovej expozícii pod podmienkou, že dátum splatnosti krátkej pozície je buď rovnaký alebo neskorší ako dátum splatnosti dlhej pozície, alebo zostatková splatnosť krátkej pozície je najmenej jeden rok.</w:t>
            </w:r>
          </w:p>
        </w:tc>
      </w:tr>
      <w:tr w:rsidR="00CC7D2C" w:rsidRPr="002176B5" w14:paraId="186F2090" w14:textId="77777777" w:rsidTr="00822842">
        <w:tc>
          <w:tcPr>
            <w:tcW w:w="1474" w:type="dxa"/>
          </w:tcPr>
          <w:p w14:paraId="60F5BB75" w14:textId="77777777" w:rsidR="00CC7D2C" w:rsidRPr="002176B5" w:rsidRDefault="00CC7D2C" w:rsidP="00320EFD">
            <w:pPr>
              <w:pStyle w:val="InstructionsText"/>
            </w:pPr>
            <w:r w:rsidRPr="002176B5">
              <w:lastRenderedPageBreak/>
              <w:t>0620</w:t>
            </w:r>
          </w:p>
        </w:tc>
        <w:tc>
          <w:tcPr>
            <w:tcW w:w="7049" w:type="dxa"/>
          </w:tcPr>
          <w:p w14:paraId="4E256A4B" w14:textId="0A5B236A" w:rsidR="00CC7D2C" w:rsidRPr="002176B5" w:rsidRDefault="00CC7D2C" w:rsidP="00320EFD">
            <w:pPr>
              <w:pStyle w:val="InstructionsText"/>
            </w:pPr>
            <w:r w:rsidRPr="002176B5">
              <w:rPr>
                <w:rStyle w:val="InstructionsTabelleberschrift"/>
                <w:rFonts w:ascii="Times New Roman" w:hAnsi="Times New Roman"/>
                <w:sz w:val="24"/>
              </w:rPr>
              <w:t>17.2.</w:t>
            </w:r>
            <w:r w:rsidRPr="002176B5">
              <w:tab/>
            </w:r>
            <w:r w:rsidRPr="002176B5">
              <w:rPr>
                <w:rStyle w:val="InstructionsTabelleberschrift"/>
                <w:rFonts w:ascii="Times New Roman" w:hAnsi="Times New Roman"/>
                <w:sz w:val="24"/>
              </w:rPr>
              <w:t>Nepriame podiely kapitálu T2 subjektov finančného sektora,</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ktorých inštitúcia má významnú investíciu</w:t>
            </w:r>
          </w:p>
          <w:p w14:paraId="0C6BA394" w14:textId="43A0F6D0" w:rsidR="00CC7D2C" w:rsidRPr="002176B5" w:rsidRDefault="00CC7D2C" w:rsidP="00320EFD">
            <w:pPr>
              <w:pStyle w:val="InstructionsText"/>
            </w:pPr>
            <w:r w:rsidRPr="002176B5">
              <w:t>Článok 4 ods. 1 bod 114</w:t>
            </w:r>
            <w:r w:rsidR="002176B5">
              <w:t xml:space="preserve"> a </w:t>
            </w:r>
            <w:r w:rsidRPr="002176B5">
              <w:t>články 68</w:t>
            </w:r>
            <w:r w:rsidR="002176B5">
              <w:t xml:space="preserve"> a </w:t>
            </w:r>
            <w:r w:rsidRPr="002176B5">
              <w:t>69 nariadenia (EÚ) č. 575/2013</w:t>
            </w:r>
          </w:p>
        </w:tc>
      </w:tr>
      <w:tr w:rsidR="00CC7D2C" w:rsidRPr="002176B5" w14:paraId="3099D730" w14:textId="77777777" w:rsidTr="00822842">
        <w:tc>
          <w:tcPr>
            <w:tcW w:w="1474" w:type="dxa"/>
          </w:tcPr>
          <w:p w14:paraId="7A40E5D6" w14:textId="77777777" w:rsidR="00CC7D2C" w:rsidRPr="002176B5" w:rsidRDefault="00CC7D2C" w:rsidP="00320EFD">
            <w:pPr>
              <w:pStyle w:val="InstructionsText"/>
            </w:pPr>
            <w:r w:rsidRPr="002176B5">
              <w:t>0630</w:t>
            </w:r>
          </w:p>
        </w:tc>
        <w:tc>
          <w:tcPr>
            <w:tcW w:w="7049" w:type="dxa"/>
          </w:tcPr>
          <w:p w14:paraId="26BE456B" w14:textId="3CB5F316" w:rsidR="00CC7D2C" w:rsidRPr="002176B5" w:rsidRDefault="00CC7D2C" w:rsidP="00320EFD">
            <w:pPr>
              <w:pStyle w:val="InstructionsText"/>
            </w:pPr>
            <w:r w:rsidRPr="002176B5">
              <w:rPr>
                <w:rStyle w:val="InstructionsTabelleberschrift"/>
                <w:rFonts w:ascii="Times New Roman" w:hAnsi="Times New Roman"/>
                <w:sz w:val="24"/>
              </w:rPr>
              <w:t>17.2.1.</w:t>
            </w:r>
            <w:r w:rsidRPr="002176B5">
              <w:tab/>
            </w:r>
            <w:r w:rsidRPr="002176B5">
              <w:rPr>
                <w:rStyle w:val="InstructionsTabelleberschrift"/>
                <w:rFonts w:ascii="Times New Roman" w:hAnsi="Times New Roman"/>
                <w:sz w:val="24"/>
              </w:rPr>
              <w:t>Brutto nepriame podiely kapitálu T2 subjektov finančného sektora,</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ktorých inštitúcia má významnú investíciu</w:t>
            </w:r>
          </w:p>
          <w:p w14:paraId="6C79EB51" w14:textId="1C211AEB" w:rsidR="00CC7D2C" w:rsidRPr="002176B5" w:rsidRDefault="00CC7D2C" w:rsidP="00320EFD">
            <w:pPr>
              <w:pStyle w:val="InstructionsText"/>
            </w:pPr>
            <w:r w:rsidRPr="002176B5">
              <w:t>Článok 4 ods. 1 bod 114</w:t>
            </w:r>
            <w:r w:rsidR="002176B5">
              <w:t xml:space="preserve"> a </w:t>
            </w:r>
            <w:r w:rsidRPr="002176B5">
              <w:t>články 68</w:t>
            </w:r>
            <w:r w:rsidR="002176B5">
              <w:t xml:space="preserve"> a </w:t>
            </w:r>
            <w:r w:rsidRPr="002176B5">
              <w:t>69 nariadenia (EÚ) č. 575/2013</w:t>
            </w:r>
          </w:p>
          <w:p w14:paraId="1C456D47" w14:textId="05A92F82" w:rsidR="00CC7D2C" w:rsidRPr="002176B5" w:rsidRDefault="00CC7D2C" w:rsidP="00320EFD">
            <w:pPr>
              <w:pStyle w:val="InstructionsText"/>
            </w:pPr>
            <w:r w:rsidRPr="002176B5">
              <w:t>Vykazovaná hodnota sa rovná nepriamym podielom</w:t>
            </w:r>
            <w:r w:rsidR="002176B5">
              <w:t xml:space="preserve"> v </w:t>
            </w:r>
            <w:r w:rsidRPr="002176B5">
              <w:t>obchodnej knihe na kapitálových nástrojoch subjektov finančného sektora, ktoré sú vo forme podielov cenných papierov zaradených do indexu. Dosiahne sa vypočítaním podkladovej expozície voči kapitálovým nástrojom subjektov finančného sektora</w:t>
            </w:r>
            <w:r w:rsidR="002176B5">
              <w:t xml:space="preserve"> v </w:t>
            </w:r>
            <w:r w:rsidRPr="002176B5">
              <w:t>týchto indexoch.</w:t>
            </w:r>
          </w:p>
          <w:p w14:paraId="2E7DF12B" w14:textId="24B18509" w:rsidR="00CC7D2C" w:rsidRPr="002176B5" w:rsidRDefault="00CC7D2C" w:rsidP="00320EFD">
            <w:pPr>
              <w:pStyle w:val="InstructionsText"/>
            </w:pPr>
            <w:r w:rsidRPr="002176B5">
              <w:t>Podiely,</w:t>
            </w:r>
            <w:r w:rsidR="002176B5">
              <w:t xml:space="preserve"> s </w:t>
            </w:r>
            <w:r w:rsidRPr="002176B5">
              <w:t>ktorými sa zaobchádza ako</w:t>
            </w:r>
            <w:r w:rsidR="002176B5">
              <w:t xml:space="preserve"> s </w:t>
            </w:r>
            <w:r w:rsidRPr="002176B5">
              <w:t>recipročnými krížovými podielmi</w:t>
            </w:r>
            <w:r w:rsidR="002176B5">
              <w:t xml:space="preserve"> v </w:t>
            </w:r>
            <w:r w:rsidRPr="002176B5">
              <w:t>súlade</w:t>
            </w:r>
            <w:r w:rsidR="002176B5">
              <w:t xml:space="preserve"> s </w:t>
            </w:r>
            <w:r w:rsidRPr="002176B5">
              <w:t>článkom 66 písm. b) nariadenia (EÚ) č. 575/2013, sa nezapočítavajú.</w:t>
            </w:r>
          </w:p>
        </w:tc>
      </w:tr>
      <w:tr w:rsidR="00CC7D2C" w:rsidRPr="002176B5" w14:paraId="1E2990D7" w14:textId="77777777" w:rsidTr="00822842">
        <w:tc>
          <w:tcPr>
            <w:tcW w:w="1474" w:type="dxa"/>
          </w:tcPr>
          <w:p w14:paraId="18E11ABE" w14:textId="77777777" w:rsidR="00CC7D2C" w:rsidRPr="002176B5" w:rsidRDefault="00CC7D2C" w:rsidP="00320EFD">
            <w:pPr>
              <w:pStyle w:val="InstructionsText"/>
            </w:pPr>
            <w:r w:rsidRPr="002176B5">
              <w:t>0640</w:t>
            </w:r>
          </w:p>
        </w:tc>
        <w:tc>
          <w:tcPr>
            <w:tcW w:w="7049" w:type="dxa"/>
          </w:tcPr>
          <w:p w14:paraId="0ECB9762" w14:textId="1EE8F6B3" w:rsidR="00CC7D2C" w:rsidRPr="002176B5" w:rsidRDefault="00CC7D2C" w:rsidP="00320EFD">
            <w:pPr>
              <w:pStyle w:val="InstructionsText"/>
            </w:pPr>
            <w:r w:rsidRPr="002176B5">
              <w:rPr>
                <w:rStyle w:val="InstructionsTabelleberschrift"/>
                <w:rFonts w:ascii="Times New Roman" w:hAnsi="Times New Roman"/>
                <w:sz w:val="24"/>
              </w:rPr>
              <w:t>17.2.2.</w:t>
            </w:r>
            <w:r w:rsidRPr="002176B5">
              <w:tab/>
            </w:r>
            <w:r w:rsidRPr="002176B5">
              <w:rPr>
                <w:rStyle w:val="InstructionsTabelleberschrift"/>
                <w:rFonts w:ascii="Times New Roman" w:hAnsi="Times New Roman"/>
                <w:sz w:val="24"/>
              </w:rPr>
              <w:t>(–) Povolené kompenzačné krátke pozície</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súvislosti</w:t>
            </w:r>
            <w:r w:rsidR="002176B5">
              <w:rPr>
                <w:rStyle w:val="InstructionsTabelleberschrift"/>
                <w:rFonts w:ascii="Times New Roman" w:hAnsi="Times New Roman"/>
                <w:sz w:val="24"/>
              </w:rPr>
              <w:t xml:space="preserve"> s </w:t>
            </w:r>
            <w:r w:rsidRPr="002176B5">
              <w:rPr>
                <w:rStyle w:val="InstructionsTabelleberschrift"/>
                <w:rFonts w:ascii="Times New Roman" w:hAnsi="Times New Roman"/>
                <w:sz w:val="24"/>
              </w:rPr>
              <w:t>nepriamymi brutto podielmi uvedenými vyššie</w:t>
            </w:r>
          </w:p>
          <w:p w14:paraId="337B5275" w14:textId="08AB3287" w:rsidR="00CC7D2C" w:rsidRPr="002176B5" w:rsidRDefault="00CC7D2C" w:rsidP="00320EFD">
            <w:pPr>
              <w:pStyle w:val="InstructionsText"/>
            </w:pPr>
            <w:r w:rsidRPr="002176B5">
              <w:t>Článok 4 ods. 1 bod 114</w:t>
            </w:r>
            <w:r w:rsidR="002176B5">
              <w:t xml:space="preserve"> a </w:t>
            </w:r>
            <w:r w:rsidRPr="002176B5">
              <w:t>článok 69 nariadenia (EÚ) č. 575/2013</w:t>
            </w:r>
          </w:p>
          <w:p w14:paraId="1D1733C3" w14:textId="24066D9B" w:rsidR="00CC7D2C" w:rsidRPr="002176B5" w:rsidRDefault="00CC7D2C" w:rsidP="00320EFD">
            <w:pPr>
              <w:pStyle w:val="InstructionsText"/>
            </w:pPr>
            <w:r w:rsidRPr="002176B5">
              <w:t>Článkom 69 písm. a) nariadenia (EÚ) č. 575/2013 sa povoľujú kompenzačné krátke pozície</w:t>
            </w:r>
            <w:r w:rsidR="002176B5">
              <w:t xml:space="preserve"> v </w:t>
            </w:r>
            <w:r w:rsidRPr="002176B5">
              <w:t>rovnakej podkladovej expozícii pod podmienkou, že dátum splatnosti krátkej pozície je buď rovnaký alebo neskorší ako dátum splatnosti dlhej pozície, alebo zostatková splatnosť krátkej pozície je najmenej jeden rok.</w:t>
            </w:r>
          </w:p>
        </w:tc>
      </w:tr>
      <w:tr w:rsidR="00CC7D2C" w:rsidRPr="002176B5" w14:paraId="4BBC825C" w14:textId="77777777" w:rsidTr="00822842">
        <w:tc>
          <w:tcPr>
            <w:tcW w:w="1474" w:type="dxa"/>
          </w:tcPr>
          <w:p w14:paraId="3BA64925" w14:textId="77777777" w:rsidR="00CC7D2C" w:rsidRPr="002176B5" w:rsidRDefault="00CC7D2C" w:rsidP="00320EFD">
            <w:pPr>
              <w:pStyle w:val="InstructionsText"/>
            </w:pPr>
            <w:r w:rsidRPr="002176B5">
              <w:t>0641</w:t>
            </w:r>
          </w:p>
        </w:tc>
        <w:tc>
          <w:tcPr>
            <w:tcW w:w="7049" w:type="dxa"/>
            <w:vAlign w:val="center"/>
          </w:tcPr>
          <w:p w14:paraId="7550DD64" w14:textId="2854CE66" w:rsidR="00CC7D2C" w:rsidRPr="002176B5" w:rsidRDefault="00CC7D2C" w:rsidP="00320EFD">
            <w:pPr>
              <w:pStyle w:val="InstructionsText"/>
            </w:pPr>
            <w:r w:rsidRPr="002176B5">
              <w:rPr>
                <w:rStyle w:val="InstructionsTabelleberschrift"/>
                <w:rFonts w:ascii="Times New Roman" w:hAnsi="Times New Roman"/>
                <w:sz w:val="24"/>
              </w:rPr>
              <w:t>17.3.</w:t>
            </w:r>
            <w:r w:rsidRPr="002176B5">
              <w:tab/>
            </w:r>
            <w:r w:rsidRPr="002176B5">
              <w:rPr>
                <w:rStyle w:val="InstructionsTabelleberschrift"/>
                <w:rFonts w:ascii="Times New Roman" w:hAnsi="Times New Roman"/>
                <w:sz w:val="24"/>
              </w:rPr>
              <w:t>Syntetické podiely kapitálu T2 subjektov finančného sektora,</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ktorých inštitúcia má významnú investíciu</w:t>
            </w:r>
          </w:p>
          <w:p w14:paraId="3A4A3413" w14:textId="043C3C31" w:rsidR="00CC7D2C" w:rsidRPr="002176B5" w:rsidRDefault="00CC7D2C" w:rsidP="00320EFD">
            <w:pPr>
              <w:pStyle w:val="InstructionsText"/>
              <w:rPr>
                <w:rStyle w:val="InstructionsTabelleberschrift"/>
                <w:rFonts w:ascii="Times New Roman" w:hAnsi="Times New Roman"/>
                <w:b w:val="0"/>
                <w:bCs w:val="0"/>
                <w:sz w:val="24"/>
                <w:u w:val="none"/>
              </w:rPr>
            </w:pPr>
            <w:r w:rsidRPr="002176B5">
              <w:t>Článok 4 ods. 1 bod 126</w:t>
            </w:r>
            <w:r w:rsidR="002176B5">
              <w:t xml:space="preserve"> a </w:t>
            </w:r>
            <w:r w:rsidRPr="002176B5">
              <w:t>články 68</w:t>
            </w:r>
            <w:r w:rsidR="002176B5">
              <w:t xml:space="preserve"> a </w:t>
            </w:r>
            <w:r w:rsidRPr="002176B5">
              <w:t>69 nariadenia (EÚ) č. 575/2013</w:t>
            </w:r>
          </w:p>
        </w:tc>
      </w:tr>
      <w:tr w:rsidR="00CC7D2C" w:rsidRPr="002176B5" w14:paraId="51CCFD73" w14:textId="77777777" w:rsidTr="00822842">
        <w:tc>
          <w:tcPr>
            <w:tcW w:w="1474" w:type="dxa"/>
          </w:tcPr>
          <w:p w14:paraId="19E1EBE0" w14:textId="77777777" w:rsidR="00CC7D2C" w:rsidRPr="002176B5" w:rsidRDefault="00CC7D2C" w:rsidP="00320EFD">
            <w:pPr>
              <w:pStyle w:val="InstructionsText"/>
            </w:pPr>
            <w:r w:rsidRPr="002176B5">
              <w:t>0642</w:t>
            </w:r>
          </w:p>
        </w:tc>
        <w:tc>
          <w:tcPr>
            <w:tcW w:w="7049" w:type="dxa"/>
            <w:vAlign w:val="center"/>
          </w:tcPr>
          <w:p w14:paraId="0B22ABCC" w14:textId="16FA5F14" w:rsidR="00CC7D2C" w:rsidRPr="002176B5" w:rsidRDefault="00CC7D2C" w:rsidP="00320EFD">
            <w:pPr>
              <w:pStyle w:val="InstructionsText"/>
            </w:pPr>
            <w:r w:rsidRPr="002176B5">
              <w:rPr>
                <w:rStyle w:val="InstructionsTabelleberschrift"/>
                <w:rFonts w:ascii="Times New Roman" w:hAnsi="Times New Roman"/>
                <w:sz w:val="24"/>
              </w:rPr>
              <w:t>17.3.1.</w:t>
            </w:r>
            <w:r w:rsidRPr="002176B5">
              <w:tab/>
            </w:r>
            <w:r w:rsidRPr="002176B5">
              <w:rPr>
                <w:rStyle w:val="InstructionsTabelleberschrift"/>
                <w:rFonts w:ascii="Times New Roman" w:hAnsi="Times New Roman"/>
                <w:sz w:val="24"/>
              </w:rPr>
              <w:t>Brutto syntetické podiely kapitálu T2 subjektov finančného sektora,</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ktorých inštitúcia má významnú investíciu</w:t>
            </w:r>
          </w:p>
          <w:p w14:paraId="4C256628" w14:textId="4FD2D729" w:rsidR="00CC7D2C" w:rsidRPr="002176B5" w:rsidRDefault="00CC7D2C" w:rsidP="00320EFD">
            <w:pPr>
              <w:pStyle w:val="InstructionsText"/>
              <w:rPr>
                <w:rStyle w:val="InstructionsTabelleberschrift"/>
                <w:rFonts w:ascii="Times New Roman" w:hAnsi="Times New Roman"/>
                <w:b w:val="0"/>
                <w:bCs w:val="0"/>
                <w:sz w:val="24"/>
                <w:u w:val="none"/>
              </w:rPr>
            </w:pPr>
            <w:r w:rsidRPr="002176B5">
              <w:t>Článok 4 ods. 1 bod 126</w:t>
            </w:r>
            <w:r w:rsidR="002176B5">
              <w:t xml:space="preserve"> a </w:t>
            </w:r>
            <w:r w:rsidRPr="002176B5">
              <w:t>články 68</w:t>
            </w:r>
            <w:r w:rsidR="002176B5">
              <w:t xml:space="preserve"> a </w:t>
            </w:r>
            <w:r w:rsidRPr="002176B5">
              <w:t>69 nariadenia (EÚ) č. 575/2013</w:t>
            </w:r>
          </w:p>
        </w:tc>
      </w:tr>
      <w:tr w:rsidR="00CC7D2C" w:rsidRPr="002176B5" w14:paraId="5FD57E23" w14:textId="77777777" w:rsidTr="00822842">
        <w:tc>
          <w:tcPr>
            <w:tcW w:w="1474" w:type="dxa"/>
          </w:tcPr>
          <w:p w14:paraId="4023F45A" w14:textId="77777777" w:rsidR="00CC7D2C" w:rsidRPr="002176B5" w:rsidRDefault="00CC7D2C" w:rsidP="00320EFD">
            <w:pPr>
              <w:pStyle w:val="InstructionsText"/>
            </w:pPr>
            <w:r w:rsidRPr="002176B5">
              <w:t>0643</w:t>
            </w:r>
          </w:p>
        </w:tc>
        <w:tc>
          <w:tcPr>
            <w:tcW w:w="7049" w:type="dxa"/>
            <w:vAlign w:val="center"/>
          </w:tcPr>
          <w:p w14:paraId="3E61F6CA" w14:textId="0862474D" w:rsidR="00CC7D2C" w:rsidRPr="002176B5" w:rsidRDefault="00CC7D2C" w:rsidP="00320EFD">
            <w:pPr>
              <w:pStyle w:val="InstructionsText"/>
            </w:pPr>
            <w:r w:rsidRPr="002176B5">
              <w:rPr>
                <w:rStyle w:val="InstructionsTabelleberschrift"/>
                <w:rFonts w:ascii="Times New Roman" w:hAnsi="Times New Roman"/>
                <w:sz w:val="24"/>
              </w:rPr>
              <w:t>17.3.2.</w:t>
            </w:r>
            <w:r w:rsidRPr="002176B5">
              <w:tab/>
            </w:r>
            <w:r w:rsidRPr="002176B5">
              <w:rPr>
                <w:rStyle w:val="InstructionsTabelleberschrift"/>
                <w:rFonts w:ascii="Times New Roman" w:hAnsi="Times New Roman"/>
                <w:sz w:val="24"/>
              </w:rPr>
              <w:t>(–) Povolené kompenzačné krátke pozície</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súvislosti</w:t>
            </w:r>
            <w:r w:rsidR="002176B5">
              <w:rPr>
                <w:rStyle w:val="InstructionsTabelleberschrift"/>
                <w:rFonts w:ascii="Times New Roman" w:hAnsi="Times New Roman"/>
                <w:sz w:val="24"/>
              </w:rPr>
              <w:t xml:space="preserve"> s </w:t>
            </w:r>
            <w:r w:rsidRPr="002176B5">
              <w:rPr>
                <w:rStyle w:val="InstructionsTabelleberschrift"/>
                <w:rFonts w:ascii="Times New Roman" w:hAnsi="Times New Roman"/>
                <w:sz w:val="24"/>
              </w:rPr>
              <w:t>brutto syntetickými podielmi uvedenými vyššie</w:t>
            </w:r>
          </w:p>
          <w:p w14:paraId="4F4571E8" w14:textId="00C13635" w:rsidR="00CC7D2C" w:rsidRPr="002176B5" w:rsidRDefault="00CC7D2C" w:rsidP="00320EFD">
            <w:pPr>
              <w:pStyle w:val="InstructionsText"/>
            </w:pPr>
            <w:r w:rsidRPr="002176B5">
              <w:lastRenderedPageBreak/>
              <w:t>Článok 4 ods. 1 bod 126</w:t>
            </w:r>
            <w:r w:rsidR="002176B5">
              <w:t xml:space="preserve"> a </w:t>
            </w:r>
            <w:r w:rsidRPr="002176B5">
              <w:t>článok 69 nariadenia (EÚ) č. 575/2013</w:t>
            </w:r>
          </w:p>
          <w:p w14:paraId="362FB8E8" w14:textId="2A7D5F35" w:rsidR="00CC7D2C" w:rsidRPr="002176B5" w:rsidRDefault="00CC7D2C" w:rsidP="00320EFD">
            <w:pPr>
              <w:pStyle w:val="InstructionsText"/>
              <w:rPr>
                <w:rStyle w:val="InstructionsTabelleberschrift"/>
                <w:rFonts w:ascii="Times New Roman" w:hAnsi="Times New Roman"/>
                <w:b w:val="0"/>
                <w:bCs w:val="0"/>
                <w:sz w:val="24"/>
                <w:u w:val="none"/>
              </w:rPr>
            </w:pPr>
            <w:r w:rsidRPr="002176B5">
              <w:t xml:space="preserve">Článkom 69 písm. a) nariadenia (EÚ) č. 575/2013 sa </w:t>
            </w:r>
            <w:r w:rsidRPr="002176B5">
              <w:rPr>
                <w:rStyle w:val="InstructionsTabelleberschrift"/>
                <w:rFonts w:ascii="Times New Roman" w:hAnsi="Times New Roman"/>
                <w:b w:val="0"/>
                <w:sz w:val="24"/>
                <w:u w:val="none"/>
              </w:rPr>
              <w:t>povoľujú kompenzačné krátke pozície</w:t>
            </w:r>
            <w:r w:rsidR="002176B5">
              <w:rPr>
                <w:rStyle w:val="InstructionsTabelleberschrift"/>
                <w:rFonts w:ascii="Times New Roman" w:hAnsi="Times New Roman"/>
                <w:b w:val="0"/>
                <w:sz w:val="24"/>
                <w:u w:val="none"/>
              </w:rPr>
              <w:t xml:space="preserve"> v </w:t>
            </w:r>
            <w:r w:rsidRPr="002176B5">
              <w:rPr>
                <w:rStyle w:val="InstructionsTabelleberschrift"/>
                <w:rFonts w:ascii="Times New Roman" w:hAnsi="Times New Roman"/>
                <w:b w:val="0"/>
                <w:sz w:val="24"/>
                <w:u w:val="none"/>
              </w:rPr>
              <w:t>rovnakej podkladovej expozícii pod podmienkou, že dátum splatnosti krátkej pozície je buď rovnaký alebo neskorší ako dátum splatnosti dlhej pozície, alebo zostatková splatnosť krátkej pozície je najmenej jeden rok.</w:t>
            </w:r>
          </w:p>
        </w:tc>
      </w:tr>
      <w:tr w:rsidR="00CC7D2C" w:rsidRPr="002176B5" w14:paraId="40BA3B7E" w14:textId="77777777" w:rsidTr="00822842">
        <w:tc>
          <w:tcPr>
            <w:tcW w:w="1474" w:type="dxa"/>
          </w:tcPr>
          <w:p w14:paraId="1C54E719" w14:textId="77777777" w:rsidR="00CC7D2C" w:rsidRPr="002176B5" w:rsidRDefault="00CC7D2C" w:rsidP="00320EFD">
            <w:pPr>
              <w:pStyle w:val="InstructionsText"/>
            </w:pPr>
            <w:r w:rsidRPr="002176B5">
              <w:lastRenderedPageBreak/>
              <w:t>0650</w:t>
            </w:r>
          </w:p>
        </w:tc>
        <w:tc>
          <w:tcPr>
            <w:tcW w:w="7049" w:type="dxa"/>
          </w:tcPr>
          <w:p w14:paraId="00327085" w14:textId="518420B9" w:rsidR="00CC7D2C" w:rsidRPr="002176B5" w:rsidRDefault="00CC7D2C" w:rsidP="00320EFD">
            <w:pPr>
              <w:pStyle w:val="InstructionsText"/>
            </w:pPr>
            <w:r w:rsidRPr="002176B5">
              <w:rPr>
                <w:rStyle w:val="InstructionsTabelleberschrift"/>
                <w:rFonts w:ascii="Times New Roman" w:hAnsi="Times New Roman"/>
                <w:sz w:val="24"/>
              </w:rPr>
              <w:t>18. Rizikovo vážené expozície podielov CET1</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subjektoch finančného sektora, ktoré sa neodpočítavajú od kapitálu CET1 inštitúcie</w:t>
            </w:r>
          </w:p>
          <w:p w14:paraId="2A1347E7" w14:textId="06B1C735" w:rsidR="00CC7D2C" w:rsidRPr="002176B5" w:rsidRDefault="00CC7D2C" w:rsidP="00320EFD">
            <w:pPr>
              <w:pStyle w:val="InstructionsText"/>
            </w:pPr>
            <w:r w:rsidRPr="002176B5">
              <w:t>Článok 46 ods. 4, článok 48 ods. 4</w:t>
            </w:r>
            <w:r w:rsidR="002176B5">
              <w:t xml:space="preserve"> a </w:t>
            </w:r>
            <w:r w:rsidRPr="002176B5">
              <w:t>článok 49 ods. 4 nariadenia (EÚ) č. 575/2013</w:t>
            </w:r>
          </w:p>
        </w:tc>
      </w:tr>
      <w:tr w:rsidR="00CC7D2C" w:rsidRPr="002176B5" w14:paraId="48CB694B" w14:textId="77777777" w:rsidTr="00822842">
        <w:tc>
          <w:tcPr>
            <w:tcW w:w="1474" w:type="dxa"/>
          </w:tcPr>
          <w:p w14:paraId="43891914" w14:textId="77777777" w:rsidR="00CC7D2C" w:rsidRPr="002176B5" w:rsidRDefault="00CC7D2C" w:rsidP="00320EFD">
            <w:pPr>
              <w:pStyle w:val="InstructionsText"/>
            </w:pPr>
            <w:r w:rsidRPr="002176B5">
              <w:t>0660</w:t>
            </w:r>
          </w:p>
        </w:tc>
        <w:tc>
          <w:tcPr>
            <w:tcW w:w="7049" w:type="dxa"/>
          </w:tcPr>
          <w:p w14:paraId="7D93F8F7" w14:textId="6A152F60" w:rsidR="00CC7D2C" w:rsidRPr="002176B5" w:rsidRDefault="00CC7D2C" w:rsidP="00320EFD">
            <w:pPr>
              <w:pStyle w:val="InstructionsText"/>
            </w:pPr>
            <w:r w:rsidRPr="002176B5">
              <w:rPr>
                <w:rStyle w:val="InstructionsTabelleberschrift"/>
                <w:rFonts w:ascii="Times New Roman" w:hAnsi="Times New Roman"/>
                <w:sz w:val="24"/>
              </w:rPr>
              <w:t>19. Rizikovo vážené expozície podielov AT1</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subjektoch finančného sektora, ktoré sa neodpočítavajú od kapitálu AT1 inštitúcie</w:t>
            </w:r>
          </w:p>
          <w:p w14:paraId="30C320BB" w14:textId="77777777" w:rsidR="00CC7D2C" w:rsidRPr="002176B5" w:rsidRDefault="00CC7D2C" w:rsidP="00320EFD">
            <w:pPr>
              <w:pStyle w:val="InstructionsText"/>
            </w:pPr>
            <w:r w:rsidRPr="002176B5">
              <w:t>Článok 60 ods. 4 nariadenia (EÚ) č. 575/2013</w:t>
            </w:r>
          </w:p>
        </w:tc>
      </w:tr>
      <w:tr w:rsidR="00CC7D2C" w:rsidRPr="002176B5" w14:paraId="1623E6A7" w14:textId="77777777" w:rsidTr="00822842">
        <w:tc>
          <w:tcPr>
            <w:tcW w:w="1474" w:type="dxa"/>
          </w:tcPr>
          <w:p w14:paraId="3E934766" w14:textId="77777777" w:rsidR="00CC7D2C" w:rsidRPr="002176B5" w:rsidRDefault="00CC7D2C" w:rsidP="00320EFD">
            <w:pPr>
              <w:pStyle w:val="InstructionsText"/>
            </w:pPr>
            <w:r w:rsidRPr="002176B5">
              <w:t>0670</w:t>
            </w:r>
          </w:p>
        </w:tc>
        <w:tc>
          <w:tcPr>
            <w:tcW w:w="7049" w:type="dxa"/>
          </w:tcPr>
          <w:p w14:paraId="3326F623" w14:textId="01A28A9E" w:rsidR="00CC7D2C" w:rsidRPr="002176B5" w:rsidRDefault="00CC7D2C" w:rsidP="00320EFD">
            <w:pPr>
              <w:pStyle w:val="InstructionsText"/>
            </w:pPr>
            <w:r w:rsidRPr="002176B5">
              <w:rPr>
                <w:rStyle w:val="InstructionsTabelleberschrift"/>
                <w:rFonts w:ascii="Times New Roman" w:hAnsi="Times New Roman"/>
                <w:sz w:val="24"/>
              </w:rPr>
              <w:t>20. Rizikovo vážené expozície podielov T2</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subjektoch finančného sektora, ktoré sa neodpočítavajú od kapitálu T2 inštitúcie</w:t>
            </w:r>
          </w:p>
          <w:p w14:paraId="78BD6DA2" w14:textId="77777777" w:rsidR="00CC7D2C" w:rsidRPr="002176B5" w:rsidRDefault="00CC7D2C" w:rsidP="00320EFD">
            <w:pPr>
              <w:pStyle w:val="InstructionsText"/>
            </w:pPr>
            <w:r w:rsidRPr="002176B5">
              <w:t>Článok 70 ods. 4 nariadenia (EÚ) č. 575/2013</w:t>
            </w:r>
          </w:p>
        </w:tc>
      </w:tr>
      <w:tr w:rsidR="00CC7D2C" w:rsidRPr="002176B5" w14:paraId="28C63A85" w14:textId="77777777" w:rsidTr="00822842">
        <w:tc>
          <w:tcPr>
            <w:tcW w:w="1474" w:type="dxa"/>
          </w:tcPr>
          <w:p w14:paraId="7A543F73" w14:textId="77777777" w:rsidR="00CC7D2C" w:rsidRPr="002176B5" w:rsidRDefault="00CC7D2C" w:rsidP="00320EFD">
            <w:pPr>
              <w:pStyle w:val="InstructionsText"/>
            </w:pPr>
            <w:r w:rsidRPr="002176B5">
              <w:t>0680</w:t>
            </w:r>
          </w:p>
        </w:tc>
        <w:tc>
          <w:tcPr>
            <w:tcW w:w="7049" w:type="dxa"/>
          </w:tcPr>
          <w:p w14:paraId="0D13141E" w14:textId="1C031E9A" w:rsidR="00CC7D2C" w:rsidRPr="002176B5" w:rsidRDefault="00CC7D2C" w:rsidP="00320EFD">
            <w:pPr>
              <w:pStyle w:val="InstructionsText"/>
            </w:pPr>
            <w:r w:rsidRPr="002176B5">
              <w:rPr>
                <w:rStyle w:val="InstructionsTabelleberschrift"/>
                <w:rFonts w:ascii="Times New Roman" w:hAnsi="Times New Roman"/>
                <w:sz w:val="24"/>
              </w:rPr>
              <w:t>21.</w:t>
            </w:r>
            <w:r w:rsidRPr="002176B5">
              <w:tab/>
            </w:r>
            <w:r w:rsidRPr="002176B5">
              <w:rPr>
                <w:rStyle w:val="InstructionsTabelleberschrift"/>
                <w:rFonts w:ascii="Times New Roman" w:hAnsi="Times New Roman"/>
                <w:sz w:val="24"/>
              </w:rPr>
              <w:t>Podiely na kapitálových nástrojoch CET1 subjektov finančného sektora,</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ktorých inštitúcia nemá významnú investíciu, pri ktorých sa dočasne upúšťa od ustanovení</w:t>
            </w:r>
            <w:r w:rsidR="002176B5">
              <w:rPr>
                <w:rStyle w:val="InstructionsTabelleberschrift"/>
                <w:rFonts w:ascii="Times New Roman" w:hAnsi="Times New Roman"/>
                <w:sz w:val="24"/>
              </w:rPr>
              <w:t xml:space="preserve"> o </w:t>
            </w:r>
            <w:r w:rsidRPr="002176B5">
              <w:rPr>
                <w:rStyle w:val="InstructionsTabelleberschrift"/>
                <w:rFonts w:ascii="Times New Roman" w:hAnsi="Times New Roman"/>
                <w:sz w:val="24"/>
              </w:rPr>
              <w:t>odpočítaní</w:t>
            </w:r>
          </w:p>
          <w:p w14:paraId="2FF787C2" w14:textId="77777777" w:rsidR="00CC7D2C" w:rsidRPr="002176B5" w:rsidRDefault="00CC7D2C" w:rsidP="00320EFD">
            <w:pPr>
              <w:pStyle w:val="InstructionsText"/>
            </w:pPr>
            <w:r w:rsidRPr="002176B5">
              <w:t>Článok 79 nariadenia (EÚ) č. 575/2013</w:t>
            </w:r>
          </w:p>
          <w:p w14:paraId="461FF48B" w14:textId="7DCF8B89" w:rsidR="00CC7D2C" w:rsidRPr="002176B5" w:rsidRDefault="00CC7D2C" w:rsidP="00320EFD">
            <w:pPr>
              <w:pStyle w:val="InstructionsText"/>
            </w:pPr>
            <w:r w:rsidRPr="002176B5">
              <w:t>Príslušný orgán môže dočasne upustiť od uplatňovania ustanovení</w:t>
            </w:r>
            <w:r w:rsidR="002176B5">
              <w:t xml:space="preserve"> o </w:t>
            </w:r>
            <w:r w:rsidRPr="002176B5">
              <w:t>odpočítaní od CET1</w:t>
            </w:r>
            <w:r w:rsidR="002176B5">
              <w:t xml:space="preserve"> z </w:t>
            </w:r>
            <w:r w:rsidRPr="002176B5">
              <w:t>dôvodu podielov na nástrojoch špecifického subjektu finančného sektora, keď považuje tieto podiely za podiely určené na účely operácie finančnej pomoci na reorganizáciu</w:t>
            </w:r>
            <w:r w:rsidR="002176B5">
              <w:t xml:space="preserve"> a </w:t>
            </w:r>
            <w:r w:rsidRPr="002176B5">
              <w:t>záchranu tohto subjektu.</w:t>
            </w:r>
          </w:p>
          <w:p w14:paraId="52F554E2" w14:textId="778ED3C1" w:rsidR="00CC7D2C" w:rsidRPr="002176B5" w:rsidRDefault="00CC7D2C" w:rsidP="00320EFD">
            <w:pPr>
              <w:pStyle w:val="InstructionsText"/>
            </w:pPr>
            <w:r w:rsidRPr="002176B5">
              <w:t>Treba poznamenať, že tieto nástroje sa musia vykazovať aj</w:t>
            </w:r>
            <w:r w:rsidR="002176B5">
              <w:t xml:space="preserve"> v </w:t>
            </w:r>
            <w:r w:rsidRPr="002176B5">
              <w:t>položke 12.1.</w:t>
            </w:r>
          </w:p>
        </w:tc>
      </w:tr>
      <w:tr w:rsidR="00CC7D2C" w:rsidRPr="002176B5" w14:paraId="33D6B99C" w14:textId="77777777" w:rsidTr="00822842">
        <w:tc>
          <w:tcPr>
            <w:tcW w:w="1474" w:type="dxa"/>
          </w:tcPr>
          <w:p w14:paraId="57BFC0AE" w14:textId="77777777" w:rsidR="00CC7D2C" w:rsidRPr="002176B5" w:rsidRDefault="00CC7D2C" w:rsidP="00320EFD">
            <w:pPr>
              <w:pStyle w:val="InstructionsText"/>
            </w:pPr>
            <w:r w:rsidRPr="002176B5">
              <w:t>0690</w:t>
            </w:r>
          </w:p>
        </w:tc>
        <w:tc>
          <w:tcPr>
            <w:tcW w:w="7049" w:type="dxa"/>
          </w:tcPr>
          <w:p w14:paraId="724FAE2C" w14:textId="6C3E6A86" w:rsidR="00CC7D2C" w:rsidRPr="002176B5" w:rsidRDefault="00CC7D2C" w:rsidP="00320EFD">
            <w:pPr>
              <w:pStyle w:val="InstructionsText"/>
            </w:pPr>
            <w:r w:rsidRPr="002176B5">
              <w:rPr>
                <w:rStyle w:val="InstructionsTabelleberschrift"/>
                <w:rFonts w:ascii="Times New Roman" w:hAnsi="Times New Roman"/>
                <w:sz w:val="24"/>
              </w:rPr>
              <w:t>22.</w:t>
            </w:r>
            <w:r w:rsidRPr="002176B5">
              <w:tab/>
            </w:r>
            <w:r w:rsidRPr="002176B5">
              <w:rPr>
                <w:rStyle w:val="InstructionsTabelleberschrift"/>
                <w:rFonts w:ascii="Times New Roman" w:hAnsi="Times New Roman"/>
                <w:sz w:val="24"/>
              </w:rPr>
              <w:t>Podiely na kapitálových nástrojoch CET1 subjektov finančného sektora,</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ktorých inštitúcia má významnú investíciu, pri ktorých sa dočasne upúšťa od ustanovení</w:t>
            </w:r>
            <w:r w:rsidR="002176B5">
              <w:rPr>
                <w:rStyle w:val="InstructionsTabelleberschrift"/>
                <w:rFonts w:ascii="Times New Roman" w:hAnsi="Times New Roman"/>
                <w:sz w:val="24"/>
              </w:rPr>
              <w:t xml:space="preserve"> o </w:t>
            </w:r>
            <w:r w:rsidRPr="002176B5">
              <w:rPr>
                <w:rStyle w:val="InstructionsTabelleberschrift"/>
                <w:rFonts w:ascii="Times New Roman" w:hAnsi="Times New Roman"/>
                <w:sz w:val="24"/>
              </w:rPr>
              <w:t>odpočítaní</w:t>
            </w:r>
          </w:p>
          <w:p w14:paraId="75D9BB74" w14:textId="77777777" w:rsidR="00CC7D2C" w:rsidRPr="002176B5" w:rsidRDefault="00CC7D2C" w:rsidP="00320EFD">
            <w:pPr>
              <w:pStyle w:val="InstructionsText"/>
            </w:pPr>
            <w:r w:rsidRPr="002176B5">
              <w:t>Článok 79 nariadenia (EÚ) č. 575/2013</w:t>
            </w:r>
          </w:p>
          <w:p w14:paraId="3CF93984" w14:textId="26DAD1C2" w:rsidR="00CC7D2C" w:rsidRPr="002176B5" w:rsidRDefault="00CC7D2C" w:rsidP="00320EFD">
            <w:pPr>
              <w:pStyle w:val="InstructionsText"/>
            </w:pPr>
            <w:r w:rsidRPr="002176B5">
              <w:t>Príslušný orgán môže upustiť od uplatňovania ustanovení</w:t>
            </w:r>
            <w:r w:rsidR="002176B5">
              <w:t xml:space="preserve"> o </w:t>
            </w:r>
            <w:r w:rsidRPr="002176B5">
              <w:t>odpočítaní od CET1</w:t>
            </w:r>
            <w:r w:rsidR="002176B5">
              <w:t xml:space="preserve"> z </w:t>
            </w:r>
            <w:r w:rsidRPr="002176B5">
              <w:t>dôvodu podielov na nástrojoch špecifického subjektu finančného sektora, keď považuje tieto podiely za podiely určené na účely operácie finančnej pomoci na reorganizáciu</w:t>
            </w:r>
            <w:r w:rsidR="002176B5">
              <w:t xml:space="preserve"> a </w:t>
            </w:r>
            <w:r w:rsidRPr="002176B5">
              <w:t>záchranu tohto subjektu.</w:t>
            </w:r>
          </w:p>
          <w:p w14:paraId="402057D7" w14:textId="03DBEB8B" w:rsidR="00CC7D2C" w:rsidRPr="002176B5" w:rsidRDefault="00CC7D2C" w:rsidP="00320EFD">
            <w:pPr>
              <w:pStyle w:val="InstructionsText"/>
            </w:pPr>
            <w:r w:rsidRPr="002176B5">
              <w:t>Treba poznamenať, že tieto nástroje sa musia vykazovať aj</w:t>
            </w:r>
            <w:r w:rsidR="002176B5">
              <w:t xml:space="preserve"> v </w:t>
            </w:r>
            <w:r w:rsidRPr="002176B5">
              <w:t>položke 15.1.</w:t>
            </w:r>
          </w:p>
        </w:tc>
      </w:tr>
      <w:tr w:rsidR="00CC7D2C" w:rsidRPr="002176B5" w14:paraId="1ABB660F" w14:textId="77777777" w:rsidTr="00822842">
        <w:tc>
          <w:tcPr>
            <w:tcW w:w="1474" w:type="dxa"/>
          </w:tcPr>
          <w:p w14:paraId="4F9B5BBB" w14:textId="77777777" w:rsidR="00CC7D2C" w:rsidRPr="002176B5" w:rsidRDefault="00CC7D2C" w:rsidP="00320EFD">
            <w:pPr>
              <w:pStyle w:val="InstructionsText"/>
            </w:pPr>
            <w:r w:rsidRPr="002176B5">
              <w:lastRenderedPageBreak/>
              <w:t>0700</w:t>
            </w:r>
          </w:p>
        </w:tc>
        <w:tc>
          <w:tcPr>
            <w:tcW w:w="7049" w:type="dxa"/>
          </w:tcPr>
          <w:p w14:paraId="161AE868" w14:textId="294CD35D" w:rsidR="00CC7D2C" w:rsidRPr="002176B5" w:rsidRDefault="00CC7D2C" w:rsidP="00320EFD">
            <w:pPr>
              <w:pStyle w:val="InstructionsText"/>
            </w:pPr>
            <w:r w:rsidRPr="002176B5">
              <w:rPr>
                <w:rStyle w:val="InstructionsTabelleberschrift"/>
                <w:rFonts w:ascii="Times New Roman" w:hAnsi="Times New Roman"/>
                <w:sz w:val="24"/>
              </w:rPr>
              <w:t>23.</w:t>
            </w:r>
            <w:r w:rsidRPr="002176B5">
              <w:tab/>
            </w:r>
            <w:r w:rsidRPr="002176B5">
              <w:rPr>
                <w:rStyle w:val="InstructionsTabelleberschrift"/>
                <w:rFonts w:ascii="Times New Roman" w:hAnsi="Times New Roman"/>
                <w:sz w:val="24"/>
              </w:rPr>
              <w:t>Podiely na kapitálových nástrojoch AT1 subjektov finančného sektora,</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ktorých inštitúcia nemá významnú investíciu, pri ktorých sa dočasne upúšťa od ustanovení</w:t>
            </w:r>
            <w:r w:rsidR="002176B5">
              <w:rPr>
                <w:rStyle w:val="InstructionsTabelleberschrift"/>
                <w:rFonts w:ascii="Times New Roman" w:hAnsi="Times New Roman"/>
                <w:sz w:val="24"/>
              </w:rPr>
              <w:t xml:space="preserve"> o </w:t>
            </w:r>
            <w:r w:rsidRPr="002176B5">
              <w:rPr>
                <w:rStyle w:val="InstructionsTabelleberschrift"/>
                <w:rFonts w:ascii="Times New Roman" w:hAnsi="Times New Roman"/>
                <w:sz w:val="24"/>
              </w:rPr>
              <w:t>odpočítaní</w:t>
            </w:r>
          </w:p>
          <w:p w14:paraId="21529E99" w14:textId="77777777" w:rsidR="00CC7D2C" w:rsidRPr="002176B5" w:rsidRDefault="00CC7D2C" w:rsidP="00320EFD">
            <w:pPr>
              <w:pStyle w:val="InstructionsText"/>
            </w:pPr>
            <w:r w:rsidRPr="002176B5">
              <w:t>Článok 79 nariadenia (EÚ) č. 575/2013</w:t>
            </w:r>
          </w:p>
          <w:p w14:paraId="799B0BA0" w14:textId="2C5A8DEC" w:rsidR="00CC7D2C" w:rsidRPr="002176B5" w:rsidRDefault="00CC7D2C" w:rsidP="00320EFD">
            <w:pPr>
              <w:pStyle w:val="InstructionsText"/>
            </w:pPr>
            <w:r w:rsidRPr="002176B5">
              <w:t>Príslušný orgán môže dočasne upustiť od uplatňovania ustanovení</w:t>
            </w:r>
            <w:r w:rsidR="002176B5">
              <w:t xml:space="preserve"> o </w:t>
            </w:r>
            <w:r w:rsidRPr="002176B5">
              <w:t>odpočítaní od AT1</w:t>
            </w:r>
            <w:r w:rsidR="002176B5">
              <w:t xml:space="preserve"> z </w:t>
            </w:r>
            <w:r w:rsidRPr="002176B5">
              <w:t>dôvodu podielov na nástrojoch špecifického subjektu finančného sektora, keď považuje tieto podiely za podiely určené na účely operácie finančnej pomoci na reorganizáciu</w:t>
            </w:r>
            <w:r w:rsidR="002176B5">
              <w:t xml:space="preserve"> a </w:t>
            </w:r>
            <w:r w:rsidRPr="002176B5">
              <w:t>záchranu tohto subjektu.</w:t>
            </w:r>
          </w:p>
          <w:p w14:paraId="4C19F43B" w14:textId="7DEE7164" w:rsidR="00CC7D2C" w:rsidRPr="002176B5" w:rsidRDefault="00CC7D2C" w:rsidP="00320EFD">
            <w:pPr>
              <w:pStyle w:val="InstructionsText"/>
            </w:pPr>
            <w:r w:rsidRPr="002176B5">
              <w:t>Treba poznamenať, že tieto nástroje sa musia vykazovať aj</w:t>
            </w:r>
            <w:r w:rsidR="002176B5">
              <w:t xml:space="preserve"> v </w:t>
            </w:r>
            <w:r w:rsidRPr="002176B5">
              <w:t>položke 13.1.</w:t>
            </w:r>
          </w:p>
        </w:tc>
      </w:tr>
      <w:tr w:rsidR="00CC7D2C" w:rsidRPr="002176B5" w14:paraId="44ED5ED4" w14:textId="77777777" w:rsidTr="00822842">
        <w:tc>
          <w:tcPr>
            <w:tcW w:w="1474" w:type="dxa"/>
          </w:tcPr>
          <w:p w14:paraId="22471322" w14:textId="77777777" w:rsidR="00CC7D2C" w:rsidRPr="002176B5" w:rsidRDefault="00CC7D2C" w:rsidP="00320EFD">
            <w:pPr>
              <w:pStyle w:val="InstructionsText"/>
            </w:pPr>
            <w:r w:rsidRPr="002176B5">
              <w:t>0710</w:t>
            </w:r>
          </w:p>
        </w:tc>
        <w:tc>
          <w:tcPr>
            <w:tcW w:w="7049" w:type="dxa"/>
          </w:tcPr>
          <w:p w14:paraId="1BB5D659" w14:textId="53ED33F1" w:rsidR="00CC7D2C" w:rsidRPr="002176B5" w:rsidRDefault="00CC7D2C" w:rsidP="00320EFD">
            <w:pPr>
              <w:pStyle w:val="InstructionsText"/>
            </w:pPr>
            <w:r w:rsidRPr="002176B5">
              <w:rPr>
                <w:rStyle w:val="InstructionsTabelleberschrift"/>
                <w:rFonts w:ascii="Times New Roman" w:hAnsi="Times New Roman"/>
                <w:sz w:val="24"/>
              </w:rPr>
              <w:t>24.</w:t>
            </w:r>
            <w:r w:rsidRPr="002176B5">
              <w:tab/>
            </w:r>
            <w:r w:rsidRPr="002176B5">
              <w:rPr>
                <w:rStyle w:val="InstructionsTabelleberschrift"/>
                <w:rFonts w:ascii="Times New Roman" w:hAnsi="Times New Roman"/>
                <w:sz w:val="24"/>
              </w:rPr>
              <w:t>Podiely na kapitálových nástrojoch AT1 subjektov finančného sektora,</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ktorých inštitúcia má významnú investíciu, pri ktorých sa dočasne upúšťa od ustanovení</w:t>
            </w:r>
            <w:r w:rsidR="002176B5">
              <w:rPr>
                <w:rStyle w:val="InstructionsTabelleberschrift"/>
                <w:rFonts w:ascii="Times New Roman" w:hAnsi="Times New Roman"/>
                <w:sz w:val="24"/>
              </w:rPr>
              <w:t xml:space="preserve"> o </w:t>
            </w:r>
            <w:r w:rsidRPr="002176B5">
              <w:rPr>
                <w:rStyle w:val="InstructionsTabelleberschrift"/>
                <w:rFonts w:ascii="Times New Roman" w:hAnsi="Times New Roman"/>
                <w:sz w:val="24"/>
              </w:rPr>
              <w:t>odpočítaní</w:t>
            </w:r>
          </w:p>
          <w:p w14:paraId="29ECC364" w14:textId="77777777" w:rsidR="00CC7D2C" w:rsidRPr="002176B5" w:rsidRDefault="00CC7D2C" w:rsidP="00320EFD">
            <w:pPr>
              <w:pStyle w:val="InstructionsText"/>
            </w:pPr>
            <w:r w:rsidRPr="002176B5">
              <w:t>Článok 79 nariadenia (EÚ) č. 575/2013</w:t>
            </w:r>
          </w:p>
          <w:p w14:paraId="7B10897F" w14:textId="0289FA05" w:rsidR="00CC7D2C" w:rsidRPr="002176B5" w:rsidRDefault="00CC7D2C" w:rsidP="00320EFD">
            <w:pPr>
              <w:pStyle w:val="InstructionsText"/>
            </w:pPr>
            <w:r w:rsidRPr="002176B5">
              <w:t>Príslušný orgán môže dočasne upustiť od uplatňovania ustanovení</w:t>
            </w:r>
            <w:r w:rsidR="002176B5">
              <w:t xml:space="preserve"> o </w:t>
            </w:r>
            <w:r w:rsidRPr="002176B5">
              <w:t>odpočítaní od AT1</w:t>
            </w:r>
            <w:r w:rsidR="002176B5">
              <w:t xml:space="preserve"> z </w:t>
            </w:r>
            <w:r w:rsidRPr="002176B5">
              <w:t>dôvodu podielov na nástrojoch špecifického subjektu finančného sektora, keď považuje tieto podiely za podiely určené na účely operácie finančnej pomoci na reorganizáciu</w:t>
            </w:r>
            <w:r w:rsidR="002176B5">
              <w:t xml:space="preserve"> a </w:t>
            </w:r>
            <w:r w:rsidRPr="002176B5">
              <w:t>záchranu tohto subjektu.</w:t>
            </w:r>
          </w:p>
          <w:p w14:paraId="4477D9DA" w14:textId="50EC7A14" w:rsidR="00CC7D2C" w:rsidRPr="002176B5" w:rsidRDefault="00CC7D2C" w:rsidP="00320EFD">
            <w:pPr>
              <w:pStyle w:val="InstructionsText"/>
            </w:pPr>
            <w:r w:rsidRPr="002176B5">
              <w:t>Treba poznamenať, že tieto nástroje sa musia vykazovať aj</w:t>
            </w:r>
            <w:r w:rsidR="002176B5">
              <w:t xml:space="preserve"> v </w:t>
            </w:r>
            <w:r w:rsidRPr="002176B5">
              <w:t>položke 16.1.</w:t>
            </w:r>
          </w:p>
        </w:tc>
      </w:tr>
      <w:tr w:rsidR="00CC7D2C" w:rsidRPr="002176B5" w14:paraId="78052D02" w14:textId="77777777" w:rsidTr="00822842">
        <w:tc>
          <w:tcPr>
            <w:tcW w:w="1474" w:type="dxa"/>
          </w:tcPr>
          <w:p w14:paraId="615BD4AA" w14:textId="77777777" w:rsidR="00CC7D2C" w:rsidRPr="002176B5" w:rsidRDefault="00CC7D2C" w:rsidP="00320EFD">
            <w:pPr>
              <w:pStyle w:val="InstructionsText"/>
            </w:pPr>
            <w:r w:rsidRPr="002176B5">
              <w:t>0720</w:t>
            </w:r>
          </w:p>
        </w:tc>
        <w:tc>
          <w:tcPr>
            <w:tcW w:w="7049" w:type="dxa"/>
          </w:tcPr>
          <w:p w14:paraId="1AFA5BF2" w14:textId="6FFD1A05" w:rsidR="00CC7D2C" w:rsidRPr="002176B5" w:rsidRDefault="00CC7D2C" w:rsidP="00320EFD">
            <w:pPr>
              <w:pStyle w:val="InstructionsText"/>
            </w:pPr>
            <w:r w:rsidRPr="002176B5">
              <w:rPr>
                <w:rStyle w:val="InstructionsTabelleberschrift"/>
                <w:rFonts w:ascii="Times New Roman" w:hAnsi="Times New Roman"/>
                <w:sz w:val="24"/>
              </w:rPr>
              <w:t>25.</w:t>
            </w:r>
            <w:r w:rsidRPr="002176B5">
              <w:tab/>
            </w:r>
            <w:r w:rsidRPr="002176B5">
              <w:rPr>
                <w:rStyle w:val="InstructionsTabelleberschrift"/>
                <w:rFonts w:ascii="Times New Roman" w:hAnsi="Times New Roman"/>
                <w:sz w:val="24"/>
              </w:rPr>
              <w:t>Podiely na kapitálových nástrojoch T2 subjektov finančného sektora,</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ktorých inštitúcia nemá významnú investíciu, pri ktorých sa dočasne upúšťa od ustanovení</w:t>
            </w:r>
            <w:r w:rsidR="002176B5">
              <w:rPr>
                <w:rStyle w:val="InstructionsTabelleberschrift"/>
                <w:rFonts w:ascii="Times New Roman" w:hAnsi="Times New Roman"/>
                <w:sz w:val="24"/>
              </w:rPr>
              <w:t xml:space="preserve"> o </w:t>
            </w:r>
            <w:r w:rsidRPr="002176B5">
              <w:rPr>
                <w:rStyle w:val="InstructionsTabelleberschrift"/>
                <w:rFonts w:ascii="Times New Roman" w:hAnsi="Times New Roman"/>
                <w:sz w:val="24"/>
              </w:rPr>
              <w:t>odpočítaní</w:t>
            </w:r>
          </w:p>
          <w:p w14:paraId="11A612C2" w14:textId="77777777" w:rsidR="00CC7D2C" w:rsidRPr="002176B5" w:rsidRDefault="00CC7D2C" w:rsidP="00320EFD">
            <w:pPr>
              <w:pStyle w:val="InstructionsText"/>
            </w:pPr>
            <w:r w:rsidRPr="002176B5">
              <w:t>Článok 79 nariadenia (EÚ) č. 575/2013</w:t>
            </w:r>
          </w:p>
          <w:p w14:paraId="2B2A46AA" w14:textId="504D3BE9" w:rsidR="00CC7D2C" w:rsidRPr="002176B5" w:rsidRDefault="00CC7D2C" w:rsidP="00320EFD">
            <w:pPr>
              <w:pStyle w:val="InstructionsText"/>
            </w:pPr>
            <w:r w:rsidRPr="002176B5">
              <w:t>Príslušný orgán môže upustiť od uplatňovania ustanovení</w:t>
            </w:r>
            <w:r w:rsidR="002176B5">
              <w:t xml:space="preserve"> o </w:t>
            </w:r>
            <w:r w:rsidRPr="002176B5">
              <w:t>odpočítaní od T2</w:t>
            </w:r>
            <w:r w:rsidR="002176B5">
              <w:t xml:space="preserve"> z </w:t>
            </w:r>
            <w:r w:rsidRPr="002176B5">
              <w:t>dôvodu podielov na nástrojoch špecifického subjektu finančného sektora, keď považuje tieto podiely za podiely určené na účely operácie finančnej pomoci na reorganizáciu</w:t>
            </w:r>
            <w:r w:rsidR="002176B5">
              <w:t xml:space="preserve"> a </w:t>
            </w:r>
            <w:r w:rsidRPr="002176B5">
              <w:t>záchranu tohto subjektu.</w:t>
            </w:r>
          </w:p>
          <w:p w14:paraId="0FE5A55A" w14:textId="292A1EFB" w:rsidR="00CC7D2C" w:rsidRPr="002176B5" w:rsidRDefault="00CC7D2C" w:rsidP="00320EFD">
            <w:pPr>
              <w:pStyle w:val="InstructionsText"/>
            </w:pPr>
            <w:r w:rsidRPr="002176B5">
              <w:t>Treba poznamenať, že tieto nástroje sa musia vykazovať aj</w:t>
            </w:r>
            <w:r w:rsidR="002176B5">
              <w:t xml:space="preserve"> v </w:t>
            </w:r>
            <w:r w:rsidRPr="002176B5">
              <w:t>položke 14.1.</w:t>
            </w:r>
          </w:p>
        </w:tc>
      </w:tr>
      <w:tr w:rsidR="00CC7D2C" w:rsidRPr="002176B5" w14:paraId="553DEE26" w14:textId="77777777" w:rsidTr="00822842">
        <w:tc>
          <w:tcPr>
            <w:tcW w:w="1474" w:type="dxa"/>
          </w:tcPr>
          <w:p w14:paraId="799C9238" w14:textId="77777777" w:rsidR="00CC7D2C" w:rsidRPr="002176B5" w:rsidRDefault="00CC7D2C" w:rsidP="00320EFD">
            <w:pPr>
              <w:pStyle w:val="InstructionsText"/>
            </w:pPr>
            <w:r w:rsidRPr="002176B5">
              <w:t>0730</w:t>
            </w:r>
          </w:p>
        </w:tc>
        <w:tc>
          <w:tcPr>
            <w:tcW w:w="7049" w:type="dxa"/>
          </w:tcPr>
          <w:p w14:paraId="06A26F26" w14:textId="45A0A839" w:rsidR="00CC7D2C" w:rsidRPr="002176B5" w:rsidRDefault="00CC7D2C" w:rsidP="00320EFD">
            <w:pPr>
              <w:pStyle w:val="InstructionsText"/>
            </w:pPr>
            <w:r w:rsidRPr="002176B5">
              <w:rPr>
                <w:rStyle w:val="InstructionsTabelleberschrift"/>
                <w:rFonts w:ascii="Times New Roman" w:hAnsi="Times New Roman"/>
                <w:sz w:val="24"/>
              </w:rPr>
              <w:t>26.</w:t>
            </w:r>
            <w:r w:rsidRPr="002176B5">
              <w:tab/>
            </w:r>
            <w:r w:rsidRPr="002176B5">
              <w:rPr>
                <w:rStyle w:val="InstructionsTabelleberschrift"/>
                <w:rFonts w:ascii="Times New Roman" w:hAnsi="Times New Roman"/>
                <w:sz w:val="24"/>
              </w:rPr>
              <w:t>Podiely na kapitálových nástrojoch T2 subjektov finančného sektora,</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ktorých inštitúcia má významnú investíciu, pri ktorých sa dočasne upúšťa od ustanovení</w:t>
            </w:r>
            <w:r w:rsidR="002176B5">
              <w:rPr>
                <w:rStyle w:val="InstructionsTabelleberschrift"/>
                <w:rFonts w:ascii="Times New Roman" w:hAnsi="Times New Roman"/>
                <w:sz w:val="24"/>
              </w:rPr>
              <w:t xml:space="preserve"> o </w:t>
            </w:r>
            <w:r w:rsidRPr="002176B5">
              <w:rPr>
                <w:rStyle w:val="InstructionsTabelleberschrift"/>
                <w:rFonts w:ascii="Times New Roman" w:hAnsi="Times New Roman"/>
                <w:sz w:val="24"/>
              </w:rPr>
              <w:t>odpočítaní</w:t>
            </w:r>
          </w:p>
          <w:p w14:paraId="208EC193" w14:textId="77777777" w:rsidR="00CC7D2C" w:rsidRPr="002176B5" w:rsidRDefault="00CC7D2C" w:rsidP="00320EFD">
            <w:pPr>
              <w:pStyle w:val="InstructionsText"/>
            </w:pPr>
            <w:r w:rsidRPr="002176B5">
              <w:t>Článok 79 nariadenia (EÚ) č. 575/2013</w:t>
            </w:r>
          </w:p>
          <w:p w14:paraId="1FA4E3CB" w14:textId="2A3F2EA5" w:rsidR="00CC7D2C" w:rsidRPr="002176B5" w:rsidRDefault="00CC7D2C" w:rsidP="00320EFD">
            <w:pPr>
              <w:pStyle w:val="InstructionsText"/>
            </w:pPr>
            <w:r w:rsidRPr="002176B5">
              <w:t>Príslušný orgán môže upustiť od uplatňovania ustanovení</w:t>
            </w:r>
            <w:r w:rsidR="002176B5">
              <w:t xml:space="preserve"> o </w:t>
            </w:r>
            <w:r w:rsidRPr="002176B5">
              <w:t>odpočítaní od T2</w:t>
            </w:r>
            <w:r w:rsidR="002176B5">
              <w:t xml:space="preserve"> z </w:t>
            </w:r>
            <w:r w:rsidRPr="002176B5">
              <w:t xml:space="preserve">dôvodu podielov na nástrojoch špecifického subjektu finančného sektora, keď považuje tieto podiely za podiely </w:t>
            </w:r>
            <w:r w:rsidRPr="002176B5">
              <w:lastRenderedPageBreak/>
              <w:t>určené na účely operácie finančnej pomoci na reorganizáciu</w:t>
            </w:r>
            <w:r w:rsidR="002176B5">
              <w:t xml:space="preserve"> a </w:t>
            </w:r>
            <w:r w:rsidRPr="002176B5">
              <w:t>záchranu tohto subjektu.</w:t>
            </w:r>
          </w:p>
          <w:p w14:paraId="13C3AFDA" w14:textId="3E8EE129" w:rsidR="00CC7D2C" w:rsidRPr="002176B5" w:rsidRDefault="00CC7D2C" w:rsidP="00320EFD">
            <w:pPr>
              <w:pStyle w:val="InstructionsText"/>
            </w:pPr>
            <w:r w:rsidRPr="002176B5">
              <w:t>Treba poznamenať, že tieto nástroje sa musia vykazovať aj</w:t>
            </w:r>
            <w:r w:rsidR="002176B5">
              <w:t xml:space="preserve"> v </w:t>
            </w:r>
            <w:r w:rsidRPr="002176B5">
              <w:t>položke 17.1.</w:t>
            </w:r>
          </w:p>
        </w:tc>
      </w:tr>
      <w:tr w:rsidR="00CC7D2C" w:rsidRPr="002176B5" w14:paraId="181B45DB"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43E60B3C" w14:textId="77777777" w:rsidR="00CC7D2C" w:rsidRPr="002176B5" w:rsidRDefault="00CC7D2C" w:rsidP="00320EFD">
            <w:pPr>
              <w:pStyle w:val="InstructionsText"/>
            </w:pPr>
            <w:r w:rsidRPr="002176B5">
              <w:lastRenderedPageBreak/>
              <w:t>0740</w:t>
            </w:r>
          </w:p>
        </w:tc>
        <w:tc>
          <w:tcPr>
            <w:tcW w:w="7049" w:type="dxa"/>
            <w:tcBorders>
              <w:top w:val="single" w:sz="4" w:space="0" w:color="auto"/>
              <w:left w:val="single" w:sz="4" w:space="0" w:color="auto"/>
              <w:bottom w:val="single" w:sz="4" w:space="0" w:color="auto"/>
              <w:right w:val="single" w:sz="4" w:space="0" w:color="auto"/>
            </w:tcBorders>
          </w:tcPr>
          <w:p w14:paraId="6B49D80F" w14:textId="77777777" w:rsidR="00CC7D2C" w:rsidRPr="002176B5" w:rsidRDefault="00CC7D2C" w:rsidP="00320EFD">
            <w:pPr>
              <w:pStyle w:val="InstructionsText"/>
            </w:pPr>
            <w:r w:rsidRPr="002176B5">
              <w:rPr>
                <w:rStyle w:val="InstructionsTabelleberschrift"/>
                <w:rFonts w:ascii="Times New Roman" w:hAnsi="Times New Roman"/>
                <w:sz w:val="24"/>
              </w:rPr>
              <w:t>27.</w:t>
            </w:r>
            <w:r w:rsidRPr="002176B5">
              <w:tab/>
            </w:r>
            <w:r w:rsidRPr="002176B5">
              <w:rPr>
                <w:rStyle w:val="InstructionsTabelleberschrift"/>
                <w:rFonts w:ascii="Times New Roman" w:hAnsi="Times New Roman"/>
                <w:sz w:val="24"/>
              </w:rPr>
              <w:t>Požiadavka na kombinovaný vankúš</w:t>
            </w:r>
          </w:p>
          <w:p w14:paraId="0AF29A6F" w14:textId="77777777" w:rsidR="00CC7D2C" w:rsidRPr="002176B5" w:rsidRDefault="00CC7D2C" w:rsidP="00320EFD">
            <w:pPr>
              <w:pStyle w:val="InstructionsText"/>
            </w:pPr>
            <w:r w:rsidRPr="002176B5">
              <w:t>Článok 128 bod 6 smernice 2013/36/EÚ</w:t>
            </w:r>
          </w:p>
        </w:tc>
      </w:tr>
      <w:tr w:rsidR="00CC7D2C" w:rsidRPr="002176B5" w14:paraId="374B2E39"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69539881" w14:textId="77777777" w:rsidR="00CC7D2C" w:rsidRPr="002176B5" w:rsidRDefault="00CC7D2C" w:rsidP="00320EFD">
            <w:pPr>
              <w:pStyle w:val="InstructionsText"/>
            </w:pPr>
            <w:r w:rsidRPr="002176B5">
              <w:t>0750</w:t>
            </w:r>
          </w:p>
        </w:tc>
        <w:tc>
          <w:tcPr>
            <w:tcW w:w="7049" w:type="dxa"/>
            <w:tcBorders>
              <w:top w:val="single" w:sz="4" w:space="0" w:color="auto"/>
              <w:left w:val="single" w:sz="4" w:space="0" w:color="auto"/>
              <w:bottom w:val="single" w:sz="4" w:space="0" w:color="auto"/>
              <w:right w:val="single" w:sz="4" w:space="0" w:color="auto"/>
            </w:tcBorders>
          </w:tcPr>
          <w:p w14:paraId="470E84AC" w14:textId="77777777" w:rsidR="00CC7D2C" w:rsidRPr="002176B5" w:rsidRDefault="00CC7D2C" w:rsidP="00320EFD">
            <w:pPr>
              <w:pStyle w:val="InstructionsText"/>
            </w:pPr>
            <w:r w:rsidRPr="002176B5">
              <w:rPr>
                <w:rStyle w:val="InstructionsTabelleberschrift"/>
                <w:rFonts w:ascii="Times New Roman" w:hAnsi="Times New Roman"/>
                <w:sz w:val="24"/>
              </w:rPr>
              <w:t>Vankúš na zachovanie kapitálu</w:t>
            </w:r>
          </w:p>
          <w:p w14:paraId="6A740D20" w14:textId="77777777" w:rsidR="002176B5" w:rsidRDefault="00CC7D2C" w:rsidP="00320EFD">
            <w:pPr>
              <w:pStyle w:val="InstructionsText"/>
            </w:pPr>
            <w:r w:rsidRPr="002176B5">
              <w:t>Článok 128 bod 1</w:t>
            </w:r>
            <w:r w:rsidR="002176B5">
              <w:t xml:space="preserve"> a </w:t>
            </w:r>
            <w:r w:rsidRPr="002176B5">
              <w:t>článok 129 smernice 2013/36/EÚ</w:t>
            </w:r>
          </w:p>
          <w:p w14:paraId="34478878" w14:textId="011E72BA" w:rsidR="00CC7D2C" w:rsidRPr="002176B5" w:rsidRDefault="00CC7D2C" w:rsidP="00320EFD">
            <w:pPr>
              <w:pStyle w:val="InstructionsText"/>
            </w:pPr>
            <w:r w:rsidRPr="002176B5">
              <w:t xml:space="preserve">Podľa článku 129 ods. 1 smernice 2013/36/EÚ je vankúš na zachovanie kapitálu dodatočná suma nad rámec vlastného kapitálu </w:t>
            </w:r>
            <w:proofErr w:type="spellStart"/>
            <w:r w:rsidRPr="002176B5">
              <w:t>Tier</w:t>
            </w:r>
            <w:proofErr w:type="spellEnd"/>
            <w:r w:rsidRPr="002176B5">
              <w:t xml:space="preserve"> 1. Keďže miera vankúša na zachovanie kapitálu vo výške 2,5</w:t>
            </w:r>
            <w:r w:rsidR="002176B5">
              <w:t> %</w:t>
            </w:r>
            <w:r w:rsidRPr="002176B5">
              <w:t xml:space="preserve"> je stabilná, vykazuje sa</w:t>
            </w:r>
            <w:r w:rsidR="002176B5">
              <w:t xml:space="preserve"> v </w:t>
            </w:r>
            <w:r w:rsidRPr="002176B5">
              <w:t>tomto riadku hodnota.</w:t>
            </w:r>
          </w:p>
        </w:tc>
      </w:tr>
      <w:tr w:rsidR="00CC7D2C" w:rsidRPr="002176B5" w14:paraId="794CD8BA"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5A39173F" w14:textId="77777777" w:rsidR="00CC7D2C" w:rsidRPr="002176B5" w:rsidRDefault="00CC7D2C" w:rsidP="00320EFD">
            <w:pPr>
              <w:pStyle w:val="InstructionsText"/>
            </w:pPr>
            <w:r w:rsidRPr="002176B5">
              <w:t>0760</w:t>
            </w:r>
          </w:p>
        </w:tc>
        <w:tc>
          <w:tcPr>
            <w:tcW w:w="7049" w:type="dxa"/>
            <w:tcBorders>
              <w:top w:val="single" w:sz="4" w:space="0" w:color="auto"/>
              <w:left w:val="single" w:sz="4" w:space="0" w:color="auto"/>
              <w:bottom w:val="single" w:sz="4" w:space="0" w:color="auto"/>
              <w:right w:val="single" w:sz="4" w:space="0" w:color="auto"/>
            </w:tcBorders>
          </w:tcPr>
          <w:p w14:paraId="0A9389A8" w14:textId="77777777" w:rsid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Vankúš na zachovanie</w:t>
            </w:r>
            <w:r w:rsidR="002176B5">
              <w:rPr>
                <w:rStyle w:val="InstructionsTabelleberschrift"/>
                <w:rFonts w:ascii="Times New Roman" w:hAnsi="Times New Roman"/>
                <w:sz w:val="24"/>
              </w:rPr>
              <w:t xml:space="preserve"> z </w:t>
            </w:r>
            <w:r w:rsidRPr="002176B5">
              <w:rPr>
                <w:rStyle w:val="InstructionsTabelleberschrift"/>
                <w:rFonts w:ascii="Times New Roman" w:hAnsi="Times New Roman"/>
                <w:sz w:val="24"/>
              </w:rPr>
              <w:t xml:space="preserve">dôvodu </w:t>
            </w:r>
            <w:proofErr w:type="spellStart"/>
            <w:r w:rsidRPr="002176B5">
              <w:rPr>
                <w:rStyle w:val="InstructionsTabelleberschrift"/>
                <w:rFonts w:ascii="Times New Roman" w:hAnsi="Times New Roman"/>
                <w:sz w:val="24"/>
              </w:rPr>
              <w:t>makroprudenciálneho</w:t>
            </w:r>
            <w:proofErr w:type="spellEnd"/>
            <w:r w:rsidRPr="002176B5">
              <w:rPr>
                <w:rStyle w:val="InstructionsTabelleberschrift"/>
                <w:rFonts w:ascii="Times New Roman" w:hAnsi="Times New Roman"/>
                <w:sz w:val="24"/>
              </w:rPr>
              <w:t xml:space="preserve"> alebo systémového rizika identifikovaného na úrovni členského štátu</w:t>
            </w:r>
          </w:p>
          <w:p w14:paraId="6B9D8D9B" w14:textId="0128856E" w:rsidR="00CC7D2C" w:rsidRPr="002176B5" w:rsidRDefault="00CC7D2C" w:rsidP="00320EFD">
            <w:pPr>
              <w:pStyle w:val="InstructionsText"/>
            </w:pPr>
            <w:r w:rsidRPr="002176B5">
              <w:t>Článok 458 ods. 2 písm. d) bod iv) nariadenia (EÚ) č. 575/2013</w:t>
            </w:r>
          </w:p>
          <w:p w14:paraId="164E576A" w14:textId="283F6F4D" w:rsidR="00CC7D2C" w:rsidRPr="002176B5" w:rsidRDefault="00CC7D2C" w:rsidP="00320EFD">
            <w:pPr>
              <w:pStyle w:val="InstructionsText"/>
            </w:pPr>
            <w:r w:rsidRPr="002176B5">
              <w:t>V tomto riadku sa vykazuje hodnota vankúša na zachovanie</w:t>
            </w:r>
            <w:r w:rsidR="002176B5">
              <w:t xml:space="preserve"> z </w:t>
            </w:r>
            <w:r w:rsidRPr="002176B5">
              <w:t xml:space="preserve">dôvodu </w:t>
            </w:r>
            <w:proofErr w:type="spellStart"/>
            <w:r w:rsidRPr="002176B5">
              <w:t>makroprudenciálneho</w:t>
            </w:r>
            <w:proofErr w:type="spellEnd"/>
            <w:r w:rsidRPr="002176B5">
              <w:t xml:space="preserve"> alebo systémového rizika identifikovaného na úrovni členského štátu, ktorý sa môže požadovať podľa článku 458 nariadenia (EÚ) č. 575/2013 popri vankúši na zachovanie kapitálu.</w:t>
            </w:r>
          </w:p>
          <w:p w14:paraId="567C4AC2" w14:textId="4C37F2B0" w:rsidR="00CC7D2C" w:rsidRPr="002176B5" w:rsidRDefault="00CC7D2C" w:rsidP="00320EFD">
            <w:pPr>
              <w:pStyle w:val="InstructionsText"/>
            </w:pPr>
            <w:r w:rsidRPr="002176B5">
              <w:t>Vykázaná suma predstavuje výšku vlastných zdrojov potrebných na dodržanie príslušných požiadaviek na kapitálový vankúš</w:t>
            </w:r>
            <w:r w:rsidR="002176B5">
              <w:t xml:space="preserve"> k </w:t>
            </w:r>
            <w:r w:rsidRPr="002176B5">
              <w:t>dátumu vykazovania.</w:t>
            </w:r>
          </w:p>
        </w:tc>
      </w:tr>
      <w:tr w:rsidR="00CC7D2C" w:rsidRPr="002176B5" w14:paraId="2FDB1631"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4235920" w14:textId="77777777" w:rsidR="00CC7D2C" w:rsidRPr="002176B5" w:rsidRDefault="00CC7D2C" w:rsidP="00320EFD">
            <w:pPr>
              <w:pStyle w:val="InstructionsText"/>
            </w:pPr>
            <w:r w:rsidRPr="002176B5">
              <w:t>0770</w:t>
            </w:r>
          </w:p>
        </w:tc>
        <w:tc>
          <w:tcPr>
            <w:tcW w:w="7049" w:type="dxa"/>
            <w:tcBorders>
              <w:top w:val="single" w:sz="4" w:space="0" w:color="auto"/>
              <w:left w:val="single" w:sz="4" w:space="0" w:color="auto"/>
              <w:bottom w:val="single" w:sz="4" w:space="0" w:color="auto"/>
              <w:right w:val="single" w:sz="4" w:space="0" w:color="auto"/>
            </w:tcBorders>
          </w:tcPr>
          <w:p w14:paraId="08DC00DE" w14:textId="77777777" w:rsidR="002176B5" w:rsidRDefault="00CC7D2C" w:rsidP="00320EFD">
            <w:pPr>
              <w:pStyle w:val="InstructionsText"/>
              <w:rPr>
                <w:rStyle w:val="InstructionsTabelleberschrift"/>
                <w:rFonts w:ascii="Times New Roman" w:hAnsi="Times New Roman"/>
                <w:sz w:val="24"/>
              </w:rPr>
            </w:pPr>
            <w:proofErr w:type="spellStart"/>
            <w:r w:rsidRPr="002176B5">
              <w:rPr>
                <w:rStyle w:val="InstructionsTabelleberschrift"/>
                <w:rFonts w:ascii="Times New Roman" w:hAnsi="Times New Roman"/>
                <w:sz w:val="24"/>
              </w:rPr>
              <w:t>Proticyklický</w:t>
            </w:r>
            <w:proofErr w:type="spellEnd"/>
            <w:r w:rsidRPr="002176B5">
              <w:rPr>
                <w:rStyle w:val="InstructionsTabelleberschrift"/>
                <w:rFonts w:ascii="Times New Roman" w:hAnsi="Times New Roman"/>
                <w:sz w:val="24"/>
              </w:rPr>
              <w:t xml:space="preserve"> kapitálový vankúš špecifický pre inštitúciu</w:t>
            </w:r>
          </w:p>
          <w:p w14:paraId="2FEBC2CE" w14:textId="77777777" w:rsidR="002176B5" w:rsidRDefault="00CC7D2C" w:rsidP="00320EFD">
            <w:pPr>
              <w:pStyle w:val="InstructionsText"/>
            </w:pPr>
            <w:r w:rsidRPr="002176B5">
              <w:t>Článok 128 bod 2</w:t>
            </w:r>
            <w:r w:rsidR="002176B5">
              <w:t xml:space="preserve"> a </w:t>
            </w:r>
            <w:r w:rsidRPr="002176B5">
              <w:t>články 130, 135 až 140 smernice 2013/36/EÚ</w:t>
            </w:r>
          </w:p>
          <w:p w14:paraId="2146B003" w14:textId="7B1A02D6" w:rsidR="00CC7D2C" w:rsidRPr="002176B5" w:rsidRDefault="00CC7D2C" w:rsidP="00320EFD">
            <w:pPr>
              <w:pStyle w:val="InstructionsText"/>
            </w:pPr>
            <w:r w:rsidRPr="002176B5">
              <w:t>Vykázaná suma predstavuje výšku vlastných zdrojov potrebných na dodržanie príslušných požiadaviek na kapitálový vankúš</w:t>
            </w:r>
            <w:r w:rsidR="002176B5">
              <w:t xml:space="preserve"> k </w:t>
            </w:r>
            <w:r w:rsidRPr="002176B5">
              <w:t>dátumu vykazovania.</w:t>
            </w:r>
          </w:p>
        </w:tc>
      </w:tr>
      <w:tr w:rsidR="00CC7D2C" w:rsidRPr="002176B5" w14:paraId="50C37F02"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2EF2B00" w14:textId="77777777" w:rsidR="00CC7D2C" w:rsidRPr="002176B5" w:rsidRDefault="00CC7D2C" w:rsidP="00320EFD">
            <w:pPr>
              <w:pStyle w:val="InstructionsText"/>
            </w:pPr>
            <w:r w:rsidRPr="002176B5">
              <w:t>0780</w:t>
            </w:r>
          </w:p>
        </w:tc>
        <w:tc>
          <w:tcPr>
            <w:tcW w:w="7049" w:type="dxa"/>
            <w:tcBorders>
              <w:top w:val="single" w:sz="4" w:space="0" w:color="auto"/>
              <w:left w:val="single" w:sz="4" w:space="0" w:color="auto"/>
              <w:bottom w:val="single" w:sz="4" w:space="0" w:color="auto"/>
              <w:right w:val="single" w:sz="4" w:space="0" w:color="auto"/>
            </w:tcBorders>
          </w:tcPr>
          <w:p w14:paraId="618BC117" w14:textId="77777777" w:rsid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Vankúš na krytie systémového rizika</w:t>
            </w:r>
          </w:p>
          <w:p w14:paraId="20C9F175" w14:textId="77777777" w:rsidR="002176B5" w:rsidRDefault="00CC7D2C" w:rsidP="00320EFD">
            <w:pPr>
              <w:pStyle w:val="InstructionsText"/>
            </w:pPr>
            <w:r w:rsidRPr="002176B5">
              <w:t>Článok 128 bod 5, články 133</w:t>
            </w:r>
            <w:r w:rsidR="002176B5">
              <w:t xml:space="preserve"> a </w:t>
            </w:r>
            <w:r w:rsidRPr="002176B5">
              <w:t>134 smernice 2013/36/EÚ</w:t>
            </w:r>
          </w:p>
          <w:p w14:paraId="69C1F43C" w14:textId="497B787B" w:rsidR="00CC7D2C" w:rsidRPr="002176B5" w:rsidRDefault="00CC7D2C" w:rsidP="00320EFD">
            <w:pPr>
              <w:pStyle w:val="InstructionsText"/>
            </w:pPr>
            <w:r w:rsidRPr="002176B5">
              <w:t>Vykázaná suma predstavuje výšku vlastných zdrojov potrebných na dodržanie príslušných požiadaviek na kapitálový vankúš</w:t>
            </w:r>
            <w:r w:rsidR="002176B5">
              <w:t xml:space="preserve"> k </w:t>
            </w:r>
            <w:r w:rsidRPr="002176B5">
              <w:t>dátumu vykazovania.</w:t>
            </w:r>
          </w:p>
        </w:tc>
      </w:tr>
      <w:tr w:rsidR="00CC7D2C" w:rsidRPr="002176B5" w14:paraId="3371B57B"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76EC4810" w14:textId="77777777" w:rsidR="00CC7D2C" w:rsidRPr="002176B5" w:rsidRDefault="00CC7D2C" w:rsidP="00320EFD">
            <w:pPr>
              <w:pStyle w:val="InstructionsText"/>
            </w:pPr>
            <w:r w:rsidRPr="002176B5">
              <w:t>0800</w:t>
            </w:r>
          </w:p>
        </w:tc>
        <w:tc>
          <w:tcPr>
            <w:tcW w:w="7049" w:type="dxa"/>
            <w:tcBorders>
              <w:top w:val="single" w:sz="4" w:space="0" w:color="auto"/>
              <w:left w:val="single" w:sz="4" w:space="0" w:color="auto"/>
              <w:bottom w:val="single" w:sz="4" w:space="0" w:color="auto"/>
              <w:right w:val="single" w:sz="4" w:space="0" w:color="auto"/>
            </w:tcBorders>
          </w:tcPr>
          <w:p w14:paraId="619593EF" w14:textId="77777777"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Vankúš pre globálne systémovo významné inštitúcie</w:t>
            </w:r>
          </w:p>
          <w:p w14:paraId="4259170F" w14:textId="10A35F1D" w:rsidR="00CC7D2C" w:rsidRPr="002176B5" w:rsidRDefault="00CC7D2C" w:rsidP="00320EFD">
            <w:pPr>
              <w:pStyle w:val="InstructionsText"/>
              <w:rPr>
                <w:rStyle w:val="InstructionsTabelleberschrift"/>
                <w:rFonts w:ascii="Times New Roman" w:hAnsi="Times New Roman"/>
                <w:b w:val="0"/>
                <w:sz w:val="24"/>
                <w:u w:val="none"/>
              </w:rPr>
            </w:pPr>
            <w:r w:rsidRPr="002176B5">
              <w:rPr>
                <w:rStyle w:val="InstructionsTabelleberschrift"/>
                <w:rFonts w:ascii="Times New Roman" w:hAnsi="Times New Roman"/>
                <w:b w:val="0"/>
                <w:sz w:val="24"/>
                <w:u w:val="none"/>
              </w:rPr>
              <w:t>Článok 128 bod 3</w:t>
            </w:r>
            <w:r w:rsidR="002176B5">
              <w:rPr>
                <w:rStyle w:val="InstructionsTabelleberschrift"/>
                <w:rFonts w:ascii="Times New Roman" w:hAnsi="Times New Roman"/>
                <w:b w:val="0"/>
                <w:sz w:val="24"/>
                <w:u w:val="none"/>
              </w:rPr>
              <w:t xml:space="preserve"> a </w:t>
            </w:r>
            <w:r w:rsidRPr="002176B5">
              <w:rPr>
                <w:rStyle w:val="InstructionsTabelleberschrift"/>
                <w:rFonts w:ascii="Times New Roman" w:hAnsi="Times New Roman"/>
                <w:b w:val="0"/>
                <w:sz w:val="24"/>
                <w:u w:val="none"/>
              </w:rPr>
              <w:t>článok 131</w:t>
            </w:r>
            <w:r w:rsidRPr="002176B5">
              <w:t xml:space="preserve"> smernice 2013/36/EÚ</w:t>
            </w:r>
          </w:p>
          <w:p w14:paraId="6ED66F1E" w14:textId="38552417" w:rsidR="00CC7D2C" w:rsidRPr="002176B5" w:rsidRDefault="00CC7D2C" w:rsidP="00320EFD">
            <w:pPr>
              <w:pStyle w:val="InstructionsText"/>
              <w:rPr>
                <w:rStyle w:val="InstructionsTabelleberschrift"/>
                <w:rFonts w:ascii="Times New Roman" w:hAnsi="Times New Roman"/>
                <w:b w:val="0"/>
                <w:bCs w:val="0"/>
                <w:sz w:val="24"/>
                <w:u w:val="none"/>
              </w:rPr>
            </w:pPr>
            <w:r w:rsidRPr="002176B5">
              <w:t>Vykázaná suma predstavuje výšku vlastných zdrojov potrebných na dodržanie príslušných požiadaviek na kapitálový vankúš</w:t>
            </w:r>
            <w:r w:rsidR="002176B5">
              <w:t xml:space="preserve"> k </w:t>
            </w:r>
            <w:r w:rsidRPr="002176B5">
              <w:t>dátumu vykazovania.</w:t>
            </w:r>
          </w:p>
        </w:tc>
      </w:tr>
      <w:tr w:rsidR="00CC7D2C" w:rsidRPr="002176B5" w14:paraId="79BE700D"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C4BF299" w14:textId="77777777" w:rsidR="00CC7D2C" w:rsidRPr="002176B5" w:rsidRDefault="00CC7D2C" w:rsidP="00320EFD">
            <w:pPr>
              <w:pStyle w:val="InstructionsText"/>
            </w:pPr>
            <w:r w:rsidRPr="002176B5">
              <w:t>0810</w:t>
            </w:r>
          </w:p>
        </w:tc>
        <w:tc>
          <w:tcPr>
            <w:tcW w:w="7049" w:type="dxa"/>
            <w:tcBorders>
              <w:top w:val="single" w:sz="4" w:space="0" w:color="auto"/>
              <w:left w:val="single" w:sz="4" w:space="0" w:color="auto"/>
              <w:bottom w:val="single" w:sz="4" w:space="0" w:color="auto"/>
              <w:right w:val="single" w:sz="4" w:space="0" w:color="auto"/>
            </w:tcBorders>
          </w:tcPr>
          <w:p w14:paraId="1B3C3F61" w14:textId="77777777" w:rsid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Vankúš pre inak systémovo významné inštitúcie</w:t>
            </w:r>
          </w:p>
          <w:p w14:paraId="295F628B" w14:textId="7E40E91F" w:rsidR="00CC7D2C" w:rsidRPr="002176B5" w:rsidRDefault="00CC7D2C" w:rsidP="00320EFD">
            <w:pPr>
              <w:pStyle w:val="InstructionsText"/>
              <w:rPr>
                <w:rStyle w:val="InstructionsTabelleberschrift"/>
                <w:rFonts w:ascii="Times New Roman" w:hAnsi="Times New Roman"/>
                <w:b w:val="0"/>
                <w:sz w:val="24"/>
                <w:u w:val="none"/>
              </w:rPr>
            </w:pPr>
            <w:r w:rsidRPr="002176B5">
              <w:rPr>
                <w:rStyle w:val="InstructionsTabelleberschrift"/>
                <w:rFonts w:ascii="Times New Roman" w:hAnsi="Times New Roman"/>
                <w:b w:val="0"/>
                <w:sz w:val="24"/>
                <w:u w:val="none"/>
              </w:rPr>
              <w:t>Článok 128 bod 4</w:t>
            </w:r>
            <w:r w:rsidR="002176B5">
              <w:rPr>
                <w:rStyle w:val="InstructionsTabelleberschrift"/>
                <w:rFonts w:ascii="Times New Roman" w:hAnsi="Times New Roman"/>
                <w:b w:val="0"/>
                <w:sz w:val="24"/>
                <w:u w:val="none"/>
              </w:rPr>
              <w:t xml:space="preserve"> a </w:t>
            </w:r>
            <w:r w:rsidRPr="002176B5">
              <w:rPr>
                <w:rStyle w:val="InstructionsTabelleberschrift"/>
                <w:rFonts w:ascii="Times New Roman" w:hAnsi="Times New Roman"/>
                <w:b w:val="0"/>
                <w:sz w:val="24"/>
                <w:u w:val="none"/>
              </w:rPr>
              <w:t>článok 131</w:t>
            </w:r>
            <w:r w:rsidRPr="002176B5">
              <w:t xml:space="preserve"> smernice 2013/36/EÚ</w:t>
            </w:r>
          </w:p>
          <w:p w14:paraId="4B543D3F" w14:textId="4DFD0C9A" w:rsidR="00CC7D2C" w:rsidRPr="002176B5" w:rsidRDefault="00CC7D2C" w:rsidP="00320EFD">
            <w:pPr>
              <w:pStyle w:val="InstructionsText"/>
              <w:rPr>
                <w:rStyle w:val="InstructionsTabelleberschrift"/>
                <w:rFonts w:ascii="Times New Roman" w:hAnsi="Times New Roman"/>
                <w:b w:val="0"/>
                <w:bCs w:val="0"/>
                <w:sz w:val="24"/>
                <w:u w:val="none"/>
              </w:rPr>
            </w:pPr>
            <w:r w:rsidRPr="002176B5">
              <w:lastRenderedPageBreak/>
              <w:t>Vykázaná suma predstavuje výšku vlastných zdrojov potrebných na dodržanie príslušných požiadaviek na kapitálový vankúš</w:t>
            </w:r>
            <w:r w:rsidR="002176B5">
              <w:t xml:space="preserve"> k </w:t>
            </w:r>
            <w:r w:rsidRPr="002176B5">
              <w:t>dátumu vykazovania.</w:t>
            </w:r>
          </w:p>
        </w:tc>
      </w:tr>
      <w:tr w:rsidR="00CC7D2C" w:rsidRPr="002176B5" w14:paraId="79CF320F"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9DD9E95" w14:textId="77777777" w:rsidR="00CC7D2C" w:rsidRPr="002176B5" w:rsidRDefault="00CC7D2C" w:rsidP="00320EFD">
            <w:pPr>
              <w:pStyle w:val="InstructionsText"/>
            </w:pPr>
            <w:r w:rsidRPr="002176B5">
              <w:lastRenderedPageBreak/>
              <w:t>0820</w:t>
            </w:r>
          </w:p>
        </w:tc>
        <w:tc>
          <w:tcPr>
            <w:tcW w:w="7049" w:type="dxa"/>
            <w:tcBorders>
              <w:top w:val="single" w:sz="4" w:space="0" w:color="auto"/>
              <w:left w:val="single" w:sz="4" w:space="0" w:color="auto"/>
              <w:bottom w:val="single" w:sz="4" w:space="0" w:color="auto"/>
              <w:right w:val="single" w:sz="4" w:space="0" w:color="auto"/>
            </w:tcBorders>
          </w:tcPr>
          <w:p w14:paraId="66197758" w14:textId="7901CC74"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28.</w:t>
            </w:r>
            <w:r w:rsidRPr="002176B5">
              <w:tab/>
            </w:r>
            <w:r w:rsidRPr="002176B5">
              <w:rPr>
                <w:rStyle w:val="InstructionsTabelleberschrift"/>
                <w:rFonts w:ascii="Times New Roman" w:hAnsi="Times New Roman"/>
                <w:sz w:val="24"/>
              </w:rPr>
              <w:t>Požiadavky na vlastné zdroje súvisiace</w:t>
            </w:r>
            <w:r w:rsidR="002176B5">
              <w:rPr>
                <w:rStyle w:val="InstructionsTabelleberschrift"/>
                <w:rFonts w:ascii="Times New Roman" w:hAnsi="Times New Roman"/>
                <w:sz w:val="24"/>
              </w:rPr>
              <w:t xml:space="preserve"> s </w:t>
            </w:r>
            <w:r w:rsidRPr="002176B5">
              <w:rPr>
                <w:rStyle w:val="InstructionsTabelleberschrift"/>
                <w:rFonts w:ascii="Times New Roman" w:hAnsi="Times New Roman"/>
                <w:sz w:val="24"/>
              </w:rPr>
              <w:t>úpravami piliera II</w:t>
            </w:r>
          </w:p>
          <w:p w14:paraId="5C3B875C" w14:textId="77777777" w:rsidR="002176B5" w:rsidRDefault="00CC7D2C" w:rsidP="00320EFD">
            <w:pPr>
              <w:pStyle w:val="InstructionsText"/>
              <w:rPr>
                <w:rStyle w:val="InstructionsTabelleberschrift"/>
                <w:rFonts w:ascii="Times New Roman" w:hAnsi="Times New Roman"/>
                <w:b w:val="0"/>
                <w:sz w:val="24"/>
                <w:u w:val="none"/>
              </w:rPr>
            </w:pPr>
            <w:r w:rsidRPr="002176B5">
              <w:rPr>
                <w:rStyle w:val="InstructionsTabelleberschrift"/>
                <w:rFonts w:ascii="Times New Roman" w:hAnsi="Times New Roman"/>
                <w:b w:val="0"/>
                <w:sz w:val="24"/>
                <w:u w:val="none"/>
              </w:rPr>
              <w:t>Článok 104a ods. 1</w:t>
            </w:r>
            <w:r w:rsidRPr="002176B5">
              <w:t xml:space="preserve"> smernice 2013/36/EÚ</w:t>
            </w:r>
          </w:p>
          <w:p w14:paraId="131DD05D" w14:textId="71581C1D" w:rsidR="00CC7D2C" w:rsidRPr="002176B5" w:rsidRDefault="00CC7D2C" w:rsidP="00320EFD">
            <w:pPr>
              <w:pStyle w:val="InstructionsText"/>
              <w:rPr>
                <w:rStyle w:val="InstructionsTabelleberschrift"/>
                <w:rFonts w:ascii="Times New Roman" w:hAnsi="Times New Roman"/>
                <w:b w:val="0"/>
                <w:sz w:val="24"/>
                <w:u w:val="none"/>
              </w:rPr>
            </w:pPr>
            <w:r w:rsidRPr="002176B5">
              <w:rPr>
                <w:rStyle w:val="InstructionsTabelleberschrift"/>
                <w:rFonts w:ascii="Times New Roman" w:hAnsi="Times New Roman"/>
                <w:b w:val="0"/>
                <w:sz w:val="24"/>
                <w:u w:val="none"/>
              </w:rPr>
              <w:t>Ak príslušný orgán rozhodne, že inštitúcia musí vypočítavať požiadavky na dodatočné vlastné zdroje na základe piliera II, hodnota uvedených dodatočných požiadaviek na vlastné zdroje sa vykazuje</w:t>
            </w:r>
            <w:r w:rsidR="002176B5">
              <w:rPr>
                <w:rStyle w:val="InstructionsTabelleberschrift"/>
                <w:rFonts w:ascii="Times New Roman" w:hAnsi="Times New Roman"/>
                <w:b w:val="0"/>
                <w:sz w:val="24"/>
                <w:u w:val="none"/>
              </w:rPr>
              <w:t xml:space="preserve"> v </w:t>
            </w:r>
            <w:r w:rsidRPr="002176B5">
              <w:rPr>
                <w:rStyle w:val="InstructionsTabelleberschrift"/>
                <w:rFonts w:ascii="Times New Roman" w:hAnsi="Times New Roman"/>
                <w:b w:val="0"/>
                <w:sz w:val="24"/>
                <w:u w:val="none"/>
              </w:rPr>
              <w:t xml:space="preserve">tomto riadku. </w:t>
            </w:r>
          </w:p>
        </w:tc>
      </w:tr>
      <w:tr w:rsidR="00CC7D2C" w:rsidRPr="002176B5" w14:paraId="347C7B47"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CC06515" w14:textId="77777777" w:rsidR="00CC7D2C" w:rsidRPr="002176B5" w:rsidRDefault="00CC7D2C" w:rsidP="00320EFD">
            <w:pPr>
              <w:pStyle w:val="InstructionsText"/>
            </w:pPr>
            <w:r w:rsidRPr="002176B5">
              <w:t>0830</w:t>
            </w:r>
          </w:p>
        </w:tc>
        <w:tc>
          <w:tcPr>
            <w:tcW w:w="7049" w:type="dxa"/>
            <w:tcBorders>
              <w:top w:val="single" w:sz="4" w:space="0" w:color="auto"/>
              <w:left w:val="single" w:sz="4" w:space="0" w:color="auto"/>
              <w:bottom w:val="single" w:sz="4" w:space="0" w:color="auto"/>
              <w:right w:val="single" w:sz="4" w:space="0" w:color="auto"/>
            </w:tcBorders>
          </w:tcPr>
          <w:p w14:paraId="1BF2A562" w14:textId="77777777"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29.</w:t>
            </w:r>
            <w:r w:rsidRPr="002176B5">
              <w:tab/>
            </w:r>
            <w:r w:rsidRPr="002176B5">
              <w:rPr>
                <w:rStyle w:val="InstructionsTabelleberschrift"/>
                <w:rFonts w:ascii="Times New Roman" w:hAnsi="Times New Roman"/>
                <w:sz w:val="24"/>
              </w:rPr>
              <w:t>Počiatočný kapitál</w:t>
            </w:r>
          </w:p>
          <w:p w14:paraId="46BF5068" w14:textId="794B8E8C" w:rsidR="00CC7D2C" w:rsidRPr="002176B5" w:rsidRDefault="00CC7D2C" w:rsidP="00320EFD">
            <w:pPr>
              <w:pStyle w:val="InstructionsText"/>
              <w:rPr>
                <w:rStyle w:val="InstructionsTabelleberschrift"/>
                <w:rFonts w:ascii="Times New Roman" w:hAnsi="Times New Roman"/>
                <w:b w:val="0"/>
                <w:sz w:val="24"/>
                <w:u w:val="none"/>
              </w:rPr>
            </w:pPr>
            <w:r w:rsidRPr="002176B5">
              <w:rPr>
                <w:rStyle w:val="InstructionsTabelleberschrift"/>
                <w:rFonts w:ascii="Times New Roman" w:hAnsi="Times New Roman"/>
                <w:b w:val="0"/>
                <w:sz w:val="24"/>
                <w:u w:val="none"/>
              </w:rPr>
              <w:t>Články 12</w:t>
            </w:r>
            <w:r w:rsidR="002176B5">
              <w:rPr>
                <w:rStyle w:val="InstructionsTabelleberschrift"/>
                <w:rFonts w:ascii="Times New Roman" w:hAnsi="Times New Roman"/>
                <w:b w:val="0"/>
                <w:sz w:val="24"/>
                <w:u w:val="none"/>
              </w:rPr>
              <w:t xml:space="preserve"> a </w:t>
            </w:r>
            <w:r w:rsidRPr="002176B5">
              <w:rPr>
                <w:rStyle w:val="InstructionsTabelleberschrift"/>
                <w:rFonts w:ascii="Times New Roman" w:hAnsi="Times New Roman"/>
                <w:b w:val="0"/>
                <w:sz w:val="24"/>
                <w:u w:val="none"/>
              </w:rPr>
              <w:t xml:space="preserve">28 až 31 </w:t>
            </w:r>
            <w:r w:rsidRPr="002176B5">
              <w:t>smernice 2013/36/EÚ</w:t>
            </w:r>
            <w:r w:rsidR="002176B5">
              <w:t xml:space="preserve"> a </w:t>
            </w:r>
            <w:r w:rsidRPr="002176B5">
              <w:rPr>
                <w:rStyle w:val="InstructionsTabelleberschrift"/>
                <w:rFonts w:ascii="Times New Roman" w:hAnsi="Times New Roman"/>
                <w:b w:val="0"/>
                <w:sz w:val="24"/>
                <w:u w:val="none"/>
              </w:rPr>
              <w:t>článok 93</w:t>
            </w:r>
            <w:r w:rsidRPr="002176B5">
              <w:t xml:space="preserve"> nariadenia (EÚ) č. 575/2013</w:t>
            </w:r>
          </w:p>
        </w:tc>
      </w:tr>
      <w:tr w:rsidR="00CC7D2C" w:rsidRPr="002176B5" w14:paraId="183DB6A2"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6920FF0" w14:textId="77777777" w:rsidR="00CC7D2C" w:rsidRPr="002176B5" w:rsidRDefault="00CC7D2C" w:rsidP="00320EFD">
            <w:pPr>
              <w:pStyle w:val="InstructionsText"/>
            </w:pPr>
            <w:r w:rsidRPr="002176B5">
              <w:t>0840</w:t>
            </w:r>
          </w:p>
        </w:tc>
        <w:tc>
          <w:tcPr>
            <w:tcW w:w="7049" w:type="dxa"/>
            <w:tcBorders>
              <w:top w:val="single" w:sz="4" w:space="0" w:color="auto"/>
              <w:left w:val="single" w:sz="4" w:space="0" w:color="auto"/>
              <w:bottom w:val="single" w:sz="4" w:space="0" w:color="auto"/>
              <w:right w:val="single" w:sz="4" w:space="0" w:color="auto"/>
            </w:tcBorders>
          </w:tcPr>
          <w:p w14:paraId="4C7A260E" w14:textId="77777777"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30.</w:t>
            </w:r>
            <w:r w:rsidRPr="002176B5">
              <w:tab/>
            </w:r>
            <w:r w:rsidRPr="002176B5">
              <w:rPr>
                <w:rStyle w:val="InstructionsTabelleberschrift"/>
                <w:rFonts w:ascii="Times New Roman" w:hAnsi="Times New Roman"/>
                <w:sz w:val="24"/>
              </w:rPr>
              <w:t>Vlastné zdroje založené na fixných režijných nákladoch</w:t>
            </w:r>
          </w:p>
          <w:p w14:paraId="0512C5F3" w14:textId="74D546F5" w:rsidR="00CC7D2C" w:rsidRPr="002176B5" w:rsidRDefault="00CC7D2C" w:rsidP="00320EFD">
            <w:pPr>
              <w:pStyle w:val="InstructionsText"/>
            </w:pPr>
            <w:r w:rsidRPr="002176B5">
              <w:t xml:space="preserve">Článok 95 </w:t>
            </w:r>
            <w:r w:rsidRPr="002176B5">
              <w:rPr>
                <w:rStyle w:val="InstructionsTabelleberschrift"/>
                <w:rFonts w:ascii="Times New Roman" w:hAnsi="Times New Roman"/>
                <w:b w:val="0"/>
                <w:sz w:val="24"/>
                <w:u w:val="none"/>
              </w:rPr>
              <w:t>ods. 2 písm. b)</w:t>
            </w:r>
            <w:r w:rsidRPr="002176B5">
              <w:t>, článok 96 ods. 2 písm. b), článok 97</w:t>
            </w:r>
            <w:r w:rsidR="002176B5">
              <w:t xml:space="preserve"> a </w:t>
            </w:r>
            <w:r w:rsidRPr="002176B5">
              <w:t>článok 98 ods. 1 písm. a) nariadenia (EÚ) č. 575/2013</w:t>
            </w:r>
          </w:p>
          <w:p w14:paraId="3C40AD1B" w14:textId="4E8CDCFD" w:rsidR="00CC7D2C" w:rsidRPr="002176B5" w:rsidRDefault="00CC7D2C" w:rsidP="00320EFD">
            <w:pPr>
              <w:pStyle w:val="InstructionsText"/>
              <w:rPr>
                <w:rStyle w:val="InstructionsTabelleberschrift"/>
                <w:rFonts w:ascii="Times New Roman" w:hAnsi="Times New Roman"/>
                <w:b w:val="0"/>
                <w:sz w:val="24"/>
                <w:u w:val="none"/>
              </w:rPr>
            </w:pPr>
            <w:r w:rsidRPr="002176B5">
              <w:t>Vykazovanou hodnotou je požiadavka na vlastné zdroje vyplývajúca</w:t>
            </w:r>
            <w:r w:rsidR="002176B5">
              <w:t xml:space="preserve"> z </w:t>
            </w:r>
            <w:r w:rsidRPr="002176B5">
              <w:t>uplatňovania vyššie uvedených článkov.</w:t>
            </w:r>
          </w:p>
        </w:tc>
      </w:tr>
      <w:tr w:rsidR="00CC7D2C" w:rsidRPr="002176B5" w14:paraId="175335EF"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29425D1" w14:textId="77777777" w:rsidR="00CC7D2C" w:rsidRPr="002176B5" w:rsidRDefault="00CC7D2C" w:rsidP="00320EFD">
            <w:pPr>
              <w:pStyle w:val="InstructionsText"/>
            </w:pPr>
            <w:r w:rsidRPr="002176B5">
              <w:t>0850</w:t>
            </w:r>
          </w:p>
        </w:tc>
        <w:tc>
          <w:tcPr>
            <w:tcW w:w="7049" w:type="dxa"/>
            <w:tcBorders>
              <w:top w:val="single" w:sz="4" w:space="0" w:color="auto"/>
              <w:left w:val="single" w:sz="4" w:space="0" w:color="auto"/>
              <w:bottom w:val="single" w:sz="4" w:space="0" w:color="auto"/>
              <w:right w:val="single" w:sz="4" w:space="0" w:color="auto"/>
            </w:tcBorders>
          </w:tcPr>
          <w:p w14:paraId="587B88E8" w14:textId="77777777"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31.</w:t>
            </w:r>
            <w:r w:rsidRPr="002176B5">
              <w:tab/>
            </w:r>
            <w:r w:rsidRPr="002176B5">
              <w:rPr>
                <w:rStyle w:val="InstructionsTabelleberschrift"/>
                <w:rFonts w:ascii="Times New Roman" w:hAnsi="Times New Roman"/>
                <w:sz w:val="24"/>
              </w:rPr>
              <w:t>Nedomáce pôvodné expozície</w:t>
            </w:r>
          </w:p>
          <w:p w14:paraId="47DC8ACC" w14:textId="54FFC982" w:rsidR="002176B5" w:rsidRDefault="00CC7D2C" w:rsidP="00320EFD">
            <w:pPr>
              <w:pStyle w:val="InstructionsText"/>
              <w:rPr>
                <w:rStyle w:val="InstructionsTabelleberschrift"/>
                <w:rFonts w:ascii="Times New Roman" w:hAnsi="Times New Roman"/>
                <w:b w:val="0"/>
                <w:sz w:val="24"/>
                <w:u w:val="none"/>
              </w:rPr>
            </w:pPr>
            <w:r w:rsidRPr="002176B5">
              <w:rPr>
                <w:rStyle w:val="InstructionsTabelleberschrift"/>
                <w:rFonts w:ascii="Times New Roman" w:hAnsi="Times New Roman"/>
                <w:b w:val="0"/>
                <w:sz w:val="24"/>
                <w:u w:val="none"/>
              </w:rPr>
              <w:t>Informácie potrebné na výpočet prahovej hodnoty na vykazovanie vzoru CR GB</w:t>
            </w:r>
            <w:r w:rsidR="002176B5">
              <w:t xml:space="preserve"> v </w:t>
            </w:r>
            <w:r w:rsidRPr="002176B5">
              <w:t>súlade</w:t>
            </w:r>
            <w:r w:rsidR="002176B5">
              <w:t xml:space="preserve"> s </w:t>
            </w:r>
            <w:r w:rsidRPr="002176B5">
              <w:t xml:space="preserve">článkom 5 ods. 5 </w:t>
            </w:r>
            <w:r w:rsidRPr="002176B5">
              <w:rPr>
                <w:rStyle w:val="InstructionsTabelleberschrift"/>
                <w:rFonts w:ascii="Times New Roman" w:hAnsi="Times New Roman"/>
                <w:b w:val="0"/>
                <w:sz w:val="24"/>
                <w:u w:val="none"/>
              </w:rPr>
              <w:t>tohto vykonávacieho nariadenia. Prahová hodnota sa vypočíta na základe pôvodnej expozície pred uplatnením konverzného faktora</w:t>
            </w:r>
            <w:r w:rsidR="002176B5">
              <w:rPr>
                <w:rStyle w:val="InstructionsTabelleberschrift"/>
                <w:rFonts w:ascii="Times New Roman" w:hAnsi="Times New Roman"/>
                <w:b w:val="0"/>
                <w:sz w:val="24"/>
                <w:u w:val="none"/>
              </w:rPr>
              <w:t>.</w:t>
            </w:r>
          </w:p>
          <w:p w14:paraId="34F7B9BD" w14:textId="3EAA628A" w:rsidR="00CC7D2C" w:rsidRPr="002176B5" w:rsidRDefault="00CC7D2C" w:rsidP="00320EFD">
            <w:pPr>
              <w:pStyle w:val="InstructionsText"/>
              <w:rPr>
                <w:rStyle w:val="InstructionsTabelleberschrift"/>
                <w:rFonts w:ascii="Times New Roman" w:hAnsi="Times New Roman"/>
                <w:b w:val="0"/>
                <w:sz w:val="24"/>
                <w:u w:val="none"/>
              </w:rPr>
            </w:pPr>
            <w:r w:rsidRPr="002176B5">
              <w:rPr>
                <w:rStyle w:val="InstructionsTabelleberschrift"/>
                <w:rFonts w:ascii="Times New Roman" w:hAnsi="Times New Roman"/>
                <w:b w:val="0"/>
                <w:sz w:val="24"/>
                <w:u w:val="none"/>
              </w:rPr>
              <w:t>Expozície sa považujú za domáce, keď ide</w:t>
            </w:r>
            <w:r w:rsidR="002176B5">
              <w:rPr>
                <w:rStyle w:val="InstructionsTabelleberschrift"/>
                <w:rFonts w:ascii="Times New Roman" w:hAnsi="Times New Roman"/>
                <w:b w:val="0"/>
                <w:sz w:val="24"/>
                <w:u w:val="none"/>
              </w:rPr>
              <w:t xml:space="preserve"> o </w:t>
            </w:r>
            <w:r w:rsidRPr="002176B5">
              <w:rPr>
                <w:rStyle w:val="InstructionsTabelleberschrift"/>
                <w:rFonts w:ascii="Times New Roman" w:hAnsi="Times New Roman"/>
                <w:b w:val="0"/>
                <w:sz w:val="24"/>
                <w:u w:val="none"/>
              </w:rPr>
              <w:t>expozície voči protistranám sídliacim</w:t>
            </w:r>
            <w:r w:rsidR="002176B5">
              <w:rPr>
                <w:rStyle w:val="InstructionsTabelleberschrift"/>
                <w:rFonts w:ascii="Times New Roman" w:hAnsi="Times New Roman"/>
                <w:b w:val="0"/>
                <w:sz w:val="24"/>
                <w:u w:val="none"/>
              </w:rPr>
              <w:t xml:space="preserve"> v </w:t>
            </w:r>
            <w:r w:rsidRPr="002176B5">
              <w:rPr>
                <w:rStyle w:val="InstructionsTabelleberschrift"/>
                <w:rFonts w:ascii="Times New Roman" w:hAnsi="Times New Roman"/>
                <w:b w:val="0"/>
                <w:sz w:val="24"/>
                <w:u w:val="none"/>
              </w:rPr>
              <w:t>členskom štáte,</w:t>
            </w:r>
            <w:r w:rsidR="002176B5">
              <w:rPr>
                <w:rStyle w:val="InstructionsTabelleberschrift"/>
                <w:rFonts w:ascii="Times New Roman" w:hAnsi="Times New Roman"/>
                <w:b w:val="0"/>
                <w:sz w:val="24"/>
                <w:u w:val="none"/>
              </w:rPr>
              <w:t xml:space="preserve"> v </w:t>
            </w:r>
            <w:r w:rsidRPr="002176B5">
              <w:rPr>
                <w:rStyle w:val="InstructionsTabelleberschrift"/>
                <w:rFonts w:ascii="Times New Roman" w:hAnsi="Times New Roman"/>
                <w:b w:val="0"/>
                <w:sz w:val="24"/>
                <w:u w:val="none"/>
              </w:rPr>
              <w:t>ktorom má inštitúcia sídlo.</w:t>
            </w:r>
          </w:p>
          <w:p w14:paraId="1E9D65B3" w14:textId="77777777"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b w:val="0"/>
                <w:sz w:val="24"/>
                <w:u w:val="none"/>
              </w:rPr>
              <w:t>Odchylne od článku 21 ods. 1 písm. a) tohto vykonávacieho nariadenia musí byť tento riadok vždy vyplnený.</w:t>
            </w:r>
          </w:p>
        </w:tc>
      </w:tr>
      <w:tr w:rsidR="00CC7D2C" w:rsidRPr="002176B5" w14:paraId="07A3EA7E"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6E48C440" w14:textId="77777777" w:rsidR="00CC7D2C" w:rsidRPr="002176B5" w:rsidRDefault="00CC7D2C" w:rsidP="00320EFD">
            <w:pPr>
              <w:pStyle w:val="InstructionsText"/>
            </w:pPr>
            <w:r w:rsidRPr="002176B5">
              <w:t>0860</w:t>
            </w:r>
          </w:p>
        </w:tc>
        <w:tc>
          <w:tcPr>
            <w:tcW w:w="7049" w:type="dxa"/>
            <w:tcBorders>
              <w:top w:val="single" w:sz="4" w:space="0" w:color="auto"/>
              <w:left w:val="single" w:sz="4" w:space="0" w:color="auto"/>
              <w:bottom w:val="single" w:sz="4" w:space="0" w:color="auto"/>
              <w:right w:val="single" w:sz="4" w:space="0" w:color="auto"/>
            </w:tcBorders>
          </w:tcPr>
          <w:p w14:paraId="789DAE74" w14:textId="77777777"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32.</w:t>
            </w:r>
            <w:r w:rsidRPr="002176B5">
              <w:tab/>
            </w:r>
            <w:r w:rsidRPr="002176B5">
              <w:rPr>
                <w:rStyle w:val="InstructionsTabelleberschrift"/>
                <w:rFonts w:ascii="Times New Roman" w:hAnsi="Times New Roman"/>
                <w:sz w:val="24"/>
              </w:rPr>
              <w:t>Celkové pôvodné expozície</w:t>
            </w:r>
          </w:p>
          <w:p w14:paraId="543A84DC" w14:textId="0DF54ED6" w:rsidR="00CC7D2C" w:rsidRPr="002176B5" w:rsidRDefault="00CC7D2C" w:rsidP="00320EFD">
            <w:pPr>
              <w:pStyle w:val="InstructionsText"/>
              <w:rPr>
                <w:rStyle w:val="InstructionsTabelleberschrift"/>
                <w:rFonts w:ascii="Times New Roman" w:hAnsi="Times New Roman"/>
                <w:b w:val="0"/>
                <w:sz w:val="24"/>
                <w:u w:val="none"/>
              </w:rPr>
            </w:pPr>
            <w:r w:rsidRPr="002176B5">
              <w:rPr>
                <w:rStyle w:val="InstructionsTabelleberschrift"/>
                <w:rFonts w:ascii="Times New Roman" w:hAnsi="Times New Roman"/>
                <w:b w:val="0"/>
                <w:sz w:val="24"/>
                <w:u w:val="none"/>
              </w:rPr>
              <w:t>Informácie potrebné na výpočet prahovej hodnoty na vykazovanie vzoru CR GB</w:t>
            </w:r>
            <w:r w:rsidR="002176B5">
              <w:t xml:space="preserve"> v </w:t>
            </w:r>
            <w:r w:rsidRPr="002176B5">
              <w:t>súlade</w:t>
            </w:r>
            <w:r w:rsidR="002176B5">
              <w:t xml:space="preserve"> s </w:t>
            </w:r>
            <w:r w:rsidRPr="002176B5">
              <w:t xml:space="preserve">článkom 5 ods. 5 </w:t>
            </w:r>
            <w:r w:rsidRPr="002176B5">
              <w:rPr>
                <w:rStyle w:val="InstructionsTabelleberschrift"/>
                <w:rFonts w:ascii="Times New Roman" w:hAnsi="Times New Roman"/>
                <w:b w:val="0"/>
                <w:sz w:val="24"/>
                <w:u w:val="none"/>
              </w:rPr>
              <w:t>tohto vykonávacieho nariadenia. Prahová hodnota sa vypočíta na základe pôvodnej expozície pred uplatnením konverzného faktora.</w:t>
            </w:r>
          </w:p>
          <w:p w14:paraId="6407DB57" w14:textId="5A1832BC" w:rsidR="00CC7D2C" w:rsidRPr="002176B5" w:rsidRDefault="00CC7D2C" w:rsidP="00320EFD">
            <w:pPr>
              <w:pStyle w:val="InstructionsText"/>
              <w:rPr>
                <w:rStyle w:val="InstructionsTabelleberschrift"/>
                <w:rFonts w:ascii="Times New Roman" w:hAnsi="Times New Roman"/>
                <w:b w:val="0"/>
                <w:sz w:val="24"/>
                <w:u w:val="none"/>
              </w:rPr>
            </w:pPr>
            <w:r w:rsidRPr="002176B5">
              <w:rPr>
                <w:rStyle w:val="InstructionsTabelleberschrift"/>
                <w:rFonts w:ascii="Times New Roman" w:hAnsi="Times New Roman"/>
                <w:b w:val="0"/>
                <w:sz w:val="24"/>
                <w:u w:val="none"/>
              </w:rPr>
              <w:t>Expozície sa považujú za domáce, keď ide</w:t>
            </w:r>
            <w:r w:rsidR="002176B5">
              <w:rPr>
                <w:rStyle w:val="InstructionsTabelleberschrift"/>
                <w:rFonts w:ascii="Times New Roman" w:hAnsi="Times New Roman"/>
                <w:b w:val="0"/>
                <w:sz w:val="24"/>
                <w:u w:val="none"/>
              </w:rPr>
              <w:t xml:space="preserve"> o </w:t>
            </w:r>
            <w:r w:rsidRPr="002176B5">
              <w:rPr>
                <w:rStyle w:val="InstructionsTabelleberschrift"/>
                <w:rFonts w:ascii="Times New Roman" w:hAnsi="Times New Roman"/>
                <w:b w:val="0"/>
                <w:sz w:val="24"/>
                <w:u w:val="none"/>
              </w:rPr>
              <w:t>expozície voči protistranám sídliacim</w:t>
            </w:r>
            <w:r w:rsidR="002176B5">
              <w:rPr>
                <w:rStyle w:val="InstructionsTabelleberschrift"/>
                <w:rFonts w:ascii="Times New Roman" w:hAnsi="Times New Roman"/>
                <w:b w:val="0"/>
                <w:sz w:val="24"/>
                <w:u w:val="none"/>
              </w:rPr>
              <w:t xml:space="preserve"> v </w:t>
            </w:r>
            <w:r w:rsidRPr="002176B5">
              <w:rPr>
                <w:rStyle w:val="InstructionsTabelleberschrift"/>
                <w:rFonts w:ascii="Times New Roman" w:hAnsi="Times New Roman"/>
                <w:b w:val="0"/>
                <w:sz w:val="24"/>
                <w:u w:val="none"/>
              </w:rPr>
              <w:t>členskom štáte,</w:t>
            </w:r>
            <w:r w:rsidR="002176B5">
              <w:rPr>
                <w:rStyle w:val="InstructionsTabelleberschrift"/>
                <w:rFonts w:ascii="Times New Roman" w:hAnsi="Times New Roman"/>
                <w:b w:val="0"/>
                <w:sz w:val="24"/>
                <w:u w:val="none"/>
              </w:rPr>
              <w:t xml:space="preserve"> v </w:t>
            </w:r>
            <w:r w:rsidRPr="002176B5">
              <w:rPr>
                <w:rStyle w:val="InstructionsTabelleberschrift"/>
                <w:rFonts w:ascii="Times New Roman" w:hAnsi="Times New Roman"/>
                <w:b w:val="0"/>
                <w:sz w:val="24"/>
                <w:u w:val="none"/>
              </w:rPr>
              <w:t>ktorom má inštitúcia sídlo.</w:t>
            </w:r>
          </w:p>
          <w:p w14:paraId="1C767645" w14:textId="77777777"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b w:val="0"/>
                <w:sz w:val="24"/>
                <w:u w:val="none"/>
              </w:rPr>
              <w:t>Odchylne od článku 21 ods. 1 písm. a) tohto vykonávacieho nariadenia musí byť tento riadok vždy vyplnený.</w:t>
            </w:r>
          </w:p>
        </w:tc>
      </w:tr>
      <w:tr w:rsidR="00CC7D2C" w:rsidRPr="002176B5" w14:paraId="5AEAF4C5"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667AACE" w14:textId="77777777" w:rsidR="00CC7D2C" w:rsidRPr="002176B5" w:rsidRDefault="00CC7D2C" w:rsidP="00320EFD">
            <w:pPr>
              <w:pStyle w:val="InstructionsText"/>
            </w:pPr>
            <w:r w:rsidRPr="002176B5">
              <w:t>0870</w:t>
            </w:r>
          </w:p>
        </w:tc>
        <w:tc>
          <w:tcPr>
            <w:tcW w:w="7049" w:type="dxa"/>
            <w:tcBorders>
              <w:top w:val="single" w:sz="4" w:space="0" w:color="auto"/>
              <w:left w:val="single" w:sz="4" w:space="0" w:color="auto"/>
              <w:bottom w:val="single" w:sz="4" w:space="0" w:color="auto"/>
              <w:right w:val="single" w:sz="4" w:space="0" w:color="auto"/>
            </w:tcBorders>
          </w:tcPr>
          <w:p w14:paraId="4210822B" w14:textId="77777777"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33.   ÚPRAVA SPODNEJ HRANICE PRED UPLATNENÍM PRECHODNÉHO STROPU</w:t>
            </w:r>
          </w:p>
          <w:p w14:paraId="0E5E8397" w14:textId="79B4EA24" w:rsidR="00CC7D2C" w:rsidRPr="002176B5" w:rsidRDefault="00CC7D2C" w:rsidP="00320EFD">
            <w:pPr>
              <w:pStyle w:val="InstructionsText"/>
              <w:rPr>
                <w:rStyle w:val="InstructionsTabelleberschrift"/>
                <w:rFonts w:ascii="Times New Roman" w:hAnsi="Times New Roman"/>
                <w:sz w:val="24"/>
              </w:rPr>
            </w:pPr>
            <w:r w:rsidRPr="002176B5">
              <w:t xml:space="preserve">V prípade inštitúcií, na ktoré sa vzťahuje spodná hranica pre výstupné hodnoty podľa článku 92 ods. 3 nariadenia (EÚ) č. 575/2013, sa vykazuje úprava spodnej hranice bez uplatnenia </w:t>
            </w:r>
            <w:r w:rsidRPr="002176B5">
              <w:lastRenderedPageBreak/>
              <w:t>prechodného stropu, ako sa stanovuje</w:t>
            </w:r>
            <w:r w:rsidR="002176B5">
              <w:t xml:space="preserve"> v </w:t>
            </w:r>
            <w:r w:rsidRPr="002176B5">
              <w:t>článku 465 ods. 2 nariadenia č. 575/2013.</w:t>
            </w:r>
          </w:p>
        </w:tc>
      </w:tr>
      <w:tr w:rsidR="00CC7D2C" w:rsidRPr="002176B5" w14:paraId="2F17B997"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2BD1D42" w14:textId="77777777" w:rsidR="00CC7D2C" w:rsidRPr="002176B5" w:rsidRDefault="00CC7D2C" w:rsidP="00320EFD">
            <w:pPr>
              <w:pStyle w:val="InstructionsText"/>
            </w:pPr>
            <w:r w:rsidRPr="002176B5">
              <w:lastRenderedPageBreak/>
              <w:t>0880</w:t>
            </w:r>
          </w:p>
        </w:tc>
        <w:tc>
          <w:tcPr>
            <w:tcW w:w="7049" w:type="dxa"/>
            <w:tcBorders>
              <w:top w:val="single" w:sz="4" w:space="0" w:color="auto"/>
              <w:left w:val="single" w:sz="4" w:space="0" w:color="auto"/>
              <w:bottom w:val="single" w:sz="4" w:space="0" w:color="auto"/>
              <w:right w:val="single" w:sz="4" w:space="0" w:color="auto"/>
            </w:tcBorders>
          </w:tcPr>
          <w:p w14:paraId="2C1831D6" w14:textId="77777777"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34.   ÚPRAVA SPODNEJ HRANICE PO UPLATNENÍ PRECHODNÉHO STROPU</w:t>
            </w:r>
          </w:p>
          <w:p w14:paraId="373CB5D0" w14:textId="5EC926F9" w:rsidR="00CC7D2C" w:rsidRPr="002176B5" w:rsidRDefault="00CC7D2C" w:rsidP="00320EFD">
            <w:pPr>
              <w:pStyle w:val="InstructionsText"/>
              <w:rPr>
                <w:rStyle w:val="InstructionsTabelleberschrift"/>
                <w:rFonts w:ascii="Times New Roman" w:hAnsi="Times New Roman"/>
                <w:sz w:val="24"/>
              </w:rPr>
            </w:pPr>
            <w:r w:rsidRPr="002176B5">
              <w:t>V prípade inštitúcií, na ktoré sa vzťahuje spodná hranica pre výstupné hodnoty podľa článku 92 ods. 3 nariadenia (EÚ) č. 575/2013, sa vykazuje úprava spodnej hranice po uplatnení prechodného stropu, ako sa stanovuje</w:t>
            </w:r>
            <w:r w:rsidR="002176B5">
              <w:t xml:space="preserve"> v </w:t>
            </w:r>
            <w:r w:rsidRPr="002176B5">
              <w:t>článku 465 ods. 2 nariadenia č. 575/2013.</w:t>
            </w:r>
          </w:p>
        </w:tc>
      </w:tr>
      <w:tr w:rsidR="00CC7D2C" w:rsidRPr="002176B5" w14:paraId="5E80DDB0"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C37A535" w14:textId="77777777" w:rsidR="00CC7D2C" w:rsidRPr="002176B5" w:rsidRDefault="00CC7D2C" w:rsidP="00320EFD">
            <w:pPr>
              <w:pStyle w:val="InstructionsText"/>
            </w:pPr>
            <w:r w:rsidRPr="002176B5">
              <w:t>0890</w:t>
            </w:r>
          </w:p>
        </w:tc>
        <w:tc>
          <w:tcPr>
            <w:tcW w:w="7049" w:type="dxa"/>
            <w:tcBorders>
              <w:top w:val="single" w:sz="4" w:space="0" w:color="auto"/>
              <w:left w:val="single" w:sz="4" w:space="0" w:color="auto"/>
              <w:bottom w:val="single" w:sz="4" w:space="0" w:color="auto"/>
              <w:right w:val="single" w:sz="4" w:space="0" w:color="auto"/>
            </w:tcBorders>
          </w:tcPr>
          <w:p w14:paraId="7F38882E" w14:textId="77777777" w:rsid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35.     ÚPLNÁ ÚPRAVA SPODNEJ HRANICE</w:t>
            </w:r>
          </w:p>
          <w:p w14:paraId="7B9000EF" w14:textId="72C4B3F4" w:rsidR="00CC7D2C" w:rsidRPr="002176B5" w:rsidRDefault="00CC7D2C" w:rsidP="00320EFD">
            <w:pPr>
              <w:pStyle w:val="InstructionsText"/>
              <w:rPr>
                <w:rStyle w:val="InstructionsTabelleberschrift"/>
                <w:rFonts w:ascii="Times New Roman" w:hAnsi="Times New Roman"/>
                <w:sz w:val="24"/>
              </w:rPr>
            </w:pPr>
            <w:r w:rsidRPr="002176B5">
              <w:t>V prípade inštitúcií, na ktoré sa vzťahuje spodná hranica pre výstupné hodnoty podľa článku 92 ods. 3 nariadenia (EÚ) č. 575/2013, sa vykazuje úprava spodnej hranice bez uplatnenia všetkých prechodných opatrení, ako sa stanovuje</w:t>
            </w:r>
            <w:r w:rsidR="002176B5">
              <w:t xml:space="preserve"> v </w:t>
            </w:r>
            <w:r w:rsidRPr="002176B5">
              <w:t>článku 465 nariadenia č. 575/2013.</w:t>
            </w:r>
          </w:p>
        </w:tc>
      </w:tr>
      <w:tr w:rsidR="00CC7D2C" w:rsidRPr="002176B5" w14:paraId="1962C7AD"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0C5955D" w14:textId="77777777" w:rsidR="00CC7D2C" w:rsidRPr="002176B5" w:rsidRDefault="00CC7D2C" w:rsidP="00320EFD">
            <w:pPr>
              <w:pStyle w:val="InstructionsText"/>
            </w:pPr>
            <w:r w:rsidRPr="002176B5">
              <w:t>0900</w:t>
            </w:r>
          </w:p>
        </w:tc>
        <w:tc>
          <w:tcPr>
            <w:tcW w:w="7049" w:type="dxa"/>
            <w:tcBorders>
              <w:top w:val="single" w:sz="4" w:space="0" w:color="auto"/>
              <w:left w:val="single" w:sz="4" w:space="0" w:color="auto"/>
              <w:bottom w:val="single" w:sz="4" w:space="0" w:color="auto"/>
              <w:right w:val="single" w:sz="4" w:space="0" w:color="auto"/>
            </w:tcBorders>
          </w:tcPr>
          <w:p w14:paraId="06FFBDE5" w14:textId="77777777"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36.        Uplatnená spodná hranica pre výstupné hodnoty (%)</w:t>
            </w:r>
          </w:p>
          <w:p w14:paraId="1C24BB02" w14:textId="45F7A4DE" w:rsidR="00CC7D2C" w:rsidRPr="002176B5" w:rsidRDefault="00CC7D2C" w:rsidP="00822842">
            <w:pPr>
              <w:autoSpaceDE w:val="0"/>
              <w:autoSpaceDN w:val="0"/>
              <w:adjustRightInd w:val="0"/>
              <w:spacing w:before="0" w:after="0"/>
              <w:jc w:val="left"/>
              <w:rPr>
                <w:rFonts w:ascii="Times New Roman" w:eastAsia="Arial" w:hAnsi="Times New Roman"/>
                <w:sz w:val="24"/>
              </w:rPr>
            </w:pPr>
            <w:r w:rsidRPr="002176B5">
              <w:rPr>
                <w:rFonts w:ascii="Times New Roman" w:hAnsi="Times New Roman"/>
                <w:sz w:val="24"/>
              </w:rPr>
              <w:t>Spodná hranica pre výstupné hodnoty vyjadrená ako percentuálny podiel</w:t>
            </w:r>
            <w:r w:rsidR="002176B5">
              <w:rPr>
                <w:rFonts w:ascii="Times New Roman" w:hAnsi="Times New Roman"/>
                <w:sz w:val="24"/>
              </w:rPr>
              <w:t xml:space="preserve"> a </w:t>
            </w:r>
            <w:r w:rsidRPr="002176B5">
              <w:rPr>
                <w:rFonts w:ascii="Times New Roman" w:hAnsi="Times New Roman"/>
                <w:sz w:val="24"/>
              </w:rPr>
              <w:t>uplatnená bankou</w:t>
            </w:r>
          </w:p>
          <w:p w14:paraId="4826F3C6" w14:textId="73315312" w:rsidR="00CC7D2C" w:rsidRPr="002176B5" w:rsidRDefault="00CC7D2C" w:rsidP="00320EFD">
            <w:pPr>
              <w:pStyle w:val="InstructionsText"/>
              <w:rPr>
                <w:rStyle w:val="InstructionsTabelleberschrift"/>
                <w:rFonts w:ascii="Times New Roman" w:hAnsi="Times New Roman"/>
                <w:sz w:val="24"/>
              </w:rPr>
            </w:pPr>
            <w:r w:rsidRPr="002176B5">
              <w:t>pri výpočte hodnoty úpravy spodnej hranice: koeficient „x“ podľa článku 92 ods. 3</w:t>
            </w:r>
            <w:r w:rsidR="002176B5">
              <w:t xml:space="preserve"> a </w:t>
            </w:r>
            <w:r w:rsidRPr="002176B5">
              <w:t>článku 465 ods. 1 nariadenia (EÚ) č. 575/2013</w:t>
            </w:r>
          </w:p>
        </w:tc>
      </w:tr>
    </w:tbl>
    <w:p w14:paraId="7D92FC07" w14:textId="77777777" w:rsidR="00CC7D2C" w:rsidRPr="002176B5" w:rsidRDefault="00CC7D2C" w:rsidP="00320EFD">
      <w:pPr>
        <w:pStyle w:val="InstructionsText"/>
      </w:pPr>
    </w:p>
    <w:p w14:paraId="0ADBA3FD" w14:textId="0B531655" w:rsidR="00CC7D2C" w:rsidRPr="002176B5" w:rsidRDefault="00CC7D2C" w:rsidP="00886567">
      <w:pPr>
        <w:pStyle w:val="Instructionsberschrift2"/>
        <w:numPr>
          <w:ilvl w:val="0"/>
          <w:numId w:val="0"/>
        </w:numPr>
        <w:ind w:left="357" w:hanging="357"/>
      </w:pPr>
      <w:bookmarkStart w:id="47" w:name="_Toc360188333"/>
      <w:bookmarkStart w:id="48" w:name="_Toc473560881"/>
      <w:bookmarkStart w:id="49" w:name="_Toc151714369"/>
      <w:bookmarkStart w:id="50" w:name="_Toc308175834"/>
      <w:r w:rsidRPr="002176B5">
        <w:t>1.6.</w:t>
      </w:r>
      <w:r w:rsidRPr="002176B5">
        <w:tab/>
        <w:t>PRECHODNÉ USTANOVENIA</w:t>
      </w:r>
      <w:r w:rsidR="002176B5">
        <w:t xml:space="preserve"> a </w:t>
      </w:r>
      <w:r w:rsidRPr="002176B5">
        <w:t>NÁSTROJE ZACHOVANÉ</w:t>
      </w:r>
      <w:r w:rsidR="002176B5">
        <w:t xml:space="preserve"> V </w:t>
      </w:r>
      <w:r w:rsidRPr="002176B5">
        <w:t>PREDCHÁDZAJÚCOM STAVE: NÁSTROJE NEPREDSTAVUJÚCE ŠTÁTNU POMOC (CA5</w:t>
      </w:r>
      <w:bookmarkEnd w:id="47"/>
      <w:r w:rsidRPr="002176B5">
        <w:t>)</w:t>
      </w:r>
      <w:bookmarkEnd w:id="48"/>
      <w:bookmarkEnd w:id="49"/>
    </w:p>
    <w:p w14:paraId="272ED5BD" w14:textId="77777777" w:rsidR="00CC7D2C" w:rsidRPr="002176B5" w:rsidRDefault="00CC7D2C" w:rsidP="00886567">
      <w:pPr>
        <w:pStyle w:val="Instructionsberschrift2"/>
        <w:numPr>
          <w:ilvl w:val="0"/>
          <w:numId w:val="0"/>
        </w:numPr>
        <w:ind w:left="357" w:hanging="357"/>
      </w:pPr>
      <w:bookmarkStart w:id="51" w:name="_Toc308175835"/>
      <w:bookmarkStart w:id="52" w:name="_Toc360188334"/>
      <w:bookmarkStart w:id="53" w:name="_Toc473560882"/>
      <w:bookmarkStart w:id="54" w:name="_Toc151714370"/>
      <w:bookmarkEnd w:id="50"/>
      <w:r w:rsidRPr="002176B5">
        <w:t>1.6.1.</w:t>
      </w:r>
      <w:r w:rsidRPr="002176B5">
        <w:tab/>
        <w:t>Všeobecné poznámky</w:t>
      </w:r>
      <w:bookmarkEnd w:id="51"/>
      <w:bookmarkEnd w:id="52"/>
      <w:bookmarkEnd w:id="53"/>
      <w:bookmarkEnd w:id="54"/>
    </w:p>
    <w:p w14:paraId="1EA75A2E" w14:textId="20B1FF2E" w:rsidR="002176B5" w:rsidRDefault="00CC7D2C" w:rsidP="00886567">
      <w:pPr>
        <w:pStyle w:val="InstructionsText2"/>
        <w:numPr>
          <w:ilvl w:val="0"/>
          <w:numId w:val="0"/>
        </w:numPr>
      </w:pPr>
      <w:r w:rsidRPr="002176B5">
        <w:fldChar w:fldCharType="begin"/>
      </w:r>
      <w:r w:rsidRPr="002176B5">
        <w:instrText>seq paragraphs</w:instrText>
      </w:r>
      <w:r w:rsidRPr="002176B5">
        <w:fldChar w:fldCharType="separate"/>
      </w:r>
      <w:r w:rsidRPr="002176B5">
        <w:t>16</w:t>
      </w:r>
      <w:r w:rsidRPr="002176B5">
        <w:fldChar w:fldCharType="end"/>
      </w:r>
      <w:r w:rsidRPr="002176B5">
        <w:t>.</w:t>
      </w:r>
      <w:r w:rsidRPr="002176B5">
        <w:tab/>
        <w:t>Vo vzore CA5 je zhrnutý výpočet prvkov</w:t>
      </w:r>
      <w:r w:rsidR="002176B5">
        <w:t xml:space="preserve"> a </w:t>
      </w:r>
      <w:r w:rsidRPr="002176B5">
        <w:t>odpočtov vlastných zdrojov, na ktoré sa vzťahujú prechodné ustanovenia stanovené</w:t>
      </w:r>
      <w:r w:rsidR="002176B5">
        <w:t xml:space="preserve"> v </w:t>
      </w:r>
      <w:r w:rsidRPr="002176B5">
        <w:t>článkoch 465 až 491</w:t>
      </w:r>
      <w:r w:rsidR="002176B5">
        <w:t xml:space="preserve"> a </w:t>
      </w:r>
      <w:r w:rsidRPr="002176B5">
        <w:t>článkoch 494a</w:t>
      </w:r>
      <w:r w:rsidR="002176B5">
        <w:t xml:space="preserve"> a </w:t>
      </w:r>
      <w:r w:rsidRPr="002176B5">
        <w:t>494b nariadenia (EÚ) č. 575/2013</w:t>
      </w:r>
      <w:r w:rsidR="002176B5">
        <w:t>.</w:t>
      </w:r>
    </w:p>
    <w:p w14:paraId="5236D7A3" w14:textId="72C585B5" w:rsidR="00CC7D2C" w:rsidRPr="002176B5" w:rsidRDefault="00CC7D2C" w:rsidP="00886567">
      <w:pPr>
        <w:pStyle w:val="InstructionsText2"/>
        <w:numPr>
          <w:ilvl w:val="0"/>
          <w:numId w:val="0"/>
        </w:numPr>
      </w:pPr>
      <w:r w:rsidRPr="002176B5">
        <w:fldChar w:fldCharType="begin"/>
      </w:r>
      <w:r w:rsidRPr="002176B5">
        <w:instrText>seq paragraphs</w:instrText>
      </w:r>
      <w:r w:rsidRPr="002176B5">
        <w:fldChar w:fldCharType="separate"/>
      </w:r>
      <w:r w:rsidRPr="002176B5">
        <w:t>17</w:t>
      </w:r>
      <w:r w:rsidRPr="002176B5">
        <w:fldChar w:fldCharType="end"/>
      </w:r>
      <w:r w:rsidRPr="002176B5">
        <w:t>.</w:t>
      </w:r>
      <w:r w:rsidRPr="002176B5">
        <w:tab/>
        <w:t>Štruktúra vzoru CA5 je takáto:</w:t>
      </w:r>
    </w:p>
    <w:p w14:paraId="1CFB5D30" w14:textId="35E40AF4" w:rsidR="00CC7D2C" w:rsidRPr="002176B5" w:rsidRDefault="00CC7D2C" w:rsidP="00886567">
      <w:pPr>
        <w:pStyle w:val="InstructionsText2"/>
        <w:numPr>
          <w:ilvl w:val="0"/>
          <w:numId w:val="0"/>
        </w:numPr>
        <w:ind w:left="993"/>
      </w:pPr>
      <w:r w:rsidRPr="002176B5">
        <w:t>a)</w:t>
      </w:r>
      <w:r w:rsidRPr="002176B5">
        <w:tab/>
        <w:t>Vo vzore CA5.1 sú zhrnuté celkové úpravy, ktoré sa musia uplatniť na rôzne zložky vlastných zdrojov (vykazované vo vzore CA1</w:t>
      </w:r>
      <w:r w:rsidR="002176B5">
        <w:t xml:space="preserve"> v </w:t>
      </w:r>
      <w:r w:rsidRPr="002176B5">
        <w:t>súlade so záverečnými ustanoveniami)</w:t>
      </w:r>
      <w:r w:rsidR="002176B5">
        <w:t xml:space="preserve"> v </w:t>
      </w:r>
      <w:r w:rsidRPr="002176B5">
        <w:t>dôsledku uplatňovania prechodných ustanovení. Prvky tohto vzoru sa popisujú ako „úpravy“ rôznych zložiek kapitálu vo vzore CA1</w:t>
      </w:r>
      <w:r w:rsidR="002176B5">
        <w:t xml:space="preserve"> s </w:t>
      </w:r>
      <w:r w:rsidRPr="002176B5">
        <w:t>cieľom vyjadriť</w:t>
      </w:r>
      <w:r w:rsidR="002176B5">
        <w:t xml:space="preserve"> v </w:t>
      </w:r>
      <w:r w:rsidRPr="002176B5">
        <w:t>zložkách vlastných zdrojov účinky prechodných ustanovení.</w:t>
      </w:r>
    </w:p>
    <w:p w14:paraId="21E13F59" w14:textId="70627D34" w:rsidR="002176B5" w:rsidRDefault="00CC7D2C" w:rsidP="00886567">
      <w:pPr>
        <w:pStyle w:val="InstructionsText2"/>
        <w:numPr>
          <w:ilvl w:val="0"/>
          <w:numId w:val="0"/>
        </w:numPr>
        <w:ind w:left="993"/>
      </w:pPr>
      <w:r w:rsidRPr="002176B5">
        <w:t>b)</w:t>
      </w:r>
      <w:r w:rsidRPr="002176B5">
        <w:tab/>
        <w:t>Vzor 5.2 poskytuje ďalšie podrobné informácie</w:t>
      </w:r>
      <w:r w:rsidR="002176B5">
        <w:t xml:space="preserve"> o </w:t>
      </w:r>
      <w:r w:rsidRPr="002176B5">
        <w:t>výpočte tých nástrojov zachovaných</w:t>
      </w:r>
      <w:r w:rsidR="002176B5">
        <w:t xml:space="preserve"> v </w:t>
      </w:r>
      <w:r w:rsidRPr="002176B5">
        <w:t>predchádzajúcom stave, ktoré nepredstavujú štátnu pomoc</w:t>
      </w:r>
      <w:r w:rsidR="002176B5">
        <w:t>.</w:t>
      </w:r>
    </w:p>
    <w:bookmarkStart w:id="55" w:name="_Toc307386943"/>
    <w:p w14:paraId="1D29FCFA" w14:textId="245ABBED" w:rsidR="00CC7D2C" w:rsidRPr="002176B5" w:rsidRDefault="00CC7D2C" w:rsidP="00886567">
      <w:pPr>
        <w:pStyle w:val="InstructionsText2"/>
        <w:numPr>
          <w:ilvl w:val="0"/>
          <w:numId w:val="0"/>
        </w:numPr>
      </w:pPr>
      <w:r w:rsidRPr="002176B5">
        <w:fldChar w:fldCharType="begin"/>
      </w:r>
      <w:r w:rsidRPr="002176B5">
        <w:instrText xml:space="preserve"> seq paragraphs </w:instrText>
      </w:r>
      <w:r w:rsidRPr="002176B5">
        <w:fldChar w:fldCharType="separate"/>
      </w:r>
      <w:r w:rsidRPr="002176B5">
        <w:t>18</w:t>
      </w:r>
      <w:r w:rsidRPr="002176B5">
        <w:fldChar w:fldCharType="end"/>
      </w:r>
      <w:r w:rsidRPr="002176B5">
        <w:t>.</w:t>
      </w:r>
      <w:r w:rsidRPr="002176B5">
        <w:tab/>
        <w:t>Inštitúcie</w:t>
      </w:r>
      <w:r w:rsidR="002176B5">
        <w:t xml:space="preserve"> v </w:t>
      </w:r>
      <w:r w:rsidRPr="002176B5">
        <w:t xml:space="preserve">prvých štyroch stĺpcoch vykazujú úpravy vlastného kapitálu </w:t>
      </w:r>
      <w:proofErr w:type="spellStart"/>
      <w:r w:rsidRPr="002176B5">
        <w:t>Tier</w:t>
      </w:r>
      <w:proofErr w:type="spellEnd"/>
      <w:r w:rsidRPr="002176B5">
        <w:t xml:space="preserve"> 1, dodatočného kapitálu </w:t>
      </w:r>
      <w:proofErr w:type="spellStart"/>
      <w:r w:rsidRPr="002176B5">
        <w:t>Tier</w:t>
      </w:r>
      <w:proofErr w:type="spellEnd"/>
      <w:r w:rsidRPr="002176B5">
        <w:t xml:space="preserve"> 1</w:t>
      </w:r>
      <w:r w:rsidR="002176B5">
        <w:t xml:space="preserve"> a </w:t>
      </w:r>
      <w:r w:rsidRPr="002176B5">
        <w:t xml:space="preserve">kapitálu </w:t>
      </w:r>
      <w:proofErr w:type="spellStart"/>
      <w:r w:rsidRPr="002176B5">
        <w:t>Tier</w:t>
      </w:r>
      <w:proofErr w:type="spellEnd"/>
      <w:r w:rsidRPr="002176B5">
        <w:t xml:space="preserve"> 2, ako aj hodnotu, ku ktorej sa pristupuje ako</w:t>
      </w:r>
      <w:r w:rsidR="002176B5">
        <w:t xml:space="preserve"> k </w:t>
      </w:r>
      <w:r w:rsidRPr="002176B5">
        <w:t>rizikovo váženým aktívam. Inštitúcie musia</w:t>
      </w:r>
      <w:r w:rsidR="002176B5">
        <w:t xml:space="preserve"> v </w:t>
      </w:r>
      <w:r w:rsidRPr="002176B5">
        <w:t>stĺpci 0050 vykázať aj uplatniteľnú percentuálnu mieru</w:t>
      </w:r>
      <w:r w:rsidR="002176B5">
        <w:t xml:space="preserve"> a v </w:t>
      </w:r>
      <w:r w:rsidRPr="002176B5">
        <w:t>stĺpci 0060 prípustnú hodnotu bez uplatnenia prechodných ustanovení.</w:t>
      </w:r>
    </w:p>
    <w:p w14:paraId="6EDAB8B1" w14:textId="060A3402" w:rsidR="00CC7D2C" w:rsidRPr="002176B5" w:rsidRDefault="00CC7D2C" w:rsidP="00886567">
      <w:pPr>
        <w:pStyle w:val="InstructionsText2"/>
        <w:numPr>
          <w:ilvl w:val="0"/>
          <w:numId w:val="0"/>
        </w:numPr>
      </w:pPr>
      <w:r w:rsidRPr="002176B5">
        <w:lastRenderedPageBreak/>
        <w:fldChar w:fldCharType="begin"/>
      </w:r>
      <w:r w:rsidRPr="002176B5">
        <w:instrText>seq paragraphs</w:instrText>
      </w:r>
      <w:r w:rsidRPr="002176B5">
        <w:fldChar w:fldCharType="separate"/>
      </w:r>
      <w:r w:rsidRPr="002176B5">
        <w:t>19</w:t>
      </w:r>
      <w:r w:rsidRPr="002176B5">
        <w:fldChar w:fldCharType="end"/>
      </w:r>
      <w:r w:rsidRPr="002176B5">
        <w:t>.</w:t>
      </w:r>
      <w:r w:rsidRPr="002176B5">
        <w:tab/>
        <w:t>Inštitúcie vo vzore CA5 vykazujú prvky len počas obdobia, keď sa uplatňujú prechodné ustanovenia stanovené</w:t>
      </w:r>
      <w:r w:rsidR="002176B5">
        <w:t xml:space="preserve"> v </w:t>
      </w:r>
      <w:r w:rsidRPr="002176B5">
        <w:t>desiatej časti nariadenia (EÚ) č. 575/2013.</w:t>
      </w:r>
    </w:p>
    <w:p w14:paraId="57EC4F24" w14:textId="35104E0B" w:rsidR="00CC7D2C" w:rsidRPr="002176B5" w:rsidRDefault="00CC7D2C" w:rsidP="00886567">
      <w:pPr>
        <w:pStyle w:val="InstructionsText2"/>
        <w:numPr>
          <w:ilvl w:val="0"/>
          <w:numId w:val="0"/>
        </w:numPr>
      </w:pPr>
      <w:r w:rsidRPr="002176B5">
        <w:fldChar w:fldCharType="begin"/>
      </w:r>
      <w:r w:rsidRPr="002176B5">
        <w:instrText>seq paragraphs</w:instrText>
      </w:r>
      <w:r w:rsidRPr="002176B5">
        <w:fldChar w:fldCharType="separate"/>
      </w:r>
      <w:r w:rsidRPr="002176B5">
        <w:t>20</w:t>
      </w:r>
      <w:r w:rsidRPr="002176B5">
        <w:fldChar w:fldCharType="end"/>
      </w:r>
      <w:r w:rsidRPr="002176B5">
        <w:t>.</w:t>
      </w:r>
      <w:r w:rsidRPr="002176B5">
        <w:tab/>
        <w:t xml:space="preserve">Niektoré prechodné ustanovenia vyžadujú odpočet od kapitálu </w:t>
      </w:r>
      <w:proofErr w:type="spellStart"/>
      <w:r w:rsidRPr="002176B5">
        <w:t>Tier</w:t>
      </w:r>
      <w:proofErr w:type="spellEnd"/>
      <w:r w:rsidRPr="002176B5">
        <w:t xml:space="preserve"> 1. Keď ide</w:t>
      </w:r>
      <w:r w:rsidR="002176B5">
        <w:t xml:space="preserve"> o </w:t>
      </w:r>
      <w:r w:rsidRPr="002176B5">
        <w:t xml:space="preserve">takýto prípad, zostatková suma odpočtu alebo odpočtov sa uplatní na kapitál </w:t>
      </w:r>
      <w:proofErr w:type="spellStart"/>
      <w:r w:rsidRPr="002176B5">
        <w:t>Tier</w:t>
      </w:r>
      <w:proofErr w:type="spellEnd"/>
      <w:r w:rsidRPr="002176B5">
        <w:t xml:space="preserve"> 1</w:t>
      </w:r>
      <w:r w:rsidR="002176B5">
        <w:t xml:space="preserve"> a </w:t>
      </w:r>
      <w:r w:rsidRPr="002176B5">
        <w:t>keď AT1 nepostačuje na absorbovanie tejto hodnoty, nadbytok sa odpočíta od CET1.</w:t>
      </w:r>
    </w:p>
    <w:p w14:paraId="7C0F8A22" w14:textId="77777777" w:rsidR="002176B5" w:rsidRDefault="00CC7D2C" w:rsidP="00886567">
      <w:pPr>
        <w:pStyle w:val="Instructionsberschrift2"/>
        <w:numPr>
          <w:ilvl w:val="0"/>
          <w:numId w:val="0"/>
        </w:numPr>
      </w:pPr>
      <w:bookmarkStart w:id="56" w:name="_Toc473560883"/>
      <w:bookmarkStart w:id="57" w:name="_Toc151714371"/>
      <w:bookmarkStart w:id="58" w:name="_Toc360188335"/>
      <w:bookmarkStart w:id="59" w:name="_Toc308175836"/>
      <w:bookmarkEnd w:id="55"/>
      <w:r w:rsidRPr="002176B5">
        <w:t>1.6.2.</w:t>
      </w:r>
      <w:r w:rsidRPr="002176B5">
        <w:tab/>
        <w:t>C 05.01 – PRECHODNÉ USTANOVENIA (CA5.1)</w:t>
      </w:r>
      <w:bookmarkEnd w:id="56"/>
      <w:bookmarkEnd w:id="57"/>
      <w:bookmarkEnd w:id="58"/>
      <w:bookmarkEnd w:id="59"/>
    </w:p>
    <w:p w14:paraId="0FEE432D" w14:textId="36CD4652" w:rsidR="002176B5" w:rsidRDefault="00CC7D2C" w:rsidP="00886567">
      <w:pPr>
        <w:pStyle w:val="InstructionsText2"/>
        <w:numPr>
          <w:ilvl w:val="0"/>
          <w:numId w:val="0"/>
        </w:numPr>
      </w:pPr>
      <w:r w:rsidRPr="002176B5">
        <w:fldChar w:fldCharType="begin"/>
      </w:r>
      <w:r w:rsidRPr="002176B5">
        <w:instrText>seq paragraphs</w:instrText>
      </w:r>
      <w:r w:rsidRPr="002176B5">
        <w:fldChar w:fldCharType="separate"/>
      </w:r>
      <w:r w:rsidRPr="002176B5">
        <w:t>21</w:t>
      </w:r>
      <w:r w:rsidRPr="002176B5">
        <w:fldChar w:fldCharType="end"/>
      </w:r>
      <w:r w:rsidRPr="002176B5">
        <w:t>.</w:t>
      </w:r>
      <w:r w:rsidRPr="002176B5">
        <w:tab/>
        <w:t>Inštitúcie vykazujú vo vzore CA5.1 uplatňovanie prechodných ustanovení vo vzťahu</w:t>
      </w:r>
      <w:r w:rsidR="002176B5">
        <w:t xml:space="preserve"> k </w:t>
      </w:r>
      <w:r w:rsidRPr="002176B5">
        <w:t>zložkám vlastných zdrojov podľa ustanovení</w:t>
      </w:r>
      <w:r w:rsidR="002176B5">
        <w:t xml:space="preserve"> v </w:t>
      </w:r>
      <w:r w:rsidRPr="002176B5">
        <w:t>článkoch 465 až 491</w:t>
      </w:r>
      <w:r w:rsidR="002176B5">
        <w:t xml:space="preserve"> a </w:t>
      </w:r>
      <w:r w:rsidRPr="002176B5">
        <w:t>článkoch 494a</w:t>
      </w:r>
      <w:r w:rsidR="002176B5">
        <w:t xml:space="preserve"> a </w:t>
      </w:r>
      <w:r w:rsidRPr="002176B5">
        <w:t>494b nariadenia (EÚ) č. 575/2013</w:t>
      </w:r>
      <w:r w:rsidR="002176B5">
        <w:t xml:space="preserve"> v </w:t>
      </w:r>
      <w:r w:rsidRPr="002176B5">
        <w:t>porovnaní</w:t>
      </w:r>
      <w:r w:rsidR="002176B5">
        <w:t xml:space="preserve"> s </w:t>
      </w:r>
      <w:r w:rsidRPr="002176B5">
        <w:t>uplatňovaním záverečných ustanovení stanovených</w:t>
      </w:r>
      <w:r w:rsidR="002176B5">
        <w:t xml:space="preserve"> v </w:t>
      </w:r>
      <w:r w:rsidRPr="002176B5">
        <w:t>druhej časti hlave II uvedeného nariadenia (EÚ) č. 575/2013</w:t>
      </w:r>
      <w:r w:rsidR="002176B5">
        <w:t>.</w:t>
      </w:r>
    </w:p>
    <w:p w14:paraId="60637655" w14:textId="4F096A5A" w:rsidR="00CC7D2C" w:rsidRPr="002176B5" w:rsidRDefault="00CC7D2C" w:rsidP="00886567">
      <w:pPr>
        <w:pStyle w:val="InstructionsText2"/>
        <w:numPr>
          <w:ilvl w:val="0"/>
          <w:numId w:val="0"/>
        </w:numPr>
      </w:pPr>
      <w:r w:rsidRPr="002176B5">
        <w:fldChar w:fldCharType="begin"/>
      </w:r>
      <w:r w:rsidRPr="002176B5">
        <w:instrText>seq paragraphs</w:instrText>
      </w:r>
      <w:r w:rsidRPr="002176B5">
        <w:fldChar w:fldCharType="separate"/>
      </w:r>
      <w:r w:rsidRPr="002176B5">
        <w:t>22</w:t>
      </w:r>
      <w:r w:rsidRPr="002176B5">
        <w:fldChar w:fldCharType="end"/>
      </w:r>
      <w:r w:rsidRPr="002176B5">
        <w:t>.</w:t>
      </w:r>
      <w:r w:rsidRPr="002176B5">
        <w:tab/>
        <w:t>Inštitúcie vykazujú</w:t>
      </w:r>
      <w:r w:rsidR="002176B5">
        <w:t xml:space="preserve"> v </w:t>
      </w:r>
      <w:r w:rsidRPr="002176B5">
        <w:t>riadkoch 0060 až 0065 informácie</w:t>
      </w:r>
      <w:r w:rsidR="002176B5">
        <w:t xml:space="preserve"> o </w:t>
      </w:r>
      <w:r w:rsidRPr="002176B5">
        <w:t>prechodných ustanoveniach pre nástroje, ktoré sa zachovali</w:t>
      </w:r>
      <w:r w:rsidR="002176B5">
        <w:t xml:space="preserve"> v </w:t>
      </w:r>
      <w:r w:rsidRPr="002176B5">
        <w:t>predchádzajúcom stave. Údaje vykazované</w:t>
      </w:r>
      <w:r w:rsidR="002176B5">
        <w:t xml:space="preserve"> v </w:t>
      </w:r>
      <w:r w:rsidRPr="002176B5">
        <w:t>riadku 0060 vzoru CA5.1 odzrkadľujú prechodné ustanovenia zahrnuté</w:t>
      </w:r>
      <w:r w:rsidR="002176B5">
        <w:t xml:space="preserve"> v </w:t>
      </w:r>
      <w:r w:rsidRPr="002176B5">
        <w:t>nariadení (EÚ) č. 575/2013</w:t>
      </w:r>
      <w:r w:rsidR="002176B5">
        <w:t xml:space="preserve"> v </w:t>
      </w:r>
      <w:r w:rsidRPr="002176B5">
        <w:t>znení platnom do 26</w:t>
      </w:r>
      <w:r w:rsidR="002176B5">
        <w:t>. júna</w:t>
      </w:r>
      <w:r w:rsidRPr="002176B5">
        <w:t xml:space="preserve"> 2019</w:t>
      </w:r>
      <w:r w:rsidR="002176B5">
        <w:t xml:space="preserve"> a </w:t>
      </w:r>
      <w:r w:rsidRPr="002176B5">
        <w:t>možno ich odvodiť od príslušných oddielov vzoru CA5.2. Riadky 0061 až 0065 zachytávajú účinok prechodných ustanovení článkov 494a</w:t>
      </w:r>
      <w:r w:rsidR="002176B5">
        <w:t xml:space="preserve"> a </w:t>
      </w:r>
      <w:r w:rsidRPr="002176B5">
        <w:t>494b nariadenia (EÚ) č. 575/2013.</w:t>
      </w:r>
    </w:p>
    <w:p w14:paraId="62BF86C6" w14:textId="77990A1F" w:rsidR="00CC7D2C" w:rsidRPr="002176B5" w:rsidRDefault="00CC7D2C" w:rsidP="00886567">
      <w:pPr>
        <w:pStyle w:val="InstructionsText2"/>
        <w:numPr>
          <w:ilvl w:val="0"/>
          <w:numId w:val="0"/>
        </w:numPr>
      </w:pPr>
      <w:r w:rsidRPr="002176B5">
        <w:fldChar w:fldCharType="begin"/>
      </w:r>
      <w:r w:rsidRPr="002176B5">
        <w:instrText>seq paragraphs</w:instrText>
      </w:r>
      <w:r w:rsidRPr="002176B5">
        <w:fldChar w:fldCharType="separate"/>
      </w:r>
      <w:r w:rsidRPr="002176B5">
        <w:t>23</w:t>
      </w:r>
      <w:r w:rsidRPr="002176B5">
        <w:fldChar w:fldCharType="end"/>
      </w:r>
      <w:r w:rsidRPr="002176B5">
        <w:t>.</w:t>
      </w:r>
      <w:r w:rsidRPr="002176B5">
        <w:tab/>
        <w:t>Inštitúcie vykazujú</w:t>
      </w:r>
      <w:r w:rsidR="002176B5">
        <w:t xml:space="preserve"> v </w:t>
      </w:r>
      <w:r w:rsidRPr="002176B5">
        <w:t>riadkoch 0070 až 0092 informácie</w:t>
      </w:r>
      <w:r w:rsidR="002176B5">
        <w:t xml:space="preserve"> o </w:t>
      </w:r>
      <w:r w:rsidRPr="002176B5">
        <w:t>prechodných ustanoveniach pre menšinové účasti</w:t>
      </w:r>
      <w:r w:rsidR="002176B5">
        <w:t xml:space="preserve"> a </w:t>
      </w:r>
      <w:r w:rsidRPr="002176B5">
        <w:t xml:space="preserve">nástroje dodatočného kapitálu </w:t>
      </w:r>
      <w:proofErr w:type="spellStart"/>
      <w:r w:rsidRPr="002176B5">
        <w:t>Tier</w:t>
      </w:r>
      <w:proofErr w:type="spellEnd"/>
      <w:r w:rsidRPr="002176B5">
        <w:t xml:space="preserve"> 1</w:t>
      </w:r>
      <w:r w:rsidR="002176B5">
        <w:t xml:space="preserve"> a </w:t>
      </w:r>
      <w:proofErr w:type="spellStart"/>
      <w:r w:rsidRPr="002176B5">
        <w:t>Tier</w:t>
      </w:r>
      <w:proofErr w:type="spellEnd"/>
      <w:r w:rsidRPr="002176B5">
        <w:t xml:space="preserve"> 2 emitované dcérskymi spoločnosťami [v súlade</w:t>
      </w:r>
      <w:r w:rsidR="002176B5">
        <w:t xml:space="preserve"> s </w:t>
      </w:r>
      <w:r w:rsidRPr="002176B5">
        <w:t>článkami 479</w:t>
      </w:r>
      <w:r w:rsidR="002176B5">
        <w:t xml:space="preserve"> a </w:t>
      </w:r>
      <w:r w:rsidRPr="002176B5">
        <w:t>480 nariadenia (EÚ) č. 575/2013].</w:t>
      </w:r>
    </w:p>
    <w:p w14:paraId="68A24959" w14:textId="1171B68C" w:rsidR="00CC7D2C" w:rsidRPr="002176B5" w:rsidRDefault="00CC7D2C" w:rsidP="00886567">
      <w:pPr>
        <w:pStyle w:val="InstructionsText2"/>
        <w:numPr>
          <w:ilvl w:val="0"/>
          <w:numId w:val="0"/>
        </w:numPr>
      </w:pPr>
      <w:r w:rsidRPr="002176B5">
        <w:fldChar w:fldCharType="begin"/>
      </w:r>
      <w:r w:rsidRPr="002176B5">
        <w:instrText>seq paragraphs</w:instrText>
      </w:r>
      <w:r w:rsidRPr="002176B5">
        <w:fldChar w:fldCharType="separate"/>
      </w:r>
      <w:r w:rsidRPr="002176B5">
        <w:t>24</w:t>
      </w:r>
      <w:r w:rsidRPr="002176B5">
        <w:fldChar w:fldCharType="end"/>
      </w:r>
      <w:r w:rsidRPr="002176B5">
        <w:t>.</w:t>
      </w:r>
      <w:r w:rsidRPr="002176B5">
        <w:tab/>
        <w:t>V riadku 0100</w:t>
      </w:r>
      <w:r w:rsidR="002176B5">
        <w:t xml:space="preserve"> a </w:t>
      </w:r>
      <w:r w:rsidRPr="002176B5">
        <w:t>riadkoch, ktoré za ním nasledujú, vykazujú inštitúcie informácie</w:t>
      </w:r>
      <w:r w:rsidR="002176B5">
        <w:t xml:space="preserve"> o </w:t>
      </w:r>
      <w:r w:rsidRPr="002176B5">
        <w:t>účinku prechodných ustanovení týkajúcich sa nerealizovaných ziskov</w:t>
      </w:r>
      <w:r w:rsidR="002176B5">
        <w:t xml:space="preserve"> a </w:t>
      </w:r>
      <w:r w:rsidRPr="002176B5">
        <w:t>strát, odpočtov, dodatočných filtrov</w:t>
      </w:r>
      <w:r w:rsidR="002176B5">
        <w:t xml:space="preserve"> a </w:t>
      </w:r>
      <w:r w:rsidRPr="002176B5">
        <w:t>odpočtov</w:t>
      </w:r>
      <w:r w:rsidR="002176B5">
        <w:t xml:space="preserve"> a </w:t>
      </w:r>
      <w:r w:rsidRPr="002176B5">
        <w:t>IFRS 9.</w:t>
      </w:r>
    </w:p>
    <w:p w14:paraId="3AE81430" w14:textId="54B688BD" w:rsidR="002176B5" w:rsidRDefault="00CC7D2C" w:rsidP="00886567">
      <w:pPr>
        <w:pStyle w:val="InstructionsText2"/>
        <w:numPr>
          <w:ilvl w:val="0"/>
          <w:numId w:val="0"/>
        </w:numPr>
      </w:pPr>
      <w:r w:rsidRPr="002176B5">
        <w:fldChar w:fldCharType="begin"/>
      </w:r>
      <w:r w:rsidRPr="002176B5">
        <w:instrText>seq paragraphs</w:instrText>
      </w:r>
      <w:r w:rsidRPr="002176B5">
        <w:fldChar w:fldCharType="separate"/>
      </w:r>
      <w:r w:rsidRPr="002176B5">
        <w:t>25</w:t>
      </w:r>
      <w:r w:rsidRPr="002176B5">
        <w:fldChar w:fldCharType="end"/>
      </w:r>
      <w:r w:rsidRPr="002176B5">
        <w:t>.</w:t>
      </w:r>
      <w:r w:rsidRPr="002176B5">
        <w:tab/>
        <w:t>Môžu sa vyskytnúť prípady, keď prechodné odpočty kapitálov CET1, AT1 alebo T2 presahujú kapitál CET1, AT1 alebo T2 inštitúcie. Tento účinok – ak vyplýva</w:t>
      </w:r>
      <w:r w:rsidR="002176B5">
        <w:t xml:space="preserve"> z </w:t>
      </w:r>
      <w:r w:rsidRPr="002176B5">
        <w:t>prechodných ustanovení – sa uvedie vo vzore CA1, pričom sa použijú príslušné bunky. Úpravy</w:t>
      </w:r>
      <w:r w:rsidR="002176B5">
        <w:t xml:space="preserve"> v </w:t>
      </w:r>
      <w:r w:rsidRPr="002176B5">
        <w:t>stĺpcoch vzoru CA5 následne nezahŕňajú účinky presahovania</w:t>
      </w:r>
      <w:r w:rsidR="002176B5">
        <w:t xml:space="preserve"> v </w:t>
      </w:r>
      <w:r w:rsidRPr="002176B5">
        <w:t>prípade nedostatočného dostupného kapitálu</w:t>
      </w:r>
      <w:r w:rsidR="002176B5">
        <w:t>.</w:t>
      </w:r>
    </w:p>
    <w:p w14:paraId="4599C410" w14:textId="4293CB39" w:rsidR="00CC7D2C" w:rsidRPr="002176B5" w:rsidRDefault="00CC7D2C" w:rsidP="00886567">
      <w:pPr>
        <w:pStyle w:val="Instructionsberschrift2"/>
        <w:numPr>
          <w:ilvl w:val="0"/>
          <w:numId w:val="0"/>
        </w:numPr>
        <w:ind w:left="357" w:hanging="357"/>
      </w:pPr>
      <w:bookmarkStart w:id="60" w:name="_Toc360188336"/>
      <w:bookmarkStart w:id="61" w:name="_Toc473560884"/>
      <w:bookmarkStart w:id="62" w:name="_Toc151714372"/>
      <w:r w:rsidRPr="002176B5">
        <w:t>1.6.2.1.</w:t>
      </w:r>
      <w:r w:rsidRPr="002176B5">
        <w:tab/>
        <w:t>Pokyny týkajúce sa konkrétnych pozícií</w:t>
      </w:r>
      <w:bookmarkEnd w:id="60"/>
      <w:bookmarkEnd w:id="61"/>
      <w:bookmarkEnd w:id="62"/>
    </w:p>
    <w:p w14:paraId="370360D8" w14:textId="77777777" w:rsidR="00CC7D2C" w:rsidRPr="002176B5" w:rsidRDefault="00CC7D2C" w:rsidP="00CC7D2C">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56"/>
        <w:gridCol w:w="7421"/>
      </w:tblGrid>
      <w:tr w:rsidR="00CC7D2C" w:rsidRPr="002176B5" w14:paraId="017BD371" w14:textId="77777777" w:rsidTr="00822842">
        <w:tc>
          <w:tcPr>
            <w:tcW w:w="8372" w:type="dxa"/>
            <w:gridSpan w:val="2"/>
            <w:shd w:val="clear" w:color="auto" w:fill="D9D9D9"/>
          </w:tcPr>
          <w:p w14:paraId="17A71FCE" w14:textId="77777777" w:rsidR="00CC7D2C" w:rsidRPr="002176B5" w:rsidRDefault="00CC7D2C" w:rsidP="00320EFD">
            <w:pPr>
              <w:pStyle w:val="InstructionsText"/>
            </w:pPr>
            <w:r w:rsidRPr="002176B5">
              <w:t>Stĺpce</w:t>
            </w:r>
          </w:p>
        </w:tc>
      </w:tr>
      <w:tr w:rsidR="00CC7D2C" w:rsidRPr="002176B5" w14:paraId="5ABB1C97" w14:textId="77777777" w:rsidTr="00822842">
        <w:tc>
          <w:tcPr>
            <w:tcW w:w="894" w:type="dxa"/>
          </w:tcPr>
          <w:p w14:paraId="066B52F9" w14:textId="77777777" w:rsidR="00CC7D2C" w:rsidRPr="002176B5" w:rsidRDefault="00CC7D2C" w:rsidP="00320EFD">
            <w:pPr>
              <w:pStyle w:val="InstructionsText"/>
              <w:rPr>
                <w:rStyle w:val="InstructionsTabelleText"/>
                <w:rFonts w:ascii="Times New Roman" w:hAnsi="Times New Roman"/>
                <w:sz w:val="24"/>
              </w:rPr>
            </w:pPr>
            <w:r w:rsidRPr="002176B5">
              <w:rPr>
                <w:rStyle w:val="InstructionsTabelleText"/>
                <w:rFonts w:ascii="Times New Roman" w:hAnsi="Times New Roman"/>
                <w:sz w:val="24"/>
              </w:rPr>
              <w:t>0010</w:t>
            </w:r>
          </w:p>
        </w:tc>
        <w:tc>
          <w:tcPr>
            <w:tcW w:w="7478" w:type="dxa"/>
          </w:tcPr>
          <w:p w14:paraId="5E5AC16B" w14:textId="77777777"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Úpravy CET1</w:t>
            </w:r>
          </w:p>
        </w:tc>
      </w:tr>
      <w:tr w:rsidR="00CC7D2C" w:rsidRPr="002176B5" w14:paraId="70486C66" w14:textId="77777777" w:rsidTr="00822842">
        <w:tc>
          <w:tcPr>
            <w:tcW w:w="894" w:type="dxa"/>
          </w:tcPr>
          <w:p w14:paraId="5744AAF7" w14:textId="77777777" w:rsidR="00CC7D2C" w:rsidRPr="002176B5" w:rsidRDefault="00CC7D2C" w:rsidP="00320EFD">
            <w:pPr>
              <w:pStyle w:val="InstructionsText"/>
              <w:rPr>
                <w:rStyle w:val="InstructionsTabelleText"/>
                <w:rFonts w:ascii="Times New Roman" w:hAnsi="Times New Roman"/>
                <w:sz w:val="24"/>
              </w:rPr>
            </w:pPr>
            <w:r w:rsidRPr="002176B5">
              <w:rPr>
                <w:rStyle w:val="InstructionsTabelleText"/>
                <w:rFonts w:ascii="Times New Roman" w:hAnsi="Times New Roman"/>
                <w:sz w:val="24"/>
              </w:rPr>
              <w:t>0020</w:t>
            </w:r>
          </w:p>
        </w:tc>
        <w:tc>
          <w:tcPr>
            <w:tcW w:w="7478" w:type="dxa"/>
          </w:tcPr>
          <w:p w14:paraId="005FA4F8" w14:textId="77777777"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Úpravy AT1</w:t>
            </w:r>
          </w:p>
        </w:tc>
      </w:tr>
      <w:tr w:rsidR="00CC7D2C" w:rsidRPr="002176B5" w14:paraId="3240AC81" w14:textId="77777777" w:rsidTr="00822842">
        <w:tc>
          <w:tcPr>
            <w:tcW w:w="894" w:type="dxa"/>
          </w:tcPr>
          <w:p w14:paraId="257368A3" w14:textId="77777777" w:rsidR="00CC7D2C" w:rsidRPr="002176B5" w:rsidRDefault="00CC7D2C" w:rsidP="00320EFD">
            <w:pPr>
              <w:pStyle w:val="InstructionsText"/>
              <w:rPr>
                <w:rStyle w:val="InstructionsTabelleText"/>
                <w:rFonts w:ascii="Times New Roman" w:hAnsi="Times New Roman"/>
                <w:sz w:val="24"/>
              </w:rPr>
            </w:pPr>
            <w:r w:rsidRPr="002176B5">
              <w:rPr>
                <w:rStyle w:val="InstructionsTabelleText"/>
                <w:rFonts w:ascii="Times New Roman" w:hAnsi="Times New Roman"/>
                <w:sz w:val="24"/>
              </w:rPr>
              <w:t>0030</w:t>
            </w:r>
          </w:p>
        </w:tc>
        <w:tc>
          <w:tcPr>
            <w:tcW w:w="7478" w:type="dxa"/>
          </w:tcPr>
          <w:p w14:paraId="57820683" w14:textId="77777777"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Úpravy T2</w:t>
            </w:r>
          </w:p>
        </w:tc>
      </w:tr>
      <w:tr w:rsidR="00CC7D2C" w:rsidRPr="002176B5" w14:paraId="6B5722C9" w14:textId="77777777" w:rsidTr="00822842">
        <w:tc>
          <w:tcPr>
            <w:tcW w:w="894" w:type="dxa"/>
          </w:tcPr>
          <w:p w14:paraId="76268D54" w14:textId="77777777" w:rsidR="00CC7D2C" w:rsidRPr="002176B5" w:rsidRDefault="00CC7D2C" w:rsidP="00320EFD">
            <w:pPr>
              <w:pStyle w:val="InstructionsText"/>
              <w:rPr>
                <w:rStyle w:val="InstructionsTabelleText"/>
                <w:rFonts w:ascii="Times New Roman" w:hAnsi="Times New Roman"/>
                <w:sz w:val="24"/>
              </w:rPr>
            </w:pPr>
            <w:r w:rsidRPr="002176B5">
              <w:rPr>
                <w:rStyle w:val="InstructionsTabelleText"/>
                <w:rFonts w:ascii="Times New Roman" w:hAnsi="Times New Roman"/>
                <w:sz w:val="24"/>
              </w:rPr>
              <w:t>0040</w:t>
            </w:r>
          </w:p>
        </w:tc>
        <w:tc>
          <w:tcPr>
            <w:tcW w:w="7478" w:type="dxa"/>
          </w:tcPr>
          <w:p w14:paraId="4008BFC2" w14:textId="5A1A2A57"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Úpravy zahrnuté</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rizikovo vážených aktívach (RWA)</w:t>
            </w:r>
          </w:p>
          <w:p w14:paraId="2AB15337" w14:textId="32C41812" w:rsidR="00CC7D2C" w:rsidRPr="002176B5" w:rsidRDefault="00CC7D2C" w:rsidP="00320EFD">
            <w:pPr>
              <w:pStyle w:val="InstructionsText"/>
              <w:rPr>
                <w:rStyle w:val="InstructionsTabelleText"/>
                <w:rFonts w:ascii="Times New Roman" w:hAnsi="Times New Roman"/>
                <w:sz w:val="24"/>
              </w:rPr>
            </w:pPr>
            <w:r w:rsidRPr="002176B5">
              <w:rPr>
                <w:rStyle w:val="InstructionsTabelleText"/>
                <w:rFonts w:ascii="Times New Roman" w:hAnsi="Times New Roman"/>
                <w:sz w:val="24"/>
              </w:rPr>
              <w:t>V stĺpci 0040 sa uvádzajú príslušné hodnoty, ktorými sa upravuje celková hodnota rizikovej expozície podľa článku 92 ods. 3</w:t>
            </w:r>
            <w:r w:rsidRPr="002176B5">
              <w:t xml:space="preserve"> nariadenia (EÚ) č. 575/2013 </w:t>
            </w:r>
            <w:r w:rsidRPr="002176B5">
              <w:rPr>
                <w:rStyle w:val="InstructionsTabelleText"/>
                <w:rFonts w:ascii="Times New Roman" w:hAnsi="Times New Roman"/>
                <w:sz w:val="24"/>
              </w:rPr>
              <w:t>na základe prechodných ustanovení. Vykazované hodnoty zohľadňujú uplatňovanie ustanovení tretej časti hlavy II kapitoly 2 alebo 3 alebo tretej časti hlavy IV</w:t>
            </w:r>
            <w:r w:rsidR="002176B5">
              <w:rPr>
                <w:rStyle w:val="InstructionsTabelleText"/>
                <w:rFonts w:ascii="Times New Roman" w:hAnsi="Times New Roman"/>
                <w:sz w:val="24"/>
              </w:rPr>
              <w:t xml:space="preserve"> v </w:t>
            </w:r>
            <w:r w:rsidRPr="002176B5">
              <w:rPr>
                <w:rStyle w:val="InstructionsTabelleText"/>
                <w:rFonts w:ascii="Times New Roman" w:hAnsi="Times New Roman"/>
                <w:sz w:val="24"/>
              </w:rPr>
              <w:t>súlade</w:t>
            </w:r>
            <w:r w:rsidR="002176B5">
              <w:rPr>
                <w:rStyle w:val="InstructionsTabelleText"/>
                <w:rFonts w:ascii="Times New Roman" w:hAnsi="Times New Roman"/>
                <w:sz w:val="24"/>
              </w:rPr>
              <w:t xml:space="preserve"> s </w:t>
            </w:r>
            <w:r w:rsidRPr="002176B5">
              <w:rPr>
                <w:rStyle w:val="InstructionsTabelleText"/>
                <w:rFonts w:ascii="Times New Roman" w:hAnsi="Times New Roman"/>
                <w:sz w:val="24"/>
              </w:rPr>
              <w:t>článkom 92 ods. 4</w:t>
            </w:r>
            <w:r w:rsidRPr="002176B5">
              <w:t xml:space="preserve"> nariadenia (EÚ) č. 575/2013</w:t>
            </w:r>
            <w:r w:rsidRPr="002176B5">
              <w:rPr>
                <w:rStyle w:val="InstructionsTabelleText"/>
                <w:rFonts w:ascii="Times New Roman" w:hAnsi="Times New Roman"/>
                <w:sz w:val="24"/>
              </w:rPr>
              <w:t xml:space="preserve">. To znamená, že prechodné hodnoty, na </w:t>
            </w:r>
            <w:r w:rsidRPr="002176B5">
              <w:rPr>
                <w:rStyle w:val="InstructionsTabelleText"/>
                <w:rFonts w:ascii="Times New Roman" w:hAnsi="Times New Roman"/>
                <w:sz w:val="24"/>
              </w:rPr>
              <w:lastRenderedPageBreak/>
              <w:t>ktoré sa vzťahujú ustanovenia tretej časti hlavy II kapitoly 2 alebo 3, sa vykazujú ako hodnoty rizikovo vážených expozícií, zatiaľ čo prechodné hodnoty, na ktoré sa vzťahuje tretia časť hlava IV, predstavujú požiadavky na vlastné zdroje vynásobené koeficientom 12,5.</w:t>
            </w:r>
          </w:p>
          <w:p w14:paraId="6FD2215F" w14:textId="4C999E59" w:rsidR="00CC7D2C" w:rsidRPr="002176B5" w:rsidRDefault="00CC7D2C" w:rsidP="00320EFD">
            <w:pPr>
              <w:pStyle w:val="InstructionsText"/>
              <w:rPr>
                <w:rStyle w:val="InstructionsTabelleberschrift"/>
                <w:rFonts w:ascii="Times New Roman" w:hAnsi="Times New Roman"/>
                <w:b w:val="0"/>
                <w:bCs w:val="0"/>
                <w:sz w:val="24"/>
                <w:u w:val="none"/>
              </w:rPr>
            </w:pPr>
            <w:r w:rsidRPr="002176B5">
              <w:rPr>
                <w:rStyle w:val="InstructionsTabelleText"/>
                <w:rFonts w:ascii="Times New Roman" w:hAnsi="Times New Roman"/>
                <w:sz w:val="24"/>
              </w:rPr>
              <w:t>Zatiaľ čo stĺpce 0010 až 0030 sú priamo spojené so vzorom CA1, úpravy celkovej hodnoty rizikovej expozície nie sú priamo spojené</w:t>
            </w:r>
            <w:r w:rsidR="002176B5">
              <w:rPr>
                <w:rStyle w:val="InstructionsTabelleText"/>
                <w:rFonts w:ascii="Times New Roman" w:hAnsi="Times New Roman"/>
                <w:sz w:val="24"/>
              </w:rPr>
              <w:t xml:space="preserve"> s </w:t>
            </w:r>
            <w:r w:rsidRPr="002176B5">
              <w:rPr>
                <w:rStyle w:val="InstructionsTabelleText"/>
                <w:rFonts w:ascii="Times New Roman" w:hAnsi="Times New Roman"/>
                <w:sz w:val="24"/>
              </w:rPr>
              <w:t>príslušnými vzormi pre kreditné riziko. Ak existujú úpravy celkovej hodnoty rizikovej expozície vyplývajúce</w:t>
            </w:r>
            <w:r w:rsidR="002176B5">
              <w:rPr>
                <w:rStyle w:val="InstructionsTabelleText"/>
                <w:rFonts w:ascii="Times New Roman" w:hAnsi="Times New Roman"/>
                <w:sz w:val="24"/>
              </w:rPr>
              <w:t xml:space="preserve"> z </w:t>
            </w:r>
            <w:r w:rsidRPr="002176B5">
              <w:rPr>
                <w:rStyle w:val="InstructionsTabelleText"/>
                <w:rFonts w:ascii="Times New Roman" w:hAnsi="Times New Roman"/>
                <w:sz w:val="24"/>
              </w:rPr>
              <w:t>prechodných ustanovení, zahrnú sa priamo do vzorov CR SA, CR IRB, CR EQU IRB, MKR SA TDI, MKR SA EQU alebo MKR IM. Tieto účinky sa okrem toho vykazujú</w:t>
            </w:r>
            <w:r w:rsidR="002176B5">
              <w:rPr>
                <w:rStyle w:val="InstructionsTabelleText"/>
                <w:rFonts w:ascii="Times New Roman" w:hAnsi="Times New Roman"/>
                <w:sz w:val="24"/>
              </w:rPr>
              <w:t xml:space="preserve"> v </w:t>
            </w:r>
            <w:r w:rsidRPr="002176B5">
              <w:rPr>
                <w:rStyle w:val="InstructionsTabelleText"/>
                <w:rFonts w:ascii="Times New Roman" w:hAnsi="Times New Roman"/>
                <w:sz w:val="24"/>
              </w:rPr>
              <w:t>stĺpci 0040 vzoru CA5.1.</w:t>
            </w:r>
            <w:r w:rsidR="002176B5">
              <w:rPr>
                <w:rStyle w:val="InstructionsTabelleText"/>
                <w:rFonts w:ascii="Times New Roman" w:hAnsi="Times New Roman"/>
                <w:sz w:val="24"/>
              </w:rPr>
              <w:t xml:space="preserve"> V </w:t>
            </w:r>
            <w:r w:rsidRPr="002176B5">
              <w:rPr>
                <w:rStyle w:val="InstructionsTabelleText"/>
                <w:rFonts w:ascii="Times New Roman" w:hAnsi="Times New Roman"/>
                <w:sz w:val="24"/>
              </w:rPr>
              <w:t xml:space="preserve">dôsledku toho sú uvedené hodnoty len doplňujúcimi položkami. </w:t>
            </w:r>
          </w:p>
        </w:tc>
      </w:tr>
      <w:tr w:rsidR="00CC7D2C" w:rsidRPr="002176B5" w14:paraId="36DEBFE4" w14:textId="77777777" w:rsidTr="00822842">
        <w:tc>
          <w:tcPr>
            <w:tcW w:w="894" w:type="dxa"/>
          </w:tcPr>
          <w:p w14:paraId="08DE5ACE" w14:textId="77777777" w:rsidR="00CC7D2C" w:rsidRPr="002176B5" w:rsidRDefault="00CC7D2C" w:rsidP="00320EFD">
            <w:pPr>
              <w:pStyle w:val="InstructionsText"/>
              <w:rPr>
                <w:rStyle w:val="InstructionsTabelleText"/>
                <w:rFonts w:ascii="Times New Roman" w:hAnsi="Times New Roman"/>
                <w:sz w:val="24"/>
              </w:rPr>
            </w:pPr>
            <w:r w:rsidRPr="002176B5">
              <w:rPr>
                <w:rStyle w:val="InstructionsTabelleText"/>
                <w:rFonts w:ascii="Times New Roman" w:hAnsi="Times New Roman"/>
                <w:sz w:val="24"/>
              </w:rPr>
              <w:lastRenderedPageBreak/>
              <w:t>0050</w:t>
            </w:r>
          </w:p>
        </w:tc>
        <w:tc>
          <w:tcPr>
            <w:tcW w:w="7478" w:type="dxa"/>
          </w:tcPr>
          <w:p w14:paraId="554E45F6" w14:textId="77777777"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Príslušná percentuálna hodnota</w:t>
            </w:r>
          </w:p>
        </w:tc>
      </w:tr>
      <w:tr w:rsidR="00CC7D2C" w:rsidRPr="002176B5" w14:paraId="4825B315" w14:textId="77777777" w:rsidTr="00822842">
        <w:tc>
          <w:tcPr>
            <w:tcW w:w="894" w:type="dxa"/>
          </w:tcPr>
          <w:p w14:paraId="1A745949" w14:textId="77777777" w:rsidR="00CC7D2C" w:rsidRPr="002176B5" w:rsidRDefault="00CC7D2C" w:rsidP="00320EFD">
            <w:pPr>
              <w:pStyle w:val="InstructionsText"/>
              <w:rPr>
                <w:rStyle w:val="InstructionsTabelleText"/>
                <w:rFonts w:ascii="Times New Roman" w:hAnsi="Times New Roman"/>
                <w:sz w:val="24"/>
              </w:rPr>
            </w:pPr>
            <w:r w:rsidRPr="002176B5">
              <w:rPr>
                <w:rStyle w:val="InstructionsTabelleText"/>
                <w:rFonts w:ascii="Times New Roman" w:hAnsi="Times New Roman"/>
                <w:sz w:val="24"/>
              </w:rPr>
              <w:t>0060</w:t>
            </w:r>
          </w:p>
        </w:tc>
        <w:tc>
          <w:tcPr>
            <w:tcW w:w="7478" w:type="dxa"/>
          </w:tcPr>
          <w:p w14:paraId="7C91F59F" w14:textId="77777777"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Prípustná hodnota bez prechodných ustanovení</w:t>
            </w:r>
          </w:p>
          <w:p w14:paraId="0688C622" w14:textId="77777777" w:rsidR="00CC7D2C" w:rsidRPr="002176B5" w:rsidRDefault="00CC7D2C" w:rsidP="00320EFD">
            <w:pPr>
              <w:pStyle w:val="InstructionsText"/>
              <w:rPr>
                <w:rStyle w:val="InstructionsTabelleText"/>
                <w:rFonts w:ascii="Times New Roman" w:hAnsi="Times New Roman"/>
                <w:sz w:val="24"/>
              </w:rPr>
            </w:pPr>
            <w:r w:rsidRPr="002176B5">
              <w:rPr>
                <w:rStyle w:val="InstructionsTabelleText"/>
                <w:rFonts w:ascii="Times New Roman" w:hAnsi="Times New Roman"/>
                <w:sz w:val="24"/>
              </w:rPr>
              <w:t>V tomto stĺpci sa uvádza hodnota každého nástroja pred uplatnením prechodných ustanovení, t. j. základná hodnota relevantná pre výpočet úprav.</w:t>
            </w:r>
          </w:p>
        </w:tc>
      </w:tr>
    </w:tbl>
    <w:p w14:paraId="69541753" w14:textId="77777777" w:rsidR="00CC7D2C" w:rsidRPr="002176B5" w:rsidRDefault="00CC7D2C" w:rsidP="00CC7D2C">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56"/>
        <w:gridCol w:w="7421"/>
      </w:tblGrid>
      <w:tr w:rsidR="00CC7D2C" w:rsidRPr="002176B5" w14:paraId="28FF4A7E" w14:textId="77777777" w:rsidTr="00822842">
        <w:tc>
          <w:tcPr>
            <w:tcW w:w="8490" w:type="dxa"/>
            <w:gridSpan w:val="2"/>
            <w:shd w:val="clear" w:color="auto" w:fill="D9D9D9"/>
          </w:tcPr>
          <w:p w14:paraId="5A0FBE2A" w14:textId="77777777" w:rsidR="00CC7D2C" w:rsidRPr="002176B5" w:rsidRDefault="00CC7D2C" w:rsidP="00320EFD">
            <w:pPr>
              <w:pStyle w:val="InstructionsText"/>
            </w:pPr>
            <w:r w:rsidRPr="002176B5">
              <w:t>Riadky</w:t>
            </w:r>
          </w:p>
        </w:tc>
      </w:tr>
      <w:tr w:rsidR="00CC7D2C" w:rsidRPr="002176B5" w14:paraId="63DE0CB7" w14:textId="77777777" w:rsidTr="00822842">
        <w:tc>
          <w:tcPr>
            <w:tcW w:w="1012" w:type="dxa"/>
          </w:tcPr>
          <w:p w14:paraId="64D99990" w14:textId="77777777" w:rsidR="00CC7D2C" w:rsidRPr="002176B5" w:rsidRDefault="00CC7D2C" w:rsidP="00320EFD">
            <w:pPr>
              <w:pStyle w:val="InstructionsText"/>
              <w:rPr>
                <w:rStyle w:val="InstructionsTabelleText"/>
                <w:rFonts w:ascii="Times New Roman" w:hAnsi="Times New Roman"/>
                <w:sz w:val="24"/>
              </w:rPr>
            </w:pPr>
            <w:r w:rsidRPr="002176B5">
              <w:rPr>
                <w:rStyle w:val="InstructionsTabelleText"/>
                <w:rFonts w:ascii="Times New Roman" w:hAnsi="Times New Roman"/>
                <w:sz w:val="24"/>
              </w:rPr>
              <w:t>0010</w:t>
            </w:r>
          </w:p>
        </w:tc>
        <w:tc>
          <w:tcPr>
            <w:tcW w:w="7478" w:type="dxa"/>
          </w:tcPr>
          <w:p w14:paraId="0AE528B2" w14:textId="77777777" w:rsidR="00CC7D2C" w:rsidRPr="002176B5" w:rsidRDefault="00CC7D2C" w:rsidP="00320EFD">
            <w:pPr>
              <w:pStyle w:val="InstructionsText"/>
              <w:rPr>
                <w:rStyle w:val="FormatvorlageInstructionsTabelleText"/>
                <w:rFonts w:ascii="Times New Roman" w:hAnsi="Times New Roman"/>
                <w:b/>
                <w:sz w:val="24"/>
                <w:u w:val="single"/>
              </w:rPr>
            </w:pPr>
            <w:r w:rsidRPr="002176B5">
              <w:rPr>
                <w:rStyle w:val="InstructionsTabelleberschrift"/>
                <w:rFonts w:ascii="Times New Roman" w:hAnsi="Times New Roman"/>
                <w:sz w:val="24"/>
              </w:rPr>
              <w:t>1.</w:t>
            </w:r>
            <w:r w:rsidRPr="002176B5">
              <w:tab/>
            </w:r>
            <w:r w:rsidRPr="002176B5">
              <w:rPr>
                <w:rStyle w:val="InstructionsTabelleberschrift"/>
                <w:rFonts w:ascii="Times New Roman" w:hAnsi="Times New Roman"/>
                <w:sz w:val="24"/>
              </w:rPr>
              <w:t>Celkové úpravy</w:t>
            </w:r>
          </w:p>
          <w:p w14:paraId="1456E00D" w14:textId="3751EF69" w:rsidR="00CC7D2C" w:rsidRPr="002176B5" w:rsidRDefault="00CC7D2C" w:rsidP="00822842">
            <w:pPr>
              <w:spacing w:before="0"/>
              <w:rPr>
                <w:rStyle w:val="FormatvorlageInstructionsTabelleText"/>
                <w:rFonts w:ascii="Times New Roman" w:hAnsi="Times New Roman"/>
                <w:bCs w:val="0"/>
                <w:sz w:val="24"/>
              </w:rPr>
            </w:pPr>
            <w:r w:rsidRPr="002176B5">
              <w:rPr>
                <w:rStyle w:val="InstructionsTabelleText"/>
                <w:rFonts w:ascii="Times New Roman" w:hAnsi="Times New Roman"/>
                <w:sz w:val="24"/>
              </w:rPr>
              <w:t>Tento riadok vyjadruje celkový účinok prechodných úprav</w:t>
            </w:r>
            <w:r w:rsidR="002176B5">
              <w:rPr>
                <w:rStyle w:val="InstructionsTabelleText"/>
                <w:rFonts w:ascii="Times New Roman" w:hAnsi="Times New Roman"/>
                <w:sz w:val="24"/>
              </w:rPr>
              <w:t xml:space="preserve"> v </w:t>
            </w:r>
            <w:r w:rsidRPr="002176B5">
              <w:rPr>
                <w:rStyle w:val="InstructionsTabelleText"/>
                <w:rFonts w:ascii="Times New Roman" w:hAnsi="Times New Roman"/>
                <w:sz w:val="24"/>
              </w:rPr>
              <w:t>rôznych typoch kapitálu plus rizikovo vážené hodnoty vyplývajúce</w:t>
            </w:r>
            <w:r w:rsidR="002176B5">
              <w:rPr>
                <w:rStyle w:val="InstructionsTabelleText"/>
                <w:rFonts w:ascii="Times New Roman" w:hAnsi="Times New Roman"/>
                <w:sz w:val="24"/>
              </w:rPr>
              <w:t xml:space="preserve"> z </w:t>
            </w:r>
            <w:r w:rsidRPr="002176B5">
              <w:rPr>
                <w:rStyle w:val="InstructionsTabelleText"/>
                <w:rFonts w:ascii="Times New Roman" w:hAnsi="Times New Roman"/>
                <w:sz w:val="24"/>
              </w:rPr>
              <w:t>uvedených úprav.</w:t>
            </w:r>
          </w:p>
        </w:tc>
      </w:tr>
      <w:tr w:rsidR="00CC7D2C" w:rsidRPr="002176B5" w14:paraId="22DFE315" w14:textId="77777777" w:rsidTr="00822842">
        <w:tc>
          <w:tcPr>
            <w:tcW w:w="1012" w:type="dxa"/>
          </w:tcPr>
          <w:p w14:paraId="589AB8F2" w14:textId="77777777" w:rsidR="00CC7D2C" w:rsidRPr="002176B5" w:rsidRDefault="00CC7D2C" w:rsidP="00320EFD">
            <w:pPr>
              <w:pStyle w:val="InstructionsText"/>
              <w:rPr>
                <w:rStyle w:val="InstructionsTabelleText"/>
                <w:rFonts w:ascii="Times New Roman" w:hAnsi="Times New Roman"/>
                <w:sz w:val="24"/>
              </w:rPr>
            </w:pPr>
            <w:r w:rsidRPr="002176B5">
              <w:rPr>
                <w:rStyle w:val="InstructionsTabelleText"/>
                <w:rFonts w:ascii="Times New Roman" w:hAnsi="Times New Roman"/>
                <w:sz w:val="24"/>
              </w:rPr>
              <w:t xml:space="preserve">0020 </w:t>
            </w:r>
          </w:p>
        </w:tc>
        <w:tc>
          <w:tcPr>
            <w:tcW w:w="7478" w:type="dxa"/>
          </w:tcPr>
          <w:p w14:paraId="42B60E68" w14:textId="2DED197D" w:rsidR="00CC7D2C" w:rsidRPr="002176B5" w:rsidRDefault="00CC7D2C" w:rsidP="00320EFD">
            <w:pPr>
              <w:pStyle w:val="InstructionsText"/>
              <w:rPr>
                <w:rStyle w:val="InstructionsTabelleText"/>
                <w:rFonts w:ascii="Times New Roman" w:hAnsi="Times New Roman"/>
                <w:b/>
                <w:bCs/>
                <w:sz w:val="24"/>
                <w:u w:val="single"/>
              </w:rPr>
            </w:pPr>
            <w:r w:rsidRPr="002176B5">
              <w:rPr>
                <w:rStyle w:val="InstructionsTabelleberschrift"/>
                <w:rFonts w:ascii="Times New Roman" w:hAnsi="Times New Roman"/>
                <w:sz w:val="24"/>
              </w:rPr>
              <w:t>1.1.</w:t>
            </w:r>
            <w:r w:rsidRPr="002176B5">
              <w:tab/>
            </w:r>
            <w:r w:rsidRPr="002176B5">
              <w:rPr>
                <w:rStyle w:val="InstructionsTabelleberschrift"/>
                <w:rFonts w:ascii="Times New Roman" w:hAnsi="Times New Roman"/>
                <w:sz w:val="24"/>
              </w:rPr>
              <w:t>Nástroje zachované</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predchádzajúcom stave</w:t>
            </w:r>
          </w:p>
          <w:p w14:paraId="5D53743C" w14:textId="77777777" w:rsidR="00CC7D2C" w:rsidRPr="002176B5" w:rsidRDefault="00CC7D2C" w:rsidP="00822842">
            <w:pPr>
              <w:spacing w:before="0"/>
              <w:rPr>
                <w:rStyle w:val="InstructionsTabelleText"/>
                <w:rFonts w:ascii="Times New Roman" w:hAnsi="Times New Roman"/>
                <w:sz w:val="24"/>
              </w:rPr>
            </w:pPr>
            <w:r w:rsidRPr="002176B5">
              <w:rPr>
                <w:rStyle w:val="InstructionsTabelleText"/>
                <w:rFonts w:ascii="Times New Roman" w:hAnsi="Times New Roman"/>
                <w:sz w:val="24"/>
              </w:rPr>
              <w:t xml:space="preserve">Články 483 až 491 </w:t>
            </w:r>
            <w:r w:rsidRPr="002176B5">
              <w:rPr>
                <w:rFonts w:ascii="Times New Roman" w:hAnsi="Times New Roman"/>
                <w:sz w:val="24"/>
              </w:rPr>
              <w:t>nariadenia (EÚ) č. 575/2013</w:t>
            </w:r>
          </w:p>
          <w:p w14:paraId="659F146F" w14:textId="45ED3A0F" w:rsidR="00CC7D2C" w:rsidRPr="002176B5" w:rsidRDefault="00CC7D2C" w:rsidP="00822842">
            <w:pPr>
              <w:spacing w:before="0"/>
              <w:rPr>
                <w:rStyle w:val="FormatvorlageInstructionsTabelleText"/>
                <w:rFonts w:ascii="Times New Roman" w:hAnsi="Times New Roman"/>
                <w:sz w:val="24"/>
              </w:rPr>
            </w:pPr>
            <w:r w:rsidRPr="002176B5">
              <w:rPr>
                <w:rStyle w:val="InstructionsTabelleText"/>
                <w:rFonts w:ascii="Times New Roman" w:hAnsi="Times New Roman"/>
                <w:sz w:val="24"/>
              </w:rPr>
              <w:t>Tento riadok vyjadruje celkový účinok nástrojov, ktoré sa prechodne zachovali</w:t>
            </w:r>
            <w:r w:rsidR="002176B5">
              <w:rPr>
                <w:rStyle w:val="InstructionsTabelleText"/>
                <w:rFonts w:ascii="Times New Roman" w:hAnsi="Times New Roman"/>
                <w:sz w:val="24"/>
              </w:rPr>
              <w:t xml:space="preserve"> v </w:t>
            </w:r>
            <w:r w:rsidRPr="002176B5">
              <w:rPr>
                <w:rStyle w:val="InstructionsTabelleText"/>
                <w:rFonts w:ascii="Times New Roman" w:hAnsi="Times New Roman"/>
                <w:sz w:val="24"/>
              </w:rPr>
              <w:t>predchádzajúcom stave,</w:t>
            </w:r>
            <w:r w:rsidR="002176B5">
              <w:rPr>
                <w:rStyle w:val="InstructionsTabelleText"/>
                <w:rFonts w:ascii="Times New Roman" w:hAnsi="Times New Roman"/>
                <w:sz w:val="24"/>
              </w:rPr>
              <w:t xml:space="preserve"> v </w:t>
            </w:r>
            <w:r w:rsidRPr="002176B5">
              <w:rPr>
                <w:rStyle w:val="InstructionsTabelleText"/>
                <w:rFonts w:ascii="Times New Roman" w:hAnsi="Times New Roman"/>
                <w:sz w:val="24"/>
              </w:rPr>
              <w:t>rôznych typoch kapitálu.</w:t>
            </w:r>
          </w:p>
        </w:tc>
      </w:tr>
      <w:tr w:rsidR="00CC7D2C" w:rsidRPr="002176B5" w14:paraId="3A5937F1" w14:textId="77777777" w:rsidTr="00822842">
        <w:tc>
          <w:tcPr>
            <w:tcW w:w="1012" w:type="dxa"/>
          </w:tcPr>
          <w:p w14:paraId="021760AB" w14:textId="77777777" w:rsidR="00CC7D2C" w:rsidRPr="002176B5" w:rsidRDefault="00CC7D2C" w:rsidP="00320EFD">
            <w:pPr>
              <w:pStyle w:val="InstructionsText"/>
              <w:rPr>
                <w:rStyle w:val="InstructionsTabelleText"/>
                <w:rFonts w:ascii="Times New Roman" w:hAnsi="Times New Roman"/>
                <w:sz w:val="24"/>
              </w:rPr>
            </w:pPr>
            <w:r w:rsidRPr="002176B5">
              <w:rPr>
                <w:rStyle w:val="InstructionsTabelleText"/>
                <w:rFonts w:ascii="Times New Roman" w:hAnsi="Times New Roman"/>
                <w:sz w:val="24"/>
              </w:rPr>
              <w:t>0060</w:t>
            </w:r>
          </w:p>
        </w:tc>
        <w:tc>
          <w:tcPr>
            <w:tcW w:w="7478" w:type="dxa"/>
          </w:tcPr>
          <w:p w14:paraId="55E430E6" w14:textId="77777777" w:rsidR="00CC7D2C" w:rsidRPr="002176B5" w:rsidRDefault="00CC7D2C" w:rsidP="00822842">
            <w:pPr>
              <w:spacing w:before="0"/>
              <w:rPr>
                <w:rStyle w:val="InstructionsTabelleText"/>
                <w:rFonts w:ascii="Times New Roman" w:hAnsi="Times New Roman"/>
                <w:b/>
                <w:bCs/>
                <w:sz w:val="24"/>
                <w:u w:val="single"/>
              </w:rPr>
            </w:pPr>
            <w:r w:rsidRPr="002176B5">
              <w:rPr>
                <w:rStyle w:val="InstructionsTabelleberschrift"/>
                <w:rFonts w:ascii="Times New Roman" w:hAnsi="Times New Roman"/>
                <w:sz w:val="24"/>
              </w:rPr>
              <w:t>1.1.2.</w:t>
            </w:r>
            <w:r w:rsidRPr="002176B5">
              <w:tab/>
            </w:r>
            <w:r w:rsidRPr="002176B5">
              <w:rPr>
                <w:rStyle w:val="InstructionsTabelleberschrift"/>
                <w:rFonts w:ascii="Times New Roman" w:hAnsi="Times New Roman"/>
                <w:sz w:val="24"/>
              </w:rPr>
              <w:t>Nástroje, ktoré nepredstavujú štátnu pomoc</w:t>
            </w:r>
          </w:p>
          <w:p w14:paraId="2E34CAEA" w14:textId="77777777" w:rsidR="00CC7D2C" w:rsidRPr="002176B5" w:rsidRDefault="00CC7D2C" w:rsidP="00822842">
            <w:pPr>
              <w:spacing w:before="0"/>
              <w:rPr>
                <w:rFonts w:ascii="Times New Roman" w:hAnsi="Times New Roman"/>
                <w:b/>
                <w:bCs/>
                <w:sz w:val="24"/>
              </w:rPr>
            </w:pPr>
            <w:r w:rsidRPr="002176B5">
              <w:rPr>
                <w:rStyle w:val="InstructionsTabelleText"/>
                <w:rFonts w:ascii="Times New Roman" w:hAnsi="Times New Roman"/>
                <w:sz w:val="24"/>
              </w:rPr>
              <w:t>Vykazované sumy sa získajú zo stĺpca 060 vzoru CA5.2.</w:t>
            </w:r>
          </w:p>
        </w:tc>
      </w:tr>
      <w:tr w:rsidR="00CC7D2C" w:rsidRPr="002176B5" w14:paraId="577CA2FB" w14:textId="77777777" w:rsidTr="00822842">
        <w:tc>
          <w:tcPr>
            <w:tcW w:w="1012" w:type="dxa"/>
          </w:tcPr>
          <w:p w14:paraId="0BC3F697" w14:textId="77777777" w:rsidR="00CC7D2C" w:rsidRPr="002176B5" w:rsidRDefault="00CC7D2C" w:rsidP="00320EFD">
            <w:pPr>
              <w:pStyle w:val="InstructionsText"/>
              <w:rPr>
                <w:rStyle w:val="InstructionsTabelleText"/>
                <w:rFonts w:ascii="Times New Roman" w:hAnsi="Times New Roman"/>
                <w:sz w:val="24"/>
              </w:rPr>
            </w:pPr>
            <w:r w:rsidRPr="002176B5">
              <w:rPr>
                <w:rStyle w:val="InstructionsTabelleText"/>
                <w:rFonts w:ascii="Times New Roman" w:hAnsi="Times New Roman"/>
                <w:sz w:val="24"/>
              </w:rPr>
              <w:t>0061</w:t>
            </w:r>
          </w:p>
        </w:tc>
        <w:tc>
          <w:tcPr>
            <w:tcW w:w="7478" w:type="dxa"/>
          </w:tcPr>
          <w:p w14:paraId="77D7B0C1" w14:textId="77777777" w:rsidR="00CC7D2C" w:rsidRPr="002176B5" w:rsidRDefault="00CC7D2C" w:rsidP="00822842">
            <w:pPr>
              <w:spacing w:before="0"/>
              <w:rPr>
                <w:rStyle w:val="InstructionsTabelleberschrift"/>
                <w:rFonts w:ascii="Times New Roman" w:hAnsi="Times New Roman"/>
                <w:sz w:val="24"/>
              </w:rPr>
            </w:pPr>
            <w:r w:rsidRPr="002176B5">
              <w:rPr>
                <w:rStyle w:val="InstructionsTabelleberschrift"/>
                <w:rFonts w:ascii="Times New Roman" w:hAnsi="Times New Roman"/>
                <w:sz w:val="24"/>
              </w:rPr>
              <w:t>1.1.3.</w:t>
            </w:r>
            <w:r w:rsidRPr="002176B5">
              <w:tab/>
            </w:r>
            <w:r w:rsidRPr="002176B5">
              <w:rPr>
                <w:rStyle w:val="InstructionsTabelleberschrift"/>
                <w:rFonts w:ascii="Times New Roman" w:hAnsi="Times New Roman"/>
                <w:sz w:val="24"/>
              </w:rPr>
              <w:t>Nástroje emitované prostredníctvom účelovo vytvorených subjektov</w:t>
            </w:r>
          </w:p>
          <w:p w14:paraId="28A4DB45" w14:textId="77777777" w:rsidR="00CC7D2C" w:rsidRPr="002176B5" w:rsidRDefault="00CC7D2C" w:rsidP="00822842">
            <w:pPr>
              <w:spacing w:before="0"/>
              <w:rPr>
                <w:rStyle w:val="InstructionsTabelleberschrift"/>
                <w:rFonts w:ascii="Times New Roman" w:hAnsi="Times New Roman"/>
                <w:sz w:val="24"/>
              </w:rPr>
            </w:pPr>
            <w:r w:rsidRPr="002176B5">
              <w:rPr>
                <w:rStyle w:val="InstructionsTabelleberschrift"/>
                <w:rFonts w:ascii="Times New Roman" w:hAnsi="Times New Roman"/>
                <w:b w:val="0"/>
                <w:sz w:val="24"/>
                <w:u w:val="none"/>
              </w:rPr>
              <w:t xml:space="preserve">Článok 494a </w:t>
            </w:r>
            <w:r w:rsidRPr="002176B5">
              <w:rPr>
                <w:rFonts w:ascii="Times New Roman" w:hAnsi="Times New Roman"/>
                <w:sz w:val="24"/>
              </w:rPr>
              <w:t>nariadenia (EÚ) č. 575/2013</w:t>
            </w:r>
          </w:p>
        </w:tc>
      </w:tr>
      <w:tr w:rsidR="00CC7D2C" w:rsidRPr="002176B5" w14:paraId="112C8A49" w14:textId="77777777" w:rsidTr="00822842">
        <w:tc>
          <w:tcPr>
            <w:tcW w:w="1012" w:type="dxa"/>
          </w:tcPr>
          <w:p w14:paraId="63856ADF" w14:textId="77777777" w:rsidR="00CC7D2C" w:rsidRPr="002176B5" w:rsidRDefault="00CC7D2C" w:rsidP="00320EFD">
            <w:pPr>
              <w:pStyle w:val="InstructionsText"/>
              <w:rPr>
                <w:rStyle w:val="InstructionsTabelleText"/>
                <w:rFonts w:ascii="Times New Roman" w:hAnsi="Times New Roman"/>
                <w:sz w:val="24"/>
              </w:rPr>
            </w:pPr>
            <w:r w:rsidRPr="002176B5">
              <w:rPr>
                <w:rStyle w:val="InstructionsTabelleText"/>
                <w:rFonts w:ascii="Times New Roman" w:hAnsi="Times New Roman"/>
                <w:sz w:val="24"/>
              </w:rPr>
              <w:t>0062</w:t>
            </w:r>
          </w:p>
        </w:tc>
        <w:tc>
          <w:tcPr>
            <w:tcW w:w="7478" w:type="dxa"/>
          </w:tcPr>
          <w:p w14:paraId="1061D83D" w14:textId="47BF05E3" w:rsidR="00CC7D2C" w:rsidRPr="002176B5" w:rsidRDefault="00CC7D2C" w:rsidP="00822842">
            <w:pPr>
              <w:spacing w:before="0"/>
              <w:rPr>
                <w:rStyle w:val="InstructionsTabelleberschrift"/>
                <w:rFonts w:ascii="Times New Roman" w:hAnsi="Times New Roman"/>
                <w:sz w:val="24"/>
              </w:rPr>
            </w:pPr>
            <w:r w:rsidRPr="002176B5">
              <w:rPr>
                <w:rStyle w:val="InstructionsTabelleberschrift"/>
                <w:rFonts w:ascii="Times New Roman" w:hAnsi="Times New Roman"/>
                <w:sz w:val="24"/>
              </w:rPr>
              <w:t>1.1.4.</w:t>
            </w:r>
            <w:r w:rsidRPr="002176B5">
              <w:tab/>
            </w:r>
            <w:r w:rsidRPr="002176B5">
              <w:rPr>
                <w:rStyle w:val="InstructionsTabelleberschrift"/>
                <w:rFonts w:ascii="Times New Roman" w:hAnsi="Times New Roman"/>
                <w:sz w:val="24"/>
              </w:rPr>
              <w:t>Nástroje emitované pred 27. júnom 2019, ktoré nespĺňajú kritériá prípustnosti týkajúce sa právomoci odpísať dlh alebo právomoci vykonať konverziu podľa článku 59</w:t>
            </w:r>
            <w:r w:rsidRPr="002176B5">
              <w:rPr>
                <w:rFonts w:ascii="Times New Roman" w:hAnsi="Times New Roman"/>
                <w:sz w:val="24"/>
              </w:rPr>
              <w:t xml:space="preserve"> smernice 2014/59/EÚ </w:t>
            </w:r>
            <w:r w:rsidRPr="002176B5">
              <w:rPr>
                <w:rStyle w:val="InstructionsTabelleberschrift"/>
                <w:rFonts w:ascii="Times New Roman" w:hAnsi="Times New Roman"/>
                <w:sz w:val="24"/>
              </w:rPr>
              <w:t>alebo ktoré sú predmetom dohôd</w:t>
            </w:r>
            <w:r w:rsidR="002176B5">
              <w:rPr>
                <w:rStyle w:val="InstructionsTabelleberschrift"/>
                <w:rFonts w:ascii="Times New Roman" w:hAnsi="Times New Roman"/>
                <w:sz w:val="24"/>
              </w:rPr>
              <w:t xml:space="preserve"> o </w:t>
            </w:r>
            <w:r w:rsidRPr="002176B5">
              <w:rPr>
                <w:rStyle w:val="InstructionsTabelleberschrift"/>
                <w:rFonts w:ascii="Times New Roman" w:hAnsi="Times New Roman"/>
                <w:sz w:val="24"/>
              </w:rPr>
              <w:t>vzájomnom započítaní alebo čistom zúčtovaní</w:t>
            </w:r>
          </w:p>
          <w:p w14:paraId="14B14CDE" w14:textId="77777777" w:rsidR="00CC7D2C" w:rsidRPr="002176B5" w:rsidRDefault="00CC7D2C" w:rsidP="00822842">
            <w:pPr>
              <w:spacing w:before="0"/>
              <w:rPr>
                <w:rStyle w:val="InstructionsTabelleberschrift"/>
                <w:rFonts w:ascii="Times New Roman" w:hAnsi="Times New Roman"/>
                <w:b w:val="0"/>
                <w:sz w:val="24"/>
                <w:u w:val="none"/>
              </w:rPr>
            </w:pPr>
            <w:r w:rsidRPr="002176B5">
              <w:rPr>
                <w:rStyle w:val="InstructionsTabelleberschrift"/>
                <w:rFonts w:ascii="Times New Roman" w:hAnsi="Times New Roman"/>
                <w:b w:val="0"/>
                <w:sz w:val="24"/>
                <w:u w:val="none"/>
              </w:rPr>
              <w:t xml:space="preserve">Článok 494b </w:t>
            </w:r>
            <w:r w:rsidRPr="002176B5">
              <w:rPr>
                <w:rFonts w:ascii="Times New Roman" w:hAnsi="Times New Roman"/>
                <w:sz w:val="24"/>
              </w:rPr>
              <w:t>nariadenia (EÚ) č. 575/2013</w:t>
            </w:r>
          </w:p>
          <w:p w14:paraId="70DE96AB" w14:textId="72160DC2" w:rsidR="00CC7D2C" w:rsidRPr="002176B5" w:rsidRDefault="00CC7D2C" w:rsidP="00822842">
            <w:pPr>
              <w:spacing w:before="0"/>
              <w:rPr>
                <w:rStyle w:val="InstructionsTabelleberschrift"/>
                <w:rFonts w:ascii="Times New Roman" w:hAnsi="Times New Roman"/>
                <w:b w:val="0"/>
                <w:sz w:val="24"/>
                <w:u w:val="none"/>
              </w:rPr>
            </w:pPr>
            <w:r w:rsidRPr="002176B5">
              <w:rPr>
                <w:rStyle w:val="InstructionsTabelleberschrift"/>
                <w:rFonts w:ascii="Times New Roman" w:hAnsi="Times New Roman"/>
                <w:b w:val="0"/>
                <w:sz w:val="24"/>
                <w:u w:val="none"/>
              </w:rPr>
              <w:t>Inštitúcie vykazujú hodnotu nástrojov</w:t>
            </w:r>
            <w:r w:rsidR="002176B5">
              <w:rPr>
                <w:rStyle w:val="InstructionsTabelleberschrift"/>
                <w:rFonts w:ascii="Times New Roman" w:hAnsi="Times New Roman"/>
                <w:b w:val="0"/>
                <w:sz w:val="24"/>
                <w:u w:val="none"/>
              </w:rPr>
              <w:t xml:space="preserve"> v </w:t>
            </w:r>
            <w:r w:rsidRPr="002176B5">
              <w:rPr>
                <w:rStyle w:val="InstructionsTabelleberschrift"/>
                <w:rFonts w:ascii="Times New Roman" w:hAnsi="Times New Roman"/>
                <w:b w:val="0"/>
                <w:sz w:val="24"/>
                <w:u w:val="none"/>
              </w:rPr>
              <w:t>rozsahu pôsobnosti článku 494b</w:t>
            </w:r>
            <w:r w:rsidRPr="002176B5">
              <w:rPr>
                <w:rFonts w:ascii="Times New Roman" w:hAnsi="Times New Roman"/>
                <w:sz w:val="24"/>
              </w:rPr>
              <w:t xml:space="preserve"> nariadenia (EÚ) č. 575/2013</w:t>
            </w:r>
            <w:r w:rsidRPr="002176B5">
              <w:rPr>
                <w:rStyle w:val="InstructionsTabelleberschrift"/>
                <w:rFonts w:ascii="Times New Roman" w:hAnsi="Times New Roman"/>
                <w:b w:val="0"/>
                <w:sz w:val="24"/>
                <w:u w:val="none"/>
              </w:rPr>
              <w:t>, ktoré nespĺňajú jedno alebo viac kritérií prípustnosti uvedených</w:t>
            </w:r>
            <w:r w:rsidR="002176B5">
              <w:rPr>
                <w:rStyle w:val="InstructionsTabelleberschrift"/>
                <w:rFonts w:ascii="Times New Roman" w:hAnsi="Times New Roman"/>
                <w:b w:val="0"/>
                <w:sz w:val="24"/>
                <w:u w:val="none"/>
              </w:rPr>
              <w:t xml:space="preserve"> v </w:t>
            </w:r>
            <w:r w:rsidRPr="002176B5">
              <w:rPr>
                <w:rStyle w:val="InstructionsTabelleberschrift"/>
                <w:rFonts w:ascii="Times New Roman" w:hAnsi="Times New Roman"/>
                <w:b w:val="0"/>
                <w:sz w:val="24"/>
                <w:u w:val="none"/>
              </w:rPr>
              <w:t>článku 52 ods. 1 písm. p), q)</w:t>
            </w:r>
            <w:r w:rsidR="002176B5">
              <w:rPr>
                <w:rStyle w:val="InstructionsTabelleberschrift"/>
                <w:rFonts w:ascii="Times New Roman" w:hAnsi="Times New Roman"/>
                <w:b w:val="0"/>
                <w:sz w:val="24"/>
                <w:u w:val="none"/>
              </w:rPr>
              <w:t xml:space="preserve"> a </w:t>
            </w:r>
            <w:r w:rsidRPr="002176B5">
              <w:rPr>
                <w:rStyle w:val="InstructionsTabelleberschrift"/>
                <w:rFonts w:ascii="Times New Roman" w:hAnsi="Times New Roman"/>
                <w:b w:val="0"/>
                <w:sz w:val="24"/>
                <w:u w:val="none"/>
              </w:rPr>
              <w:t>r)</w:t>
            </w:r>
            <w:r w:rsidRPr="002176B5">
              <w:rPr>
                <w:rFonts w:ascii="Times New Roman" w:hAnsi="Times New Roman"/>
                <w:sz w:val="24"/>
              </w:rPr>
              <w:t xml:space="preserve"> uvedeného </w:t>
            </w:r>
            <w:r w:rsidRPr="002176B5">
              <w:rPr>
                <w:rFonts w:ascii="Times New Roman" w:hAnsi="Times New Roman"/>
                <w:sz w:val="24"/>
              </w:rPr>
              <w:lastRenderedPageBreak/>
              <w:t>nariadenia</w:t>
            </w:r>
            <w:r w:rsidRPr="002176B5">
              <w:rPr>
                <w:rStyle w:val="InstructionsTabelleberschrift"/>
                <w:rFonts w:ascii="Times New Roman" w:hAnsi="Times New Roman"/>
                <w:b w:val="0"/>
                <w:sz w:val="24"/>
                <w:u w:val="none"/>
              </w:rPr>
              <w:t>, alebo prípadne</w:t>
            </w:r>
            <w:r w:rsidR="002176B5">
              <w:rPr>
                <w:rStyle w:val="InstructionsTabelleberschrift"/>
                <w:rFonts w:ascii="Times New Roman" w:hAnsi="Times New Roman"/>
                <w:b w:val="0"/>
                <w:sz w:val="24"/>
                <w:u w:val="none"/>
              </w:rPr>
              <w:t xml:space="preserve"> v </w:t>
            </w:r>
            <w:r w:rsidRPr="002176B5">
              <w:rPr>
                <w:rStyle w:val="InstructionsTabelleberschrift"/>
                <w:rFonts w:ascii="Times New Roman" w:hAnsi="Times New Roman"/>
                <w:b w:val="0"/>
                <w:sz w:val="24"/>
                <w:u w:val="none"/>
              </w:rPr>
              <w:t>článku 63 písm. n), o)</w:t>
            </w:r>
            <w:r w:rsidR="002176B5">
              <w:rPr>
                <w:rStyle w:val="InstructionsTabelleberschrift"/>
                <w:rFonts w:ascii="Times New Roman" w:hAnsi="Times New Roman"/>
                <w:b w:val="0"/>
                <w:sz w:val="24"/>
                <w:u w:val="none"/>
              </w:rPr>
              <w:t xml:space="preserve"> a </w:t>
            </w:r>
            <w:r w:rsidRPr="002176B5">
              <w:rPr>
                <w:rStyle w:val="InstructionsTabelleberschrift"/>
                <w:rFonts w:ascii="Times New Roman" w:hAnsi="Times New Roman"/>
                <w:b w:val="0"/>
                <w:sz w:val="24"/>
                <w:u w:val="none"/>
              </w:rPr>
              <w:t>p)</w:t>
            </w:r>
            <w:r w:rsidRPr="002176B5">
              <w:rPr>
                <w:rFonts w:ascii="Times New Roman" w:hAnsi="Times New Roman"/>
                <w:sz w:val="24"/>
              </w:rPr>
              <w:t xml:space="preserve"> uvedeného nariadenia.</w:t>
            </w:r>
          </w:p>
          <w:p w14:paraId="26471CE7" w14:textId="6552DA71" w:rsidR="00CC7D2C" w:rsidRPr="002176B5" w:rsidRDefault="00CC7D2C" w:rsidP="00822842">
            <w:pPr>
              <w:spacing w:before="0"/>
              <w:rPr>
                <w:rStyle w:val="InstructionsTabelleberschrift"/>
                <w:rFonts w:ascii="Times New Roman" w:hAnsi="Times New Roman"/>
                <w:sz w:val="24"/>
              </w:rPr>
            </w:pPr>
            <w:r w:rsidRPr="002176B5">
              <w:rPr>
                <w:rStyle w:val="InstructionsTabelleberschrift"/>
                <w:rFonts w:ascii="Times New Roman" w:hAnsi="Times New Roman"/>
                <w:b w:val="0"/>
                <w:sz w:val="24"/>
                <w:u w:val="none"/>
              </w:rPr>
              <w:t xml:space="preserve">V prípade nástrojov kapitálu </w:t>
            </w:r>
            <w:proofErr w:type="spellStart"/>
            <w:r w:rsidRPr="002176B5">
              <w:rPr>
                <w:rStyle w:val="InstructionsTabelleberschrift"/>
                <w:rFonts w:ascii="Times New Roman" w:hAnsi="Times New Roman"/>
                <w:b w:val="0"/>
                <w:sz w:val="24"/>
                <w:u w:val="none"/>
              </w:rPr>
              <w:t>Tier</w:t>
            </w:r>
            <w:proofErr w:type="spellEnd"/>
            <w:r w:rsidRPr="002176B5">
              <w:rPr>
                <w:rStyle w:val="InstructionsTabelleberschrift"/>
                <w:rFonts w:ascii="Times New Roman" w:hAnsi="Times New Roman"/>
                <w:b w:val="0"/>
                <w:sz w:val="24"/>
                <w:u w:val="none"/>
              </w:rPr>
              <w:t> 2 prípustných</w:t>
            </w:r>
            <w:r w:rsidR="002176B5">
              <w:rPr>
                <w:rStyle w:val="InstructionsTabelleberschrift"/>
                <w:rFonts w:ascii="Times New Roman" w:hAnsi="Times New Roman"/>
                <w:b w:val="0"/>
                <w:sz w:val="24"/>
                <w:u w:val="none"/>
              </w:rPr>
              <w:t xml:space="preserve"> v </w:t>
            </w:r>
            <w:r w:rsidRPr="002176B5">
              <w:rPr>
                <w:rStyle w:val="InstructionsTabelleberschrift"/>
                <w:rFonts w:ascii="Times New Roman" w:hAnsi="Times New Roman"/>
                <w:b w:val="0"/>
                <w:sz w:val="24"/>
                <w:u w:val="none"/>
              </w:rPr>
              <w:t>súlade</w:t>
            </w:r>
            <w:r w:rsidR="002176B5">
              <w:rPr>
                <w:rStyle w:val="InstructionsTabelleberschrift"/>
                <w:rFonts w:ascii="Times New Roman" w:hAnsi="Times New Roman"/>
                <w:b w:val="0"/>
                <w:sz w:val="24"/>
                <w:u w:val="none"/>
              </w:rPr>
              <w:t xml:space="preserve"> s </w:t>
            </w:r>
            <w:r w:rsidRPr="002176B5">
              <w:rPr>
                <w:rStyle w:val="InstructionsTabelleberschrift"/>
                <w:rFonts w:ascii="Times New Roman" w:hAnsi="Times New Roman"/>
                <w:b w:val="0"/>
                <w:sz w:val="24"/>
                <w:u w:val="none"/>
              </w:rPr>
              <w:t>článkom 494b ods. 2</w:t>
            </w:r>
            <w:r w:rsidRPr="002176B5">
              <w:rPr>
                <w:rFonts w:ascii="Times New Roman" w:hAnsi="Times New Roman"/>
                <w:sz w:val="24"/>
              </w:rPr>
              <w:t xml:space="preserve"> nariadenia (EÚ) č. 575/2013</w:t>
            </w:r>
            <w:r w:rsidRPr="002176B5">
              <w:rPr>
                <w:rStyle w:val="InstructionsTabelleberschrift"/>
                <w:rFonts w:ascii="Times New Roman" w:hAnsi="Times New Roman"/>
                <w:b w:val="0"/>
                <w:sz w:val="24"/>
                <w:u w:val="none"/>
              </w:rPr>
              <w:t xml:space="preserve"> sa dodržiavajú ustanovenia</w:t>
            </w:r>
            <w:r w:rsidR="002176B5">
              <w:rPr>
                <w:rStyle w:val="InstructionsTabelleberschrift"/>
                <w:rFonts w:ascii="Times New Roman" w:hAnsi="Times New Roman"/>
                <w:b w:val="0"/>
                <w:sz w:val="24"/>
                <w:u w:val="none"/>
              </w:rPr>
              <w:t xml:space="preserve"> o </w:t>
            </w:r>
            <w:r w:rsidRPr="002176B5">
              <w:rPr>
                <w:rStyle w:val="InstructionsTabelleberschrift"/>
                <w:rFonts w:ascii="Times New Roman" w:hAnsi="Times New Roman"/>
                <w:b w:val="0"/>
                <w:sz w:val="24"/>
                <w:u w:val="none"/>
              </w:rPr>
              <w:t>amortizácii uvedené</w:t>
            </w:r>
            <w:r w:rsidR="002176B5">
              <w:rPr>
                <w:rStyle w:val="InstructionsTabelleberschrift"/>
                <w:rFonts w:ascii="Times New Roman" w:hAnsi="Times New Roman"/>
                <w:b w:val="0"/>
                <w:sz w:val="24"/>
                <w:u w:val="none"/>
              </w:rPr>
              <w:t xml:space="preserve"> v </w:t>
            </w:r>
            <w:r w:rsidRPr="002176B5">
              <w:rPr>
                <w:rStyle w:val="InstructionsTabelleberschrift"/>
                <w:rFonts w:ascii="Times New Roman" w:hAnsi="Times New Roman"/>
                <w:b w:val="0"/>
                <w:sz w:val="24"/>
                <w:u w:val="none"/>
              </w:rPr>
              <w:t>článku 64</w:t>
            </w:r>
            <w:r w:rsidRPr="002176B5">
              <w:rPr>
                <w:rFonts w:ascii="Times New Roman" w:hAnsi="Times New Roman"/>
                <w:sz w:val="24"/>
              </w:rPr>
              <w:t xml:space="preserve"> uvedeného nariadenia</w:t>
            </w:r>
            <w:r w:rsidRPr="002176B5">
              <w:rPr>
                <w:rStyle w:val="InstructionsTabelleberschrift"/>
                <w:rFonts w:ascii="Times New Roman" w:hAnsi="Times New Roman"/>
                <w:b w:val="0"/>
                <w:sz w:val="24"/>
                <w:u w:val="none"/>
              </w:rPr>
              <w:t>.</w:t>
            </w:r>
          </w:p>
        </w:tc>
      </w:tr>
      <w:tr w:rsidR="00CC7D2C" w:rsidRPr="002176B5" w14:paraId="55C3C1E1" w14:textId="77777777" w:rsidTr="00822842">
        <w:tc>
          <w:tcPr>
            <w:tcW w:w="1012" w:type="dxa"/>
          </w:tcPr>
          <w:p w14:paraId="74C1C71E" w14:textId="77777777" w:rsidR="00CC7D2C" w:rsidRPr="002176B5" w:rsidRDefault="00CC7D2C" w:rsidP="00320EFD">
            <w:pPr>
              <w:pStyle w:val="InstructionsText"/>
              <w:rPr>
                <w:rStyle w:val="InstructionsTabelleText"/>
                <w:rFonts w:ascii="Times New Roman" w:hAnsi="Times New Roman"/>
                <w:sz w:val="24"/>
              </w:rPr>
            </w:pPr>
            <w:r w:rsidRPr="002176B5">
              <w:rPr>
                <w:rStyle w:val="InstructionsTabelleText"/>
                <w:rFonts w:ascii="Times New Roman" w:hAnsi="Times New Roman"/>
                <w:sz w:val="24"/>
              </w:rPr>
              <w:lastRenderedPageBreak/>
              <w:t>0063</w:t>
            </w:r>
          </w:p>
        </w:tc>
        <w:tc>
          <w:tcPr>
            <w:tcW w:w="7478" w:type="dxa"/>
          </w:tcPr>
          <w:p w14:paraId="4900B75E" w14:textId="77777777" w:rsidR="00CC7D2C" w:rsidRPr="002176B5" w:rsidRDefault="00CC7D2C" w:rsidP="00822842">
            <w:pPr>
              <w:spacing w:before="0"/>
              <w:rPr>
                <w:rStyle w:val="InstructionsTabelleberschrift"/>
                <w:rFonts w:ascii="Times New Roman" w:hAnsi="Times New Roman"/>
                <w:sz w:val="24"/>
              </w:rPr>
            </w:pPr>
            <w:r w:rsidRPr="002176B5">
              <w:rPr>
                <w:rStyle w:val="InstructionsTabelleberschrift"/>
                <w:rFonts w:ascii="Times New Roman" w:hAnsi="Times New Roman"/>
                <w:sz w:val="24"/>
              </w:rPr>
              <w:t>1.1.4.1.*</w:t>
            </w:r>
            <w:r w:rsidRPr="002176B5">
              <w:tab/>
            </w:r>
            <w:r w:rsidRPr="002176B5">
              <w:rPr>
                <w:rStyle w:val="InstructionsTabelleberschrift"/>
                <w:rFonts w:ascii="Times New Roman" w:hAnsi="Times New Roman"/>
                <w:sz w:val="24"/>
              </w:rPr>
              <w:t>Z čoho: nástroje bez právne alebo zmluvne povinného odpísania alebo konverzie pri uplatnení právomocí podľa článku 59 smernice 2014/59/EÚ</w:t>
            </w:r>
          </w:p>
          <w:p w14:paraId="3B877986" w14:textId="425B8E1E" w:rsidR="00CC7D2C" w:rsidRPr="002176B5" w:rsidRDefault="00CC7D2C" w:rsidP="00822842">
            <w:pPr>
              <w:spacing w:before="0"/>
              <w:rPr>
                <w:rStyle w:val="InstructionsTabelleberschrift"/>
                <w:rFonts w:ascii="Times New Roman" w:hAnsi="Times New Roman"/>
                <w:b w:val="0"/>
                <w:sz w:val="24"/>
                <w:u w:val="none"/>
              </w:rPr>
            </w:pPr>
            <w:r w:rsidRPr="002176B5">
              <w:rPr>
                <w:rStyle w:val="InstructionsTabelleberschrift"/>
                <w:rFonts w:ascii="Times New Roman" w:hAnsi="Times New Roman"/>
                <w:b w:val="0"/>
                <w:sz w:val="24"/>
                <w:u w:val="none"/>
              </w:rPr>
              <w:t>Článok 494b, článok 52 ods. 1 písm. p)</w:t>
            </w:r>
            <w:r w:rsidR="002176B5">
              <w:rPr>
                <w:rStyle w:val="InstructionsTabelleberschrift"/>
                <w:rFonts w:ascii="Times New Roman" w:hAnsi="Times New Roman"/>
                <w:b w:val="0"/>
                <w:sz w:val="24"/>
                <w:u w:val="none"/>
              </w:rPr>
              <w:t xml:space="preserve"> a </w:t>
            </w:r>
            <w:r w:rsidRPr="002176B5">
              <w:rPr>
                <w:rStyle w:val="InstructionsTabelleberschrift"/>
                <w:rFonts w:ascii="Times New Roman" w:hAnsi="Times New Roman"/>
                <w:b w:val="0"/>
                <w:sz w:val="24"/>
                <w:u w:val="none"/>
              </w:rPr>
              <w:t xml:space="preserve">článok 63 písm. n) </w:t>
            </w:r>
            <w:r w:rsidRPr="002176B5">
              <w:rPr>
                <w:rFonts w:ascii="Times New Roman" w:hAnsi="Times New Roman"/>
                <w:sz w:val="24"/>
              </w:rPr>
              <w:t>nariadenia (EÚ) č. 575/2013</w:t>
            </w:r>
          </w:p>
          <w:p w14:paraId="574DE47E" w14:textId="4A85C690" w:rsidR="00CC7D2C" w:rsidRPr="002176B5" w:rsidRDefault="00CC7D2C" w:rsidP="00822842">
            <w:pPr>
              <w:spacing w:before="0"/>
              <w:rPr>
                <w:rStyle w:val="InstructionsTabelleberschrift"/>
                <w:rFonts w:ascii="Times New Roman" w:hAnsi="Times New Roman"/>
                <w:b w:val="0"/>
                <w:sz w:val="24"/>
                <w:u w:val="none"/>
              </w:rPr>
            </w:pPr>
            <w:r w:rsidRPr="002176B5">
              <w:rPr>
                <w:rStyle w:val="InstructionsTabelleberschrift"/>
                <w:rFonts w:ascii="Times New Roman" w:hAnsi="Times New Roman"/>
                <w:b w:val="0"/>
                <w:sz w:val="24"/>
                <w:u w:val="none"/>
              </w:rPr>
              <w:t>Inštitúcie vykazujú hodnotu nástrojov</w:t>
            </w:r>
            <w:r w:rsidR="002176B5">
              <w:rPr>
                <w:rStyle w:val="InstructionsTabelleberschrift"/>
                <w:rFonts w:ascii="Times New Roman" w:hAnsi="Times New Roman"/>
                <w:b w:val="0"/>
                <w:sz w:val="24"/>
                <w:u w:val="none"/>
              </w:rPr>
              <w:t xml:space="preserve"> v </w:t>
            </w:r>
            <w:r w:rsidRPr="002176B5">
              <w:rPr>
                <w:rStyle w:val="InstructionsTabelleberschrift"/>
                <w:rFonts w:ascii="Times New Roman" w:hAnsi="Times New Roman"/>
                <w:b w:val="0"/>
                <w:sz w:val="24"/>
                <w:u w:val="none"/>
              </w:rPr>
              <w:t>rozsahu pôsobnosti článku 494b</w:t>
            </w:r>
            <w:r w:rsidRPr="002176B5">
              <w:rPr>
                <w:rFonts w:ascii="Times New Roman" w:hAnsi="Times New Roman"/>
                <w:sz w:val="24"/>
              </w:rPr>
              <w:t xml:space="preserve"> nariadenia (EÚ) č. 575/2013</w:t>
            </w:r>
            <w:r w:rsidRPr="002176B5">
              <w:rPr>
                <w:rStyle w:val="InstructionsTabelleberschrift"/>
                <w:rFonts w:ascii="Times New Roman" w:hAnsi="Times New Roman"/>
                <w:b w:val="0"/>
                <w:sz w:val="24"/>
                <w:u w:val="none"/>
              </w:rPr>
              <w:t>, ktoré nespĺňajú kritériá prípustnosti uvedené</w:t>
            </w:r>
            <w:r w:rsidR="002176B5">
              <w:rPr>
                <w:rStyle w:val="InstructionsTabelleberschrift"/>
                <w:rFonts w:ascii="Times New Roman" w:hAnsi="Times New Roman"/>
                <w:b w:val="0"/>
                <w:sz w:val="24"/>
                <w:u w:val="none"/>
              </w:rPr>
              <w:t xml:space="preserve"> v </w:t>
            </w:r>
            <w:r w:rsidRPr="002176B5">
              <w:rPr>
                <w:rStyle w:val="InstructionsTabelleberschrift"/>
                <w:rFonts w:ascii="Times New Roman" w:hAnsi="Times New Roman"/>
                <w:b w:val="0"/>
                <w:sz w:val="24"/>
                <w:u w:val="none"/>
              </w:rPr>
              <w:t>článku 52 ods. 1 písm. p) alebo prípadne</w:t>
            </w:r>
            <w:r w:rsidR="002176B5">
              <w:rPr>
                <w:rStyle w:val="InstructionsTabelleberschrift"/>
                <w:rFonts w:ascii="Times New Roman" w:hAnsi="Times New Roman"/>
                <w:b w:val="0"/>
                <w:sz w:val="24"/>
                <w:u w:val="none"/>
              </w:rPr>
              <w:t xml:space="preserve"> v </w:t>
            </w:r>
            <w:r w:rsidRPr="002176B5">
              <w:rPr>
                <w:rStyle w:val="InstructionsTabelleberschrift"/>
                <w:rFonts w:ascii="Times New Roman" w:hAnsi="Times New Roman"/>
                <w:b w:val="0"/>
                <w:sz w:val="24"/>
                <w:u w:val="none"/>
              </w:rPr>
              <w:t>článku 63 písm. n)</w:t>
            </w:r>
            <w:r w:rsidRPr="002176B5">
              <w:rPr>
                <w:rFonts w:ascii="Times New Roman" w:hAnsi="Times New Roman"/>
                <w:sz w:val="24"/>
              </w:rPr>
              <w:t xml:space="preserve"> uvedeného nariadenia.</w:t>
            </w:r>
          </w:p>
          <w:p w14:paraId="6243954E" w14:textId="071FEB5A" w:rsidR="00CC7D2C" w:rsidRPr="002176B5" w:rsidRDefault="00CC7D2C" w:rsidP="00822842">
            <w:pPr>
              <w:spacing w:before="0"/>
              <w:rPr>
                <w:rStyle w:val="InstructionsTabelleberschrift"/>
                <w:rFonts w:ascii="Times New Roman" w:hAnsi="Times New Roman"/>
                <w:sz w:val="24"/>
              </w:rPr>
            </w:pPr>
            <w:r w:rsidRPr="002176B5">
              <w:rPr>
                <w:rStyle w:val="InstructionsTabelleberschrift"/>
                <w:rFonts w:ascii="Times New Roman" w:hAnsi="Times New Roman"/>
                <w:b w:val="0"/>
                <w:sz w:val="24"/>
                <w:u w:val="none"/>
              </w:rPr>
              <w:t>To zahŕňa aj nástroje, ktoré dodatočne nespĺňajú kritériá prípustnosti uvedené</w:t>
            </w:r>
            <w:r w:rsidR="002176B5">
              <w:rPr>
                <w:rStyle w:val="InstructionsTabelleberschrift"/>
                <w:rFonts w:ascii="Times New Roman" w:hAnsi="Times New Roman"/>
                <w:b w:val="0"/>
                <w:sz w:val="24"/>
                <w:u w:val="none"/>
              </w:rPr>
              <w:t xml:space="preserve"> v </w:t>
            </w:r>
            <w:r w:rsidRPr="002176B5">
              <w:rPr>
                <w:rStyle w:val="InstructionsTabelleberschrift"/>
                <w:rFonts w:ascii="Times New Roman" w:hAnsi="Times New Roman"/>
                <w:b w:val="0"/>
                <w:sz w:val="24"/>
                <w:u w:val="none"/>
              </w:rPr>
              <w:t>článku 52 ods. 1 písm. q) alebo r)</w:t>
            </w:r>
            <w:r w:rsidRPr="002176B5">
              <w:rPr>
                <w:rFonts w:ascii="Times New Roman" w:hAnsi="Times New Roman"/>
                <w:sz w:val="24"/>
              </w:rPr>
              <w:t xml:space="preserve"> nariadenia (EÚ) č. 575/2013</w:t>
            </w:r>
            <w:r w:rsidRPr="002176B5">
              <w:rPr>
                <w:rStyle w:val="InstructionsTabelleberschrift"/>
                <w:rFonts w:ascii="Times New Roman" w:hAnsi="Times New Roman"/>
                <w:b w:val="0"/>
                <w:sz w:val="24"/>
                <w:u w:val="none"/>
              </w:rPr>
              <w:t xml:space="preserve"> alebo prípadne</w:t>
            </w:r>
            <w:r w:rsidR="002176B5">
              <w:rPr>
                <w:rStyle w:val="InstructionsTabelleberschrift"/>
                <w:rFonts w:ascii="Times New Roman" w:hAnsi="Times New Roman"/>
                <w:b w:val="0"/>
                <w:sz w:val="24"/>
                <w:u w:val="none"/>
              </w:rPr>
              <w:t xml:space="preserve"> v </w:t>
            </w:r>
            <w:r w:rsidRPr="002176B5">
              <w:rPr>
                <w:rStyle w:val="InstructionsTabelleberschrift"/>
                <w:rFonts w:ascii="Times New Roman" w:hAnsi="Times New Roman"/>
                <w:b w:val="0"/>
                <w:sz w:val="24"/>
                <w:u w:val="none"/>
              </w:rPr>
              <w:t>článku 63 písm. o) alebo p)</w:t>
            </w:r>
            <w:r w:rsidRPr="002176B5">
              <w:rPr>
                <w:rFonts w:ascii="Times New Roman" w:hAnsi="Times New Roman"/>
                <w:sz w:val="24"/>
              </w:rPr>
              <w:t xml:space="preserve"> uvedeného nariadenia</w:t>
            </w:r>
            <w:r w:rsidRPr="002176B5">
              <w:rPr>
                <w:rStyle w:val="InstructionsTabelleberschrift"/>
                <w:rFonts w:ascii="Times New Roman" w:hAnsi="Times New Roman"/>
                <w:b w:val="0"/>
                <w:sz w:val="24"/>
                <w:u w:val="none"/>
              </w:rPr>
              <w:t>.</w:t>
            </w:r>
          </w:p>
        </w:tc>
      </w:tr>
      <w:tr w:rsidR="00CC7D2C" w:rsidRPr="002176B5" w14:paraId="7EF97E41" w14:textId="77777777" w:rsidTr="00822842">
        <w:tc>
          <w:tcPr>
            <w:tcW w:w="1012" w:type="dxa"/>
          </w:tcPr>
          <w:p w14:paraId="51F1A7D5" w14:textId="77777777" w:rsidR="00CC7D2C" w:rsidRPr="002176B5" w:rsidRDefault="00CC7D2C" w:rsidP="00320EFD">
            <w:pPr>
              <w:pStyle w:val="InstructionsText"/>
              <w:rPr>
                <w:rStyle w:val="InstructionsTabelleText"/>
                <w:rFonts w:ascii="Times New Roman" w:hAnsi="Times New Roman"/>
                <w:sz w:val="24"/>
              </w:rPr>
            </w:pPr>
            <w:r w:rsidRPr="002176B5">
              <w:rPr>
                <w:rStyle w:val="InstructionsTabelleText"/>
                <w:rFonts w:ascii="Times New Roman" w:hAnsi="Times New Roman"/>
                <w:sz w:val="24"/>
              </w:rPr>
              <w:t>0064</w:t>
            </w:r>
          </w:p>
        </w:tc>
        <w:tc>
          <w:tcPr>
            <w:tcW w:w="7478" w:type="dxa"/>
          </w:tcPr>
          <w:p w14:paraId="3EC08114" w14:textId="28556DCA" w:rsidR="00CC7D2C" w:rsidRPr="002176B5" w:rsidRDefault="00CC7D2C" w:rsidP="00822842">
            <w:pPr>
              <w:spacing w:before="0"/>
              <w:rPr>
                <w:rStyle w:val="InstructionsTabelleberschrift"/>
                <w:rFonts w:ascii="Times New Roman" w:hAnsi="Times New Roman"/>
                <w:sz w:val="24"/>
              </w:rPr>
            </w:pPr>
            <w:r w:rsidRPr="002176B5">
              <w:rPr>
                <w:rStyle w:val="InstructionsTabelleberschrift"/>
                <w:rFonts w:ascii="Times New Roman" w:hAnsi="Times New Roman"/>
                <w:sz w:val="24"/>
              </w:rPr>
              <w:t>1.1.4.2.*</w:t>
            </w:r>
            <w:r w:rsidRPr="002176B5">
              <w:tab/>
            </w:r>
            <w:r w:rsidRPr="002176B5">
              <w:rPr>
                <w:rStyle w:val="InstructionsTabelleberschrift"/>
                <w:rFonts w:ascii="Times New Roman" w:hAnsi="Times New Roman"/>
                <w:sz w:val="24"/>
              </w:rPr>
              <w:t>Z čoho: nástroje, ktoré sa riadia právom tretej krajiny, bez účinného</w:t>
            </w:r>
            <w:r w:rsidR="002176B5">
              <w:rPr>
                <w:rStyle w:val="InstructionsTabelleberschrift"/>
                <w:rFonts w:ascii="Times New Roman" w:hAnsi="Times New Roman"/>
                <w:sz w:val="24"/>
              </w:rPr>
              <w:t xml:space="preserve"> a </w:t>
            </w:r>
            <w:r w:rsidRPr="002176B5">
              <w:rPr>
                <w:rStyle w:val="InstructionsTabelleberschrift"/>
                <w:rFonts w:ascii="Times New Roman" w:hAnsi="Times New Roman"/>
                <w:sz w:val="24"/>
              </w:rPr>
              <w:t>vymožiteľného uplatnenia právomocí podľa článku 59 smernice 2014/59/EÚ</w:t>
            </w:r>
          </w:p>
          <w:p w14:paraId="7A24A8EA" w14:textId="6D69F0F5" w:rsidR="00CC7D2C" w:rsidRPr="002176B5" w:rsidRDefault="00CC7D2C" w:rsidP="00822842">
            <w:pPr>
              <w:spacing w:before="0"/>
              <w:rPr>
                <w:rStyle w:val="InstructionsTabelleberschrift"/>
                <w:rFonts w:ascii="Times New Roman" w:hAnsi="Times New Roman"/>
                <w:b w:val="0"/>
                <w:sz w:val="24"/>
                <w:u w:val="none"/>
              </w:rPr>
            </w:pPr>
            <w:r w:rsidRPr="002176B5">
              <w:rPr>
                <w:rStyle w:val="InstructionsTabelleberschrift"/>
                <w:rFonts w:ascii="Times New Roman" w:hAnsi="Times New Roman"/>
                <w:b w:val="0"/>
                <w:sz w:val="24"/>
                <w:u w:val="none"/>
              </w:rPr>
              <w:t>Článok 494b, článok 52 ods. 1 písm. q)</w:t>
            </w:r>
            <w:r w:rsidR="002176B5">
              <w:rPr>
                <w:rStyle w:val="InstructionsTabelleberschrift"/>
                <w:rFonts w:ascii="Times New Roman" w:hAnsi="Times New Roman"/>
                <w:b w:val="0"/>
                <w:sz w:val="24"/>
                <w:u w:val="none"/>
              </w:rPr>
              <w:t xml:space="preserve"> a </w:t>
            </w:r>
            <w:r w:rsidRPr="002176B5">
              <w:rPr>
                <w:rStyle w:val="InstructionsTabelleberschrift"/>
                <w:rFonts w:ascii="Times New Roman" w:hAnsi="Times New Roman"/>
                <w:b w:val="0"/>
                <w:sz w:val="24"/>
                <w:u w:val="none"/>
              </w:rPr>
              <w:t xml:space="preserve">článok 63 písm. o) </w:t>
            </w:r>
            <w:r w:rsidRPr="002176B5">
              <w:rPr>
                <w:rFonts w:ascii="Times New Roman" w:hAnsi="Times New Roman"/>
                <w:sz w:val="24"/>
              </w:rPr>
              <w:t>nariadenia (EÚ) č. 575/2013</w:t>
            </w:r>
          </w:p>
          <w:p w14:paraId="6B71123D" w14:textId="3BB630A7" w:rsidR="00CC7D2C" w:rsidRPr="002176B5" w:rsidRDefault="00CC7D2C" w:rsidP="00822842">
            <w:pPr>
              <w:spacing w:before="0"/>
              <w:rPr>
                <w:rStyle w:val="InstructionsTabelleberschrift"/>
                <w:rFonts w:ascii="Times New Roman" w:hAnsi="Times New Roman"/>
                <w:b w:val="0"/>
                <w:sz w:val="24"/>
                <w:u w:val="none"/>
              </w:rPr>
            </w:pPr>
            <w:r w:rsidRPr="002176B5">
              <w:rPr>
                <w:rStyle w:val="InstructionsTabelleberschrift"/>
                <w:rFonts w:ascii="Times New Roman" w:hAnsi="Times New Roman"/>
                <w:b w:val="0"/>
                <w:sz w:val="24"/>
                <w:u w:val="none"/>
              </w:rPr>
              <w:t>Inštitúcie vykazujú hodnotu nástrojov</w:t>
            </w:r>
            <w:r w:rsidR="002176B5">
              <w:rPr>
                <w:rStyle w:val="InstructionsTabelleberschrift"/>
                <w:rFonts w:ascii="Times New Roman" w:hAnsi="Times New Roman"/>
                <w:b w:val="0"/>
                <w:sz w:val="24"/>
                <w:u w:val="none"/>
              </w:rPr>
              <w:t xml:space="preserve"> v </w:t>
            </w:r>
            <w:r w:rsidRPr="002176B5">
              <w:rPr>
                <w:rStyle w:val="InstructionsTabelleberschrift"/>
                <w:rFonts w:ascii="Times New Roman" w:hAnsi="Times New Roman"/>
                <w:b w:val="0"/>
                <w:sz w:val="24"/>
                <w:u w:val="none"/>
              </w:rPr>
              <w:t>rozsahu pôsobnosti článku 494b</w:t>
            </w:r>
            <w:r w:rsidRPr="002176B5">
              <w:rPr>
                <w:rFonts w:ascii="Times New Roman" w:hAnsi="Times New Roman"/>
                <w:sz w:val="24"/>
              </w:rPr>
              <w:t xml:space="preserve"> nariadenia (EÚ) č. 575/2013</w:t>
            </w:r>
            <w:r w:rsidRPr="002176B5">
              <w:rPr>
                <w:rStyle w:val="InstructionsTabelleberschrift"/>
                <w:rFonts w:ascii="Times New Roman" w:hAnsi="Times New Roman"/>
                <w:b w:val="0"/>
                <w:sz w:val="24"/>
                <w:u w:val="none"/>
              </w:rPr>
              <w:t>, ktoré nespĺňajú kritériá prípustnosti uvedené</w:t>
            </w:r>
            <w:r w:rsidR="002176B5">
              <w:rPr>
                <w:rStyle w:val="InstructionsTabelleberschrift"/>
                <w:rFonts w:ascii="Times New Roman" w:hAnsi="Times New Roman"/>
                <w:b w:val="0"/>
                <w:sz w:val="24"/>
                <w:u w:val="none"/>
              </w:rPr>
              <w:t xml:space="preserve"> v </w:t>
            </w:r>
            <w:r w:rsidRPr="002176B5">
              <w:rPr>
                <w:rStyle w:val="InstructionsTabelleberschrift"/>
                <w:rFonts w:ascii="Times New Roman" w:hAnsi="Times New Roman"/>
                <w:b w:val="0"/>
                <w:sz w:val="24"/>
                <w:u w:val="none"/>
              </w:rPr>
              <w:t>článku 52 ods. 1 písm. q) alebo prípadne</w:t>
            </w:r>
            <w:r w:rsidR="002176B5">
              <w:rPr>
                <w:rStyle w:val="InstructionsTabelleberschrift"/>
                <w:rFonts w:ascii="Times New Roman" w:hAnsi="Times New Roman"/>
                <w:b w:val="0"/>
                <w:sz w:val="24"/>
                <w:u w:val="none"/>
              </w:rPr>
              <w:t xml:space="preserve"> v </w:t>
            </w:r>
            <w:r w:rsidRPr="002176B5">
              <w:rPr>
                <w:rStyle w:val="InstructionsTabelleberschrift"/>
                <w:rFonts w:ascii="Times New Roman" w:hAnsi="Times New Roman"/>
                <w:b w:val="0"/>
                <w:sz w:val="24"/>
                <w:u w:val="none"/>
              </w:rPr>
              <w:t>článku 63 písm. o)</w:t>
            </w:r>
            <w:r w:rsidRPr="002176B5">
              <w:rPr>
                <w:rFonts w:ascii="Times New Roman" w:hAnsi="Times New Roman"/>
                <w:sz w:val="24"/>
              </w:rPr>
              <w:t xml:space="preserve"> uvedeného nariadenia.</w:t>
            </w:r>
          </w:p>
          <w:p w14:paraId="6BD5AA77" w14:textId="36A12710" w:rsidR="00CC7D2C" w:rsidRPr="002176B5" w:rsidRDefault="00CC7D2C" w:rsidP="00822842">
            <w:pPr>
              <w:spacing w:before="0"/>
              <w:rPr>
                <w:rStyle w:val="InstructionsTabelleberschrift"/>
                <w:rFonts w:ascii="Times New Roman" w:hAnsi="Times New Roman"/>
                <w:sz w:val="24"/>
              </w:rPr>
            </w:pPr>
            <w:r w:rsidRPr="002176B5">
              <w:rPr>
                <w:rStyle w:val="InstructionsTabelleberschrift"/>
                <w:rFonts w:ascii="Times New Roman" w:hAnsi="Times New Roman"/>
                <w:b w:val="0"/>
                <w:sz w:val="24"/>
                <w:u w:val="none"/>
              </w:rPr>
              <w:t>To zahŕňa aj nástroje, ktoré dodatočne nespĺňajú kritériá prípustnosti uvedené</w:t>
            </w:r>
            <w:r w:rsidR="002176B5">
              <w:rPr>
                <w:rStyle w:val="InstructionsTabelleberschrift"/>
                <w:rFonts w:ascii="Times New Roman" w:hAnsi="Times New Roman"/>
                <w:b w:val="0"/>
                <w:sz w:val="24"/>
                <w:u w:val="none"/>
              </w:rPr>
              <w:t xml:space="preserve"> v </w:t>
            </w:r>
            <w:r w:rsidRPr="002176B5">
              <w:rPr>
                <w:rStyle w:val="InstructionsTabelleberschrift"/>
                <w:rFonts w:ascii="Times New Roman" w:hAnsi="Times New Roman"/>
                <w:b w:val="0"/>
                <w:sz w:val="24"/>
                <w:u w:val="none"/>
              </w:rPr>
              <w:t>článku 52 ods. 1 písm. p) alebo r)</w:t>
            </w:r>
            <w:r w:rsidRPr="002176B5">
              <w:rPr>
                <w:rFonts w:ascii="Times New Roman" w:hAnsi="Times New Roman"/>
                <w:sz w:val="24"/>
              </w:rPr>
              <w:t xml:space="preserve"> nariadenia (EÚ) č. 575/2013</w:t>
            </w:r>
            <w:r w:rsidRPr="002176B5">
              <w:rPr>
                <w:rStyle w:val="InstructionsTabelleberschrift"/>
                <w:rFonts w:ascii="Times New Roman" w:hAnsi="Times New Roman"/>
                <w:b w:val="0"/>
                <w:sz w:val="24"/>
                <w:u w:val="none"/>
              </w:rPr>
              <w:t xml:space="preserve"> alebo prípadne</w:t>
            </w:r>
            <w:r w:rsidR="002176B5">
              <w:rPr>
                <w:rStyle w:val="InstructionsTabelleberschrift"/>
                <w:rFonts w:ascii="Times New Roman" w:hAnsi="Times New Roman"/>
                <w:b w:val="0"/>
                <w:sz w:val="24"/>
                <w:u w:val="none"/>
              </w:rPr>
              <w:t xml:space="preserve"> v </w:t>
            </w:r>
            <w:r w:rsidRPr="002176B5">
              <w:rPr>
                <w:rStyle w:val="InstructionsTabelleberschrift"/>
                <w:rFonts w:ascii="Times New Roman" w:hAnsi="Times New Roman"/>
                <w:b w:val="0"/>
                <w:sz w:val="24"/>
                <w:u w:val="none"/>
              </w:rPr>
              <w:t>článku 63 písm. n) alebo p)</w:t>
            </w:r>
            <w:r w:rsidRPr="002176B5">
              <w:rPr>
                <w:rFonts w:ascii="Times New Roman" w:hAnsi="Times New Roman"/>
                <w:sz w:val="24"/>
              </w:rPr>
              <w:t xml:space="preserve"> uvedeného nariadenia</w:t>
            </w:r>
            <w:r w:rsidRPr="002176B5">
              <w:rPr>
                <w:rStyle w:val="InstructionsTabelleberschrift"/>
                <w:rFonts w:ascii="Times New Roman" w:hAnsi="Times New Roman"/>
                <w:b w:val="0"/>
                <w:sz w:val="24"/>
                <w:u w:val="none"/>
              </w:rPr>
              <w:t>.</w:t>
            </w:r>
          </w:p>
        </w:tc>
      </w:tr>
      <w:tr w:rsidR="00CC7D2C" w:rsidRPr="002176B5" w14:paraId="41B5C856" w14:textId="77777777" w:rsidTr="00822842">
        <w:tc>
          <w:tcPr>
            <w:tcW w:w="1012" w:type="dxa"/>
          </w:tcPr>
          <w:p w14:paraId="446D7A86" w14:textId="77777777" w:rsidR="00CC7D2C" w:rsidRPr="002176B5" w:rsidRDefault="00CC7D2C" w:rsidP="00320EFD">
            <w:pPr>
              <w:pStyle w:val="InstructionsText"/>
              <w:rPr>
                <w:rStyle w:val="InstructionsTabelleText"/>
                <w:rFonts w:ascii="Times New Roman" w:hAnsi="Times New Roman"/>
                <w:sz w:val="24"/>
              </w:rPr>
            </w:pPr>
            <w:r w:rsidRPr="002176B5">
              <w:rPr>
                <w:rStyle w:val="InstructionsTabelleText"/>
                <w:rFonts w:ascii="Times New Roman" w:hAnsi="Times New Roman"/>
                <w:sz w:val="24"/>
              </w:rPr>
              <w:t>0065</w:t>
            </w:r>
          </w:p>
        </w:tc>
        <w:tc>
          <w:tcPr>
            <w:tcW w:w="7478" w:type="dxa"/>
          </w:tcPr>
          <w:p w14:paraId="37024AB6" w14:textId="1CB1DA99" w:rsidR="00CC7D2C" w:rsidRPr="002176B5" w:rsidRDefault="00CC7D2C" w:rsidP="00822842">
            <w:pPr>
              <w:spacing w:before="0"/>
              <w:rPr>
                <w:rStyle w:val="InstructionsTabelleberschrift"/>
                <w:rFonts w:ascii="Times New Roman" w:hAnsi="Times New Roman"/>
                <w:sz w:val="24"/>
              </w:rPr>
            </w:pPr>
            <w:r w:rsidRPr="002176B5">
              <w:rPr>
                <w:rStyle w:val="InstructionsTabelleberschrift"/>
                <w:rFonts w:ascii="Times New Roman" w:hAnsi="Times New Roman"/>
                <w:sz w:val="24"/>
              </w:rPr>
              <w:t>1.1.4.3.*</w:t>
            </w:r>
            <w:r w:rsidRPr="002176B5">
              <w:tab/>
            </w:r>
            <w:r w:rsidRPr="002176B5">
              <w:rPr>
                <w:rStyle w:val="InstructionsTabelleberschrift"/>
                <w:rFonts w:ascii="Times New Roman" w:hAnsi="Times New Roman"/>
                <w:sz w:val="24"/>
              </w:rPr>
              <w:t>Z čoho: nástroje, ktoré sú predmetom dohôd</w:t>
            </w:r>
            <w:r w:rsidR="002176B5">
              <w:rPr>
                <w:rStyle w:val="InstructionsTabelleberschrift"/>
                <w:rFonts w:ascii="Times New Roman" w:hAnsi="Times New Roman"/>
                <w:sz w:val="24"/>
              </w:rPr>
              <w:t xml:space="preserve"> o </w:t>
            </w:r>
            <w:r w:rsidRPr="002176B5">
              <w:rPr>
                <w:rStyle w:val="InstructionsTabelleberschrift"/>
                <w:rFonts w:ascii="Times New Roman" w:hAnsi="Times New Roman"/>
                <w:sz w:val="24"/>
              </w:rPr>
              <w:t>vzájomnom započítaní alebo čistom zúčtovaní</w:t>
            </w:r>
          </w:p>
          <w:p w14:paraId="6DF8EE66" w14:textId="0A1EFFDA" w:rsidR="00CC7D2C" w:rsidRPr="002176B5" w:rsidRDefault="00CC7D2C" w:rsidP="00822842">
            <w:pPr>
              <w:spacing w:before="0"/>
              <w:rPr>
                <w:rStyle w:val="InstructionsTabelleberschrift"/>
                <w:rFonts w:ascii="Times New Roman" w:hAnsi="Times New Roman"/>
                <w:b w:val="0"/>
                <w:sz w:val="24"/>
                <w:u w:val="none"/>
              </w:rPr>
            </w:pPr>
            <w:r w:rsidRPr="002176B5">
              <w:rPr>
                <w:rStyle w:val="InstructionsTabelleberschrift"/>
                <w:rFonts w:ascii="Times New Roman" w:hAnsi="Times New Roman"/>
                <w:b w:val="0"/>
                <w:sz w:val="24"/>
                <w:u w:val="none"/>
              </w:rPr>
              <w:t>Článok 494b, článok 52 ods. 1 písm. r)</w:t>
            </w:r>
            <w:r w:rsidR="002176B5">
              <w:rPr>
                <w:rStyle w:val="InstructionsTabelleberschrift"/>
                <w:rFonts w:ascii="Times New Roman" w:hAnsi="Times New Roman"/>
                <w:b w:val="0"/>
                <w:sz w:val="24"/>
                <w:u w:val="none"/>
              </w:rPr>
              <w:t xml:space="preserve"> a </w:t>
            </w:r>
            <w:r w:rsidRPr="002176B5">
              <w:rPr>
                <w:rStyle w:val="InstructionsTabelleberschrift"/>
                <w:rFonts w:ascii="Times New Roman" w:hAnsi="Times New Roman"/>
                <w:b w:val="0"/>
                <w:sz w:val="24"/>
                <w:u w:val="none"/>
              </w:rPr>
              <w:t xml:space="preserve">článok 63 písm. p) </w:t>
            </w:r>
            <w:r w:rsidRPr="002176B5">
              <w:rPr>
                <w:rFonts w:ascii="Times New Roman" w:hAnsi="Times New Roman"/>
                <w:sz w:val="24"/>
              </w:rPr>
              <w:t>nariadenia (EÚ) č. 575/2013</w:t>
            </w:r>
          </w:p>
          <w:p w14:paraId="01DEA76F" w14:textId="7D10F911" w:rsidR="00CC7D2C" w:rsidRPr="002176B5" w:rsidRDefault="00CC7D2C" w:rsidP="00822842">
            <w:pPr>
              <w:spacing w:before="0"/>
              <w:rPr>
                <w:rStyle w:val="InstructionsTabelleberschrift"/>
                <w:rFonts w:ascii="Times New Roman" w:hAnsi="Times New Roman"/>
                <w:b w:val="0"/>
                <w:sz w:val="24"/>
                <w:u w:val="none"/>
              </w:rPr>
            </w:pPr>
            <w:r w:rsidRPr="002176B5">
              <w:rPr>
                <w:rStyle w:val="InstructionsTabelleberschrift"/>
                <w:rFonts w:ascii="Times New Roman" w:hAnsi="Times New Roman"/>
                <w:b w:val="0"/>
                <w:sz w:val="24"/>
                <w:u w:val="none"/>
              </w:rPr>
              <w:t>Inštitúcie vykazujú hodnotu nástrojov</w:t>
            </w:r>
            <w:r w:rsidR="002176B5">
              <w:rPr>
                <w:rStyle w:val="InstructionsTabelleberschrift"/>
                <w:rFonts w:ascii="Times New Roman" w:hAnsi="Times New Roman"/>
                <w:b w:val="0"/>
                <w:sz w:val="24"/>
                <w:u w:val="none"/>
              </w:rPr>
              <w:t xml:space="preserve"> v </w:t>
            </w:r>
            <w:r w:rsidRPr="002176B5">
              <w:rPr>
                <w:rStyle w:val="InstructionsTabelleberschrift"/>
                <w:rFonts w:ascii="Times New Roman" w:hAnsi="Times New Roman"/>
                <w:b w:val="0"/>
                <w:sz w:val="24"/>
                <w:u w:val="none"/>
              </w:rPr>
              <w:t>rozsahu pôsobnosti článku 494b</w:t>
            </w:r>
            <w:r w:rsidRPr="002176B5">
              <w:rPr>
                <w:rFonts w:ascii="Times New Roman" w:hAnsi="Times New Roman"/>
                <w:sz w:val="24"/>
              </w:rPr>
              <w:t xml:space="preserve"> nariadenia (EÚ) č. 575/2013</w:t>
            </w:r>
            <w:r w:rsidRPr="002176B5">
              <w:rPr>
                <w:rStyle w:val="InstructionsTabelleberschrift"/>
                <w:rFonts w:ascii="Times New Roman" w:hAnsi="Times New Roman"/>
                <w:b w:val="0"/>
                <w:sz w:val="24"/>
                <w:u w:val="none"/>
              </w:rPr>
              <w:t>, ktoré nespĺňajú kritériá prípustnosti uvedené</w:t>
            </w:r>
            <w:r w:rsidR="002176B5">
              <w:rPr>
                <w:rStyle w:val="InstructionsTabelleberschrift"/>
                <w:rFonts w:ascii="Times New Roman" w:hAnsi="Times New Roman"/>
                <w:b w:val="0"/>
                <w:sz w:val="24"/>
                <w:u w:val="none"/>
              </w:rPr>
              <w:t xml:space="preserve"> v </w:t>
            </w:r>
            <w:r w:rsidRPr="002176B5">
              <w:rPr>
                <w:rStyle w:val="InstructionsTabelleberschrift"/>
                <w:rFonts w:ascii="Times New Roman" w:hAnsi="Times New Roman"/>
                <w:b w:val="0"/>
                <w:sz w:val="24"/>
                <w:u w:val="none"/>
              </w:rPr>
              <w:t>článku 52 ods. 1 písm. r) uvedeného nariadenia alebo prípadne</w:t>
            </w:r>
            <w:r w:rsidR="002176B5">
              <w:rPr>
                <w:rStyle w:val="InstructionsTabelleberschrift"/>
                <w:rFonts w:ascii="Times New Roman" w:hAnsi="Times New Roman"/>
                <w:b w:val="0"/>
                <w:sz w:val="24"/>
                <w:u w:val="none"/>
              </w:rPr>
              <w:t xml:space="preserve"> v </w:t>
            </w:r>
            <w:r w:rsidRPr="002176B5">
              <w:rPr>
                <w:rStyle w:val="InstructionsTabelleberschrift"/>
                <w:rFonts w:ascii="Times New Roman" w:hAnsi="Times New Roman"/>
                <w:b w:val="0"/>
                <w:sz w:val="24"/>
                <w:u w:val="none"/>
              </w:rPr>
              <w:t>článku 63 písm. p)</w:t>
            </w:r>
            <w:r w:rsidRPr="002176B5">
              <w:rPr>
                <w:rFonts w:ascii="Times New Roman" w:hAnsi="Times New Roman"/>
                <w:sz w:val="24"/>
              </w:rPr>
              <w:t xml:space="preserve"> uvedeného nariadenia.</w:t>
            </w:r>
          </w:p>
          <w:p w14:paraId="55CA01D9" w14:textId="6E96D739" w:rsidR="00CC7D2C" w:rsidRPr="002176B5" w:rsidRDefault="00CC7D2C" w:rsidP="00822842">
            <w:pPr>
              <w:spacing w:before="0"/>
              <w:rPr>
                <w:rStyle w:val="InstructionsTabelleberschrift"/>
                <w:rFonts w:ascii="Times New Roman" w:hAnsi="Times New Roman"/>
                <w:sz w:val="24"/>
              </w:rPr>
            </w:pPr>
            <w:r w:rsidRPr="002176B5">
              <w:rPr>
                <w:rStyle w:val="InstructionsTabelleberschrift"/>
                <w:rFonts w:ascii="Times New Roman" w:hAnsi="Times New Roman"/>
                <w:b w:val="0"/>
                <w:sz w:val="24"/>
                <w:u w:val="none"/>
              </w:rPr>
              <w:t>To zahŕňa aj nástroje, ktoré dodatočne nespĺňajú kritériá prípustnosti uvedené</w:t>
            </w:r>
            <w:r w:rsidR="002176B5">
              <w:rPr>
                <w:rStyle w:val="InstructionsTabelleberschrift"/>
                <w:rFonts w:ascii="Times New Roman" w:hAnsi="Times New Roman"/>
                <w:b w:val="0"/>
                <w:sz w:val="24"/>
                <w:u w:val="none"/>
              </w:rPr>
              <w:t xml:space="preserve"> v </w:t>
            </w:r>
            <w:r w:rsidRPr="002176B5">
              <w:rPr>
                <w:rStyle w:val="InstructionsTabelleberschrift"/>
                <w:rFonts w:ascii="Times New Roman" w:hAnsi="Times New Roman"/>
                <w:b w:val="0"/>
                <w:sz w:val="24"/>
                <w:u w:val="none"/>
              </w:rPr>
              <w:t>článku 52 ods. 1 písm. p) alebo q)</w:t>
            </w:r>
            <w:r w:rsidRPr="002176B5">
              <w:rPr>
                <w:rFonts w:ascii="Times New Roman" w:hAnsi="Times New Roman"/>
                <w:sz w:val="24"/>
              </w:rPr>
              <w:t xml:space="preserve"> nariadenia (EÚ) č. 575/2013</w:t>
            </w:r>
            <w:r w:rsidRPr="002176B5">
              <w:rPr>
                <w:rStyle w:val="InstructionsTabelleberschrift"/>
                <w:rFonts w:ascii="Times New Roman" w:hAnsi="Times New Roman"/>
                <w:b w:val="0"/>
                <w:sz w:val="24"/>
                <w:u w:val="none"/>
              </w:rPr>
              <w:t xml:space="preserve"> alebo prípadne</w:t>
            </w:r>
            <w:r w:rsidR="002176B5">
              <w:rPr>
                <w:rStyle w:val="InstructionsTabelleberschrift"/>
                <w:rFonts w:ascii="Times New Roman" w:hAnsi="Times New Roman"/>
                <w:b w:val="0"/>
                <w:sz w:val="24"/>
                <w:u w:val="none"/>
              </w:rPr>
              <w:t xml:space="preserve"> v </w:t>
            </w:r>
            <w:r w:rsidRPr="002176B5">
              <w:rPr>
                <w:rStyle w:val="InstructionsTabelleberschrift"/>
                <w:rFonts w:ascii="Times New Roman" w:hAnsi="Times New Roman"/>
                <w:b w:val="0"/>
                <w:sz w:val="24"/>
                <w:u w:val="none"/>
              </w:rPr>
              <w:t>článku 63 písm. n) alebo o)</w:t>
            </w:r>
            <w:r w:rsidRPr="002176B5">
              <w:rPr>
                <w:rFonts w:ascii="Times New Roman" w:hAnsi="Times New Roman"/>
                <w:sz w:val="24"/>
              </w:rPr>
              <w:t xml:space="preserve"> uvedeného nariadenia</w:t>
            </w:r>
            <w:r w:rsidRPr="002176B5">
              <w:rPr>
                <w:rStyle w:val="InstructionsTabelleberschrift"/>
                <w:rFonts w:ascii="Times New Roman" w:hAnsi="Times New Roman"/>
                <w:b w:val="0"/>
                <w:sz w:val="24"/>
                <w:u w:val="none"/>
              </w:rPr>
              <w:t>.</w:t>
            </w:r>
          </w:p>
        </w:tc>
      </w:tr>
      <w:tr w:rsidR="00CC7D2C" w:rsidRPr="002176B5" w14:paraId="0FFFDE9A" w14:textId="77777777" w:rsidTr="00822842">
        <w:tc>
          <w:tcPr>
            <w:tcW w:w="1012" w:type="dxa"/>
          </w:tcPr>
          <w:p w14:paraId="75D3684D" w14:textId="77777777" w:rsidR="00CC7D2C" w:rsidRPr="002176B5" w:rsidRDefault="00CC7D2C" w:rsidP="00320EFD">
            <w:pPr>
              <w:pStyle w:val="InstructionsText"/>
              <w:rPr>
                <w:rStyle w:val="InstructionsTabelleText"/>
                <w:rFonts w:ascii="Times New Roman" w:hAnsi="Times New Roman"/>
                <w:sz w:val="24"/>
              </w:rPr>
            </w:pPr>
            <w:r w:rsidRPr="002176B5">
              <w:rPr>
                <w:rStyle w:val="InstructionsTabelleText"/>
                <w:rFonts w:ascii="Times New Roman" w:hAnsi="Times New Roman"/>
                <w:sz w:val="24"/>
              </w:rPr>
              <w:t>0070</w:t>
            </w:r>
          </w:p>
        </w:tc>
        <w:tc>
          <w:tcPr>
            <w:tcW w:w="7478" w:type="dxa"/>
          </w:tcPr>
          <w:p w14:paraId="4A5542BD" w14:textId="4C26558B" w:rsidR="00CC7D2C" w:rsidRPr="002176B5" w:rsidRDefault="00CC7D2C" w:rsidP="00320EFD">
            <w:pPr>
              <w:pStyle w:val="InstructionsText"/>
              <w:rPr>
                <w:rStyle w:val="InstructionsTabelleText"/>
                <w:rFonts w:ascii="Times New Roman" w:hAnsi="Times New Roman"/>
                <w:b/>
                <w:sz w:val="24"/>
                <w:u w:val="single"/>
              </w:rPr>
            </w:pPr>
            <w:r w:rsidRPr="002176B5">
              <w:rPr>
                <w:rStyle w:val="InstructionsTabelleberschrift"/>
                <w:rFonts w:ascii="Times New Roman" w:hAnsi="Times New Roman"/>
                <w:sz w:val="24"/>
              </w:rPr>
              <w:t>1.2.</w:t>
            </w:r>
            <w:r w:rsidRPr="002176B5">
              <w:tab/>
            </w:r>
            <w:r w:rsidRPr="002176B5">
              <w:rPr>
                <w:rStyle w:val="InstructionsTabelleberschrift"/>
                <w:rFonts w:ascii="Times New Roman" w:hAnsi="Times New Roman"/>
                <w:sz w:val="24"/>
              </w:rPr>
              <w:t>Menšinové účasti</w:t>
            </w:r>
            <w:r w:rsidR="002176B5">
              <w:rPr>
                <w:rStyle w:val="InstructionsTabelleberschrift"/>
                <w:rFonts w:ascii="Times New Roman" w:hAnsi="Times New Roman"/>
                <w:sz w:val="24"/>
              </w:rPr>
              <w:t xml:space="preserve"> a </w:t>
            </w:r>
            <w:r w:rsidRPr="002176B5">
              <w:rPr>
                <w:rStyle w:val="InstructionsTabelleberschrift"/>
                <w:rFonts w:ascii="Times New Roman" w:hAnsi="Times New Roman"/>
                <w:sz w:val="24"/>
              </w:rPr>
              <w:t>ekvivalenty</w:t>
            </w:r>
          </w:p>
          <w:p w14:paraId="43EE34BC" w14:textId="79CCB359" w:rsidR="00CC7D2C" w:rsidRPr="002176B5" w:rsidRDefault="00CC7D2C" w:rsidP="00822842">
            <w:pPr>
              <w:spacing w:before="0"/>
              <w:rPr>
                <w:rStyle w:val="InstructionsTabelleText"/>
                <w:rFonts w:ascii="Times New Roman" w:hAnsi="Times New Roman"/>
                <w:sz w:val="24"/>
              </w:rPr>
            </w:pPr>
            <w:r w:rsidRPr="002176B5">
              <w:rPr>
                <w:rStyle w:val="InstructionsTabelleText"/>
                <w:rFonts w:ascii="Times New Roman" w:hAnsi="Times New Roman"/>
                <w:sz w:val="24"/>
              </w:rPr>
              <w:t>Články 479</w:t>
            </w:r>
            <w:r w:rsidR="002176B5">
              <w:rPr>
                <w:rStyle w:val="InstructionsTabelleText"/>
                <w:rFonts w:ascii="Times New Roman" w:hAnsi="Times New Roman"/>
                <w:sz w:val="24"/>
              </w:rPr>
              <w:t xml:space="preserve"> a </w:t>
            </w:r>
            <w:r w:rsidRPr="002176B5">
              <w:rPr>
                <w:rStyle w:val="InstructionsTabelleText"/>
                <w:rFonts w:ascii="Times New Roman" w:hAnsi="Times New Roman"/>
                <w:sz w:val="24"/>
              </w:rPr>
              <w:t xml:space="preserve">480 </w:t>
            </w:r>
            <w:r w:rsidRPr="002176B5">
              <w:rPr>
                <w:rFonts w:ascii="Times New Roman" w:hAnsi="Times New Roman"/>
                <w:sz w:val="24"/>
              </w:rPr>
              <w:t>nariadenia (EÚ) č. 575/2013</w:t>
            </w:r>
          </w:p>
          <w:p w14:paraId="2469F59A" w14:textId="2AD1E878" w:rsidR="00CC7D2C" w:rsidRPr="002176B5" w:rsidRDefault="00CC7D2C" w:rsidP="00822842">
            <w:pPr>
              <w:spacing w:before="0"/>
              <w:rPr>
                <w:rStyle w:val="InstructionsTabelleText"/>
                <w:rFonts w:ascii="Times New Roman" w:hAnsi="Times New Roman"/>
                <w:sz w:val="24"/>
              </w:rPr>
            </w:pPr>
            <w:r w:rsidRPr="002176B5">
              <w:rPr>
                <w:rStyle w:val="InstructionsTabelleText"/>
                <w:rFonts w:ascii="Times New Roman" w:hAnsi="Times New Roman"/>
                <w:sz w:val="24"/>
              </w:rPr>
              <w:lastRenderedPageBreak/>
              <w:t>Tento riadok vyjadruje účinky prechodných ustanovení</w:t>
            </w:r>
            <w:r w:rsidR="002176B5">
              <w:rPr>
                <w:rStyle w:val="InstructionsTabelleText"/>
                <w:rFonts w:ascii="Times New Roman" w:hAnsi="Times New Roman"/>
                <w:sz w:val="24"/>
              </w:rPr>
              <w:t xml:space="preserve"> v </w:t>
            </w:r>
            <w:r w:rsidRPr="002176B5">
              <w:rPr>
                <w:rStyle w:val="InstructionsTabelleText"/>
                <w:rFonts w:ascii="Times New Roman" w:hAnsi="Times New Roman"/>
                <w:sz w:val="24"/>
              </w:rPr>
              <w:t>menšinových účastiach prípustných ako CET1; kvalifikovaných nástrojoch T1 prípustných ako konsolidovaný AT1</w:t>
            </w:r>
            <w:r w:rsidR="002176B5">
              <w:rPr>
                <w:rStyle w:val="InstructionsTabelleText"/>
                <w:rFonts w:ascii="Times New Roman" w:hAnsi="Times New Roman"/>
                <w:sz w:val="24"/>
              </w:rPr>
              <w:t xml:space="preserve"> a </w:t>
            </w:r>
            <w:r w:rsidRPr="002176B5">
              <w:rPr>
                <w:rStyle w:val="InstructionsTabelleText"/>
                <w:rFonts w:ascii="Times New Roman" w:hAnsi="Times New Roman"/>
                <w:sz w:val="24"/>
              </w:rPr>
              <w:t>kvalifikovaných vlastných zdrojoch prípustných ako konsolidovaný T2.</w:t>
            </w:r>
          </w:p>
        </w:tc>
      </w:tr>
      <w:tr w:rsidR="00CC7D2C" w:rsidRPr="002176B5" w14:paraId="5FFD2D4B" w14:textId="77777777" w:rsidTr="00822842">
        <w:tc>
          <w:tcPr>
            <w:tcW w:w="1012" w:type="dxa"/>
          </w:tcPr>
          <w:p w14:paraId="660B82A0" w14:textId="77777777" w:rsidR="00CC7D2C" w:rsidRPr="002176B5" w:rsidRDefault="00CC7D2C" w:rsidP="00320EFD">
            <w:pPr>
              <w:pStyle w:val="InstructionsText"/>
              <w:rPr>
                <w:rStyle w:val="InstructionsTabelleText"/>
                <w:rFonts w:ascii="Times New Roman" w:hAnsi="Times New Roman"/>
                <w:sz w:val="24"/>
              </w:rPr>
            </w:pPr>
            <w:r w:rsidRPr="002176B5">
              <w:rPr>
                <w:rStyle w:val="InstructionsTabelleText"/>
                <w:rFonts w:ascii="Times New Roman" w:hAnsi="Times New Roman"/>
                <w:sz w:val="24"/>
              </w:rPr>
              <w:lastRenderedPageBreak/>
              <w:t>0080</w:t>
            </w:r>
          </w:p>
        </w:tc>
        <w:tc>
          <w:tcPr>
            <w:tcW w:w="7478" w:type="dxa"/>
          </w:tcPr>
          <w:p w14:paraId="629F154E" w14:textId="32EA17D7" w:rsidR="00CC7D2C" w:rsidRPr="002176B5" w:rsidRDefault="00CC7D2C" w:rsidP="00320EFD">
            <w:pPr>
              <w:pStyle w:val="InstructionsText"/>
              <w:rPr>
                <w:rStyle w:val="InstructionsTabelleberschrift"/>
                <w:rFonts w:ascii="Times New Roman" w:hAnsi="Times New Roman"/>
                <w:bCs w:val="0"/>
                <w:sz w:val="24"/>
              </w:rPr>
            </w:pPr>
            <w:r w:rsidRPr="002176B5">
              <w:rPr>
                <w:rStyle w:val="InstructionsTabelleberschrift"/>
                <w:rFonts w:ascii="Times New Roman" w:hAnsi="Times New Roman"/>
                <w:sz w:val="24"/>
              </w:rPr>
              <w:t>1.2.1.</w:t>
            </w:r>
            <w:r w:rsidRPr="002176B5">
              <w:tab/>
            </w:r>
            <w:r w:rsidRPr="002176B5">
              <w:rPr>
                <w:rStyle w:val="InstructionsTabelleberschrift"/>
                <w:rFonts w:ascii="Times New Roman" w:hAnsi="Times New Roman"/>
                <w:sz w:val="24"/>
              </w:rPr>
              <w:t>Kapitálové nástroje</w:t>
            </w:r>
            <w:r w:rsidR="002176B5">
              <w:rPr>
                <w:rStyle w:val="InstructionsTabelleberschrift"/>
                <w:rFonts w:ascii="Times New Roman" w:hAnsi="Times New Roman"/>
                <w:sz w:val="24"/>
              </w:rPr>
              <w:t xml:space="preserve"> a </w:t>
            </w:r>
            <w:r w:rsidRPr="002176B5">
              <w:rPr>
                <w:rStyle w:val="InstructionsTabelleberschrift"/>
                <w:rFonts w:ascii="Times New Roman" w:hAnsi="Times New Roman"/>
                <w:sz w:val="24"/>
              </w:rPr>
              <w:t>položky, ktoré sa nekvalifikujú ako menšinové účasti</w:t>
            </w:r>
          </w:p>
          <w:p w14:paraId="0C0141BB" w14:textId="77777777" w:rsidR="00CC7D2C" w:rsidRPr="002176B5" w:rsidRDefault="00CC7D2C" w:rsidP="00320EFD">
            <w:pPr>
              <w:pStyle w:val="InstructionsText"/>
              <w:rPr>
                <w:rStyle w:val="InstructionsTabelleText"/>
                <w:rFonts w:ascii="Times New Roman" w:hAnsi="Times New Roman"/>
                <w:bCs/>
                <w:sz w:val="24"/>
              </w:rPr>
            </w:pPr>
            <w:r w:rsidRPr="002176B5">
              <w:rPr>
                <w:rStyle w:val="InstructionsTabelleText"/>
                <w:rFonts w:ascii="Times New Roman" w:hAnsi="Times New Roman"/>
                <w:sz w:val="24"/>
              </w:rPr>
              <w:t xml:space="preserve">Článok 479 </w:t>
            </w:r>
            <w:r w:rsidRPr="002176B5">
              <w:t>nariadenia (EÚ) č. 575/2013</w:t>
            </w:r>
          </w:p>
          <w:p w14:paraId="27436818" w14:textId="65EF5C3B" w:rsidR="00CC7D2C" w:rsidRPr="002176B5" w:rsidRDefault="00CC7D2C" w:rsidP="00320EFD">
            <w:pPr>
              <w:pStyle w:val="InstructionsText"/>
              <w:rPr>
                <w:rStyle w:val="InstructionsTabelleText"/>
                <w:rFonts w:ascii="Times New Roman" w:hAnsi="Times New Roman"/>
                <w:bCs/>
                <w:sz w:val="24"/>
              </w:rPr>
            </w:pPr>
            <w:r w:rsidRPr="002176B5">
              <w:rPr>
                <w:rStyle w:val="InstructionsTabelleText"/>
                <w:rFonts w:ascii="Times New Roman" w:hAnsi="Times New Roman"/>
                <w:sz w:val="24"/>
              </w:rPr>
              <w:t>Hodnota, ktorá sa vykazuje</w:t>
            </w:r>
            <w:r w:rsidR="002176B5">
              <w:rPr>
                <w:rStyle w:val="InstructionsTabelleText"/>
                <w:rFonts w:ascii="Times New Roman" w:hAnsi="Times New Roman"/>
                <w:sz w:val="24"/>
              </w:rPr>
              <w:t xml:space="preserve"> v </w:t>
            </w:r>
            <w:r w:rsidRPr="002176B5">
              <w:rPr>
                <w:rStyle w:val="InstructionsTabelleText"/>
                <w:rFonts w:ascii="Times New Roman" w:hAnsi="Times New Roman"/>
                <w:sz w:val="24"/>
              </w:rPr>
              <w:t>stĺpci 060 tohto riadku, je hodnota, ktorá sa</w:t>
            </w:r>
            <w:r w:rsidR="002176B5">
              <w:rPr>
                <w:rStyle w:val="InstructionsTabelleText"/>
                <w:rFonts w:ascii="Times New Roman" w:hAnsi="Times New Roman"/>
                <w:sz w:val="24"/>
              </w:rPr>
              <w:t xml:space="preserve"> v </w:t>
            </w:r>
            <w:r w:rsidRPr="002176B5">
              <w:rPr>
                <w:rStyle w:val="InstructionsTabelleText"/>
                <w:rFonts w:ascii="Times New Roman" w:hAnsi="Times New Roman"/>
                <w:sz w:val="24"/>
              </w:rPr>
              <w:t>súlade</w:t>
            </w:r>
            <w:r w:rsidR="002176B5">
              <w:rPr>
                <w:rStyle w:val="InstructionsTabelleText"/>
                <w:rFonts w:ascii="Times New Roman" w:hAnsi="Times New Roman"/>
                <w:sz w:val="24"/>
              </w:rPr>
              <w:t xml:space="preserve"> s </w:t>
            </w:r>
            <w:r w:rsidRPr="002176B5">
              <w:rPr>
                <w:rStyle w:val="InstructionsTabelleText"/>
                <w:rFonts w:ascii="Times New Roman" w:hAnsi="Times New Roman"/>
                <w:sz w:val="24"/>
              </w:rPr>
              <w:t xml:space="preserve">predchádzajúcim nariadením kvalifikuje ako konsolidované rezervy. </w:t>
            </w:r>
          </w:p>
        </w:tc>
      </w:tr>
      <w:tr w:rsidR="00CC7D2C" w:rsidRPr="002176B5" w14:paraId="3F49ECF4" w14:textId="77777777" w:rsidTr="00822842">
        <w:tc>
          <w:tcPr>
            <w:tcW w:w="1012" w:type="dxa"/>
          </w:tcPr>
          <w:p w14:paraId="0EBF8884" w14:textId="77777777" w:rsidR="00CC7D2C" w:rsidRPr="002176B5" w:rsidRDefault="00CC7D2C" w:rsidP="00320EFD">
            <w:pPr>
              <w:pStyle w:val="InstructionsText"/>
              <w:rPr>
                <w:rStyle w:val="InstructionsTabelleText"/>
                <w:rFonts w:ascii="Times New Roman" w:hAnsi="Times New Roman"/>
                <w:sz w:val="24"/>
              </w:rPr>
            </w:pPr>
            <w:r w:rsidRPr="002176B5">
              <w:rPr>
                <w:rStyle w:val="InstructionsTabelleText"/>
                <w:rFonts w:ascii="Times New Roman" w:hAnsi="Times New Roman"/>
                <w:sz w:val="24"/>
              </w:rPr>
              <w:t>0090</w:t>
            </w:r>
          </w:p>
        </w:tc>
        <w:tc>
          <w:tcPr>
            <w:tcW w:w="7478" w:type="dxa"/>
          </w:tcPr>
          <w:p w14:paraId="64E4E380" w14:textId="0E5BF521" w:rsidR="00CC7D2C" w:rsidRPr="002176B5" w:rsidRDefault="00CC7D2C" w:rsidP="00320EFD">
            <w:pPr>
              <w:pStyle w:val="InstructionsText"/>
              <w:rPr>
                <w:rStyle w:val="InstructionsTabelleText"/>
                <w:rFonts w:ascii="Times New Roman" w:hAnsi="Times New Roman"/>
                <w:b/>
                <w:bCs/>
                <w:sz w:val="24"/>
                <w:u w:val="single"/>
              </w:rPr>
            </w:pPr>
            <w:r w:rsidRPr="002176B5">
              <w:rPr>
                <w:rStyle w:val="InstructionsTabelleberschrift"/>
                <w:rFonts w:ascii="Times New Roman" w:hAnsi="Times New Roman"/>
                <w:sz w:val="24"/>
              </w:rPr>
              <w:t>1.2.2.</w:t>
            </w:r>
            <w:r w:rsidRPr="002176B5">
              <w:tab/>
            </w:r>
            <w:r w:rsidRPr="002176B5">
              <w:rPr>
                <w:rStyle w:val="InstructionsTabelleberschrift"/>
                <w:rFonts w:ascii="Times New Roman" w:hAnsi="Times New Roman"/>
                <w:sz w:val="24"/>
              </w:rPr>
              <w:t>Prechodné vykázanie menšinových účastí</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konsolidovaných vlastných zdrojoch</w:t>
            </w:r>
          </w:p>
          <w:p w14:paraId="3BF8A481" w14:textId="2016FA83" w:rsidR="00CC7D2C" w:rsidRPr="002176B5" w:rsidRDefault="00CC7D2C" w:rsidP="00320EFD">
            <w:pPr>
              <w:pStyle w:val="InstructionsText"/>
              <w:rPr>
                <w:rStyle w:val="InstructionsTabelleText"/>
                <w:rFonts w:ascii="Times New Roman" w:hAnsi="Times New Roman"/>
                <w:sz w:val="24"/>
              </w:rPr>
            </w:pPr>
            <w:r w:rsidRPr="002176B5">
              <w:rPr>
                <w:rStyle w:val="InstructionsTabelleText"/>
                <w:rFonts w:ascii="Times New Roman" w:hAnsi="Times New Roman"/>
                <w:sz w:val="24"/>
              </w:rPr>
              <w:t>Články 84</w:t>
            </w:r>
            <w:r w:rsidR="002176B5">
              <w:rPr>
                <w:rStyle w:val="InstructionsTabelleText"/>
                <w:rFonts w:ascii="Times New Roman" w:hAnsi="Times New Roman"/>
                <w:sz w:val="24"/>
              </w:rPr>
              <w:t xml:space="preserve"> a </w:t>
            </w:r>
            <w:r w:rsidRPr="002176B5">
              <w:rPr>
                <w:rStyle w:val="InstructionsTabelleText"/>
                <w:rFonts w:ascii="Times New Roman" w:hAnsi="Times New Roman"/>
                <w:sz w:val="24"/>
              </w:rPr>
              <w:t xml:space="preserve">480 </w:t>
            </w:r>
            <w:r w:rsidRPr="002176B5">
              <w:t>nariadenia (EÚ) č. 575/2013</w:t>
            </w:r>
          </w:p>
          <w:p w14:paraId="4CCBBE22" w14:textId="0713B2A2" w:rsidR="00CC7D2C" w:rsidRPr="002176B5" w:rsidRDefault="00CC7D2C" w:rsidP="00320EFD">
            <w:pPr>
              <w:pStyle w:val="InstructionsText"/>
              <w:rPr>
                <w:rStyle w:val="InstructionsTabelleberschrift"/>
                <w:rFonts w:ascii="Times New Roman" w:hAnsi="Times New Roman"/>
                <w:b w:val="0"/>
                <w:bCs w:val="0"/>
                <w:sz w:val="24"/>
                <w:u w:val="none"/>
              </w:rPr>
            </w:pPr>
            <w:r w:rsidRPr="002176B5">
              <w:rPr>
                <w:rStyle w:val="InstructionsTabelleText"/>
                <w:rFonts w:ascii="Times New Roman" w:hAnsi="Times New Roman"/>
                <w:sz w:val="24"/>
              </w:rPr>
              <w:t>Hodnota, ktorá sa vykazuje</w:t>
            </w:r>
            <w:r w:rsidR="002176B5">
              <w:rPr>
                <w:rStyle w:val="InstructionsTabelleText"/>
                <w:rFonts w:ascii="Times New Roman" w:hAnsi="Times New Roman"/>
                <w:sz w:val="24"/>
              </w:rPr>
              <w:t xml:space="preserve"> v </w:t>
            </w:r>
            <w:r w:rsidRPr="002176B5">
              <w:rPr>
                <w:rStyle w:val="InstructionsTabelleText"/>
                <w:rFonts w:ascii="Times New Roman" w:hAnsi="Times New Roman"/>
                <w:sz w:val="24"/>
              </w:rPr>
              <w:t>stĺpci 0060 tohto riadku, je prípustná hodnota bez uplatnenia prechodných ustanovení.</w:t>
            </w:r>
          </w:p>
        </w:tc>
      </w:tr>
      <w:tr w:rsidR="00CC7D2C" w:rsidRPr="002176B5" w14:paraId="7D7D8266" w14:textId="77777777" w:rsidTr="00822842">
        <w:tc>
          <w:tcPr>
            <w:tcW w:w="1012" w:type="dxa"/>
          </w:tcPr>
          <w:p w14:paraId="121414E0" w14:textId="77777777" w:rsidR="00CC7D2C" w:rsidRPr="002176B5" w:rsidRDefault="00CC7D2C" w:rsidP="00320EFD">
            <w:pPr>
              <w:pStyle w:val="InstructionsText"/>
              <w:rPr>
                <w:rStyle w:val="InstructionsTabelleText"/>
                <w:rFonts w:ascii="Times New Roman" w:hAnsi="Times New Roman"/>
                <w:sz w:val="24"/>
              </w:rPr>
            </w:pPr>
            <w:r w:rsidRPr="002176B5">
              <w:rPr>
                <w:rStyle w:val="InstructionsTabelleText"/>
                <w:rFonts w:ascii="Times New Roman" w:hAnsi="Times New Roman"/>
                <w:sz w:val="24"/>
              </w:rPr>
              <w:t>0091</w:t>
            </w:r>
          </w:p>
        </w:tc>
        <w:tc>
          <w:tcPr>
            <w:tcW w:w="7478" w:type="dxa"/>
          </w:tcPr>
          <w:p w14:paraId="27718CC0" w14:textId="5E875987"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1.2.3.</w:t>
            </w:r>
            <w:r w:rsidRPr="002176B5">
              <w:tab/>
            </w:r>
            <w:r w:rsidRPr="002176B5">
              <w:rPr>
                <w:rStyle w:val="InstructionsTabelleberschrift"/>
                <w:rFonts w:ascii="Times New Roman" w:hAnsi="Times New Roman"/>
                <w:sz w:val="24"/>
              </w:rPr>
              <w:t xml:space="preserve">Prechodné vykázanie kvalifikovaného dodatočného kapitálu </w:t>
            </w:r>
            <w:proofErr w:type="spellStart"/>
            <w:r w:rsidRPr="002176B5">
              <w:rPr>
                <w:rStyle w:val="InstructionsTabelleberschrift"/>
                <w:rFonts w:ascii="Times New Roman" w:hAnsi="Times New Roman"/>
                <w:sz w:val="24"/>
              </w:rPr>
              <w:t>Tier</w:t>
            </w:r>
            <w:proofErr w:type="spellEnd"/>
            <w:r w:rsidRPr="002176B5">
              <w:rPr>
                <w:rStyle w:val="InstructionsTabelleberschrift"/>
                <w:rFonts w:ascii="Times New Roman" w:hAnsi="Times New Roman"/>
                <w:sz w:val="24"/>
              </w:rPr>
              <w:t xml:space="preserve"> 1</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konsolidovaných vlastných zdrojoch</w:t>
            </w:r>
          </w:p>
          <w:p w14:paraId="4A315E24" w14:textId="7355CE55" w:rsidR="00CC7D2C" w:rsidRPr="002176B5" w:rsidRDefault="00CC7D2C" w:rsidP="00320EFD">
            <w:pPr>
              <w:pStyle w:val="InstructionsText"/>
              <w:rPr>
                <w:rStyle w:val="InstructionsTabelleText"/>
                <w:rFonts w:ascii="Times New Roman" w:hAnsi="Times New Roman"/>
                <w:sz w:val="24"/>
              </w:rPr>
            </w:pPr>
            <w:r w:rsidRPr="002176B5">
              <w:rPr>
                <w:rStyle w:val="InstructionsTabelleText"/>
                <w:rFonts w:ascii="Times New Roman" w:hAnsi="Times New Roman"/>
                <w:sz w:val="24"/>
              </w:rPr>
              <w:t>Články 85</w:t>
            </w:r>
            <w:r w:rsidR="002176B5">
              <w:rPr>
                <w:rStyle w:val="InstructionsTabelleText"/>
                <w:rFonts w:ascii="Times New Roman" w:hAnsi="Times New Roman"/>
                <w:sz w:val="24"/>
              </w:rPr>
              <w:t xml:space="preserve"> a </w:t>
            </w:r>
            <w:r w:rsidRPr="002176B5">
              <w:rPr>
                <w:rStyle w:val="InstructionsTabelleText"/>
                <w:rFonts w:ascii="Times New Roman" w:hAnsi="Times New Roman"/>
                <w:sz w:val="24"/>
              </w:rPr>
              <w:t xml:space="preserve">480 </w:t>
            </w:r>
            <w:r w:rsidRPr="002176B5">
              <w:t>nariadenia (EÚ) č. 575/2013</w:t>
            </w:r>
          </w:p>
          <w:p w14:paraId="62F5745A" w14:textId="6C4A0794" w:rsidR="00CC7D2C" w:rsidRPr="002176B5" w:rsidRDefault="00CC7D2C" w:rsidP="00320EFD">
            <w:pPr>
              <w:pStyle w:val="InstructionsText"/>
              <w:rPr>
                <w:rStyle w:val="InstructionsTabelleText"/>
                <w:rFonts w:ascii="Times New Roman" w:hAnsi="Times New Roman"/>
                <w:sz w:val="24"/>
              </w:rPr>
            </w:pPr>
            <w:r w:rsidRPr="002176B5">
              <w:rPr>
                <w:rStyle w:val="InstructionsTabelleText"/>
                <w:rFonts w:ascii="Times New Roman" w:hAnsi="Times New Roman"/>
                <w:sz w:val="24"/>
              </w:rPr>
              <w:t>Hodnota, ktorá sa vykazuje</w:t>
            </w:r>
            <w:r w:rsidR="002176B5">
              <w:rPr>
                <w:rStyle w:val="InstructionsTabelleText"/>
                <w:rFonts w:ascii="Times New Roman" w:hAnsi="Times New Roman"/>
                <w:sz w:val="24"/>
              </w:rPr>
              <w:t xml:space="preserve"> v </w:t>
            </w:r>
            <w:r w:rsidRPr="002176B5">
              <w:rPr>
                <w:rStyle w:val="InstructionsTabelleText"/>
                <w:rFonts w:ascii="Times New Roman" w:hAnsi="Times New Roman"/>
                <w:sz w:val="24"/>
              </w:rPr>
              <w:t>stĺpci 0060 tohto riadku, je prípustná hodnota bez uplatnenia prechodných ustanovení.</w:t>
            </w:r>
          </w:p>
        </w:tc>
      </w:tr>
      <w:tr w:rsidR="00CC7D2C" w:rsidRPr="002176B5" w14:paraId="77DEC336" w14:textId="77777777" w:rsidTr="00822842">
        <w:tc>
          <w:tcPr>
            <w:tcW w:w="1012" w:type="dxa"/>
          </w:tcPr>
          <w:p w14:paraId="53007DDC" w14:textId="77777777" w:rsidR="00CC7D2C" w:rsidRPr="002176B5" w:rsidRDefault="00CC7D2C" w:rsidP="00320EFD">
            <w:pPr>
              <w:pStyle w:val="InstructionsText"/>
              <w:rPr>
                <w:rStyle w:val="InstructionsTabelleText"/>
                <w:rFonts w:ascii="Times New Roman" w:hAnsi="Times New Roman"/>
                <w:sz w:val="24"/>
              </w:rPr>
            </w:pPr>
            <w:r w:rsidRPr="002176B5">
              <w:rPr>
                <w:rStyle w:val="InstructionsTabelleText"/>
                <w:rFonts w:ascii="Times New Roman" w:hAnsi="Times New Roman"/>
                <w:sz w:val="24"/>
              </w:rPr>
              <w:t>0092</w:t>
            </w:r>
          </w:p>
        </w:tc>
        <w:tc>
          <w:tcPr>
            <w:tcW w:w="7478" w:type="dxa"/>
          </w:tcPr>
          <w:p w14:paraId="54E95609" w14:textId="161FD1C6"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1.2.4.</w:t>
            </w:r>
            <w:r w:rsidRPr="002176B5">
              <w:tab/>
            </w:r>
            <w:r w:rsidRPr="002176B5">
              <w:rPr>
                <w:rStyle w:val="InstructionsTabelleberschrift"/>
                <w:rFonts w:ascii="Times New Roman" w:hAnsi="Times New Roman"/>
                <w:sz w:val="24"/>
              </w:rPr>
              <w:t xml:space="preserve">Prechodné vykázanie kvalifikovaného kapitálu </w:t>
            </w:r>
            <w:proofErr w:type="spellStart"/>
            <w:r w:rsidRPr="002176B5">
              <w:rPr>
                <w:rStyle w:val="InstructionsTabelleberschrift"/>
                <w:rFonts w:ascii="Times New Roman" w:hAnsi="Times New Roman"/>
                <w:sz w:val="24"/>
              </w:rPr>
              <w:t>Tier</w:t>
            </w:r>
            <w:proofErr w:type="spellEnd"/>
            <w:r w:rsidRPr="002176B5">
              <w:rPr>
                <w:rStyle w:val="InstructionsTabelleberschrift"/>
                <w:rFonts w:ascii="Times New Roman" w:hAnsi="Times New Roman"/>
                <w:sz w:val="24"/>
              </w:rPr>
              <w:t xml:space="preserve"> 2</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konsolidovaných vlastných zdrojoch</w:t>
            </w:r>
          </w:p>
          <w:p w14:paraId="16966D71" w14:textId="5EBB80A6" w:rsidR="00CC7D2C" w:rsidRPr="002176B5" w:rsidRDefault="00CC7D2C" w:rsidP="00320EFD">
            <w:pPr>
              <w:pStyle w:val="InstructionsText"/>
              <w:rPr>
                <w:rStyle w:val="InstructionsTabelleText"/>
                <w:rFonts w:ascii="Times New Roman" w:hAnsi="Times New Roman"/>
                <w:sz w:val="24"/>
              </w:rPr>
            </w:pPr>
            <w:r w:rsidRPr="002176B5">
              <w:rPr>
                <w:rStyle w:val="InstructionsTabelleText"/>
                <w:rFonts w:ascii="Times New Roman" w:hAnsi="Times New Roman"/>
                <w:sz w:val="24"/>
              </w:rPr>
              <w:t>Články 87</w:t>
            </w:r>
            <w:r w:rsidR="002176B5">
              <w:rPr>
                <w:rStyle w:val="InstructionsTabelleText"/>
                <w:rFonts w:ascii="Times New Roman" w:hAnsi="Times New Roman"/>
                <w:sz w:val="24"/>
              </w:rPr>
              <w:t xml:space="preserve"> a </w:t>
            </w:r>
            <w:r w:rsidRPr="002176B5">
              <w:rPr>
                <w:rStyle w:val="InstructionsTabelleText"/>
                <w:rFonts w:ascii="Times New Roman" w:hAnsi="Times New Roman"/>
                <w:sz w:val="24"/>
              </w:rPr>
              <w:t xml:space="preserve">480 </w:t>
            </w:r>
            <w:r w:rsidRPr="002176B5">
              <w:t>nariadenia (EÚ) č. 575/2013</w:t>
            </w:r>
          </w:p>
          <w:p w14:paraId="23F1372F" w14:textId="117DE574" w:rsidR="00CC7D2C" w:rsidRPr="002176B5" w:rsidRDefault="00CC7D2C" w:rsidP="00320EFD">
            <w:pPr>
              <w:pStyle w:val="InstructionsText"/>
              <w:rPr>
                <w:rStyle w:val="InstructionsTabelleText"/>
                <w:rFonts w:ascii="Times New Roman" w:hAnsi="Times New Roman"/>
                <w:sz w:val="24"/>
              </w:rPr>
            </w:pPr>
            <w:r w:rsidRPr="002176B5">
              <w:rPr>
                <w:rStyle w:val="InstructionsTabelleText"/>
                <w:rFonts w:ascii="Times New Roman" w:hAnsi="Times New Roman"/>
                <w:sz w:val="24"/>
              </w:rPr>
              <w:t>Hodnota, ktorá sa vykazuje</w:t>
            </w:r>
            <w:r w:rsidR="002176B5">
              <w:rPr>
                <w:rStyle w:val="InstructionsTabelleText"/>
                <w:rFonts w:ascii="Times New Roman" w:hAnsi="Times New Roman"/>
                <w:sz w:val="24"/>
              </w:rPr>
              <w:t xml:space="preserve"> v </w:t>
            </w:r>
            <w:r w:rsidRPr="002176B5">
              <w:rPr>
                <w:rStyle w:val="InstructionsTabelleText"/>
                <w:rFonts w:ascii="Times New Roman" w:hAnsi="Times New Roman"/>
                <w:sz w:val="24"/>
              </w:rPr>
              <w:t>stĺpci 0060 tohto riadku, je prípustná hodnota bez uplatnenia prechodných ustanovení.</w:t>
            </w:r>
          </w:p>
        </w:tc>
      </w:tr>
      <w:tr w:rsidR="00CC7D2C" w:rsidRPr="002176B5" w14:paraId="507B4FAC" w14:textId="77777777" w:rsidTr="00822842">
        <w:tc>
          <w:tcPr>
            <w:tcW w:w="1012" w:type="dxa"/>
          </w:tcPr>
          <w:p w14:paraId="37F3F736" w14:textId="77777777" w:rsidR="00CC7D2C" w:rsidRPr="002176B5" w:rsidRDefault="00CC7D2C" w:rsidP="00320EFD">
            <w:pPr>
              <w:pStyle w:val="InstructionsText"/>
              <w:rPr>
                <w:rStyle w:val="InstructionsTabelleText"/>
                <w:rFonts w:ascii="Times New Roman" w:hAnsi="Times New Roman"/>
                <w:sz w:val="24"/>
              </w:rPr>
            </w:pPr>
            <w:r w:rsidRPr="002176B5">
              <w:rPr>
                <w:rStyle w:val="InstructionsTabelleText"/>
                <w:rFonts w:ascii="Times New Roman" w:hAnsi="Times New Roman"/>
                <w:sz w:val="24"/>
              </w:rPr>
              <w:t>0100</w:t>
            </w:r>
          </w:p>
        </w:tc>
        <w:tc>
          <w:tcPr>
            <w:tcW w:w="7478" w:type="dxa"/>
          </w:tcPr>
          <w:p w14:paraId="255FB18E" w14:textId="77777777" w:rsidR="00CC7D2C" w:rsidRPr="002176B5" w:rsidRDefault="00CC7D2C" w:rsidP="00320EFD">
            <w:pPr>
              <w:pStyle w:val="InstructionsText"/>
              <w:rPr>
                <w:rStyle w:val="InstructionsTabelleText"/>
                <w:rFonts w:ascii="Times New Roman" w:hAnsi="Times New Roman"/>
                <w:b/>
                <w:bCs/>
                <w:sz w:val="24"/>
                <w:u w:val="single"/>
              </w:rPr>
            </w:pPr>
            <w:r w:rsidRPr="002176B5">
              <w:rPr>
                <w:rStyle w:val="InstructionsTabelleberschrift"/>
                <w:rFonts w:ascii="Times New Roman" w:hAnsi="Times New Roman"/>
                <w:sz w:val="24"/>
              </w:rPr>
              <w:t>1.3.</w:t>
            </w:r>
            <w:r w:rsidRPr="002176B5">
              <w:tab/>
            </w:r>
            <w:r w:rsidRPr="002176B5">
              <w:rPr>
                <w:rStyle w:val="InstructionsTabelleberschrift"/>
                <w:rFonts w:ascii="Times New Roman" w:hAnsi="Times New Roman"/>
                <w:sz w:val="24"/>
              </w:rPr>
              <w:t>Iné prechodné úpravy</w:t>
            </w:r>
          </w:p>
          <w:p w14:paraId="632B4D61" w14:textId="61200358" w:rsidR="00CC7D2C" w:rsidRPr="002176B5" w:rsidRDefault="00CC7D2C" w:rsidP="00822842">
            <w:pPr>
              <w:spacing w:before="0"/>
              <w:rPr>
                <w:rStyle w:val="InstructionsTabelleText"/>
                <w:rFonts w:ascii="Times New Roman" w:hAnsi="Times New Roman"/>
                <w:sz w:val="24"/>
              </w:rPr>
            </w:pPr>
            <w:r w:rsidRPr="002176B5">
              <w:rPr>
                <w:rStyle w:val="InstructionsTabelleText"/>
                <w:rFonts w:ascii="Times New Roman" w:hAnsi="Times New Roman"/>
                <w:sz w:val="24"/>
              </w:rPr>
              <w:t>Články 468 až 478</w:t>
            </w:r>
            <w:r w:rsidR="002176B5">
              <w:rPr>
                <w:rStyle w:val="InstructionsTabelleText"/>
                <w:rFonts w:ascii="Times New Roman" w:hAnsi="Times New Roman"/>
                <w:sz w:val="24"/>
              </w:rPr>
              <w:t xml:space="preserve"> a </w:t>
            </w:r>
            <w:r w:rsidRPr="002176B5">
              <w:rPr>
                <w:rStyle w:val="InstructionsTabelleText"/>
                <w:rFonts w:ascii="Times New Roman" w:hAnsi="Times New Roman"/>
                <w:sz w:val="24"/>
              </w:rPr>
              <w:t xml:space="preserve">článok 481 </w:t>
            </w:r>
            <w:r w:rsidRPr="002176B5">
              <w:rPr>
                <w:rFonts w:ascii="Times New Roman" w:hAnsi="Times New Roman"/>
                <w:sz w:val="24"/>
              </w:rPr>
              <w:t>nariadenia (EÚ) č. 575/2013</w:t>
            </w:r>
          </w:p>
          <w:p w14:paraId="0F44764E" w14:textId="72CBBDE4" w:rsidR="00CC7D2C" w:rsidRPr="002176B5" w:rsidRDefault="00CC7D2C" w:rsidP="00822842">
            <w:pPr>
              <w:spacing w:before="0"/>
              <w:rPr>
                <w:rStyle w:val="InstructionsTabelleText"/>
                <w:rFonts w:ascii="Times New Roman" w:hAnsi="Times New Roman"/>
                <w:sz w:val="24"/>
              </w:rPr>
            </w:pPr>
            <w:r w:rsidRPr="002176B5">
              <w:rPr>
                <w:rStyle w:val="InstructionsTabelleText"/>
                <w:rFonts w:ascii="Times New Roman" w:hAnsi="Times New Roman"/>
                <w:sz w:val="24"/>
              </w:rPr>
              <w:t>Tento riadok vyjadruje celkový účinok prechodných úprav</w:t>
            </w:r>
            <w:r w:rsidR="002176B5">
              <w:rPr>
                <w:rStyle w:val="InstructionsTabelleText"/>
                <w:rFonts w:ascii="Times New Roman" w:hAnsi="Times New Roman"/>
                <w:sz w:val="24"/>
              </w:rPr>
              <w:t xml:space="preserve"> v </w:t>
            </w:r>
            <w:r w:rsidRPr="002176B5">
              <w:rPr>
                <w:rStyle w:val="InstructionsTabelleText"/>
                <w:rFonts w:ascii="Times New Roman" w:hAnsi="Times New Roman"/>
                <w:sz w:val="24"/>
              </w:rPr>
              <w:t>odpočte rôznych typov kapitálu, nerealizovaných ziskov</w:t>
            </w:r>
            <w:r w:rsidR="002176B5">
              <w:rPr>
                <w:rStyle w:val="InstructionsTabelleText"/>
                <w:rFonts w:ascii="Times New Roman" w:hAnsi="Times New Roman"/>
                <w:sz w:val="24"/>
              </w:rPr>
              <w:t xml:space="preserve"> a </w:t>
            </w:r>
            <w:r w:rsidRPr="002176B5">
              <w:rPr>
                <w:rStyle w:val="InstructionsTabelleText"/>
                <w:rFonts w:ascii="Times New Roman" w:hAnsi="Times New Roman"/>
                <w:sz w:val="24"/>
              </w:rPr>
              <w:t>strát, dodatočných filtrov</w:t>
            </w:r>
            <w:r w:rsidR="002176B5">
              <w:rPr>
                <w:rStyle w:val="InstructionsTabelleText"/>
                <w:rFonts w:ascii="Times New Roman" w:hAnsi="Times New Roman"/>
                <w:sz w:val="24"/>
              </w:rPr>
              <w:t xml:space="preserve"> a </w:t>
            </w:r>
            <w:r w:rsidRPr="002176B5">
              <w:rPr>
                <w:rStyle w:val="InstructionsTabelleText"/>
                <w:rFonts w:ascii="Times New Roman" w:hAnsi="Times New Roman"/>
                <w:sz w:val="24"/>
              </w:rPr>
              <w:t>odpočtov, ako aj rizikovo vážených hodnôt vyplývajúcich</w:t>
            </w:r>
            <w:r w:rsidR="002176B5">
              <w:rPr>
                <w:rStyle w:val="InstructionsTabelleText"/>
                <w:rFonts w:ascii="Times New Roman" w:hAnsi="Times New Roman"/>
                <w:sz w:val="24"/>
              </w:rPr>
              <w:t xml:space="preserve"> z </w:t>
            </w:r>
            <w:r w:rsidRPr="002176B5">
              <w:rPr>
                <w:rStyle w:val="InstructionsTabelleText"/>
                <w:rFonts w:ascii="Times New Roman" w:hAnsi="Times New Roman"/>
                <w:sz w:val="24"/>
              </w:rPr>
              <w:t>týchto úprav.</w:t>
            </w:r>
          </w:p>
        </w:tc>
      </w:tr>
      <w:tr w:rsidR="00CC7D2C" w:rsidRPr="002176B5" w14:paraId="58AB5CC6" w14:textId="77777777" w:rsidTr="00822842">
        <w:tc>
          <w:tcPr>
            <w:tcW w:w="1012" w:type="dxa"/>
          </w:tcPr>
          <w:p w14:paraId="25AC6250" w14:textId="77777777" w:rsidR="00CC7D2C" w:rsidRPr="002176B5" w:rsidRDefault="00CC7D2C" w:rsidP="00320EFD">
            <w:pPr>
              <w:pStyle w:val="InstructionsText"/>
              <w:rPr>
                <w:rStyle w:val="InstructionsTabelleText"/>
                <w:rFonts w:ascii="Times New Roman" w:hAnsi="Times New Roman"/>
                <w:sz w:val="24"/>
              </w:rPr>
            </w:pPr>
            <w:r w:rsidRPr="002176B5">
              <w:rPr>
                <w:rStyle w:val="InstructionsTabelleText"/>
                <w:rFonts w:ascii="Times New Roman" w:hAnsi="Times New Roman"/>
                <w:sz w:val="24"/>
              </w:rPr>
              <w:t>0111</w:t>
            </w:r>
          </w:p>
        </w:tc>
        <w:tc>
          <w:tcPr>
            <w:tcW w:w="7478" w:type="dxa"/>
          </w:tcPr>
          <w:p w14:paraId="61444EF5" w14:textId="2CBEE286"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1.3.1.6. Nerealizované zisky</w:t>
            </w:r>
            <w:r w:rsidR="002176B5">
              <w:rPr>
                <w:rStyle w:val="InstructionsTabelleberschrift"/>
                <w:rFonts w:ascii="Times New Roman" w:hAnsi="Times New Roman"/>
                <w:sz w:val="24"/>
              </w:rPr>
              <w:t xml:space="preserve"> a </w:t>
            </w:r>
            <w:r w:rsidRPr="002176B5">
              <w:rPr>
                <w:rStyle w:val="InstructionsTabelleberschrift"/>
                <w:rFonts w:ascii="Times New Roman" w:hAnsi="Times New Roman"/>
                <w:sz w:val="24"/>
              </w:rPr>
              <w:t>straty</w:t>
            </w:r>
            <w:r w:rsidR="002176B5">
              <w:rPr>
                <w:rStyle w:val="InstructionsTabelleberschrift"/>
                <w:rFonts w:ascii="Times New Roman" w:hAnsi="Times New Roman"/>
                <w:sz w:val="24"/>
              </w:rPr>
              <w:t xml:space="preserve"> z </w:t>
            </w:r>
            <w:r w:rsidRPr="002176B5">
              <w:rPr>
                <w:rStyle w:val="InstructionsTabelleberschrift"/>
                <w:rFonts w:ascii="Times New Roman" w:hAnsi="Times New Roman"/>
                <w:sz w:val="24"/>
              </w:rPr>
              <w:t>určitých dlhových expozícií voči ústredným vládam, regionálnym vládam, miestnym orgánom</w:t>
            </w:r>
            <w:r w:rsidR="002176B5">
              <w:rPr>
                <w:rStyle w:val="InstructionsTabelleberschrift"/>
                <w:rFonts w:ascii="Times New Roman" w:hAnsi="Times New Roman"/>
                <w:sz w:val="24"/>
              </w:rPr>
              <w:t xml:space="preserve"> a </w:t>
            </w:r>
            <w:r w:rsidRPr="002176B5">
              <w:rPr>
                <w:rStyle w:val="InstructionsTabelleberschrift"/>
                <w:rFonts w:ascii="Times New Roman" w:hAnsi="Times New Roman"/>
                <w:sz w:val="24"/>
              </w:rPr>
              <w:t>subjektom verejného sektora</w:t>
            </w:r>
          </w:p>
          <w:p w14:paraId="1495FA2D" w14:textId="77777777"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Text"/>
                <w:rFonts w:ascii="Times New Roman" w:hAnsi="Times New Roman"/>
                <w:sz w:val="24"/>
              </w:rPr>
              <w:t xml:space="preserve">Článok 468 </w:t>
            </w:r>
            <w:r w:rsidRPr="002176B5">
              <w:t>nariadenia (EÚ) č. 575/2013</w:t>
            </w:r>
          </w:p>
        </w:tc>
      </w:tr>
      <w:tr w:rsidR="00CC7D2C" w:rsidRPr="002176B5" w14:paraId="3788B8D6" w14:textId="77777777" w:rsidTr="00822842">
        <w:tc>
          <w:tcPr>
            <w:tcW w:w="1012" w:type="dxa"/>
          </w:tcPr>
          <w:p w14:paraId="4112FC42" w14:textId="77777777" w:rsidR="00CC7D2C" w:rsidRPr="002176B5" w:rsidRDefault="00CC7D2C" w:rsidP="00320EFD">
            <w:pPr>
              <w:pStyle w:val="InstructionsText"/>
              <w:rPr>
                <w:rStyle w:val="InstructionsTabelleText"/>
                <w:rFonts w:ascii="Times New Roman" w:hAnsi="Times New Roman"/>
                <w:sz w:val="24"/>
              </w:rPr>
            </w:pPr>
            <w:r w:rsidRPr="002176B5">
              <w:rPr>
                <w:rStyle w:val="InstructionsTabelleText"/>
                <w:rFonts w:ascii="Times New Roman" w:hAnsi="Times New Roman"/>
                <w:sz w:val="24"/>
              </w:rPr>
              <w:t>0112</w:t>
            </w:r>
          </w:p>
        </w:tc>
        <w:tc>
          <w:tcPr>
            <w:tcW w:w="7478" w:type="dxa"/>
          </w:tcPr>
          <w:p w14:paraId="10645223" w14:textId="3B4CEFD9"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1.3.1.6.1</w:t>
            </w:r>
            <w:r w:rsidR="002176B5">
              <w:rPr>
                <w:rStyle w:val="InstructionsTabelleberschrift"/>
                <w:rFonts w:ascii="Times New Roman" w:hAnsi="Times New Roman"/>
                <w:sz w:val="24"/>
              </w:rPr>
              <w:t xml:space="preserve"> Z </w:t>
            </w:r>
            <w:r w:rsidRPr="002176B5">
              <w:rPr>
                <w:rStyle w:val="InstructionsTabelleberschrift"/>
                <w:rFonts w:ascii="Times New Roman" w:hAnsi="Times New Roman"/>
                <w:sz w:val="24"/>
              </w:rPr>
              <w:t>čoho: hodnota A</w:t>
            </w:r>
          </w:p>
          <w:p w14:paraId="73AFBA3D" w14:textId="63B0A9FC" w:rsidR="00CC7D2C" w:rsidRPr="002176B5" w:rsidRDefault="00CC7D2C" w:rsidP="00320EFD">
            <w:pPr>
              <w:pStyle w:val="InstructionsText"/>
              <w:rPr>
                <w:rStyle w:val="InstructionsTabelleberschrift"/>
                <w:rFonts w:ascii="Times New Roman" w:hAnsi="Times New Roman"/>
                <w:sz w:val="24"/>
                <w:u w:val="none"/>
              </w:rPr>
            </w:pPr>
            <w:r w:rsidRPr="002176B5">
              <w:rPr>
                <w:rStyle w:val="InstructionsTabelleberschrift"/>
                <w:rFonts w:ascii="Times New Roman" w:hAnsi="Times New Roman"/>
                <w:b w:val="0"/>
                <w:sz w:val="24"/>
                <w:u w:val="none"/>
              </w:rPr>
              <w:t>Hodnota A vypočítaná</w:t>
            </w:r>
            <w:r w:rsidR="002176B5">
              <w:rPr>
                <w:rStyle w:val="InstructionsTabelleberschrift"/>
                <w:rFonts w:ascii="Times New Roman" w:hAnsi="Times New Roman"/>
                <w:b w:val="0"/>
                <w:sz w:val="24"/>
                <w:u w:val="none"/>
              </w:rPr>
              <w:t xml:space="preserve"> v </w:t>
            </w:r>
            <w:r w:rsidRPr="002176B5">
              <w:rPr>
                <w:rStyle w:val="InstructionsTabelleberschrift"/>
                <w:rFonts w:ascii="Times New Roman" w:hAnsi="Times New Roman"/>
                <w:b w:val="0"/>
                <w:sz w:val="24"/>
                <w:u w:val="none"/>
              </w:rPr>
              <w:t>súlade so vzorcom uvedeným</w:t>
            </w:r>
            <w:r w:rsidR="002176B5">
              <w:rPr>
                <w:rStyle w:val="InstructionsTabelleberschrift"/>
                <w:rFonts w:ascii="Times New Roman" w:hAnsi="Times New Roman"/>
                <w:b w:val="0"/>
                <w:sz w:val="24"/>
                <w:u w:val="none"/>
              </w:rPr>
              <w:t xml:space="preserve"> v </w:t>
            </w:r>
            <w:r w:rsidRPr="002176B5">
              <w:rPr>
                <w:rStyle w:val="InstructionsTabelleberschrift"/>
                <w:rFonts w:ascii="Times New Roman" w:hAnsi="Times New Roman"/>
                <w:b w:val="0"/>
                <w:sz w:val="24"/>
                <w:u w:val="none"/>
              </w:rPr>
              <w:t>článku 468 ods. 1</w:t>
            </w:r>
            <w:r w:rsidRPr="002176B5">
              <w:t xml:space="preserve"> nariadenia (EÚ) č. 575/2013.</w:t>
            </w:r>
          </w:p>
        </w:tc>
      </w:tr>
      <w:tr w:rsidR="00CC7D2C" w:rsidRPr="002176B5" w14:paraId="124094E3" w14:textId="77777777" w:rsidTr="00822842">
        <w:tc>
          <w:tcPr>
            <w:tcW w:w="1012" w:type="dxa"/>
          </w:tcPr>
          <w:p w14:paraId="1327BB31" w14:textId="77777777" w:rsidR="00CC7D2C" w:rsidRPr="002176B5" w:rsidRDefault="00CC7D2C" w:rsidP="00320EFD">
            <w:pPr>
              <w:pStyle w:val="InstructionsText"/>
              <w:rPr>
                <w:rStyle w:val="InstructionsTabelleText"/>
                <w:rFonts w:ascii="Times New Roman" w:hAnsi="Times New Roman"/>
                <w:sz w:val="24"/>
              </w:rPr>
            </w:pPr>
            <w:r w:rsidRPr="002176B5">
              <w:rPr>
                <w:rStyle w:val="InstructionsTabelleText"/>
                <w:rFonts w:ascii="Times New Roman" w:hAnsi="Times New Roman"/>
                <w:sz w:val="24"/>
              </w:rPr>
              <w:t>0140</w:t>
            </w:r>
          </w:p>
        </w:tc>
        <w:tc>
          <w:tcPr>
            <w:tcW w:w="7478" w:type="dxa"/>
          </w:tcPr>
          <w:p w14:paraId="76450B48" w14:textId="77777777" w:rsidR="00CC7D2C" w:rsidRPr="002176B5" w:rsidRDefault="00CC7D2C" w:rsidP="00320EFD">
            <w:pPr>
              <w:pStyle w:val="InstructionsText"/>
              <w:rPr>
                <w:rStyle w:val="InstructionsTabelleText"/>
                <w:rFonts w:ascii="Times New Roman" w:hAnsi="Times New Roman"/>
                <w:b/>
                <w:bCs/>
                <w:sz w:val="24"/>
                <w:u w:val="single"/>
              </w:rPr>
            </w:pPr>
            <w:r w:rsidRPr="002176B5">
              <w:rPr>
                <w:rStyle w:val="InstructionsTabelleberschrift"/>
                <w:rFonts w:ascii="Times New Roman" w:hAnsi="Times New Roman"/>
                <w:sz w:val="24"/>
              </w:rPr>
              <w:t>1.3.2.</w:t>
            </w:r>
            <w:r w:rsidRPr="002176B5">
              <w:tab/>
            </w:r>
            <w:r w:rsidRPr="002176B5">
              <w:rPr>
                <w:rStyle w:val="InstructionsTabelleberschrift"/>
                <w:rFonts w:ascii="Times New Roman" w:hAnsi="Times New Roman"/>
                <w:sz w:val="24"/>
              </w:rPr>
              <w:t>Odpočty</w:t>
            </w:r>
          </w:p>
          <w:p w14:paraId="51CECA1B" w14:textId="06C8809F" w:rsidR="00CC7D2C" w:rsidRPr="002176B5" w:rsidRDefault="00CC7D2C" w:rsidP="00822842">
            <w:pPr>
              <w:spacing w:before="0"/>
              <w:rPr>
                <w:rStyle w:val="InstructionsTabelleText"/>
                <w:rFonts w:ascii="Times New Roman" w:hAnsi="Times New Roman"/>
                <w:sz w:val="24"/>
              </w:rPr>
            </w:pPr>
            <w:r w:rsidRPr="002176B5">
              <w:rPr>
                <w:rStyle w:val="InstructionsTabelleText"/>
                <w:rFonts w:ascii="Times New Roman" w:hAnsi="Times New Roman"/>
                <w:sz w:val="24"/>
              </w:rPr>
              <w:t>Článok 36 ods. 1</w:t>
            </w:r>
            <w:r w:rsidR="002176B5">
              <w:rPr>
                <w:rStyle w:val="InstructionsTabelleText"/>
                <w:rFonts w:ascii="Times New Roman" w:hAnsi="Times New Roman"/>
                <w:sz w:val="24"/>
              </w:rPr>
              <w:t xml:space="preserve"> a </w:t>
            </w:r>
            <w:r w:rsidRPr="002176B5">
              <w:rPr>
                <w:rStyle w:val="InstructionsTabelleText"/>
                <w:rFonts w:ascii="Times New Roman" w:hAnsi="Times New Roman"/>
                <w:sz w:val="24"/>
              </w:rPr>
              <w:t>články 469 až 478</w:t>
            </w:r>
            <w:r w:rsidRPr="002176B5">
              <w:rPr>
                <w:rFonts w:ascii="Times New Roman" w:hAnsi="Times New Roman"/>
                <w:sz w:val="24"/>
              </w:rPr>
              <w:t>nariadenia (EÚ) č. 575/2013</w:t>
            </w:r>
          </w:p>
          <w:p w14:paraId="052C5EE1" w14:textId="77777777" w:rsidR="00CC7D2C" w:rsidRPr="002176B5" w:rsidRDefault="00CC7D2C" w:rsidP="00822842">
            <w:pPr>
              <w:spacing w:before="0"/>
              <w:rPr>
                <w:rStyle w:val="InstructionsTabelleText"/>
                <w:rFonts w:ascii="Times New Roman" w:hAnsi="Times New Roman"/>
                <w:sz w:val="24"/>
              </w:rPr>
            </w:pPr>
            <w:r w:rsidRPr="002176B5">
              <w:rPr>
                <w:rStyle w:val="InstructionsTabelleText"/>
                <w:rFonts w:ascii="Times New Roman" w:hAnsi="Times New Roman"/>
                <w:sz w:val="24"/>
              </w:rPr>
              <w:t>Tento riadok vyjadruje celkový účinok prechodných ustanovení na odpočty.</w:t>
            </w:r>
          </w:p>
        </w:tc>
      </w:tr>
      <w:tr w:rsidR="00CC7D2C" w:rsidRPr="002176B5" w14:paraId="3EA9AE2F" w14:textId="77777777" w:rsidTr="00822842">
        <w:tc>
          <w:tcPr>
            <w:tcW w:w="1012" w:type="dxa"/>
          </w:tcPr>
          <w:p w14:paraId="529C9651" w14:textId="77777777" w:rsidR="00CC7D2C" w:rsidRPr="002176B5" w:rsidRDefault="00CC7D2C" w:rsidP="00320EFD">
            <w:pPr>
              <w:pStyle w:val="InstructionsText"/>
              <w:rPr>
                <w:rStyle w:val="InstructionsTabelleText"/>
                <w:rFonts w:ascii="Times New Roman" w:hAnsi="Times New Roman"/>
                <w:sz w:val="24"/>
              </w:rPr>
            </w:pPr>
            <w:r w:rsidRPr="002176B5">
              <w:rPr>
                <w:rStyle w:val="InstructionsTabelleText"/>
                <w:rFonts w:ascii="Times New Roman" w:hAnsi="Times New Roman"/>
                <w:sz w:val="24"/>
              </w:rPr>
              <w:lastRenderedPageBreak/>
              <w:t>0170</w:t>
            </w:r>
          </w:p>
        </w:tc>
        <w:tc>
          <w:tcPr>
            <w:tcW w:w="7478" w:type="dxa"/>
          </w:tcPr>
          <w:p w14:paraId="5C3F70B3" w14:textId="3C8B29C2"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1.3.2.3.</w:t>
            </w:r>
            <w:r w:rsidRPr="002176B5">
              <w:tab/>
            </w:r>
            <w:r w:rsidRPr="002176B5">
              <w:rPr>
                <w:rStyle w:val="InstructionsTabelleberschrift"/>
                <w:rFonts w:ascii="Times New Roman" w:hAnsi="Times New Roman"/>
                <w:sz w:val="24"/>
              </w:rPr>
              <w:t>Odložené daňové pohľadávky, ktoré závisia od budúcej ziskovosti</w:t>
            </w:r>
            <w:r w:rsidR="002176B5">
              <w:rPr>
                <w:rStyle w:val="InstructionsTabelleberschrift"/>
                <w:rFonts w:ascii="Times New Roman" w:hAnsi="Times New Roman"/>
                <w:sz w:val="24"/>
              </w:rPr>
              <w:t xml:space="preserve"> a </w:t>
            </w:r>
            <w:r w:rsidRPr="002176B5">
              <w:rPr>
                <w:rStyle w:val="InstructionsTabelleberschrift"/>
                <w:rFonts w:ascii="Times New Roman" w:hAnsi="Times New Roman"/>
                <w:sz w:val="24"/>
              </w:rPr>
              <w:t>nevyplývajú</w:t>
            </w:r>
            <w:r w:rsidR="002176B5">
              <w:rPr>
                <w:rStyle w:val="InstructionsTabelleberschrift"/>
                <w:rFonts w:ascii="Times New Roman" w:hAnsi="Times New Roman"/>
                <w:sz w:val="24"/>
              </w:rPr>
              <w:t xml:space="preserve"> z </w:t>
            </w:r>
            <w:r w:rsidRPr="002176B5">
              <w:rPr>
                <w:rStyle w:val="InstructionsTabelleberschrift"/>
                <w:rFonts w:ascii="Times New Roman" w:hAnsi="Times New Roman"/>
                <w:sz w:val="24"/>
              </w:rPr>
              <w:t>dočasných rozdielov</w:t>
            </w:r>
          </w:p>
          <w:p w14:paraId="08D3639D" w14:textId="0C7169CE" w:rsidR="00CC7D2C" w:rsidRPr="002176B5" w:rsidRDefault="00CC7D2C" w:rsidP="00320EFD">
            <w:pPr>
              <w:pStyle w:val="InstructionsText"/>
              <w:rPr>
                <w:rStyle w:val="InstructionsTabelleText"/>
                <w:rFonts w:ascii="Times New Roman" w:hAnsi="Times New Roman"/>
                <w:sz w:val="24"/>
              </w:rPr>
            </w:pPr>
            <w:r w:rsidRPr="002176B5">
              <w:rPr>
                <w:rStyle w:val="InstructionsTabelleText"/>
                <w:rFonts w:ascii="Times New Roman" w:hAnsi="Times New Roman"/>
                <w:sz w:val="24"/>
              </w:rPr>
              <w:t>Článok 36 ods. 1 písm. c), článok 469 ods. 1, článok 472 ods. 5</w:t>
            </w:r>
            <w:r w:rsidR="002176B5">
              <w:rPr>
                <w:rStyle w:val="InstructionsTabelleText"/>
                <w:rFonts w:ascii="Times New Roman" w:hAnsi="Times New Roman"/>
                <w:sz w:val="24"/>
              </w:rPr>
              <w:t xml:space="preserve"> a </w:t>
            </w:r>
            <w:r w:rsidRPr="002176B5">
              <w:rPr>
                <w:rStyle w:val="InstructionsTabelleText"/>
                <w:rFonts w:ascii="Times New Roman" w:hAnsi="Times New Roman"/>
                <w:sz w:val="24"/>
              </w:rPr>
              <w:t xml:space="preserve">článok 478 </w:t>
            </w:r>
            <w:r w:rsidRPr="002176B5">
              <w:t>nariadenia (EÚ) č. 575/2013</w:t>
            </w:r>
          </w:p>
          <w:p w14:paraId="30A136AF" w14:textId="3CA4F650" w:rsidR="00CC7D2C" w:rsidRPr="002176B5" w:rsidRDefault="00CC7D2C" w:rsidP="00320EFD">
            <w:pPr>
              <w:pStyle w:val="InstructionsText"/>
              <w:rPr>
                <w:rStyle w:val="InstructionsTabelleText"/>
                <w:rFonts w:ascii="Times New Roman" w:hAnsi="Times New Roman"/>
                <w:sz w:val="24"/>
              </w:rPr>
            </w:pPr>
            <w:r w:rsidRPr="002176B5">
              <w:rPr>
                <w:rStyle w:val="InstructionsTabelleText"/>
                <w:rFonts w:ascii="Times New Roman" w:hAnsi="Times New Roman"/>
                <w:sz w:val="24"/>
              </w:rPr>
              <w:t>Inštitúcie pri určovaní hodnoty vyššie uvedených daňových pohľadávok, ktoré sa majú odpočítať, zohľadnia ustanovenia článku 38</w:t>
            </w:r>
            <w:r w:rsidRPr="002176B5">
              <w:t xml:space="preserve"> nariadenia (EÚ) č. 575/2013 </w:t>
            </w:r>
            <w:r w:rsidRPr="002176B5">
              <w:rPr>
                <w:rStyle w:val="InstructionsTabelleText"/>
                <w:rFonts w:ascii="Times New Roman" w:hAnsi="Times New Roman"/>
                <w:sz w:val="24"/>
              </w:rPr>
              <w:t>týkajúce sa zníženia odložených daňových pohľadávok</w:t>
            </w:r>
            <w:r w:rsidR="002176B5">
              <w:rPr>
                <w:rStyle w:val="InstructionsTabelleText"/>
                <w:rFonts w:ascii="Times New Roman" w:hAnsi="Times New Roman"/>
                <w:sz w:val="24"/>
              </w:rPr>
              <w:t xml:space="preserve"> o </w:t>
            </w:r>
            <w:r w:rsidRPr="002176B5">
              <w:rPr>
                <w:rStyle w:val="InstructionsTabelleText"/>
                <w:rFonts w:ascii="Times New Roman" w:hAnsi="Times New Roman"/>
                <w:sz w:val="24"/>
              </w:rPr>
              <w:t>odložené daňové záväzky.</w:t>
            </w:r>
          </w:p>
          <w:p w14:paraId="33BB9757" w14:textId="7E368824" w:rsidR="00CC7D2C" w:rsidRPr="002176B5" w:rsidRDefault="00CC7D2C" w:rsidP="00320EFD">
            <w:pPr>
              <w:pStyle w:val="InstructionsText"/>
              <w:rPr>
                <w:rStyle w:val="InstructionsTabelleText"/>
                <w:rFonts w:ascii="Times New Roman" w:hAnsi="Times New Roman"/>
                <w:sz w:val="24"/>
              </w:rPr>
            </w:pPr>
            <w:r w:rsidRPr="002176B5">
              <w:rPr>
                <w:rStyle w:val="InstructionsTabelleText"/>
                <w:rFonts w:ascii="Times New Roman" w:hAnsi="Times New Roman"/>
                <w:sz w:val="24"/>
              </w:rPr>
              <w:t>Suma, ktorá sa má vykázať</w:t>
            </w:r>
            <w:r w:rsidR="002176B5">
              <w:rPr>
                <w:rStyle w:val="InstructionsTabelleText"/>
                <w:rFonts w:ascii="Times New Roman" w:hAnsi="Times New Roman"/>
                <w:sz w:val="24"/>
              </w:rPr>
              <w:t xml:space="preserve"> v </w:t>
            </w:r>
            <w:r w:rsidRPr="002176B5">
              <w:rPr>
                <w:rStyle w:val="InstructionsTabelleText"/>
                <w:rFonts w:ascii="Times New Roman" w:hAnsi="Times New Roman"/>
                <w:sz w:val="24"/>
              </w:rPr>
              <w:t>stĺpci 0060 tohto riadku: celková suma</w:t>
            </w:r>
            <w:r w:rsidR="002176B5">
              <w:rPr>
                <w:rStyle w:val="InstructionsTabelleText"/>
                <w:rFonts w:ascii="Times New Roman" w:hAnsi="Times New Roman"/>
                <w:sz w:val="24"/>
              </w:rPr>
              <w:t xml:space="preserve"> v </w:t>
            </w:r>
            <w:r w:rsidRPr="002176B5">
              <w:rPr>
                <w:rStyle w:val="InstructionsTabelleText"/>
                <w:rFonts w:ascii="Times New Roman" w:hAnsi="Times New Roman"/>
                <w:sz w:val="24"/>
              </w:rPr>
              <w:t>súlade</w:t>
            </w:r>
            <w:r w:rsidR="002176B5">
              <w:rPr>
                <w:rStyle w:val="InstructionsTabelleText"/>
                <w:rFonts w:ascii="Times New Roman" w:hAnsi="Times New Roman"/>
                <w:sz w:val="24"/>
              </w:rPr>
              <w:t xml:space="preserve"> s </w:t>
            </w:r>
            <w:r w:rsidRPr="002176B5">
              <w:rPr>
                <w:rStyle w:val="InstructionsTabelleText"/>
                <w:rFonts w:ascii="Times New Roman" w:hAnsi="Times New Roman"/>
                <w:sz w:val="24"/>
              </w:rPr>
              <w:t>článkom 469 ods. 1</w:t>
            </w:r>
            <w:r w:rsidRPr="002176B5">
              <w:t xml:space="preserve"> nariadenia (EÚ) č. 575/2013</w:t>
            </w:r>
            <w:r w:rsidRPr="002176B5">
              <w:rPr>
                <w:rStyle w:val="InstructionsTabelleText"/>
                <w:rFonts w:ascii="Times New Roman" w:hAnsi="Times New Roman"/>
                <w:sz w:val="24"/>
              </w:rPr>
              <w:t>.</w:t>
            </w:r>
          </w:p>
        </w:tc>
      </w:tr>
      <w:tr w:rsidR="00CC7D2C" w:rsidRPr="002176B5" w14:paraId="0D2A45D9" w14:textId="77777777" w:rsidTr="00822842">
        <w:tc>
          <w:tcPr>
            <w:tcW w:w="1012" w:type="dxa"/>
          </w:tcPr>
          <w:p w14:paraId="0E8C2927" w14:textId="77777777" w:rsidR="00CC7D2C" w:rsidRPr="002176B5" w:rsidDel="00E41E4F" w:rsidRDefault="00CC7D2C" w:rsidP="00320EFD">
            <w:pPr>
              <w:pStyle w:val="InstructionsText"/>
              <w:rPr>
                <w:rStyle w:val="InstructionsTabelleText"/>
                <w:rFonts w:ascii="Times New Roman" w:hAnsi="Times New Roman"/>
                <w:sz w:val="24"/>
              </w:rPr>
            </w:pPr>
            <w:r w:rsidRPr="002176B5">
              <w:rPr>
                <w:rStyle w:val="InstructionsTabelleText"/>
                <w:rFonts w:ascii="Times New Roman" w:hAnsi="Times New Roman"/>
                <w:sz w:val="24"/>
              </w:rPr>
              <w:t>0380</w:t>
            </w:r>
          </w:p>
        </w:tc>
        <w:tc>
          <w:tcPr>
            <w:tcW w:w="7478" w:type="dxa"/>
          </w:tcPr>
          <w:p w14:paraId="32137C1C" w14:textId="720CDC95" w:rsidR="00CC7D2C" w:rsidRPr="002176B5" w:rsidRDefault="00CC7D2C" w:rsidP="00320EFD">
            <w:pPr>
              <w:pStyle w:val="InstructionsText"/>
              <w:rPr>
                <w:rStyle w:val="InstructionsTabelleText"/>
                <w:rFonts w:ascii="Times New Roman" w:hAnsi="Times New Roman"/>
                <w:b/>
                <w:bCs/>
                <w:sz w:val="24"/>
                <w:u w:val="single"/>
              </w:rPr>
            </w:pPr>
            <w:r w:rsidRPr="002176B5">
              <w:rPr>
                <w:rStyle w:val="InstructionsTabelleberschrift"/>
                <w:rFonts w:ascii="Times New Roman" w:hAnsi="Times New Roman"/>
                <w:sz w:val="24"/>
              </w:rPr>
              <w:t>1.3.2.9.</w:t>
            </w:r>
            <w:r w:rsidRPr="002176B5">
              <w:tab/>
            </w:r>
            <w:r w:rsidRPr="002176B5">
              <w:rPr>
                <w:rStyle w:val="InstructionsTabelleberschrift"/>
                <w:rFonts w:ascii="Times New Roman" w:hAnsi="Times New Roman"/>
                <w:sz w:val="24"/>
              </w:rPr>
              <w:t>Odložené daňové pohľadávky, ktoré závisia od budúcej ziskovosti</w:t>
            </w:r>
            <w:r w:rsidR="002176B5">
              <w:rPr>
                <w:rStyle w:val="InstructionsTabelleberschrift"/>
                <w:rFonts w:ascii="Times New Roman" w:hAnsi="Times New Roman"/>
                <w:sz w:val="24"/>
              </w:rPr>
              <w:t xml:space="preserve"> a </w:t>
            </w:r>
            <w:r w:rsidRPr="002176B5">
              <w:rPr>
                <w:rStyle w:val="InstructionsTabelleberschrift"/>
                <w:rFonts w:ascii="Times New Roman" w:hAnsi="Times New Roman"/>
                <w:sz w:val="24"/>
              </w:rPr>
              <w:t>vyplývajú</w:t>
            </w:r>
            <w:r w:rsidR="002176B5">
              <w:rPr>
                <w:rStyle w:val="InstructionsTabelleberschrift"/>
                <w:rFonts w:ascii="Times New Roman" w:hAnsi="Times New Roman"/>
                <w:sz w:val="24"/>
              </w:rPr>
              <w:t xml:space="preserve"> z </w:t>
            </w:r>
            <w:r w:rsidRPr="002176B5">
              <w:rPr>
                <w:rStyle w:val="InstructionsTabelleberschrift"/>
                <w:rFonts w:ascii="Times New Roman" w:hAnsi="Times New Roman"/>
                <w:sz w:val="24"/>
              </w:rPr>
              <w:t>dočasných rozdielov,</w:t>
            </w:r>
            <w:r w:rsidR="002176B5">
              <w:rPr>
                <w:rStyle w:val="InstructionsTabelleberschrift"/>
                <w:rFonts w:ascii="Times New Roman" w:hAnsi="Times New Roman"/>
                <w:sz w:val="24"/>
              </w:rPr>
              <w:t xml:space="preserve"> a </w:t>
            </w:r>
            <w:r w:rsidRPr="002176B5">
              <w:rPr>
                <w:rStyle w:val="InstructionsTabelleberschrift"/>
                <w:rFonts w:ascii="Times New Roman" w:hAnsi="Times New Roman"/>
                <w:sz w:val="24"/>
              </w:rPr>
              <w:t>nástroje CET1 subjektov finančného sektora,</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ktorých inštitúcia má významnú investíciu</w:t>
            </w:r>
          </w:p>
          <w:p w14:paraId="308D07D4" w14:textId="646A48EF" w:rsidR="00CC7D2C" w:rsidRPr="002176B5" w:rsidRDefault="00CC7D2C" w:rsidP="00320EFD">
            <w:pPr>
              <w:pStyle w:val="InstructionsText"/>
              <w:rPr>
                <w:rStyle w:val="InstructionsTabelleText"/>
                <w:rFonts w:ascii="Times New Roman" w:hAnsi="Times New Roman"/>
                <w:sz w:val="24"/>
              </w:rPr>
            </w:pPr>
            <w:r w:rsidRPr="002176B5">
              <w:rPr>
                <w:rStyle w:val="InstructionsTabelleText"/>
                <w:rFonts w:ascii="Times New Roman" w:hAnsi="Times New Roman"/>
                <w:sz w:val="24"/>
              </w:rPr>
              <w:t>Článok 470 ods. 2</w:t>
            </w:r>
            <w:r w:rsidR="002176B5">
              <w:rPr>
                <w:rStyle w:val="InstructionsTabelleText"/>
                <w:rFonts w:ascii="Times New Roman" w:hAnsi="Times New Roman"/>
                <w:sz w:val="24"/>
              </w:rPr>
              <w:t xml:space="preserve"> a </w:t>
            </w:r>
            <w:r w:rsidRPr="002176B5">
              <w:rPr>
                <w:rStyle w:val="InstructionsTabelleText"/>
                <w:rFonts w:ascii="Times New Roman" w:hAnsi="Times New Roman"/>
                <w:sz w:val="24"/>
              </w:rPr>
              <w:t>3</w:t>
            </w:r>
            <w:r w:rsidRPr="002176B5">
              <w:t xml:space="preserve"> nariadenia (EÚ) č. 575/2013</w:t>
            </w:r>
          </w:p>
          <w:p w14:paraId="2D7218B3" w14:textId="639D1C12" w:rsidR="00CC7D2C" w:rsidRPr="002176B5" w:rsidRDefault="00CC7D2C" w:rsidP="00320EFD">
            <w:pPr>
              <w:pStyle w:val="InstructionsText"/>
              <w:rPr>
                <w:rStyle w:val="InstructionsTabelleText"/>
                <w:rFonts w:ascii="Times New Roman" w:hAnsi="Times New Roman"/>
                <w:sz w:val="24"/>
              </w:rPr>
            </w:pPr>
            <w:r w:rsidRPr="002176B5">
              <w:rPr>
                <w:rStyle w:val="InstructionsTabelleText"/>
                <w:rFonts w:ascii="Times New Roman" w:hAnsi="Times New Roman"/>
                <w:sz w:val="24"/>
              </w:rPr>
              <w:t>Suma, ktorá sa má vykázať</w:t>
            </w:r>
            <w:r w:rsidR="002176B5">
              <w:rPr>
                <w:rStyle w:val="InstructionsTabelleText"/>
                <w:rFonts w:ascii="Times New Roman" w:hAnsi="Times New Roman"/>
                <w:sz w:val="24"/>
              </w:rPr>
              <w:t xml:space="preserve"> v </w:t>
            </w:r>
            <w:r w:rsidRPr="002176B5">
              <w:rPr>
                <w:rStyle w:val="InstructionsTabelleText"/>
                <w:rFonts w:ascii="Times New Roman" w:hAnsi="Times New Roman"/>
                <w:sz w:val="24"/>
              </w:rPr>
              <w:t xml:space="preserve">stĺpci 0060 tohto riadku: článok 470 ods. 1 </w:t>
            </w:r>
            <w:r w:rsidRPr="002176B5">
              <w:t>nariadenia (EÚ) č. 575/2013.</w:t>
            </w:r>
          </w:p>
        </w:tc>
      </w:tr>
      <w:tr w:rsidR="00CC7D2C" w:rsidRPr="002176B5" w14:paraId="07322B57" w14:textId="77777777" w:rsidTr="00822842">
        <w:tc>
          <w:tcPr>
            <w:tcW w:w="1012" w:type="dxa"/>
          </w:tcPr>
          <w:p w14:paraId="29C65FDD" w14:textId="77777777" w:rsidR="00CC7D2C" w:rsidRPr="002176B5" w:rsidRDefault="00CC7D2C" w:rsidP="00320EFD">
            <w:pPr>
              <w:pStyle w:val="InstructionsText"/>
              <w:rPr>
                <w:rStyle w:val="InstructionsTabelleText"/>
                <w:rFonts w:ascii="Times New Roman" w:hAnsi="Times New Roman"/>
                <w:sz w:val="24"/>
              </w:rPr>
            </w:pPr>
            <w:r w:rsidRPr="002176B5">
              <w:rPr>
                <w:rStyle w:val="InstructionsTabelleText"/>
                <w:rFonts w:ascii="Times New Roman" w:hAnsi="Times New Roman"/>
                <w:sz w:val="24"/>
              </w:rPr>
              <w:t>0385</w:t>
            </w:r>
          </w:p>
        </w:tc>
        <w:tc>
          <w:tcPr>
            <w:tcW w:w="7478" w:type="dxa"/>
          </w:tcPr>
          <w:p w14:paraId="3A586672" w14:textId="3E39F7F2" w:rsidR="00CC7D2C" w:rsidRPr="002176B5" w:rsidRDefault="00CC7D2C" w:rsidP="00320EFD">
            <w:pPr>
              <w:pStyle w:val="InstructionsText"/>
              <w:rPr>
                <w:rStyle w:val="InstructionsTabelleText"/>
                <w:rFonts w:ascii="Times New Roman" w:hAnsi="Times New Roman"/>
                <w:b/>
                <w:bCs/>
                <w:sz w:val="24"/>
                <w:u w:val="single"/>
              </w:rPr>
            </w:pPr>
            <w:r w:rsidRPr="002176B5">
              <w:rPr>
                <w:rStyle w:val="InstructionsTabelleberschrift"/>
                <w:rFonts w:ascii="Times New Roman" w:hAnsi="Times New Roman"/>
                <w:sz w:val="24"/>
              </w:rPr>
              <w:t>Odložené daňové pohľadávky, ktoré závisia od budúcej ziskovosti</w:t>
            </w:r>
            <w:r w:rsidR="002176B5">
              <w:rPr>
                <w:rStyle w:val="InstructionsTabelleberschrift"/>
                <w:rFonts w:ascii="Times New Roman" w:hAnsi="Times New Roman"/>
                <w:sz w:val="24"/>
              </w:rPr>
              <w:t xml:space="preserve"> a </w:t>
            </w:r>
            <w:r w:rsidRPr="002176B5">
              <w:rPr>
                <w:rStyle w:val="InstructionsTabelleberschrift"/>
                <w:rFonts w:ascii="Times New Roman" w:hAnsi="Times New Roman"/>
                <w:sz w:val="24"/>
              </w:rPr>
              <w:t>vyplývajú</w:t>
            </w:r>
            <w:r w:rsidR="002176B5">
              <w:rPr>
                <w:rStyle w:val="InstructionsTabelleberschrift"/>
                <w:rFonts w:ascii="Times New Roman" w:hAnsi="Times New Roman"/>
                <w:sz w:val="24"/>
              </w:rPr>
              <w:t xml:space="preserve"> z </w:t>
            </w:r>
            <w:r w:rsidRPr="002176B5">
              <w:rPr>
                <w:rStyle w:val="InstructionsTabelleberschrift"/>
                <w:rFonts w:ascii="Times New Roman" w:hAnsi="Times New Roman"/>
                <w:sz w:val="24"/>
              </w:rPr>
              <w:t>dočasných rozdielov</w:t>
            </w:r>
          </w:p>
          <w:p w14:paraId="6C5EEFFD" w14:textId="33479727" w:rsidR="00CC7D2C" w:rsidRPr="002176B5" w:rsidRDefault="00CC7D2C" w:rsidP="00320EFD">
            <w:pPr>
              <w:pStyle w:val="InstructionsText"/>
              <w:rPr>
                <w:rStyle w:val="InstructionsTabelleText"/>
                <w:rFonts w:ascii="Times New Roman" w:hAnsi="Times New Roman"/>
                <w:bCs/>
                <w:sz w:val="24"/>
              </w:rPr>
            </w:pPr>
            <w:r w:rsidRPr="002176B5">
              <w:rPr>
                <w:rStyle w:val="InstructionsTabelleText"/>
                <w:rFonts w:ascii="Times New Roman" w:hAnsi="Times New Roman"/>
                <w:sz w:val="24"/>
              </w:rPr>
              <w:t>Článok 469 ods. 1 písm. c), článok 472 ods. 5</w:t>
            </w:r>
            <w:r w:rsidR="002176B5">
              <w:rPr>
                <w:rStyle w:val="InstructionsTabelleText"/>
                <w:rFonts w:ascii="Times New Roman" w:hAnsi="Times New Roman"/>
                <w:sz w:val="24"/>
              </w:rPr>
              <w:t xml:space="preserve"> a </w:t>
            </w:r>
            <w:r w:rsidRPr="002176B5">
              <w:rPr>
                <w:rStyle w:val="InstructionsTabelleText"/>
                <w:rFonts w:ascii="Times New Roman" w:hAnsi="Times New Roman"/>
                <w:sz w:val="24"/>
              </w:rPr>
              <w:t xml:space="preserve">článok 478 </w:t>
            </w:r>
            <w:r w:rsidRPr="002176B5">
              <w:t>nariadenia (EÚ) č. 575/2013</w:t>
            </w:r>
          </w:p>
          <w:p w14:paraId="1129AF2E" w14:textId="66F78F4F" w:rsidR="00CC7D2C" w:rsidRPr="002176B5" w:rsidRDefault="00CC7D2C" w:rsidP="00320EFD">
            <w:pPr>
              <w:pStyle w:val="InstructionsText"/>
              <w:rPr>
                <w:rStyle w:val="InstructionsTabelleberschrift"/>
                <w:rFonts w:ascii="Times New Roman" w:hAnsi="Times New Roman"/>
                <w:b w:val="0"/>
                <w:sz w:val="24"/>
                <w:u w:val="none"/>
              </w:rPr>
            </w:pPr>
            <w:r w:rsidRPr="002176B5">
              <w:rPr>
                <w:rStyle w:val="InstructionsTabelleText"/>
                <w:rFonts w:ascii="Times New Roman" w:hAnsi="Times New Roman"/>
                <w:sz w:val="24"/>
              </w:rPr>
              <w:t>Časť odložených daňových pohľadávok, ktoré závisia od budúcej ziskovosti</w:t>
            </w:r>
            <w:r w:rsidR="002176B5">
              <w:rPr>
                <w:rStyle w:val="InstructionsTabelleText"/>
                <w:rFonts w:ascii="Times New Roman" w:hAnsi="Times New Roman"/>
                <w:sz w:val="24"/>
              </w:rPr>
              <w:t xml:space="preserve"> a </w:t>
            </w:r>
            <w:r w:rsidRPr="002176B5">
              <w:rPr>
                <w:rStyle w:val="InstructionsTabelleText"/>
                <w:rFonts w:ascii="Times New Roman" w:hAnsi="Times New Roman"/>
                <w:sz w:val="24"/>
              </w:rPr>
              <w:t>vyplývajú</w:t>
            </w:r>
            <w:r w:rsidR="002176B5">
              <w:rPr>
                <w:rStyle w:val="InstructionsTabelleText"/>
                <w:rFonts w:ascii="Times New Roman" w:hAnsi="Times New Roman"/>
                <w:sz w:val="24"/>
              </w:rPr>
              <w:t xml:space="preserve"> z </w:t>
            </w:r>
            <w:r w:rsidRPr="002176B5">
              <w:rPr>
                <w:rStyle w:val="InstructionsTabelleText"/>
                <w:rFonts w:ascii="Times New Roman" w:hAnsi="Times New Roman"/>
                <w:sz w:val="24"/>
              </w:rPr>
              <w:t>dočasných rozdielov, ktorá presahuje prahovú hodnotu 10</w:t>
            </w:r>
            <w:r w:rsidR="002176B5">
              <w:t> %</w:t>
            </w:r>
            <w:r w:rsidRPr="002176B5">
              <w:rPr>
                <w:rStyle w:val="InstructionsTabelleText"/>
                <w:rFonts w:ascii="Times New Roman" w:hAnsi="Times New Roman"/>
                <w:sz w:val="24"/>
              </w:rPr>
              <w:t xml:space="preserve"> stanovenú</w:t>
            </w:r>
            <w:r w:rsidR="002176B5">
              <w:rPr>
                <w:rStyle w:val="InstructionsTabelleText"/>
                <w:rFonts w:ascii="Times New Roman" w:hAnsi="Times New Roman"/>
                <w:sz w:val="24"/>
              </w:rPr>
              <w:t xml:space="preserve"> v </w:t>
            </w:r>
            <w:r w:rsidRPr="002176B5">
              <w:rPr>
                <w:rStyle w:val="InstructionsTabelleText"/>
                <w:rFonts w:ascii="Times New Roman" w:hAnsi="Times New Roman"/>
                <w:sz w:val="24"/>
              </w:rPr>
              <w:t>článku 470 ods. 2 písm. a)</w:t>
            </w:r>
            <w:r w:rsidRPr="002176B5">
              <w:t xml:space="preserve"> nariadenia (EÚ) č. 575/2013</w:t>
            </w:r>
            <w:r w:rsidRPr="002176B5">
              <w:rPr>
                <w:rStyle w:val="InstructionsTabelleText"/>
                <w:rFonts w:ascii="Times New Roman" w:hAnsi="Times New Roman"/>
                <w:sz w:val="24"/>
              </w:rPr>
              <w:t>.</w:t>
            </w:r>
          </w:p>
        </w:tc>
      </w:tr>
      <w:tr w:rsidR="00CC7D2C" w:rsidRPr="002176B5" w14:paraId="3AEB8FA0" w14:textId="77777777" w:rsidTr="00822842">
        <w:tc>
          <w:tcPr>
            <w:tcW w:w="1012" w:type="dxa"/>
          </w:tcPr>
          <w:p w14:paraId="2AB561DA" w14:textId="77777777" w:rsidR="00CC7D2C" w:rsidRPr="002176B5" w:rsidRDefault="00CC7D2C" w:rsidP="00320EFD">
            <w:pPr>
              <w:pStyle w:val="InstructionsText"/>
              <w:rPr>
                <w:rStyle w:val="InstructionsTabelleText"/>
                <w:rFonts w:ascii="Times New Roman" w:hAnsi="Times New Roman"/>
                <w:sz w:val="24"/>
              </w:rPr>
            </w:pPr>
            <w:r w:rsidRPr="002176B5">
              <w:rPr>
                <w:rStyle w:val="InstructionsTabelleText"/>
                <w:rFonts w:ascii="Times New Roman" w:hAnsi="Times New Roman"/>
                <w:sz w:val="24"/>
              </w:rPr>
              <w:t>0425</w:t>
            </w:r>
          </w:p>
        </w:tc>
        <w:tc>
          <w:tcPr>
            <w:tcW w:w="7478" w:type="dxa"/>
          </w:tcPr>
          <w:p w14:paraId="0B77B959" w14:textId="5854E002" w:rsidR="00CC7D2C" w:rsidRPr="002176B5" w:rsidRDefault="00CC7D2C" w:rsidP="00320EFD">
            <w:pPr>
              <w:pStyle w:val="InstructionsText"/>
              <w:rPr>
                <w:rStyle w:val="InstructionsTabelleberschrift"/>
                <w:rFonts w:ascii="Times New Roman" w:hAnsi="Times New Roman"/>
                <w:sz w:val="24"/>
              </w:rPr>
            </w:pPr>
            <w:r w:rsidRPr="002176B5">
              <w:rPr>
                <w:rStyle w:val="InstructionsTabelleberschrift"/>
                <w:rFonts w:ascii="Times New Roman" w:hAnsi="Times New Roman"/>
                <w:sz w:val="24"/>
              </w:rPr>
              <w:t>1.3.2.11.</w:t>
            </w:r>
            <w:r w:rsidRPr="002176B5">
              <w:tab/>
            </w:r>
            <w:r w:rsidRPr="002176B5">
              <w:rPr>
                <w:rStyle w:val="InstructionsTabelleberschrift"/>
                <w:rFonts w:ascii="Times New Roman" w:hAnsi="Times New Roman"/>
                <w:sz w:val="24"/>
              </w:rPr>
              <w:t>Výnimka</w:t>
            </w:r>
            <w:r w:rsidR="002176B5">
              <w:rPr>
                <w:rStyle w:val="InstructionsTabelleberschrift"/>
                <w:rFonts w:ascii="Times New Roman" w:hAnsi="Times New Roman"/>
                <w:sz w:val="24"/>
              </w:rPr>
              <w:t xml:space="preserve"> z </w:t>
            </w:r>
            <w:r w:rsidRPr="002176B5">
              <w:rPr>
                <w:rStyle w:val="InstructionsTabelleberschrift"/>
                <w:rFonts w:ascii="Times New Roman" w:hAnsi="Times New Roman"/>
                <w:sz w:val="24"/>
              </w:rPr>
              <w:t>odpočtu kapitálových podielov</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poisťovniach od položiek CET1</w:t>
            </w:r>
          </w:p>
          <w:p w14:paraId="0B0E33F2" w14:textId="77777777" w:rsidR="00CC7D2C" w:rsidRPr="002176B5" w:rsidRDefault="00CC7D2C" w:rsidP="00320EFD">
            <w:pPr>
              <w:pStyle w:val="InstructionsText"/>
              <w:rPr>
                <w:rStyle w:val="InstructionsTabelleberschrift"/>
                <w:rFonts w:ascii="Times New Roman" w:hAnsi="Times New Roman"/>
                <w:b w:val="0"/>
                <w:sz w:val="24"/>
                <w:u w:val="none"/>
              </w:rPr>
            </w:pPr>
            <w:r w:rsidRPr="002176B5">
              <w:rPr>
                <w:rStyle w:val="InstructionsTabelleberschrift"/>
                <w:rFonts w:ascii="Times New Roman" w:hAnsi="Times New Roman"/>
                <w:b w:val="0"/>
                <w:sz w:val="24"/>
                <w:u w:val="none"/>
              </w:rPr>
              <w:t xml:space="preserve">Článok 471 </w:t>
            </w:r>
            <w:r w:rsidRPr="002176B5">
              <w:t>nariadenia (EÚ) č. 575/2013</w:t>
            </w:r>
          </w:p>
        </w:tc>
      </w:tr>
      <w:tr w:rsidR="00CC7D2C" w:rsidRPr="002176B5" w14:paraId="356893BD" w14:textId="77777777" w:rsidTr="00822842">
        <w:tc>
          <w:tcPr>
            <w:tcW w:w="1012" w:type="dxa"/>
          </w:tcPr>
          <w:p w14:paraId="79F1B640" w14:textId="77777777" w:rsidR="00CC7D2C" w:rsidRPr="002176B5" w:rsidRDefault="00CC7D2C" w:rsidP="00320EFD">
            <w:pPr>
              <w:pStyle w:val="InstructionsText"/>
              <w:rPr>
                <w:rStyle w:val="InstructionsTabelleText"/>
                <w:rFonts w:ascii="Times New Roman" w:hAnsi="Times New Roman"/>
                <w:sz w:val="24"/>
              </w:rPr>
            </w:pPr>
            <w:r w:rsidRPr="002176B5">
              <w:rPr>
                <w:rStyle w:val="InstructionsTabelleText"/>
                <w:rFonts w:ascii="Times New Roman" w:hAnsi="Times New Roman"/>
                <w:sz w:val="24"/>
              </w:rPr>
              <w:t>0430</w:t>
            </w:r>
          </w:p>
        </w:tc>
        <w:tc>
          <w:tcPr>
            <w:tcW w:w="7478" w:type="dxa"/>
          </w:tcPr>
          <w:p w14:paraId="48E9C03E" w14:textId="5E25EDE4" w:rsidR="00CC7D2C" w:rsidRPr="002176B5" w:rsidRDefault="00CC7D2C" w:rsidP="00320EFD">
            <w:pPr>
              <w:pStyle w:val="InstructionsText"/>
              <w:rPr>
                <w:rStyle w:val="InstructionsTabelleText"/>
                <w:rFonts w:ascii="Times New Roman" w:hAnsi="Times New Roman"/>
                <w:b/>
                <w:bCs/>
                <w:sz w:val="24"/>
                <w:u w:val="single"/>
              </w:rPr>
            </w:pPr>
            <w:r w:rsidRPr="002176B5">
              <w:rPr>
                <w:rStyle w:val="InstructionsTabelleberschrift"/>
                <w:rFonts w:ascii="Times New Roman" w:hAnsi="Times New Roman"/>
                <w:sz w:val="24"/>
              </w:rPr>
              <w:t>1.3.3.</w:t>
            </w:r>
            <w:r w:rsidRPr="002176B5">
              <w:tab/>
            </w:r>
            <w:r w:rsidRPr="002176B5">
              <w:rPr>
                <w:rStyle w:val="InstructionsTabelleberschrift"/>
                <w:rFonts w:ascii="Times New Roman" w:hAnsi="Times New Roman"/>
                <w:sz w:val="24"/>
              </w:rPr>
              <w:t>Dodatočné filtre</w:t>
            </w:r>
            <w:r w:rsidR="002176B5">
              <w:rPr>
                <w:rStyle w:val="InstructionsTabelleberschrift"/>
                <w:rFonts w:ascii="Times New Roman" w:hAnsi="Times New Roman"/>
                <w:sz w:val="24"/>
              </w:rPr>
              <w:t xml:space="preserve"> a </w:t>
            </w:r>
            <w:r w:rsidRPr="002176B5">
              <w:rPr>
                <w:rStyle w:val="InstructionsTabelleberschrift"/>
                <w:rFonts w:ascii="Times New Roman" w:hAnsi="Times New Roman"/>
                <w:sz w:val="24"/>
              </w:rPr>
              <w:t>odpočty</w:t>
            </w:r>
          </w:p>
          <w:p w14:paraId="4A80E244" w14:textId="77777777" w:rsidR="00CC7D2C" w:rsidRPr="002176B5" w:rsidRDefault="00CC7D2C" w:rsidP="00822842">
            <w:pPr>
              <w:spacing w:before="0"/>
              <w:rPr>
                <w:rStyle w:val="InstructionsTabelleText"/>
                <w:rFonts w:ascii="Times New Roman" w:hAnsi="Times New Roman"/>
                <w:sz w:val="24"/>
              </w:rPr>
            </w:pPr>
            <w:r w:rsidRPr="002176B5">
              <w:rPr>
                <w:rStyle w:val="InstructionsTabelleText"/>
                <w:rFonts w:ascii="Times New Roman" w:hAnsi="Times New Roman"/>
                <w:sz w:val="24"/>
              </w:rPr>
              <w:t xml:space="preserve">Článok 481 </w:t>
            </w:r>
            <w:r w:rsidRPr="002176B5">
              <w:rPr>
                <w:rFonts w:ascii="Times New Roman" w:hAnsi="Times New Roman"/>
                <w:sz w:val="24"/>
              </w:rPr>
              <w:t>nariadenia (EÚ) č. 575/2013</w:t>
            </w:r>
          </w:p>
          <w:p w14:paraId="4D751914" w14:textId="38FCA7F8" w:rsidR="00CC7D2C" w:rsidRPr="002176B5" w:rsidRDefault="00CC7D2C" w:rsidP="00320EFD">
            <w:pPr>
              <w:pStyle w:val="InstructionsText"/>
              <w:rPr>
                <w:rStyle w:val="InstructionsTabelleText"/>
                <w:rFonts w:ascii="Times New Roman" w:hAnsi="Times New Roman"/>
                <w:sz w:val="24"/>
              </w:rPr>
            </w:pPr>
            <w:r w:rsidRPr="002176B5">
              <w:rPr>
                <w:rStyle w:val="InstructionsTabelleText"/>
                <w:rFonts w:ascii="Times New Roman" w:hAnsi="Times New Roman"/>
                <w:sz w:val="24"/>
              </w:rPr>
              <w:t>Tento riadok vyjadruje celkový účinok prechodných ustanovení na dodatočné filtre</w:t>
            </w:r>
            <w:r w:rsidR="002176B5">
              <w:rPr>
                <w:rStyle w:val="InstructionsTabelleText"/>
                <w:rFonts w:ascii="Times New Roman" w:hAnsi="Times New Roman"/>
                <w:sz w:val="24"/>
              </w:rPr>
              <w:t xml:space="preserve"> a </w:t>
            </w:r>
            <w:r w:rsidRPr="002176B5">
              <w:rPr>
                <w:rStyle w:val="InstructionsTabelleText"/>
                <w:rFonts w:ascii="Times New Roman" w:hAnsi="Times New Roman"/>
                <w:sz w:val="24"/>
              </w:rPr>
              <w:t>odpočty.</w:t>
            </w:r>
          </w:p>
          <w:p w14:paraId="204FEDF5" w14:textId="7B1FAB60" w:rsidR="00CC7D2C" w:rsidRPr="002176B5" w:rsidRDefault="00CC7D2C" w:rsidP="00320EFD">
            <w:pPr>
              <w:pStyle w:val="InstructionsText"/>
              <w:rPr>
                <w:rStyle w:val="InstructionsTabelleText"/>
                <w:rFonts w:ascii="Times New Roman" w:hAnsi="Times New Roman"/>
                <w:sz w:val="24"/>
              </w:rPr>
            </w:pPr>
            <w:r w:rsidRPr="002176B5">
              <w:rPr>
                <w:rStyle w:val="InstructionsTabelleText"/>
                <w:rFonts w:ascii="Times New Roman" w:hAnsi="Times New Roman"/>
                <w:sz w:val="24"/>
              </w:rPr>
              <w:t>Inštitúcie</w:t>
            </w:r>
            <w:r w:rsidR="002176B5">
              <w:rPr>
                <w:rStyle w:val="InstructionsTabelleText"/>
                <w:rFonts w:ascii="Times New Roman" w:hAnsi="Times New Roman"/>
                <w:sz w:val="24"/>
              </w:rPr>
              <w:t xml:space="preserve"> v </w:t>
            </w:r>
            <w:r w:rsidRPr="002176B5">
              <w:rPr>
                <w:rStyle w:val="InstructionsTabelleText"/>
                <w:rFonts w:ascii="Times New Roman" w:hAnsi="Times New Roman"/>
                <w:sz w:val="24"/>
              </w:rPr>
              <w:t>súlade</w:t>
            </w:r>
            <w:r w:rsidR="002176B5">
              <w:rPr>
                <w:rStyle w:val="InstructionsTabelleText"/>
                <w:rFonts w:ascii="Times New Roman" w:hAnsi="Times New Roman"/>
                <w:sz w:val="24"/>
              </w:rPr>
              <w:t xml:space="preserve"> s </w:t>
            </w:r>
            <w:r w:rsidRPr="002176B5">
              <w:rPr>
                <w:rStyle w:val="InstructionsTabelleText"/>
                <w:rFonts w:ascii="Times New Roman" w:hAnsi="Times New Roman"/>
                <w:sz w:val="24"/>
              </w:rPr>
              <w:t>článkom 481</w:t>
            </w:r>
            <w:r w:rsidRPr="002176B5">
              <w:t xml:space="preserve"> nariadenia (EÚ) č. 575/2013</w:t>
            </w:r>
            <w:r w:rsidRPr="002176B5">
              <w:rPr>
                <w:rStyle w:val="InstructionsTabelleText"/>
                <w:rFonts w:ascii="Times New Roman" w:hAnsi="Times New Roman"/>
                <w:sz w:val="24"/>
              </w:rPr>
              <w:t xml:space="preserve"> vykazujú</w:t>
            </w:r>
            <w:r w:rsidR="002176B5">
              <w:rPr>
                <w:rStyle w:val="InstructionsTabelleText"/>
                <w:rFonts w:ascii="Times New Roman" w:hAnsi="Times New Roman"/>
                <w:sz w:val="24"/>
              </w:rPr>
              <w:t xml:space="preserve"> v </w:t>
            </w:r>
            <w:r w:rsidRPr="002176B5">
              <w:rPr>
                <w:rStyle w:val="InstructionsTabelleText"/>
                <w:rFonts w:ascii="Times New Roman" w:hAnsi="Times New Roman"/>
                <w:sz w:val="24"/>
              </w:rPr>
              <w:t>položke 1.3.3 informácie týkajúce sa filtrov</w:t>
            </w:r>
            <w:r w:rsidR="002176B5">
              <w:rPr>
                <w:rStyle w:val="InstructionsTabelleText"/>
                <w:rFonts w:ascii="Times New Roman" w:hAnsi="Times New Roman"/>
                <w:sz w:val="24"/>
              </w:rPr>
              <w:t xml:space="preserve"> a </w:t>
            </w:r>
            <w:r w:rsidRPr="002176B5">
              <w:rPr>
                <w:rStyle w:val="InstructionsTabelleText"/>
                <w:rFonts w:ascii="Times New Roman" w:hAnsi="Times New Roman"/>
                <w:sz w:val="24"/>
              </w:rPr>
              <w:t>odpočtov, ktoré sa požadujú podľa vnútroštátnych transpozičných opatrení pre články 57</w:t>
            </w:r>
            <w:r w:rsidR="002176B5">
              <w:rPr>
                <w:rStyle w:val="InstructionsTabelleText"/>
                <w:rFonts w:ascii="Times New Roman" w:hAnsi="Times New Roman"/>
                <w:sz w:val="24"/>
              </w:rPr>
              <w:t xml:space="preserve"> a </w:t>
            </w:r>
            <w:r w:rsidRPr="002176B5">
              <w:rPr>
                <w:rStyle w:val="InstructionsTabelleText"/>
                <w:rFonts w:ascii="Times New Roman" w:hAnsi="Times New Roman"/>
                <w:sz w:val="24"/>
              </w:rPr>
              <w:t>66 smernice 2006/48/ES</w:t>
            </w:r>
            <w:r w:rsidR="002176B5">
              <w:rPr>
                <w:rStyle w:val="InstructionsTabelleText"/>
                <w:rFonts w:ascii="Times New Roman" w:hAnsi="Times New Roman"/>
                <w:sz w:val="24"/>
              </w:rPr>
              <w:t xml:space="preserve"> a </w:t>
            </w:r>
            <w:r w:rsidRPr="002176B5">
              <w:rPr>
                <w:rStyle w:val="InstructionsTabelleText"/>
                <w:rFonts w:ascii="Times New Roman" w:hAnsi="Times New Roman"/>
                <w:sz w:val="24"/>
              </w:rPr>
              <w:t>pre články 13</w:t>
            </w:r>
            <w:r w:rsidR="002176B5">
              <w:rPr>
                <w:rStyle w:val="InstructionsTabelleText"/>
                <w:rFonts w:ascii="Times New Roman" w:hAnsi="Times New Roman"/>
                <w:sz w:val="24"/>
              </w:rPr>
              <w:t xml:space="preserve"> a </w:t>
            </w:r>
            <w:r w:rsidRPr="002176B5">
              <w:rPr>
                <w:rStyle w:val="InstructionsTabelleText"/>
                <w:rFonts w:ascii="Times New Roman" w:hAnsi="Times New Roman"/>
                <w:sz w:val="24"/>
              </w:rPr>
              <w:t>16 smernice 2006/49/ES</w:t>
            </w:r>
            <w:r w:rsidR="002176B5">
              <w:rPr>
                <w:rStyle w:val="InstructionsTabelleText"/>
                <w:rFonts w:ascii="Times New Roman" w:hAnsi="Times New Roman"/>
                <w:sz w:val="24"/>
              </w:rPr>
              <w:t xml:space="preserve"> a </w:t>
            </w:r>
            <w:r w:rsidRPr="002176B5">
              <w:rPr>
                <w:rStyle w:val="InstructionsTabelleText"/>
                <w:rFonts w:ascii="Times New Roman" w:hAnsi="Times New Roman"/>
                <w:sz w:val="24"/>
              </w:rPr>
              <w:t xml:space="preserve">ktoré sa nepožadujú podľa druhej časti. </w:t>
            </w:r>
          </w:p>
        </w:tc>
      </w:tr>
    </w:tbl>
    <w:p w14:paraId="0A071A2D" w14:textId="77777777" w:rsidR="00CC7D2C" w:rsidRPr="002176B5" w:rsidRDefault="00CC7D2C" w:rsidP="00CC7D2C">
      <w:pPr>
        <w:spacing w:after="0"/>
        <w:rPr>
          <w:rFonts w:ascii="Times New Roman" w:hAnsi="Times New Roman"/>
          <w:sz w:val="24"/>
        </w:rPr>
      </w:pPr>
    </w:p>
    <w:p w14:paraId="752F645D" w14:textId="77777777" w:rsidR="002176B5" w:rsidRDefault="00CC7D2C" w:rsidP="00886567">
      <w:pPr>
        <w:pStyle w:val="Instructionsberschrift2"/>
        <w:numPr>
          <w:ilvl w:val="0"/>
          <w:numId w:val="0"/>
        </w:numPr>
        <w:ind w:left="357" w:hanging="357"/>
        <w:rPr>
          <w:u w:val="none"/>
        </w:rPr>
      </w:pPr>
      <w:bookmarkStart w:id="63" w:name="_Toc361666252"/>
      <w:bookmarkStart w:id="64" w:name="_Toc308175839"/>
      <w:bookmarkStart w:id="65" w:name="_Toc473560885"/>
      <w:bookmarkStart w:id="66" w:name="_Toc151714373"/>
      <w:bookmarkStart w:id="67" w:name="_Toc360188337"/>
      <w:bookmarkEnd w:id="63"/>
      <w:r w:rsidRPr="002176B5">
        <w:rPr>
          <w:u w:val="none"/>
        </w:rPr>
        <w:lastRenderedPageBreak/>
        <w:t>1.6.3.</w:t>
      </w:r>
      <w:r w:rsidRPr="002176B5">
        <w:tab/>
        <w:t>C 05.02 – NÁSTROJE ZACHOVANÉ</w:t>
      </w:r>
      <w:r w:rsidR="002176B5">
        <w:t xml:space="preserve"> V </w:t>
      </w:r>
      <w:r w:rsidRPr="002176B5">
        <w:t>PREDCHÁDZAJÚCOM STAVE: NÁSTROJE NEPREDSTAVUJÚCE ŠTÁTNU POMOC (CA5.2)</w:t>
      </w:r>
      <w:bookmarkEnd w:id="64"/>
      <w:bookmarkEnd w:id="65"/>
      <w:bookmarkEnd w:id="66"/>
      <w:bookmarkEnd w:id="67"/>
    </w:p>
    <w:p w14:paraId="5A0C8D33" w14:textId="7B332C17" w:rsidR="00CC7D2C" w:rsidRPr="002176B5" w:rsidRDefault="00CC7D2C" w:rsidP="00886567">
      <w:pPr>
        <w:pStyle w:val="InstructionsText2"/>
        <w:numPr>
          <w:ilvl w:val="0"/>
          <w:numId w:val="0"/>
        </w:numPr>
      </w:pPr>
      <w:r w:rsidRPr="002176B5">
        <w:fldChar w:fldCharType="begin"/>
      </w:r>
      <w:r w:rsidRPr="002176B5">
        <w:instrText>seq paragraphs</w:instrText>
      </w:r>
      <w:r w:rsidRPr="002176B5">
        <w:fldChar w:fldCharType="separate"/>
      </w:r>
      <w:r w:rsidRPr="002176B5">
        <w:t>26</w:t>
      </w:r>
      <w:r w:rsidRPr="002176B5">
        <w:fldChar w:fldCharType="end"/>
      </w:r>
      <w:r w:rsidRPr="002176B5">
        <w:t>.</w:t>
      </w:r>
      <w:r w:rsidRPr="002176B5">
        <w:tab/>
        <w:t>Inštitúcie vykazujú informácie</w:t>
      </w:r>
      <w:r w:rsidR="002176B5">
        <w:t xml:space="preserve"> v </w:t>
      </w:r>
      <w:r w:rsidRPr="002176B5">
        <w:t>súvislosti</w:t>
      </w:r>
      <w:r w:rsidR="002176B5">
        <w:t xml:space="preserve"> s </w:t>
      </w:r>
      <w:r w:rsidRPr="002176B5">
        <w:t>prechodnými ustanoveniami</w:t>
      </w:r>
      <w:r w:rsidR="002176B5">
        <w:t xml:space="preserve"> o </w:t>
      </w:r>
      <w:r w:rsidRPr="002176B5">
        <w:t>nástrojoch zachovaných</w:t>
      </w:r>
      <w:r w:rsidR="002176B5">
        <w:t xml:space="preserve"> v </w:t>
      </w:r>
      <w:r w:rsidRPr="002176B5">
        <w:t>predchádzajúcom stave, ktoré nepredstavujú štátnu pomoc [články 484 až 491 nariadenia (EÚ) č. 575/2013].</w:t>
      </w:r>
    </w:p>
    <w:p w14:paraId="2E91C275" w14:textId="77777777" w:rsidR="00CC7D2C" w:rsidRPr="002176B5" w:rsidRDefault="00CC7D2C" w:rsidP="00886567">
      <w:pPr>
        <w:pStyle w:val="Instructionsberschrift2"/>
        <w:numPr>
          <w:ilvl w:val="0"/>
          <w:numId w:val="0"/>
        </w:numPr>
        <w:ind w:left="357" w:hanging="357"/>
        <w:rPr>
          <w:u w:val="none"/>
        </w:rPr>
      </w:pPr>
      <w:bookmarkStart w:id="68" w:name="_Toc360188338"/>
      <w:bookmarkStart w:id="69" w:name="_Toc473560886"/>
      <w:bookmarkStart w:id="70" w:name="_Toc151714374"/>
      <w:r w:rsidRPr="002176B5">
        <w:rPr>
          <w:u w:val="none"/>
        </w:rPr>
        <w:t>1.6.3.1.</w:t>
      </w:r>
      <w:r w:rsidRPr="002176B5">
        <w:tab/>
        <w:t>Pokyny týkajúce sa konkrétnych pozícií</w:t>
      </w:r>
      <w:bookmarkEnd w:id="68"/>
      <w:bookmarkEnd w:id="69"/>
      <w:bookmarkEnd w:id="70"/>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CC7D2C" w:rsidRPr="002176B5" w14:paraId="6075237F" w14:textId="77777777" w:rsidTr="00822842">
        <w:tc>
          <w:tcPr>
            <w:tcW w:w="8181" w:type="dxa"/>
            <w:gridSpan w:val="2"/>
            <w:shd w:val="clear" w:color="auto" w:fill="D9D9D9"/>
          </w:tcPr>
          <w:p w14:paraId="28DDCFAF" w14:textId="77777777" w:rsidR="00CC7D2C" w:rsidRPr="002176B5" w:rsidRDefault="00CC7D2C" w:rsidP="00822842">
            <w:pPr>
              <w:pStyle w:val="body"/>
              <w:rPr>
                <w:rStyle w:val="InstructionsTabelleText"/>
                <w:rFonts w:ascii="Times New Roman" w:hAnsi="Times New Roman"/>
                <w:sz w:val="24"/>
              </w:rPr>
            </w:pPr>
            <w:r w:rsidRPr="002176B5">
              <w:rPr>
                <w:rStyle w:val="InstructionsTabelleText"/>
                <w:rFonts w:ascii="Times New Roman" w:hAnsi="Times New Roman"/>
                <w:sz w:val="24"/>
              </w:rPr>
              <w:t>Stĺpce</w:t>
            </w:r>
          </w:p>
        </w:tc>
      </w:tr>
      <w:tr w:rsidR="00CC7D2C" w:rsidRPr="002176B5" w14:paraId="458A32BC" w14:textId="77777777" w:rsidTr="00822842">
        <w:tc>
          <w:tcPr>
            <w:tcW w:w="703" w:type="dxa"/>
          </w:tcPr>
          <w:p w14:paraId="08DF9E73" w14:textId="77777777" w:rsidR="00CC7D2C" w:rsidRPr="002176B5" w:rsidRDefault="00CC7D2C" w:rsidP="00822842">
            <w:pPr>
              <w:pStyle w:val="body"/>
              <w:rPr>
                <w:rStyle w:val="InstructionsTabelleText"/>
                <w:rFonts w:ascii="Times New Roman" w:hAnsi="Times New Roman"/>
                <w:sz w:val="24"/>
              </w:rPr>
            </w:pPr>
            <w:r w:rsidRPr="002176B5">
              <w:rPr>
                <w:rStyle w:val="InstructionsTabelleText"/>
                <w:rFonts w:ascii="Times New Roman" w:hAnsi="Times New Roman"/>
                <w:sz w:val="24"/>
              </w:rPr>
              <w:t>0010</w:t>
            </w:r>
          </w:p>
        </w:tc>
        <w:tc>
          <w:tcPr>
            <w:tcW w:w="7478" w:type="dxa"/>
          </w:tcPr>
          <w:p w14:paraId="05CE570E" w14:textId="77777777" w:rsidR="00CC7D2C" w:rsidRPr="002176B5" w:rsidRDefault="00CC7D2C" w:rsidP="00822842">
            <w:pPr>
              <w:pStyle w:val="body"/>
              <w:rPr>
                <w:rStyle w:val="InstructionsTabelleberschrift"/>
                <w:rFonts w:ascii="Times New Roman" w:hAnsi="Times New Roman"/>
                <w:sz w:val="24"/>
              </w:rPr>
            </w:pPr>
            <w:r w:rsidRPr="002176B5">
              <w:rPr>
                <w:rStyle w:val="InstructionsTabelleberschrift"/>
                <w:rFonts w:ascii="Times New Roman" w:hAnsi="Times New Roman"/>
                <w:sz w:val="24"/>
              </w:rPr>
              <w:t>Hodnota nástrojov so súvisiacim emisným ážiom</w:t>
            </w:r>
          </w:p>
          <w:p w14:paraId="57EE6D2E" w14:textId="25137EFC" w:rsidR="00CC7D2C" w:rsidRPr="002176B5" w:rsidRDefault="00CC7D2C" w:rsidP="00822842">
            <w:pPr>
              <w:pStyle w:val="body"/>
              <w:rPr>
                <w:rStyle w:val="InstructionsTabelleText"/>
                <w:rFonts w:ascii="Times New Roman" w:hAnsi="Times New Roman"/>
                <w:sz w:val="24"/>
              </w:rPr>
            </w:pPr>
            <w:r w:rsidRPr="002176B5">
              <w:rPr>
                <w:rStyle w:val="InstructionsTabelleText"/>
                <w:rFonts w:ascii="Times New Roman" w:hAnsi="Times New Roman"/>
                <w:sz w:val="24"/>
              </w:rPr>
              <w:t>Článok 484 ods. 3, 4</w:t>
            </w:r>
            <w:r w:rsidR="002176B5">
              <w:rPr>
                <w:rStyle w:val="InstructionsTabelleText"/>
                <w:rFonts w:ascii="Times New Roman" w:hAnsi="Times New Roman"/>
                <w:sz w:val="24"/>
              </w:rPr>
              <w:t xml:space="preserve"> a </w:t>
            </w:r>
            <w:r w:rsidRPr="002176B5">
              <w:rPr>
                <w:rStyle w:val="InstructionsTabelleText"/>
                <w:rFonts w:ascii="Times New Roman" w:hAnsi="Times New Roman"/>
                <w:sz w:val="24"/>
              </w:rPr>
              <w:t>5</w:t>
            </w:r>
            <w:r w:rsidRPr="002176B5">
              <w:rPr>
                <w:rFonts w:ascii="Times New Roman" w:hAnsi="Times New Roman"/>
                <w:sz w:val="24"/>
              </w:rPr>
              <w:t xml:space="preserve"> nariadenia (EÚ) č. 575/2013</w:t>
            </w:r>
          </w:p>
          <w:p w14:paraId="70DF6748" w14:textId="77777777" w:rsidR="00CC7D2C" w:rsidRPr="002176B5" w:rsidRDefault="00CC7D2C" w:rsidP="00822842">
            <w:pPr>
              <w:pStyle w:val="body"/>
              <w:rPr>
                <w:rStyle w:val="InstructionsTabelleText"/>
                <w:rFonts w:ascii="Times New Roman" w:hAnsi="Times New Roman"/>
                <w:sz w:val="24"/>
              </w:rPr>
            </w:pPr>
            <w:r w:rsidRPr="002176B5">
              <w:rPr>
                <w:rStyle w:val="InstructionsTabelleText"/>
                <w:rFonts w:ascii="Times New Roman" w:hAnsi="Times New Roman"/>
                <w:sz w:val="24"/>
              </w:rPr>
              <w:t>Nástroje, ktoré sú prípustné pre jednotlivé riadky, vrátane ich súvisiacich emisných ážií.</w:t>
            </w:r>
          </w:p>
        </w:tc>
      </w:tr>
      <w:tr w:rsidR="00CC7D2C" w:rsidRPr="002176B5" w14:paraId="132470E6" w14:textId="77777777" w:rsidTr="00822842">
        <w:tc>
          <w:tcPr>
            <w:tcW w:w="703" w:type="dxa"/>
          </w:tcPr>
          <w:p w14:paraId="61C9409E" w14:textId="77777777" w:rsidR="00CC7D2C" w:rsidRPr="002176B5" w:rsidRDefault="00CC7D2C" w:rsidP="00822842">
            <w:pPr>
              <w:pStyle w:val="body"/>
              <w:rPr>
                <w:rStyle w:val="InstructionsTabelleText"/>
                <w:rFonts w:ascii="Times New Roman" w:hAnsi="Times New Roman"/>
                <w:sz w:val="24"/>
              </w:rPr>
            </w:pPr>
            <w:r w:rsidRPr="002176B5">
              <w:rPr>
                <w:rStyle w:val="InstructionsTabelleText"/>
                <w:rFonts w:ascii="Times New Roman" w:hAnsi="Times New Roman"/>
                <w:sz w:val="24"/>
              </w:rPr>
              <w:t>0020</w:t>
            </w:r>
          </w:p>
        </w:tc>
        <w:tc>
          <w:tcPr>
            <w:tcW w:w="7478" w:type="dxa"/>
          </w:tcPr>
          <w:p w14:paraId="00C0E3F0" w14:textId="77777777" w:rsidR="00CC7D2C" w:rsidRPr="002176B5" w:rsidRDefault="00CC7D2C" w:rsidP="00822842">
            <w:pPr>
              <w:pStyle w:val="body"/>
              <w:rPr>
                <w:rStyle w:val="InstructionsTabelleberschrift"/>
                <w:rFonts w:ascii="Times New Roman" w:hAnsi="Times New Roman"/>
                <w:sz w:val="24"/>
              </w:rPr>
            </w:pPr>
            <w:r w:rsidRPr="002176B5">
              <w:rPr>
                <w:rStyle w:val="InstructionsTabelleberschrift"/>
                <w:rFonts w:ascii="Times New Roman" w:hAnsi="Times New Roman"/>
                <w:sz w:val="24"/>
              </w:rPr>
              <w:t>Základ pre výpočet obmedzenia</w:t>
            </w:r>
          </w:p>
          <w:p w14:paraId="02F52F4E" w14:textId="000CD691" w:rsidR="00CC7D2C" w:rsidRPr="002176B5" w:rsidRDefault="00CC7D2C" w:rsidP="00822842">
            <w:pPr>
              <w:pStyle w:val="body"/>
              <w:rPr>
                <w:rStyle w:val="InstructionsTabelleText"/>
                <w:rFonts w:ascii="Times New Roman" w:hAnsi="Times New Roman"/>
                <w:sz w:val="24"/>
              </w:rPr>
            </w:pPr>
            <w:r w:rsidRPr="002176B5">
              <w:rPr>
                <w:rStyle w:val="InstructionsTabelleText"/>
                <w:rFonts w:ascii="Times New Roman" w:hAnsi="Times New Roman"/>
                <w:sz w:val="24"/>
              </w:rPr>
              <w:t>Článok 486 ods. 2, 3</w:t>
            </w:r>
            <w:r w:rsidR="002176B5">
              <w:rPr>
                <w:rStyle w:val="InstructionsTabelleText"/>
                <w:rFonts w:ascii="Times New Roman" w:hAnsi="Times New Roman"/>
                <w:sz w:val="24"/>
              </w:rPr>
              <w:t xml:space="preserve"> a </w:t>
            </w:r>
            <w:r w:rsidRPr="002176B5">
              <w:rPr>
                <w:rStyle w:val="InstructionsTabelleText"/>
                <w:rFonts w:ascii="Times New Roman" w:hAnsi="Times New Roman"/>
                <w:sz w:val="24"/>
              </w:rPr>
              <w:t>4</w:t>
            </w:r>
            <w:r w:rsidRPr="002176B5">
              <w:rPr>
                <w:rFonts w:ascii="Times New Roman" w:hAnsi="Times New Roman"/>
                <w:sz w:val="24"/>
              </w:rPr>
              <w:t xml:space="preserve"> nariadenia (EÚ) č. 575/2013</w:t>
            </w:r>
          </w:p>
        </w:tc>
      </w:tr>
      <w:tr w:rsidR="00CC7D2C" w:rsidRPr="002176B5" w14:paraId="1F19F2EF" w14:textId="77777777" w:rsidTr="00822842">
        <w:tc>
          <w:tcPr>
            <w:tcW w:w="703" w:type="dxa"/>
          </w:tcPr>
          <w:p w14:paraId="780BD0F2" w14:textId="77777777" w:rsidR="00CC7D2C" w:rsidRPr="002176B5" w:rsidRDefault="00CC7D2C" w:rsidP="00822842">
            <w:pPr>
              <w:pStyle w:val="body"/>
              <w:rPr>
                <w:rStyle w:val="InstructionsTabelleText"/>
                <w:rFonts w:ascii="Times New Roman" w:hAnsi="Times New Roman"/>
                <w:sz w:val="24"/>
              </w:rPr>
            </w:pPr>
            <w:r w:rsidRPr="002176B5">
              <w:rPr>
                <w:rStyle w:val="InstructionsTabelleText"/>
                <w:rFonts w:ascii="Times New Roman" w:hAnsi="Times New Roman"/>
                <w:sz w:val="24"/>
              </w:rPr>
              <w:t>0030</w:t>
            </w:r>
          </w:p>
        </w:tc>
        <w:tc>
          <w:tcPr>
            <w:tcW w:w="7478" w:type="dxa"/>
          </w:tcPr>
          <w:p w14:paraId="785BDDF7" w14:textId="77777777" w:rsidR="00CC7D2C" w:rsidRPr="002176B5" w:rsidRDefault="00CC7D2C" w:rsidP="00822842">
            <w:pPr>
              <w:pStyle w:val="body"/>
              <w:rPr>
                <w:rStyle w:val="InstructionsTabelleberschrift"/>
                <w:rFonts w:ascii="Times New Roman" w:hAnsi="Times New Roman"/>
                <w:sz w:val="24"/>
              </w:rPr>
            </w:pPr>
            <w:r w:rsidRPr="002176B5">
              <w:rPr>
                <w:rStyle w:val="InstructionsTabelleberschrift"/>
                <w:rFonts w:ascii="Times New Roman" w:hAnsi="Times New Roman"/>
                <w:sz w:val="24"/>
              </w:rPr>
              <w:t>Príslušná percentuálna hodnota</w:t>
            </w:r>
          </w:p>
          <w:p w14:paraId="775F53AC" w14:textId="77777777" w:rsidR="00CC7D2C" w:rsidRPr="002176B5" w:rsidRDefault="00CC7D2C" w:rsidP="00822842">
            <w:pPr>
              <w:pStyle w:val="body"/>
              <w:rPr>
                <w:rStyle w:val="InstructionsTabelleText"/>
                <w:rFonts w:ascii="Times New Roman" w:hAnsi="Times New Roman"/>
                <w:sz w:val="24"/>
              </w:rPr>
            </w:pPr>
            <w:r w:rsidRPr="002176B5">
              <w:rPr>
                <w:rStyle w:val="InstructionsTabelleText"/>
                <w:rFonts w:ascii="Times New Roman" w:hAnsi="Times New Roman"/>
                <w:sz w:val="24"/>
              </w:rPr>
              <w:t xml:space="preserve">Článok 486 ods. 5 </w:t>
            </w:r>
            <w:r w:rsidRPr="002176B5">
              <w:rPr>
                <w:rFonts w:ascii="Times New Roman" w:hAnsi="Times New Roman"/>
                <w:sz w:val="24"/>
              </w:rPr>
              <w:t>nariadenia (EÚ) č. 575/2013</w:t>
            </w:r>
          </w:p>
        </w:tc>
      </w:tr>
      <w:tr w:rsidR="00CC7D2C" w:rsidRPr="002176B5" w14:paraId="54685F6B" w14:textId="77777777" w:rsidTr="00822842">
        <w:tc>
          <w:tcPr>
            <w:tcW w:w="703" w:type="dxa"/>
          </w:tcPr>
          <w:p w14:paraId="418981A2" w14:textId="77777777" w:rsidR="00CC7D2C" w:rsidRPr="002176B5" w:rsidRDefault="00CC7D2C" w:rsidP="00822842">
            <w:pPr>
              <w:pStyle w:val="body"/>
              <w:rPr>
                <w:rStyle w:val="InstructionsTabelleText"/>
                <w:rFonts w:ascii="Times New Roman" w:hAnsi="Times New Roman"/>
                <w:sz w:val="24"/>
              </w:rPr>
            </w:pPr>
            <w:r w:rsidRPr="002176B5">
              <w:rPr>
                <w:rStyle w:val="InstructionsTabelleText"/>
                <w:rFonts w:ascii="Times New Roman" w:hAnsi="Times New Roman"/>
                <w:sz w:val="24"/>
              </w:rPr>
              <w:t>0040</w:t>
            </w:r>
          </w:p>
        </w:tc>
        <w:tc>
          <w:tcPr>
            <w:tcW w:w="7478" w:type="dxa"/>
          </w:tcPr>
          <w:p w14:paraId="533EF047" w14:textId="77777777" w:rsidR="00CC7D2C" w:rsidRPr="002176B5" w:rsidRDefault="00CC7D2C" w:rsidP="00822842">
            <w:pPr>
              <w:pStyle w:val="body"/>
              <w:rPr>
                <w:rStyle w:val="InstructionsTabelleberschrift"/>
                <w:rFonts w:ascii="Times New Roman" w:hAnsi="Times New Roman"/>
                <w:sz w:val="24"/>
              </w:rPr>
            </w:pPr>
            <w:r w:rsidRPr="002176B5">
              <w:rPr>
                <w:rStyle w:val="InstructionsTabelleberschrift"/>
                <w:rFonts w:ascii="Times New Roman" w:hAnsi="Times New Roman"/>
                <w:sz w:val="24"/>
              </w:rPr>
              <w:t>Obmedzenie</w:t>
            </w:r>
          </w:p>
          <w:p w14:paraId="3094B820" w14:textId="77777777" w:rsidR="00CC7D2C" w:rsidRPr="002176B5" w:rsidRDefault="00CC7D2C" w:rsidP="00822842">
            <w:pPr>
              <w:pStyle w:val="body"/>
              <w:rPr>
                <w:rStyle w:val="InstructionsTabelleText"/>
                <w:rFonts w:ascii="Times New Roman" w:hAnsi="Times New Roman"/>
                <w:sz w:val="24"/>
              </w:rPr>
            </w:pPr>
            <w:r w:rsidRPr="002176B5">
              <w:rPr>
                <w:rStyle w:val="InstructionsTabelleText"/>
                <w:rFonts w:ascii="Times New Roman" w:hAnsi="Times New Roman"/>
                <w:sz w:val="24"/>
              </w:rPr>
              <w:t>Článok 486 ods. 2 až 5</w:t>
            </w:r>
            <w:r w:rsidRPr="002176B5">
              <w:rPr>
                <w:rFonts w:ascii="Times New Roman" w:hAnsi="Times New Roman"/>
                <w:sz w:val="24"/>
              </w:rPr>
              <w:t xml:space="preserve"> nariadenia (EÚ) č. 575/2013</w:t>
            </w:r>
          </w:p>
        </w:tc>
      </w:tr>
      <w:tr w:rsidR="00CC7D2C" w:rsidRPr="002176B5" w14:paraId="448C42F5" w14:textId="77777777" w:rsidTr="00822842">
        <w:tc>
          <w:tcPr>
            <w:tcW w:w="703" w:type="dxa"/>
          </w:tcPr>
          <w:p w14:paraId="432163C3" w14:textId="77777777" w:rsidR="00CC7D2C" w:rsidRPr="002176B5" w:rsidRDefault="00CC7D2C" w:rsidP="00822842">
            <w:pPr>
              <w:pStyle w:val="body"/>
              <w:rPr>
                <w:rStyle w:val="InstructionsTabelleText"/>
                <w:rFonts w:ascii="Times New Roman" w:hAnsi="Times New Roman"/>
                <w:sz w:val="24"/>
              </w:rPr>
            </w:pPr>
            <w:r w:rsidRPr="002176B5">
              <w:rPr>
                <w:rStyle w:val="InstructionsTabelleText"/>
                <w:rFonts w:ascii="Times New Roman" w:hAnsi="Times New Roman"/>
                <w:sz w:val="24"/>
              </w:rPr>
              <w:t>0050</w:t>
            </w:r>
          </w:p>
        </w:tc>
        <w:tc>
          <w:tcPr>
            <w:tcW w:w="7478" w:type="dxa"/>
          </w:tcPr>
          <w:p w14:paraId="72FD0C26" w14:textId="77777777" w:rsidR="00CC7D2C" w:rsidRPr="002176B5" w:rsidRDefault="00CC7D2C" w:rsidP="00822842">
            <w:pPr>
              <w:pStyle w:val="body"/>
              <w:rPr>
                <w:rStyle w:val="InstructionsTabelleberschrift"/>
                <w:rFonts w:ascii="Times New Roman" w:hAnsi="Times New Roman"/>
                <w:sz w:val="24"/>
              </w:rPr>
            </w:pPr>
            <w:r w:rsidRPr="002176B5">
              <w:rPr>
                <w:rStyle w:val="InstructionsTabelleberschrift"/>
                <w:rFonts w:ascii="Times New Roman" w:hAnsi="Times New Roman"/>
                <w:sz w:val="24"/>
              </w:rPr>
              <w:t>(–) Hodnota, ktorá presahuje obmedzenia na zachovanie predchádzajúceho stavu</w:t>
            </w:r>
          </w:p>
          <w:p w14:paraId="70C8059D" w14:textId="77777777" w:rsidR="00CC7D2C" w:rsidRPr="002176B5" w:rsidRDefault="00CC7D2C" w:rsidP="00822842">
            <w:pPr>
              <w:pStyle w:val="body"/>
              <w:rPr>
                <w:rStyle w:val="InstructionsTabelleText"/>
                <w:rFonts w:ascii="Times New Roman" w:hAnsi="Times New Roman"/>
                <w:sz w:val="24"/>
              </w:rPr>
            </w:pPr>
            <w:r w:rsidRPr="002176B5">
              <w:rPr>
                <w:rStyle w:val="InstructionsTabelleText"/>
                <w:rFonts w:ascii="Times New Roman" w:hAnsi="Times New Roman"/>
                <w:sz w:val="24"/>
              </w:rPr>
              <w:t xml:space="preserve">Články 486 ods. 2 až 5 </w:t>
            </w:r>
            <w:r w:rsidRPr="002176B5">
              <w:rPr>
                <w:rFonts w:ascii="Times New Roman" w:hAnsi="Times New Roman"/>
                <w:sz w:val="24"/>
              </w:rPr>
              <w:t>nariadenia (EÚ) č. 575/2013</w:t>
            </w:r>
          </w:p>
        </w:tc>
      </w:tr>
      <w:tr w:rsidR="00CC7D2C" w:rsidRPr="002176B5" w14:paraId="156646FC" w14:textId="77777777" w:rsidTr="00822842">
        <w:tc>
          <w:tcPr>
            <w:tcW w:w="703" w:type="dxa"/>
          </w:tcPr>
          <w:p w14:paraId="53F192A2" w14:textId="77777777" w:rsidR="00CC7D2C" w:rsidRPr="002176B5" w:rsidRDefault="00CC7D2C" w:rsidP="00822842">
            <w:pPr>
              <w:pStyle w:val="body"/>
              <w:rPr>
                <w:rStyle w:val="InstructionsTabelleText"/>
                <w:rFonts w:ascii="Times New Roman" w:hAnsi="Times New Roman"/>
                <w:sz w:val="24"/>
              </w:rPr>
            </w:pPr>
            <w:r w:rsidRPr="002176B5">
              <w:rPr>
                <w:rStyle w:val="InstructionsTabelleText"/>
                <w:rFonts w:ascii="Times New Roman" w:hAnsi="Times New Roman"/>
                <w:sz w:val="24"/>
              </w:rPr>
              <w:t>0060</w:t>
            </w:r>
          </w:p>
        </w:tc>
        <w:tc>
          <w:tcPr>
            <w:tcW w:w="7478" w:type="dxa"/>
          </w:tcPr>
          <w:p w14:paraId="759344B0" w14:textId="77777777" w:rsidR="00CC7D2C" w:rsidRPr="002176B5" w:rsidRDefault="00CC7D2C" w:rsidP="00822842">
            <w:pPr>
              <w:pStyle w:val="body"/>
              <w:rPr>
                <w:rStyle w:val="InstructionsTabelleberschrift"/>
                <w:rFonts w:ascii="Times New Roman" w:hAnsi="Times New Roman"/>
                <w:sz w:val="24"/>
              </w:rPr>
            </w:pPr>
            <w:r w:rsidRPr="002176B5">
              <w:rPr>
                <w:rStyle w:val="InstructionsTabelleberschrift"/>
                <w:rFonts w:ascii="Times New Roman" w:hAnsi="Times New Roman"/>
                <w:sz w:val="24"/>
              </w:rPr>
              <w:t>Celková hodnota zachovania predchádzajúceho stavu</w:t>
            </w:r>
          </w:p>
          <w:p w14:paraId="2DBF0D19" w14:textId="0E27C514" w:rsidR="00CC7D2C" w:rsidRPr="002176B5" w:rsidRDefault="00CC7D2C" w:rsidP="00822842">
            <w:pPr>
              <w:pStyle w:val="body"/>
              <w:rPr>
                <w:rStyle w:val="InstructionsTabelleText"/>
                <w:rFonts w:ascii="Times New Roman" w:hAnsi="Times New Roman"/>
                <w:sz w:val="24"/>
              </w:rPr>
            </w:pPr>
            <w:r w:rsidRPr="002176B5">
              <w:rPr>
                <w:rStyle w:val="InstructionsTabelleText"/>
                <w:rFonts w:ascii="Times New Roman" w:hAnsi="Times New Roman"/>
                <w:sz w:val="24"/>
              </w:rPr>
              <w:t>Vykazovaná hodnota sa rovná hodnotám vykázaným</w:t>
            </w:r>
            <w:r w:rsidR="002176B5">
              <w:rPr>
                <w:rStyle w:val="InstructionsTabelleText"/>
                <w:rFonts w:ascii="Times New Roman" w:hAnsi="Times New Roman"/>
                <w:sz w:val="24"/>
              </w:rPr>
              <w:t xml:space="preserve"> v </w:t>
            </w:r>
            <w:r w:rsidRPr="002176B5">
              <w:rPr>
                <w:rStyle w:val="InstructionsTabelleText"/>
                <w:rFonts w:ascii="Times New Roman" w:hAnsi="Times New Roman"/>
                <w:sz w:val="24"/>
              </w:rPr>
              <w:t>príslušných stĺpcoch</w:t>
            </w:r>
            <w:r w:rsidR="002176B5">
              <w:rPr>
                <w:rStyle w:val="InstructionsTabelleText"/>
                <w:rFonts w:ascii="Times New Roman" w:hAnsi="Times New Roman"/>
                <w:sz w:val="24"/>
              </w:rPr>
              <w:t xml:space="preserve"> v </w:t>
            </w:r>
            <w:r w:rsidRPr="002176B5">
              <w:rPr>
                <w:rStyle w:val="InstructionsTabelleText"/>
                <w:rFonts w:ascii="Times New Roman" w:hAnsi="Times New Roman"/>
                <w:sz w:val="24"/>
              </w:rPr>
              <w:t>riadku 060 vzoru CA5.1.</w:t>
            </w:r>
          </w:p>
        </w:tc>
      </w:tr>
    </w:tbl>
    <w:p w14:paraId="0FBDEF4B" w14:textId="77777777" w:rsidR="00CC7D2C" w:rsidRPr="002176B5" w:rsidRDefault="00CC7D2C" w:rsidP="00CC7D2C">
      <w:pPr>
        <w:pStyle w:val="body"/>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CC7D2C" w:rsidRPr="002176B5" w14:paraId="652B779B" w14:textId="77777777" w:rsidTr="00822842">
        <w:tc>
          <w:tcPr>
            <w:tcW w:w="8181" w:type="dxa"/>
            <w:gridSpan w:val="2"/>
            <w:shd w:val="clear" w:color="auto" w:fill="D9D9D9"/>
          </w:tcPr>
          <w:p w14:paraId="0491B723" w14:textId="77777777" w:rsidR="00CC7D2C" w:rsidRPr="002176B5" w:rsidRDefault="00CC7D2C" w:rsidP="00822842">
            <w:pPr>
              <w:pStyle w:val="body"/>
            </w:pPr>
            <w:r w:rsidRPr="002176B5">
              <w:t>Riadky</w:t>
            </w:r>
          </w:p>
        </w:tc>
      </w:tr>
      <w:tr w:rsidR="00CC7D2C" w:rsidRPr="002176B5" w14:paraId="62945B5D" w14:textId="77777777" w:rsidTr="00822842">
        <w:tc>
          <w:tcPr>
            <w:tcW w:w="703" w:type="dxa"/>
          </w:tcPr>
          <w:p w14:paraId="4F98507F" w14:textId="77777777" w:rsidR="00CC7D2C" w:rsidRPr="002176B5" w:rsidRDefault="00CC7D2C" w:rsidP="00822842">
            <w:pPr>
              <w:pStyle w:val="body"/>
              <w:rPr>
                <w:rStyle w:val="InstructionsTabelleText"/>
                <w:rFonts w:ascii="Times New Roman" w:hAnsi="Times New Roman"/>
                <w:sz w:val="24"/>
              </w:rPr>
            </w:pPr>
            <w:r w:rsidRPr="002176B5">
              <w:rPr>
                <w:rStyle w:val="InstructionsTabelleText"/>
                <w:rFonts w:ascii="Times New Roman" w:hAnsi="Times New Roman"/>
                <w:sz w:val="24"/>
              </w:rPr>
              <w:lastRenderedPageBreak/>
              <w:t>0010</w:t>
            </w:r>
          </w:p>
        </w:tc>
        <w:tc>
          <w:tcPr>
            <w:tcW w:w="7478" w:type="dxa"/>
          </w:tcPr>
          <w:p w14:paraId="2154F427" w14:textId="77777777" w:rsidR="00CC7D2C" w:rsidRPr="002176B5" w:rsidRDefault="00CC7D2C" w:rsidP="00822842">
            <w:pPr>
              <w:pStyle w:val="body"/>
              <w:rPr>
                <w:rStyle w:val="InstructionsTabelleberschrift"/>
                <w:rFonts w:ascii="Times New Roman" w:hAnsi="Times New Roman"/>
                <w:sz w:val="24"/>
              </w:rPr>
            </w:pPr>
            <w:r w:rsidRPr="002176B5">
              <w:rPr>
                <w:rStyle w:val="InstructionsTabelleberschrift"/>
                <w:rFonts w:ascii="Times New Roman" w:hAnsi="Times New Roman"/>
                <w:sz w:val="24"/>
              </w:rPr>
              <w:t>1.</w:t>
            </w:r>
            <w:r w:rsidRPr="002176B5">
              <w:tab/>
            </w:r>
            <w:r w:rsidRPr="002176B5">
              <w:rPr>
                <w:rStyle w:val="InstructionsTabelleberschrift"/>
                <w:rFonts w:ascii="Times New Roman" w:hAnsi="Times New Roman"/>
                <w:sz w:val="24"/>
              </w:rPr>
              <w:t>Nástroje, ktoré sa kvalifikovali pre písmeno a) článku 57 smernice 2006/48/ES</w:t>
            </w:r>
          </w:p>
          <w:p w14:paraId="532731BE" w14:textId="77777777" w:rsidR="00CC7D2C" w:rsidRPr="002176B5" w:rsidRDefault="00CC7D2C" w:rsidP="00822842">
            <w:pPr>
              <w:pStyle w:val="body"/>
              <w:rPr>
                <w:rStyle w:val="InstructionsTabelleText"/>
                <w:rFonts w:ascii="Times New Roman" w:hAnsi="Times New Roman"/>
                <w:sz w:val="24"/>
              </w:rPr>
            </w:pPr>
            <w:r w:rsidRPr="002176B5">
              <w:rPr>
                <w:rStyle w:val="InstructionsTabelleText"/>
                <w:rFonts w:ascii="Times New Roman" w:hAnsi="Times New Roman"/>
                <w:sz w:val="24"/>
              </w:rPr>
              <w:t xml:space="preserve">Článok 484 ods. 3 </w:t>
            </w:r>
            <w:r w:rsidRPr="002176B5">
              <w:rPr>
                <w:rFonts w:ascii="Times New Roman" w:hAnsi="Times New Roman"/>
                <w:sz w:val="24"/>
              </w:rPr>
              <w:t>nariadenia (EÚ) č. 575/2013</w:t>
            </w:r>
          </w:p>
          <w:p w14:paraId="21AC1AFF" w14:textId="77777777" w:rsidR="00CC7D2C" w:rsidRPr="002176B5" w:rsidRDefault="00CC7D2C" w:rsidP="00822842">
            <w:pPr>
              <w:pStyle w:val="body"/>
              <w:rPr>
                <w:rStyle w:val="InstructionsTabelleText"/>
                <w:rFonts w:ascii="Times New Roman" w:hAnsi="Times New Roman"/>
                <w:sz w:val="24"/>
              </w:rPr>
            </w:pPr>
            <w:r w:rsidRPr="002176B5">
              <w:rPr>
                <w:rStyle w:val="InstructionsTabelleText"/>
                <w:rFonts w:ascii="Times New Roman" w:hAnsi="Times New Roman"/>
                <w:sz w:val="24"/>
              </w:rPr>
              <w:t>Vykazovaná hodnota zahŕňa súvisiace účty emisného ážia.</w:t>
            </w:r>
          </w:p>
        </w:tc>
      </w:tr>
      <w:tr w:rsidR="00CC7D2C" w:rsidRPr="002176B5" w14:paraId="545DA38E" w14:textId="77777777" w:rsidTr="00822842">
        <w:tc>
          <w:tcPr>
            <w:tcW w:w="703" w:type="dxa"/>
          </w:tcPr>
          <w:p w14:paraId="7081D77F" w14:textId="77777777" w:rsidR="00CC7D2C" w:rsidRPr="002176B5" w:rsidRDefault="00CC7D2C" w:rsidP="00822842">
            <w:pPr>
              <w:pStyle w:val="body"/>
              <w:rPr>
                <w:rStyle w:val="InstructionsTabelleText"/>
                <w:rFonts w:ascii="Times New Roman" w:hAnsi="Times New Roman"/>
                <w:sz w:val="24"/>
              </w:rPr>
            </w:pPr>
            <w:r w:rsidRPr="002176B5">
              <w:rPr>
                <w:rStyle w:val="InstructionsTabelleText"/>
                <w:rFonts w:ascii="Times New Roman" w:hAnsi="Times New Roman"/>
                <w:sz w:val="24"/>
              </w:rPr>
              <w:t>0020</w:t>
            </w:r>
          </w:p>
        </w:tc>
        <w:tc>
          <w:tcPr>
            <w:tcW w:w="7478" w:type="dxa"/>
          </w:tcPr>
          <w:p w14:paraId="403525BD" w14:textId="71CF8294" w:rsidR="00CC7D2C" w:rsidRPr="002176B5" w:rsidRDefault="00CC7D2C" w:rsidP="00822842">
            <w:pPr>
              <w:pStyle w:val="body"/>
              <w:rPr>
                <w:rStyle w:val="InstructionsTabelleText"/>
                <w:rFonts w:ascii="Times New Roman" w:hAnsi="Times New Roman"/>
                <w:b/>
                <w:sz w:val="24"/>
                <w:u w:val="single"/>
              </w:rPr>
            </w:pPr>
            <w:r w:rsidRPr="002176B5">
              <w:rPr>
                <w:rStyle w:val="InstructionsTabelleberschrift"/>
                <w:rFonts w:ascii="Times New Roman" w:hAnsi="Times New Roman"/>
                <w:sz w:val="24"/>
              </w:rPr>
              <w:t>2.</w:t>
            </w:r>
            <w:r w:rsidRPr="002176B5">
              <w:tab/>
            </w:r>
            <w:r w:rsidRPr="002176B5">
              <w:rPr>
                <w:rStyle w:val="InstructionsTabelleberschrift"/>
                <w:rFonts w:ascii="Times New Roman" w:hAnsi="Times New Roman"/>
                <w:sz w:val="24"/>
              </w:rPr>
              <w:t xml:space="preserve">Nástroje, ktoré sa kvalifikovali pre písmeno </w:t>
            </w:r>
            <w:proofErr w:type="spellStart"/>
            <w:r w:rsidRPr="002176B5">
              <w:rPr>
                <w:rStyle w:val="InstructionsTabelleberschrift"/>
                <w:rFonts w:ascii="Times New Roman" w:hAnsi="Times New Roman"/>
                <w:sz w:val="24"/>
              </w:rPr>
              <w:t>ca</w:t>
            </w:r>
            <w:proofErr w:type="spellEnd"/>
            <w:r w:rsidRPr="002176B5">
              <w:rPr>
                <w:rStyle w:val="InstructionsTabelleberschrift"/>
                <w:rFonts w:ascii="Times New Roman" w:hAnsi="Times New Roman"/>
                <w:sz w:val="24"/>
              </w:rPr>
              <w:t>) článku 57</w:t>
            </w:r>
            <w:r w:rsidR="002176B5">
              <w:rPr>
                <w:rStyle w:val="InstructionsTabelleberschrift"/>
                <w:rFonts w:ascii="Times New Roman" w:hAnsi="Times New Roman"/>
                <w:sz w:val="24"/>
              </w:rPr>
              <w:t xml:space="preserve"> a </w:t>
            </w:r>
            <w:r w:rsidRPr="002176B5">
              <w:rPr>
                <w:rStyle w:val="InstructionsTabelleberschrift"/>
                <w:rFonts w:ascii="Times New Roman" w:hAnsi="Times New Roman"/>
                <w:sz w:val="24"/>
              </w:rPr>
              <w:t>článok 154 ods. 8</w:t>
            </w:r>
            <w:r w:rsidR="002176B5">
              <w:rPr>
                <w:rStyle w:val="InstructionsTabelleberschrift"/>
                <w:rFonts w:ascii="Times New Roman" w:hAnsi="Times New Roman"/>
                <w:sz w:val="24"/>
              </w:rPr>
              <w:t xml:space="preserve"> a </w:t>
            </w:r>
            <w:r w:rsidRPr="002176B5">
              <w:rPr>
                <w:rStyle w:val="InstructionsTabelleberschrift"/>
                <w:rFonts w:ascii="Times New Roman" w:hAnsi="Times New Roman"/>
                <w:sz w:val="24"/>
              </w:rPr>
              <w:t>9 smernice 2006/48/ES,</w:t>
            </w:r>
            <w:r w:rsidR="002176B5">
              <w:rPr>
                <w:rStyle w:val="InstructionsTabelleberschrift"/>
                <w:rFonts w:ascii="Times New Roman" w:hAnsi="Times New Roman"/>
                <w:sz w:val="24"/>
              </w:rPr>
              <w:t xml:space="preserve"> s </w:t>
            </w:r>
            <w:r w:rsidRPr="002176B5">
              <w:rPr>
                <w:rStyle w:val="InstructionsTabelleberschrift"/>
                <w:rFonts w:ascii="Times New Roman" w:hAnsi="Times New Roman"/>
                <w:sz w:val="24"/>
              </w:rPr>
              <w:t>výhradou obmedzenia podľa článku 489 nariadenia (EÚ) č. 575/2013</w:t>
            </w:r>
          </w:p>
          <w:p w14:paraId="51F58E37" w14:textId="77777777" w:rsidR="00CC7D2C" w:rsidRPr="002176B5" w:rsidRDefault="00CC7D2C" w:rsidP="00822842">
            <w:pPr>
              <w:pStyle w:val="body"/>
              <w:rPr>
                <w:rStyle w:val="InstructionsTabelleText"/>
                <w:rFonts w:ascii="Times New Roman" w:hAnsi="Times New Roman"/>
                <w:sz w:val="24"/>
              </w:rPr>
            </w:pPr>
            <w:r w:rsidRPr="002176B5">
              <w:rPr>
                <w:rStyle w:val="InstructionsTabelleText"/>
                <w:rFonts w:ascii="Times New Roman" w:hAnsi="Times New Roman"/>
                <w:sz w:val="24"/>
              </w:rPr>
              <w:t xml:space="preserve">Článok 484 ods. 4 </w:t>
            </w:r>
            <w:r w:rsidRPr="002176B5">
              <w:rPr>
                <w:rFonts w:ascii="Times New Roman" w:hAnsi="Times New Roman"/>
                <w:sz w:val="24"/>
              </w:rPr>
              <w:t>nariadenia (EÚ) č. 575/2013</w:t>
            </w:r>
          </w:p>
        </w:tc>
      </w:tr>
      <w:tr w:rsidR="00CC7D2C" w:rsidRPr="002176B5" w14:paraId="7BBE613A" w14:textId="77777777" w:rsidTr="00822842">
        <w:tc>
          <w:tcPr>
            <w:tcW w:w="703" w:type="dxa"/>
          </w:tcPr>
          <w:p w14:paraId="275854AE" w14:textId="77777777" w:rsidR="00CC7D2C" w:rsidRPr="002176B5" w:rsidRDefault="00CC7D2C" w:rsidP="00822842">
            <w:pPr>
              <w:pStyle w:val="body"/>
              <w:rPr>
                <w:rStyle w:val="InstructionsTabelleText"/>
                <w:rFonts w:ascii="Times New Roman" w:hAnsi="Times New Roman"/>
                <w:sz w:val="24"/>
              </w:rPr>
            </w:pPr>
            <w:r w:rsidRPr="002176B5">
              <w:rPr>
                <w:rStyle w:val="InstructionsTabelleText"/>
                <w:rFonts w:ascii="Times New Roman" w:hAnsi="Times New Roman"/>
                <w:sz w:val="24"/>
              </w:rPr>
              <w:t>0030</w:t>
            </w:r>
          </w:p>
        </w:tc>
        <w:tc>
          <w:tcPr>
            <w:tcW w:w="7478" w:type="dxa"/>
          </w:tcPr>
          <w:p w14:paraId="02B565BD" w14:textId="77777777" w:rsidR="00CC7D2C" w:rsidRPr="002176B5" w:rsidRDefault="00CC7D2C" w:rsidP="00822842">
            <w:pPr>
              <w:pStyle w:val="body"/>
              <w:rPr>
                <w:rStyle w:val="InstructionsTabelleText"/>
                <w:rFonts w:ascii="Times New Roman" w:hAnsi="Times New Roman"/>
                <w:b/>
                <w:sz w:val="24"/>
                <w:u w:val="single"/>
              </w:rPr>
            </w:pPr>
            <w:r w:rsidRPr="002176B5">
              <w:rPr>
                <w:rStyle w:val="InstructionsTabelleberschrift"/>
                <w:rFonts w:ascii="Times New Roman" w:hAnsi="Times New Roman"/>
                <w:sz w:val="24"/>
              </w:rPr>
              <w:t>2.1.</w:t>
            </w:r>
            <w:r w:rsidRPr="002176B5">
              <w:tab/>
            </w:r>
            <w:r w:rsidRPr="002176B5">
              <w:rPr>
                <w:rStyle w:val="InstructionsTabelleberschrift"/>
                <w:rFonts w:ascii="Times New Roman" w:hAnsi="Times New Roman"/>
                <w:sz w:val="24"/>
              </w:rPr>
              <w:t>Celkové nástroje bez kúpnej opcie alebo motivácie na splatenie</w:t>
            </w:r>
          </w:p>
          <w:p w14:paraId="040CC4ED" w14:textId="394FAC4B" w:rsidR="00CC7D2C" w:rsidRPr="002176B5" w:rsidRDefault="00CC7D2C" w:rsidP="00822842">
            <w:pPr>
              <w:pStyle w:val="body"/>
              <w:rPr>
                <w:rStyle w:val="InstructionsTabelleText"/>
                <w:rFonts w:ascii="Times New Roman" w:hAnsi="Times New Roman"/>
                <w:bCs/>
                <w:sz w:val="24"/>
              </w:rPr>
            </w:pPr>
            <w:r w:rsidRPr="002176B5">
              <w:rPr>
                <w:rStyle w:val="InstructionsTabelleText"/>
                <w:rFonts w:ascii="Times New Roman" w:hAnsi="Times New Roman"/>
                <w:sz w:val="24"/>
              </w:rPr>
              <w:t>Článok 484 ods. 4</w:t>
            </w:r>
            <w:r w:rsidR="002176B5">
              <w:rPr>
                <w:rStyle w:val="InstructionsTabelleText"/>
                <w:rFonts w:ascii="Times New Roman" w:hAnsi="Times New Roman"/>
                <w:sz w:val="24"/>
              </w:rPr>
              <w:t xml:space="preserve"> a </w:t>
            </w:r>
            <w:r w:rsidRPr="002176B5">
              <w:rPr>
                <w:rStyle w:val="InstructionsTabelleText"/>
                <w:rFonts w:ascii="Times New Roman" w:hAnsi="Times New Roman"/>
                <w:sz w:val="24"/>
              </w:rPr>
              <w:t>článok 489</w:t>
            </w:r>
            <w:r w:rsidRPr="002176B5">
              <w:rPr>
                <w:rFonts w:ascii="Times New Roman" w:hAnsi="Times New Roman"/>
                <w:sz w:val="24"/>
              </w:rPr>
              <w:t xml:space="preserve"> nariadenia (EÚ) č. 575/2013</w:t>
            </w:r>
          </w:p>
          <w:p w14:paraId="78EB7397" w14:textId="77777777" w:rsidR="00CC7D2C" w:rsidRPr="002176B5" w:rsidRDefault="00CC7D2C" w:rsidP="00822842">
            <w:pPr>
              <w:pStyle w:val="body"/>
              <w:rPr>
                <w:rStyle w:val="InstructionsTabelleText"/>
                <w:rFonts w:ascii="Times New Roman" w:hAnsi="Times New Roman"/>
                <w:sz w:val="24"/>
              </w:rPr>
            </w:pPr>
            <w:r w:rsidRPr="002176B5">
              <w:rPr>
                <w:rStyle w:val="InstructionsTabelleText"/>
                <w:rFonts w:ascii="Times New Roman" w:hAnsi="Times New Roman"/>
                <w:sz w:val="24"/>
              </w:rPr>
              <w:t>Vykazovaná hodnota zahŕňa súvisiace účty emisného ážia.</w:t>
            </w:r>
          </w:p>
        </w:tc>
      </w:tr>
      <w:tr w:rsidR="00CC7D2C" w:rsidRPr="002176B5" w14:paraId="7BA70EA9" w14:textId="77777777" w:rsidTr="00822842">
        <w:tc>
          <w:tcPr>
            <w:tcW w:w="703" w:type="dxa"/>
          </w:tcPr>
          <w:p w14:paraId="51A4E907" w14:textId="77777777" w:rsidR="00CC7D2C" w:rsidRPr="002176B5" w:rsidRDefault="00CC7D2C" w:rsidP="00822842">
            <w:pPr>
              <w:pStyle w:val="body"/>
              <w:rPr>
                <w:rStyle w:val="InstructionsTabelleText"/>
                <w:rFonts w:ascii="Times New Roman" w:hAnsi="Times New Roman"/>
                <w:sz w:val="24"/>
              </w:rPr>
            </w:pPr>
            <w:r w:rsidRPr="002176B5">
              <w:rPr>
                <w:rStyle w:val="InstructionsTabelleText"/>
                <w:rFonts w:ascii="Times New Roman" w:hAnsi="Times New Roman"/>
                <w:sz w:val="24"/>
              </w:rPr>
              <w:t>0040</w:t>
            </w:r>
          </w:p>
        </w:tc>
        <w:tc>
          <w:tcPr>
            <w:tcW w:w="7478" w:type="dxa"/>
          </w:tcPr>
          <w:p w14:paraId="3E8C8E3B" w14:textId="284C4CA1" w:rsidR="00CC7D2C" w:rsidRPr="002176B5" w:rsidRDefault="00CC7D2C" w:rsidP="00822842">
            <w:pPr>
              <w:pStyle w:val="body"/>
              <w:rPr>
                <w:rStyle w:val="InstructionsTabelleText"/>
                <w:rFonts w:ascii="Times New Roman" w:hAnsi="Times New Roman"/>
                <w:b/>
                <w:sz w:val="24"/>
                <w:u w:val="single"/>
              </w:rPr>
            </w:pPr>
            <w:r w:rsidRPr="002176B5">
              <w:rPr>
                <w:rStyle w:val="InstructionsTabelleberschrift"/>
                <w:rFonts w:ascii="Times New Roman" w:hAnsi="Times New Roman"/>
                <w:sz w:val="24"/>
              </w:rPr>
              <w:t>2.2.</w:t>
            </w:r>
            <w:r w:rsidRPr="002176B5">
              <w:tab/>
            </w:r>
            <w:r w:rsidRPr="002176B5">
              <w:rPr>
                <w:rStyle w:val="InstructionsTabelleberschrift"/>
                <w:rFonts w:ascii="Times New Roman" w:hAnsi="Times New Roman"/>
                <w:sz w:val="24"/>
              </w:rPr>
              <w:t>Nástroje zachované</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predchádzajúcom stave</w:t>
            </w:r>
            <w:r w:rsidR="002176B5">
              <w:rPr>
                <w:rStyle w:val="InstructionsTabelleberschrift"/>
                <w:rFonts w:ascii="Times New Roman" w:hAnsi="Times New Roman"/>
                <w:sz w:val="24"/>
              </w:rPr>
              <w:t xml:space="preserve"> s </w:t>
            </w:r>
            <w:r w:rsidRPr="002176B5">
              <w:rPr>
                <w:rStyle w:val="InstructionsTabelleberschrift"/>
                <w:rFonts w:ascii="Times New Roman" w:hAnsi="Times New Roman"/>
                <w:sz w:val="24"/>
              </w:rPr>
              <w:t>kúpnou opciou</w:t>
            </w:r>
            <w:r w:rsidR="002176B5">
              <w:rPr>
                <w:rStyle w:val="InstructionsTabelleberschrift"/>
                <w:rFonts w:ascii="Times New Roman" w:hAnsi="Times New Roman"/>
                <w:sz w:val="24"/>
              </w:rPr>
              <w:t xml:space="preserve"> a </w:t>
            </w:r>
            <w:r w:rsidRPr="002176B5">
              <w:rPr>
                <w:rStyle w:val="InstructionsTabelleberschrift"/>
                <w:rFonts w:ascii="Times New Roman" w:hAnsi="Times New Roman"/>
                <w:sz w:val="24"/>
              </w:rPr>
              <w:t>motiváciou na splatenie</w:t>
            </w:r>
          </w:p>
          <w:p w14:paraId="31393B5C" w14:textId="77777777" w:rsidR="00CC7D2C" w:rsidRPr="002176B5" w:rsidRDefault="00CC7D2C" w:rsidP="00822842">
            <w:pPr>
              <w:pStyle w:val="body"/>
              <w:rPr>
                <w:rStyle w:val="InstructionsTabelleText"/>
                <w:rFonts w:ascii="Times New Roman" w:hAnsi="Times New Roman"/>
                <w:bCs/>
                <w:sz w:val="24"/>
              </w:rPr>
            </w:pPr>
            <w:r w:rsidRPr="002176B5">
              <w:rPr>
                <w:rStyle w:val="InstructionsTabelleText"/>
                <w:rFonts w:ascii="Times New Roman" w:hAnsi="Times New Roman"/>
                <w:sz w:val="24"/>
              </w:rPr>
              <w:t xml:space="preserve">Článok 489 </w:t>
            </w:r>
            <w:r w:rsidRPr="002176B5">
              <w:rPr>
                <w:rFonts w:ascii="Times New Roman" w:hAnsi="Times New Roman"/>
                <w:sz w:val="24"/>
              </w:rPr>
              <w:t>nariadenia (EÚ) č. 575/2013</w:t>
            </w:r>
          </w:p>
        </w:tc>
      </w:tr>
      <w:tr w:rsidR="00CC7D2C" w:rsidRPr="002176B5" w14:paraId="686725ED" w14:textId="77777777" w:rsidTr="00822842">
        <w:tc>
          <w:tcPr>
            <w:tcW w:w="703" w:type="dxa"/>
          </w:tcPr>
          <w:p w14:paraId="52EA6C38" w14:textId="77777777" w:rsidR="00CC7D2C" w:rsidRPr="002176B5" w:rsidRDefault="00CC7D2C" w:rsidP="00822842">
            <w:pPr>
              <w:pStyle w:val="body"/>
              <w:rPr>
                <w:rStyle w:val="InstructionsTabelleText"/>
                <w:rFonts w:ascii="Times New Roman" w:hAnsi="Times New Roman"/>
                <w:sz w:val="24"/>
              </w:rPr>
            </w:pPr>
            <w:r w:rsidRPr="002176B5">
              <w:rPr>
                <w:rStyle w:val="InstructionsTabelleText"/>
                <w:rFonts w:ascii="Times New Roman" w:hAnsi="Times New Roman"/>
                <w:sz w:val="24"/>
              </w:rPr>
              <w:t>0050</w:t>
            </w:r>
          </w:p>
        </w:tc>
        <w:tc>
          <w:tcPr>
            <w:tcW w:w="7478" w:type="dxa"/>
          </w:tcPr>
          <w:p w14:paraId="06467FE2" w14:textId="6FAE4C9B" w:rsidR="00CC7D2C" w:rsidRPr="002176B5" w:rsidRDefault="00CC7D2C" w:rsidP="00822842">
            <w:pPr>
              <w:pStyle w:val="body"/>
              <w:rPr>
                <w:rStyle w:val="InstructionsTabelleText"/>
                <w:rFonts w:ascii="Times New Roman" w:hAnsi="Times New Roman"/>
                <w:b/>
                <w:bCs/>
                <w:sz w:val="24"/>
                <w:u w:val="single"/>
              </w:rPr>
            </w:pPr>
            <w:r w:rsidRPr="002176B5">
              <w:rPr>
                <w:rStyle w:val="InstructionsTabelleberschrift"/>
                <w:rFonts w:ascii="Times New Roman" w:hAnsi="Times New Roman"/>
                <w:sz w:val="24"/>
              </w:rPr>
              <w:t>2.2.1.</w:t>
            </w:r>
            <w:r w:rsidRPr="002176B5">
              <w:tab/>
            </w:r>
            <w:r w:rsidRPr="002176B5">
              <w:rPr>
                <w:rStyle w:val="InstructionsTabelleberschrift"/>
                <w:rFonts w:ascii="Times New Roman" w:hAnsi="Times New Roman"/>
                <w:sz w:val="24"/>
              </w:rPr>
              <w:t>Nástroje</w:t>
            </w:r>
            <w:r w:rsidR="002176B5">
              <w:rPr>
                <w:rStyle w:val="InstructionsTabelleberschrift"/>
                <w:rFonts w:ascii="Times New Roman" w:hAnsi="Times New Roman"/>
                <w:sz w:val="24"/>
              </w:rPr>
              <w:t xml:space="preserve"> s </w:t>
            </w:r>
            <w:r w:rsidRPr="002176B5">
              <w:rPr>
                <w:rStyle w:val="InstructionsTabelleberschrift"/>
                <w:rFonts w:ascii="Times New Roman" w:hAnsi="Times New Roman"/>
                <w:sz w:val="24"/>
              </w:rPr>
              <w:t>kúpnou opciou uplatniteľnou po dátume vykazovania, ktoré spĺňajú podmienky stanovené</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článku 52 nariadenia (EÚ) č. 575/2013 po dátume efektívnej splatnosti</w:t>
            </w:r>
          </w:p>
          <w:p w14:paraId="59A4A4EB" w14:textId="1BF37C61" w:rsidR="00CC7D2C" w:rsidRPr="002176B5" w:rsidRDefault="00CC7D2C" w:rsidP="00822842">
            <w:pPr>
              <w:pStyle w:val="body"/>
              <w:rPr>
                <w:rStyle w:val="InstructionsTabelleText"/>
                <w:rFonts w:ascii="Times New Roman" w:hAnsi="Times New Roman"/>
                <w:sz w:val="24"/>
              </w:rPr>
            </w:pPr>
            <w:r w:rsidRPr="002176B5">
              <w:rPr>
                <w:rStyle w:val="InstructionsTabelleText"/>
                <w:rFonts w:ascii="Times New Roman" w:hAnsi="Times New Roman"/>
                <w:sz w:val="24"/>
              </w:rPr>
              <w:t>Článok 489 ods. 3</w:t>
            </w:r>
            <w:r w:rsidR="002176B5">
              <w:rPr>
                <w:rStyle w:val="InstructionsTabelleText"/>
                <w:rFonts w:ascii="Times New Roman" w:hAnsi="Times New Roman"/>
                <w:sz w:val="24"/>
              </w:rPr>
              <w:t xml:space="preserve"> a </w:t>
            </w:r>
            <w:r w:rsidRPr="002176B5">
              <w:rPr>
                <w:rStyle w:val="InstructionsTabelleText"/>
                <w:rFonts w:ascii="Times New Roman" w:hAnsi="Times New Roman"/>
                <w:sz w:val="24"/>
              </w:rPr>
              <w:t xml:space="preserve">článok 491 písm. a) </w:t>
            </w:r>
            <w:r w:rsidRPr="002176B5">
              <w:rPr>
                <w:rFonts w:ascii="Times New Roman" w:hAnsi="Times New Roman"/>
                <w:sz w:val="24"/>
              </w:rPr>
              <w:t>nariadenia (EÚ) č. 575/2013</w:t>
            </w:r>
          </w:p>
          <w:p w14:paraId="1C579E78" w14:textId="77777777" w:rsidR="00CC7D2C" w:rsidRPr="002176B5" w:rsidRDefault="00CC7D2C" w:rsidP="00822842">
            <w:pPr>
              <w:pStyle w:val="body"/>
              <w:rPr>
                <w:rStyle w:val="InstructionsTabelleText"/>
                <w:rFonts w:ascii="Times New Roman" w:hAnsi="Times New Roman"/>
                <w:sz w:val="24"/>
              </w:rPr>
            </w:pPr>
            <w:r w:rsidRPr="002176B5">
              <w:rPr>
                <w:rStyle w:val="InstructionsTabelleText"/>
                <w:rFonts w:ascii="Times New Roman" w:hAnsi="Times New Roman"/>
                <w:sz w:val="24"/>
              </w:rPr>
              <w:t>Vykazovaná hodnota zahŕňa súvisiace účty emisného ážia.</w:t>
            </w:r>
          </w:p>
        </w:tc>
      </w:tr>
      <w:tr w:rsidR="00CC7D2C" w:rsidRPr="002176B5" w14:paraId="3E607C9E" w14:textId="77777777" w:rsidTr="00822842">
        <w:tc>
          <w:tcPr>
            <w:tcW w:w="703" w:type="dxa"/>
          </w:tcPr>
          <w:p w14:paraId="5826E81D" w14:textId="77777777" w:rsidR="00CC7D2C" w:rsidRPr="002176B5" w:rsidRDefault="00CC7D2C" w:rsidP="00822842">
            <w:pPr>
              <w:pStyle w:val="body"/>
              <w:rPr>
                <w:rStyle w:val="InstructionsTabelleText"/>
                <w:rFonts w:ascii="Times New Roman" w:hAnsi="Times New Roman"/>
                <w:sz w:val="24"/>
              </w:rPr>
            </w:pPr>
            <w:r w:rsidRPr="002176B5">
              <w:rPr>
                <w:rStyle w:val="InstructionsTabelleText"/>
                <w:rFonts w:ascii="Times New Roman" w:hAnsi="Times New Roman"/>
                <w:sz w:val="24"/>
              </w:rPr>
              <w:t>0060</w:t>
            </w:r>
          </w:p>
        </w:tc>
        <w:tc>
          <w:tcPr>
            <w:tcW w:w="7478" w:type="dxa"/>
          </w:tcPr>
          <w:p w14:paraId="67A37367" w14:textId="65D61FA2" w:rsidR="00CC7D2C" w:rsidRPr="002176B5" w:rsidRDefault="00CC7D2C" w:rsidP="00822842">
            <w:pPr>
              <w:pStyle w:val="body"/>
              <w:rPr>
                <w:rStyle w:val="InstructionsTabelleText"/>
                <w:rFonts w:ascii="Times New Roman" w:hAnsi="Times New Roman"/>
                <w:b/>
                <w:sz w:val="24"/>
                <w:u w:val="single"/>
              </w:rPr>
            </w:pPr>
            <w:r w:rsidRPr="002176B5">
              <w:rPr>
                <w:rStyle w:val="InstructionsTabelleberschrift"/>
                <w:rFonts w:ascii="Times New Roman" w:hAnsi="Times New Roman"/>
                <w:sz w:val="24"/>
              </w:rPr>
              <w:t>2.2.2.</w:t>
            </w:r>
            <w:r w:rsidRPr="002176B5">
              <w:tab/>
            </w:r>
            <w:r w:rsidRPr="002176B5">
              <w:rPr>
                <w:rStyle w:val="InstructionsTabelleberschrift"/>
                <w:rFonts w:ascii="Times New Roman" w:hAnsi="Times New Roman"/>
                <w:sz w:val="24"/>
              </w:rPr>
              <w:t>Nástroje</w:t>
            </w:r>
            <w:r w:rsidR="002176B5">
              <w:rPr>
                <w:rStyle w:val="InstructionsTabelleberschrift"/>
                <w:rFonts w:ascii="Times New Roman" w:hAnsi="Times New Roman"/>
                <w:sz w:val="24"/>
              </w:rPr>
              <w:t xml:space="preserve"> s </w:t>
            </w:r>
            <w:r w:rsidRPr="002176B5">
              <w:rPr>
                <w:rStyle w:val="InstructionsTabelleberschrift"/>
                <w:rFonts w:ascii="Times New Roman" w:hAnsi="Times New Roman"/>
                <w:sz w:val="24"/>
              </w:rPr>
              <w:t>kúpnou opciou uplatniteľnou po dátume vykazovania, ktoré nespĺňajú podmienky stanovené</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článku 52 nariadenia (EÚ) č. 575/2013 po dátume efektívnej splatnosti</w:t>
            </w:r>
          </w:p>
          <w:p w14:paraId="048F3294" w14:textId="37AA8648" w:rsidR="00CC7D2C" w:rsidRPr="002176B5" w:rsidRDefault="00CC7D2C" w:rsidP="00822842">
            <w:pPr>
              <w:pStyle w:val="body"/>
              <w:rPr>
                <w:rStyle w:val="InstructionsTabelleText"/>
                <w:rFonts w:ascii="Times New Roman" w:hAnsi="Times New Roman"/>
                <w:sz w:val="24"/>
              </w:rPr>
            </w:pPr>
            <w:r w:rsidRPr="002176B5">
              <w:rPr>
                <w:rStyle w:val="InstructionsTabelleText"/>
                <w:rFonts w:ascii="Times New Roman" w:hAnsi="Times New Roman"/>
                <w:sz w:val="24"/>
              </w:rPr>
              <w:t>Článok 489 ods. 5</w:t>
            </w:r>
            <w:r w:rsidR="002176B5">
              <w:rPr>
                <w:rStyle w:val="InstructionsTabelleText"/>
                <w:rFonts w:ascii="Times New Roman" w:hAnsi="Times New Roman"/>
                <w:sz w:val="24"/>
              </w:rPr>
              <w:t xml:space="preserve"> a </w:t>
            </w:r>
            <w:r w:rsidRPr="002176B5">
              <w:rPr>
                <w:rStyle w:val="InstructionsTabelleText"/>
                <w:rFonts w:ascii="Times New Roman" w:hAnsi="Times New Roman"/>
                <w:sz w:val="24"/>
              </w:rPr>
              <w:t xml:space="preserve">článok 491 písm. a) </w:t>
            </w:r>
            <w:r w:rsidRPr="002176B5">
              <w:rPr>
                <w:rFonts w:ascii="Times New Roman" w:hAnsi="Times New Roman"/>
                <w:sz w:val="24"/>
              </w:rPr>
              <w:t>nariadenia (EÚ) č. 575/2013</w:t>
            </w:r>
          </w:p>
          <w:p w14:paraId="04940A6C" w14:textId="77777777" w:rsidR="00CC7D2C" w:rsidRPr="002176B5" w:rsidRDefault="00CC7D2C" w:rsidP="00822842">
            <w:pPr>
              <w:pStyle w:val="body"/>
              <w:rPr>
                <w:rStyle w:val="InstructionsTabelleText"/>
                <w:rFonts w:ascii="Times New Roman" w:hAnsi="Times New Roman"/>
                <w:sz w:val="24"/>
              </w:rPr>
            </w:pPr>
            <w:r w:rsidRPr="002176B5">
              <w:rPr>
                <w:rStyle w:val="InstructionsTabelleText"/>
                <w:rFonts w:ascii="Times New Roman" w:hAnsi="Times New Roman"/>
                <w:sz w:val="24"/>
              </w:rPr>
              <w:t>Vykazovaná hodnota zahŕňa súvisiace účty emisného ážia.</w:t>
            </w:r>
          </w:p>
        </w:tc>
      </w:tr>
      <w:tr w:rsidR="00CC7D2C" w:rsidRPr="002176B5" w14:paraId="5CBC3FAD" w14:textId="77777777" w:rsidTr="00822842">
        <w:tc>
          <w:tcPr>
            <w:tcW w:w="703" w:type="dxa"/>
          </w:tcPr>
          <w:p w14:paraId="169999C2" w14:textId="77777777" w:rsidR="00CC7D2C" w:rsidRPr="002176B5" w:rsidRDefault="00CC7D2C" w:rsidP="00822842">
            <w:pPr>
              <w:pStyle w:val="body"/>
              <w:rPr>
                <w:rStyle w:val="InstructionsTabelleText"/>
                <w:rFonts w:ascii="Times New Roman" w:hAnsi="Times New Roman"/>
                <w:sz w:val="24"/>
              </w:rPr>
            </w:pPr>
            <w:r w:rsidRPr="002176B5">
              <w:rPr>
                <w:rStyle w:val="InstructionsTabelleText"/>
                <w:rFonts w:ascii="Times New Roman" w:hAnsi="Times New Roman"/>
                <w:sz w:val="24"/>
              </w:rPr>
              <w:t>0070</w:t>
            </w:r>
          </w:p>
        </w:tc>
        <w:tc>
          <w:tcPr>
            <w:tcW w:w="7478" w:type="dxa"/>
          </w:tcPr>
          <w:p w14:paraId="1DAC7195" w14:textId="7795097A" w:rsidR="00CC7D2C" w:rsidRPr="002176B5" w:rsidRDefault="00CC7D2C" w:rsidP="00822842">
            <w:pPr>
              <w:pStyle w:val="body"/>
              <w:rPr>
                <w:rStyle w:val="InstructionsTabelleText"/>
                <w:rFonts w:ascii="Times New Roman" w:hAnsi="Times New Roman"/>
                <w:b/>
                <w:sz w:val="24"/>
                <w:u w:val="single"/>
              </w:rPr>
            </w:pPr>
            <w:r w:rsidRPr="002176B5">
              <w:rPr>
                <w:rStyle w:val="InstructionsTabelleberschrift"/>
                <w:rFonts w:ascii="Times New Roman" w:hAnsi="Times New Roman"/>
                <w:sz w:val="24"/>
              </w:rPr>
              <w:t>2.2.3.</w:t>
            </w:r>
            <w:r w:rsidRPr="002176B5">
              <w:tab/>
            </w:r>
            <w:r w:rsidRPr="002176B5">
              <w:rPr>
                <w:rStyle w:val="InstructionsTabelleberschrift"/>
                <w:rFonts w:ascii="Times New Roman" w:hAnsi="Times New Roman"/>
                <w:sz w:val="24"/>
              </w:rPr>
              <w:t>Nástroje</w:t>
            </w:r>
            <w:r w:rsidR="002176B5">
              <w:rPr>
                <w:rStyle w:val="InstructionsTabelleberschrift"/>
                <w:rFonts w:ascii="Times New Roman" w:hAnsi="Times New Roman"/>
                <w:sz w:val="24"/>
              </w:rPr>
              <w:t xml:space="preserve"> s </w:t>
            </w:r>
            <w:r w:rsidRPr="002176B5">
              <w:rPr>
                <w:rStyle w:val="InstructionsTabelleberschrift"/>
                <w:rFonts w:ascii="Times New Roman" w:hAnsi="Times New Roman"/>
                <w:sz w:val="24"/>
              </w:rPr>
              <w:t>kúpnou opciou uplatniteľnou 20</w:t>
            </w:r>
            <w:r w:rsidR="002176B5">
              <w:rPr>
                <w:rStyle w:val="InstructionsTabelleberschrift"/>
                <w:rFonts w:ascii="Times New Roman" w:hAnsi="Times New Roman"/>
                <w:sz w:val="24"/>
              </w:rPr>
              <w:t>. júla</w:t>
            </w:r>
            <w:r w:rsidRPr="002176B5">
              <w:rPr>
                <w:rStyle w:val="InstructionsTabelleberschrift"/>
                <w:rFonts w:ascii="Times New Roman" w:hAnsi="Times New Roman"/>
                <w:sz w:val="24"/>
              </w:rPr>
              <w:t xml:space="preserve"> 2011 alebo pred týmto dátumom, ktoré nespĺňajú podmienky stanovené</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článku 52 nariadenia (EÚ) č. 575/2013 po dátume efektívnej splatnosti</w:t>
            </w:r>
          </w:p>
          <w:p w14:paraId="7B8E2D41" w14:textId="09594EFA" w:rsidR="00CC7D2C" w:rsidRPr="002176B5" w:rsidRDefault="00CC7D2C" w:rsidP="00822842">
            <w:pPr>
              <w:pStyle w:val="body"/>
              <w:rPr>
                <w:rStyle w:val="InstructionsTabelleText"/>
                <w:rFonts w:ascii="Times New Roman" w:hAnsi="Times New Roman"/>
                <w:sz w:val="24"/>
              </w:rPr>
            </w:pPr>
            <w:r w:rsidRPr="002176B5">
              <w:rPr>
                <w:rStyle w:val="InstructionsTabelleText"/>
                <w:rFonts w:ascii="Times New Roman" w:hAnsi="Times New Roman"/>
                <w:sz w:val="24"/>
              </w:rPr>
              <w:lastRenderedPageBreak/>
              <w:t>Článok 489 ods. 6</w:t>
            </w:r>
            <w:r w:rsidR="002176B5">
              <w:rPr>
                <w:rStyle w:val="InstructionsTabelleText"/>
                <w:rFonts w:ascii="Times New Roman" w:hAnsi="Times New Roman"/>
                <w:sz w:val="24"/>
              </w:rPr>
              <w:t xml:space="preserve"> a </w:t>
            </w:r>
            <w:r w:rsidRPr="002176B5">
              <w:rPr>
                <w:rStyle w:val="InstructionsTabelleText"/>
                <w:rFonts w:ascii="Times New Roman" w:hAnsi="Times New Roman"/>
                <w:sz w:val="24"/>
              </w:rPr>
              <w:t xml:space="preserve">článok 491 písm. c) </w:t>
            </w:r>
            <w:r w:rsidRPr="002176B5">
              <w:rPr>
                <w:rFonts w:ascii="Times New Roman" w:hAnsi="Times New Roman"/>
                <w:sz w:val="24"/>
              </w:rPr>
              <w:t>nariadenia (EÚ) č. 575/2013</w:t>
            </w:r>
          </w:p>
          <w:p w14:paraId="186B056F" w14:textId="77777777" w:rsidR="00CC7D2C" w:rsidRPr="002176B5" w:rsidRDefault="00CC7D2C" w:rsidP="00822842">
            <w:pPr>
              <w:pStyle w:val="body"/>
              <w:rPr>
                <w:rStyle w:val="InstructionsTabelleText"/>
                <w:rFonts w:ascii="Times New Roman" w:hAnsi="Times New Roman"/>
                <w:sz w:val="24"/>
              </w:rPr>
            </w:pPr>
            <w:r w:rsidRPr="002176B5">
              <w:rPr>
                <w:rStyle w:val="InstructionsTabelleText"/>
                <w:rFonts w:ascii="Times New Roman" w:hAnsi="Times New Roman"/>
                <w:sz w:val="24"/>
              </w:rPr>
              <w:t>Vykazovaná hodnota zahŕňa súvisiace účty emisného ážia.</w:t>
            </w:r>
          </w:p>
        </w:tc>
      </w:tr>
      <w:tr w:rsidR="00CC7D2C" w:rsidRPr="002176B5" w14:paraId="34FF31BB" w14:textId="77777777" w:rsidTr="00822842">
        <w:tc>
          <w:tcPr>
            <w:tcW w:w="703" w:type="dxa"/>
          </w:tcPr>
          <w:p w14:paraId="3CE3AD35" w14:textId="77777777" w:rsidR="00CC7D2C" w:rsidRPr="002176B5" w:rsidRDefault="00CC7D2C" w:rsidP="00822842">
            <w:pPr>
              <w:pStyle w:val="body"/>
              <w:rPr>
                <w:rStyle w:val="InstructionsTabelleText"/>
                <w:rFonts w:ascii="Times New Roman" w:hAnsi="Times New Roman"/>
                <w:sz w:val="24"/>
              </w:rPr>
            </w:pPr>
            <w:r w:rsidRPr="002176B5">
              <w:rPr>
                <w:rStyle w:val="InstructionsTabelleText"/>
                <w:rFonts w:ascii="Times New Roman" w:hAnsi="Times New Roman"/>
                <w:sz w:val="24"/>
              </w:rPr>
              <w:lastRenderedPageBreak/>
              <w:t>0080</w:t>
            </w:r>
          </w:p>
        </w:tc>
        <w:tc>
          <w:tcPr>
            <w:tcW w:w="7478" w:type="dxa"/>
          </w:tcPr>
          <w:p w14:paraId="0578B089" w14:textId="6A4D0725" w:rsidR="00CC7D2C" w:rsidRPr="002176B5" w:rsidRDefault="00CC7D2C" w:rsidP="00822842">
            <w:pPr>
              <w:pStyle w:val="body"/>
              <w:rPr>
                <w:rStyle w:val="InstructionsTabelleText"/>
                <w:rFonts w:ascii="Times New Roman" w:hAnsi="Times New Roman"/>
                <w:b/>
                <w:bCs/>
                <w:sz w:val="24"/>
                <w:u w:val="single"/>
              </w:rPr>
            </w:pPr>
            <w:r w:rsidRPr="002176B5">
              <w:rPr>
                <w:rStyle w:val="InstructionsTabelleberschrift"/>
                <w:rFonts w:ascii="Times New Roman" w:hAnsi="Times New Roman"/>
                <w:sz w:val="24"/>
              </w:rPr>
              <w:t>2.3.</w:t>
            </w:r>
            <w:r w:rsidRPr="002176B5">
              <w:tab/>
            </w:r>
            <w:r w:rsidRPr="002176B5">
              <w:rPr>
                <w:rStyle w:val="InstructionsTabelleberschrift"/>
                <w:rFonts w:ascii="Times New Roman" w:hAnsi="Times New Roman"/>
                <w:sz w:val="24"/>
              </w:rPr>
              <w:t>Prekročenie obmedzenia nástrojov CET1 zachovaných</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predchádzajúcom stave</w:t>
            </w:r>
          </w:p>
          <w:p w14:paraId="021928ED" w14:textId="77777777" w:rsidR="00CC7D2C" w:rsidRPr="002176B5" w:rsidRDefault="00CC7D2C" w:rsidP="00822842">
            <w:pPr>
              <w:pStyle w:val="body"/>
              <w:rPr>
                <w:rStyle w:val="InstructionsTabelleText"/>
                <w:rFonts w:ascii="Times New Roman" w:hAnsi="Times New Roman"/>
                <w:sz w:val="24"/>
              </w:rPr>
            </w:pPr>
            <w:r w:rsidRPr="002176B5">
              <w:rPr>
                <w:rStyle w:val="InstructionsTabelleText"/>
                <w:rFonts w:ascii="Times New Roman" w:hAnsi="Times New Roman"/>
                <w:sz w:val="24"/>
              </w:rPr>
              <w:t xml:space="preserve">Článok 487 ods. 1 </w:t>
            </w:r>
            <w:r w:rsidRPr="002176B5">
              <w:rPr>
                <w:rFonts w:ascii="Times New Roman" w:hAnsi="Times New Roman"/>
                <w:sz w:val="24"/>
              </w:rPr>
              <w:t>nariadenia (EÚ) č. 575/2013</w:t>
            </w:r>
          </w:p>
          <w:p w14:paraId="1A43C592" w14:textId="3E211783" w:rsidR="00CC7D2C" w:rsidRPr="002176B5" w:rsidRDefault="00CC7D2C" w:rsidP="00822842">
            <w:pPr>
              <w:pStyle w:val="body"/>
              <w:rPr>
                <w:rStyle w:val="InstructionsTabelleText"/>
                <w:rFonts w:ascii="Times New Roman" w:hAnsi="Times New Roman"/>
                <w:sz w:val="24"/>
              </w:rPr>
            </w:pPr>
            <w:r w:rsidRPr="002176B5">
              <w:rPr>
                <w:rStyle w:val="InstructionsTabelleText"/>
                <w:rFonts w:ascii="Times New Roman" w:hAnsi="Times New Roman"/>
                <w:sz w:val="24"/>
              </w:rPr>
              <w:t>K prekročeniu obmedzenia nástrojov CET1 zachovaných</w:t>
            </w:r>
            <w:r w:rsidR="002176B5">
              <w:rPr>
                <w:rStyle w:val="InstructionsTabelleText"/>
                <w:rFonts w:ascii="Times New Roman" w:hAnsi="Times New Roman"/>
                <w:sz w:val="24"/>
              </w:rPr>
              <w:t xml:space="preserve"> v </w:t>
            </w:r>
            <w:r w:rsidRPr="002176B5">
              <w:rPr>
                <w:rStyle w:val="InstructionsTabelleText"/>
                <w:rFonts w:ascii="Times New Roman" w:hAnsi="Times New Roman"/>
                <w:sz w:val="24"/>
              </w:rPr>
              <w:t>predchádzajúcom stave sa môže pristupovať ako</w:t>
            </w:r>
            <w:r w:rsidR="002176B5">
              <w:rPr>
                <w:rStyle w:val="InstructionsTabelleText"/>
                <w:rFonts w:ascii="Times New Roman" w:hAnsi="Times New Roman"/>
                <w:sz w:val="24"/>
              </w:rPr>
              <w:t xml:space="preserve"> k </w:t>
            </w:r>
            <w:r w:rsidRPr="002176B5">
              <w:rPr>
                <w:rStyle w:val="InstructionsTabelleText"/>
                <w:rFonts w:ascii="Times New Roman" w:hAnsi="Times New Roman"/>
                <w:sz w:val="24"/>
              </w:rPr>
              <w:t>nástrojom, ktoré možno zachovať</w:t>
            </w:r>
            <w:r w:rsidR="002176B5">
              <w:rPr>
                <w:rStyle w:val="InstructionsTabelleText"/>
                <w:rFonts w:ascii="Times New Roman" w:hAnsi="Times New Roman"/>
                <w:sz w:val="24"/>
              </w:rPr>
              <w:t xml:space="preserve"> v </w:t>
            </w:r>
            <w:r w:rsidRPr="002176B5">
              <w:rPr>
                <w:rStyle w:val="InstructionsTabelleText"/>
                <w:rFonts w:ascii="Times New Roman" w:hAnsi="Times New Roman"/>
                <w:sz w:val="24"/>
              </w:rPr>
              <w:t>predchádzajúcom stave ako nástroje AT1.</w:t>
            </w:r>
          </w:p>
        </w:tc>
      </w:tr>
      <w:tr w:rsidR="00CC7D2C" w:rsidRPr="002176B5" w14:paraId="0C275ADD" w14:textId="77777777" w:rsidTr="00822842">
        <w:tc>
          <w:tcPr>
            <w:tcW w:w="703" w:type="dxa"/>
          </w:tcPr>
          <w:p w14:paraId="3D23AC8C" w14:textId="77777777" w:rsidR="00CC7D2C" w:rsidRPr="002176B5" w:rsidRDefault="00CC7D2C" w:rsidP="00822842">
            <w:pPr>
              <w:pStyle w:val="body"/>
              <w:rPr>
                <w:rStyle w:val="InstructionsTabelleText"/>
                <w:rFonts w:ascii="Times New Roman" w:hAnsi="Times New Roman"/>
                <w:sz w:val="24"/>
              </w:rPr>
            </w:pPr>
            <w:r w:rsidRPr="002176B5">
              <w:rPr>
                <w:rStyle w:val="InstructionsTabelleText"/>
                <w:rFonts w:ascii="Times New Roman" w:hAnsi="Times New Roman"/>
                <w:sz w:val="24"/>
              </w:rPr>
              <w:t>0090</w:t>
            </w:r>
          </w:p>
        </w:tc>
        <w:tc>
          <w:tcPr>
            <w:tcW w:w="7478" w:type="dxa"/>
          </w:tcPr>
          <w:p w14:paraId="1C9F59FE" w14:textId="18A6ADE9" w:rsidR="00CC7D2C" w:rsidRPr="002176B5" w:rsidRDefault="00CC7D2C" w:rsidP="00822842">
            <w:pPr>
              <w:pStyle w:val="body"/>
              <w:rPr>
                <w:rStyle w:val="InstructionsTabelleText"/>
                <w:rFonts w:ascii="Times New Roman" w:hAnsi="Times New Roman"/>
                <w:b/>
                <w:sz w:val="24"/>
                <w:u w:val="single"/>
              </w:rPr>
            </w:pPr>
            <w:r w:rsidRPr="002176B5">
              <w:rPr>
                <w:rStyle w:val="InstructionsTabelleberschrift"/>
                <w:rFonts w:ascii="Times New Roman" w:hAnsi="Times New Roman"/>
                <w:sz w:val="24"/>
              </w:rPr>
              <w:t>3.</w:t>
            </w:r>
            <w:r w:rsidRPr="002176B5">
              <w:tab/>
            </w:r>
            <w:r w:rsidRPr="002176B5">
              <w:rPr>
                <w:rStyle w:val="InstructionsTabelleberschrift"/>
                <w:rFonts w:ascii="Times New Roman" w:hAnsi="Times New Roman"/>
                <w:sz w:val="24"/>
              </w:rPr>
              <w:t>Položky, ktoré sa kvalifikovali pre článok 57 písm. e), f), g) alebo h) smernice 2006/48/ES,</w:t>
            </w:r>
            <w:r w:rsidR="002176B5">
              <w:rPr>
                <w:rStyle w:val="InstructionsTabelleberschrift"/>
                <w:rFonts w:ascii="Times New Roman" w:hAnsi="Times New Roman"/>
                <w:sz w:val="24"/>
              </w:rPr>
              <w:t xml:space="preserve"> s </w:t>
            </w:r>
            <w:r w:rsidRPr="002176B5">
              <w:rPr>
                <w:rStyle w:val="InstructionsTabelleberschrift"/>
                <w:rFonts w:ascii="Times New Roman" w:hAnsi="Times New Roman"/>
                <w:sz w:val="24"/>
              </w:rPr>
              <w:t>výhradou obmedzenia podľa článku 490 nariadenia (EÚ) č. 575/2013</w:t>
            </w:r>
          </w:p>
          <w:p w14:paraId="284C24AA" w14:textId="77777777" w:rsidR="00CC7D2C" w:rsidRPr="002176B5" w:rsidRDefault="00CC7D2C" w:rsidP="00822842">
            <w:pPr>
              <w:pStyle w:val="body"/>
              <w:rPr>
                <w:rStyle w:val="InstructionsTabelleText"/>
                <w:rFonts w:ascii="Times New Roman" w:hAnsi="Times New Roman"/>
                <w:bCs/>
                <w:sz w:val="24"/>
              </w:rPr>
            </w:pPr>
            <w:r w:rsidRPr="002176B5">
              <w:rPr>
                <w:rStyle w:val="InstructionsTabelleText"/>
                <w:rFonts w:ascii="Times New Roman" w:hAnsi="Times New Roman"/>
                <w:sz w:val="24"/>
              </w:rPr>
              <w:t xml:space="preserve">Článok 484 ods. 5 </w:t>
            </w:r>
            <w:r w:rsidRPr="002176B5">
              <w:rPr>
                <w:rFonts w:ascii="Times New Roman" w:hAnsi="Times New Roman"/>
                <w:sz w:val="24"/>
              </w:rPr>
              <w:t>nariadenia (EÚ) č. 575/2013</w:t>
            </w:r>
          </w:p>
        </w:tc>
      </w:tr>
      <w:tr w:rsidR="00CC7D2C" w:rsidRPr="002176B5" w14:paraId="17FF6CE2" w14:textId="77777777" w:rsidTr="00822842">
        <w:tc>
          <w:tcPr>
            <w:tcW w:w="703" w:type="dxa"/>
          </w:tcPr>
          <w:p w14:paraId="5CD5803D" w14:textId="77777777" w:rsidR="00CC7D2C" w:rsidRPr="002176B5" w:rsidRDefault="00CC7D2C" w:rsidP="00822842">
            <w:pPr>
              <w:pStyle w:val="body"/>
              <w:rPr>
                <w:rStyle w:val="InstructionsTabelleText"/>
                <w:rFonts w:ascii="Times New Roman" w:hAnsi="Times New Roman"/>
                <w:sz w:val="24"/>
              </w:rPr>
            </w:pPr>
            <w:r w:rsidRPr="002176B5">
              <w:rPr>
                <w:rStyle w:val="InstructionsTabelleText"/>
                <w:rFonts w:ascii="Times New Roman" w:hAnsi="Times New Roman"/>
                <w:sz w:val="24"/>
              </w:rPr>
              <w:t>0100</w:t>
            </w:r>
          </w:p>
        </w:tc>
        <w:tc>
          <w:tcPr>
            <w:tcW w:w="7478" w:type="dxa"/>
          </w:tcPr>
          <w:p w14:paraId="05A58798" w14:textId="77777777" w:rsidR="00CC7D2C" w:rsidRPr="002176B5" w:rsidRDefault="00CC7D2C" w:rsidP="00822842">
            <w:pPr>
              <w:pStyle w:val="body"/>
              <w:rPr>
                <w:rStyle w:val="InstructionsTabelleText"/>
                <w:rFonts w:ascii="Times New Roman" w:hAnsi="Times New Roman"/>
                <w:b/>
                <w:bCs/>
                <w:sz w:val="24"/>
                <w:u w:val="single"/>
              </w:rPr>
            </w:pPr>
            <w:r w:rsidRPr="002176B5">
              <w:rPr>
                <w:rStyle w:val="InstructionsTabelleberschrift"/>
                <w:rFonts w:ascii="Times New Roman" w:hAnsi="Times New Roman"/>
                <w:sz w:val="24"/>
              </w:rPr>
              <w:t>3.1.</w:t>
            </w:r>
            <w:r w:rsidRPr="002176B5">
              <w:tab/>
            </w:r>
            <w:r w:rsidRPr="002176B5">
              <w:rPr>
                <w:rStyle w:val="InstructionsTabelleberschrift"/>
                <w:rFonts w:ascii="Times New Roman" w:hAnsi="Times New Roman"/>
                <w:sz w:val="24"/>
              </w:rPr>
              <w:t>Celkové položky bez motivácie na splatenie</w:t>
            </w:r>
          </w:p>
          <w:p w14:paraId="3A4F871E" w14:textId="77777777" w:rsidR="00CC7D2C" w:rsidRPr="002176B5" w:rsidRDefault="00CC7D2C" w:rsidP="00822842">
            <w:pPr>
              <w:pStyle w:val="body"/>
              <w:rPr>
                <w:rStyle w:val="InstructionsTabelleText"/>
                <w:rFonts w:ascii="Times New Roman" w:hAnsi="Times New Roman"/>
                <w:sz w:val="24"/>
              </w:rPr>
            </w:pPr>
            <w:r w:rsidRPr="002176B5">
              <w:rPr>
                <w:rStyle w:val="InstructionsTabelleText"/>
                <w:rFonts w:ascii="Times New Roman" w:hAnsi="Times New Roman"/>
                <w:sz w:val="24"/>
              </w:rPr>
              <w:t xml:space="preserve">Článok 490 </w:t>
            </w:r>
            <w:r w:rsidRPr="002176B5">
              <w:rPr>
                <w:rFonts w:ascii="Times New Roman" w:hAnsi="Times New Roman"/>
                <w:sz w:val="24"/>
              </w:rPr>
              <w:t>nariadenia (EÚ) č. 575/2013</w:t>
            </w:r>
          </w:p>
        </w:tc>
      </w:tr>
      <w:tr w:rsidR="00CC7D2C" w:rsidRPr="002176B5" w14:paraId="2FBC6A04" w14:textId="77777777" w:rsidTr="00822842">
        <w:tc>
          <w:tcPr>
            <w:tcW w:w="703" w:type="dxa"/>
          </w:tcPr>
          <w:p w14:paraId="3D00CB8E" w14:textId="77777777" w:rsidR="00CC7D2C" w:rsidRPr="002176B5" w:rsidRDefault="00CC7D2C" w:rsidP="00822842">
            <w:pPr>
              <w:pStyle w:val="body"/>
              <w:rPr>
                <w:rStyle w:val="InstructionsTabelleText"/>
                <w:rFonts w:ascii="Times New Roman" w:hAnsi="Times New Roman"/>
                <w:sz w:val="24"/>
              </w:rPr>
            </w:pPr>
            <w:r w:rsidRPr="002176B5">
              <w:rPr>
                <w:rStyle w:val="InstructionsTabelleText"/>
                <w:rFonts w:ascii="Times New Roman" w:hAnsi="Times New Roman"/>
                <w:sz w:val="24"/>
              </w:rPr>
              <w:t>0110</w:t>
            </w:r>
          </w:p>
        </w:tc>
        <w:tc>
          <w:tcPr>
            <w:tcW w:w="7478" w:type="dxa"/>
          </w:tcPr>
          <w:p w14:paraId="628DDBED" w14:textId="28FF362B" w:rsidR="00CC7D2C" w:rsidRPr="002176B5" w:rsidRDefault="00CC7D2C" w:rsidP="00822842">
            <w:pPr>
              <w:pStyle w:val="body"/>
              <w:rPr>
                <w:rStyle w:val="InstructionsTabelleText"/>
                <w:rFonts w:ascii="Times New Roman" w:hAnsi="Times New Roman"/>
                <w:b/>
                <w:bCs/>
                <w:sz w:val="24"/>
                <w:u w:val="single"/>
              </w:rPr>
            </w:pPr>
            <w:r w:rsidRPr="002176B5">
              <w:rPr>
                <w:rStyle w:val="InstructionsTabelleberschrift"/>
                <w:rFonts w:ascii="Times New Roman" w:hAnsi="Times New Roman"/>
                <w:sz w:val="24"/>
              </w:rPr>
              <w:t>3.2.</w:t>
            </w:r>
            <w:r w:rsidRPr="002176B5">
              <w:tab/>
            </w:r>
            <w:r w:rsidRPr="002176B5">
              <w:rPr>
                <w:rStyle w:val="InstructionsTabelleberschrift"/>
                <w:rFonts w:ascii="Times New Roman" w:hAnsi="Times New Roman"/>
                <w:sz w:val="24"/>
              </w:rPr>
              <w:t>Položky zachované</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predchádzajúcom stave bez motivácie na splatenie</w:t>
            </w:r>
          </w:p>
          <w:p w14:paraId="773B0F07" w14:textId="77777777" w:rsidR="00CC7D2C" w:rsidRPr="002176B5" w:rsidRDefault="00CC7D2C" w:rsidP="00822842">
            <w:pPr>
              <w:pStyle w:val="body"/>
              <w:rPr>
                <w:rStyle w:val="InstructionsTabelleText"/>
                <w:rFonts w:ascii="Times New Roman" w:hAnsi="Times New Roman"/>
                <w:sz w:val="24"/>
              </w:rPr>
            </w:pPr>
            <w:r w:rsidRPr="002176B5">
              <w:rPr>
                <w:rStyle w:val="InstructionsTabelleText"/>
                <w:rFonts w:ascii="Times New Roman" w:hAnsi="Times New Roman"/>
                <w:sz w:val="24"/>
              </w:rPr>
              <w:t xml:space="preserve">Článok 490 </w:t>
            </w:r>
            <w:r w:rsidRPr="002176B5">
              <w:rPr>
                <w:rFonts w:ascii="Times New Roman" w:hAnsi="Times New Roman"/>
                <w:sz w:val="24"/>
              </w:rPr>
              <w:t>nariadenia (EÚ) č. 575/2013</w:t>
            </w:r>
          </w:p>
        </w:tc>
      </w:tr>
      <w:tr w:rsidR="00CC7D2C" w:rsidRPr="002176B5" w14:paraId="5249897B" w14:textId="77777777" w:rsidTr="00822842">
        <w:tc>
          <w:tcPr>
            <w:tcW w:w="703" w:type="dxa"/>
          </w:tcPr>
          <w:p w14:paraId="6A3BF9A3" w14:textId="77777777" w:rsidR="00CC7D2C" w:rsidRPr="002176B5" w:rsidRDefault="00CC7D2C" w:rsidP="00822842">
            <w:pPr>
              <w:pStyle w:val="body"/>
              <w:rPr>
                <w:rStyle w:val="InstructionsTabelleText"/>
                <w:rFonts w:ascii="Times New Roman" w:hAnsi="Times New Roman"/>
                <w:sz w:val="24"/>
              </w:rPr>
            </w:pPr>
            <w:r w:rsidRPr="002176B5">
              <w:rPr>
                <w:rStyle w:val="InstructionsTabelleText"/>
                <w:rFonts w:ascii="Times New Roman" w:hAnsi="Times New Roman"/>
                <w:sz w:val="24"/>
              </w:rPr>
              <w:t>0120</w:t>
            </w:r>
          </w:p>
        </w:tc>
        <w:tc>
          <w:tcPr>
            <w:tcW w:w="7478" w:type="dxa"/>
          </w:tcPr>
          <w:p w14:paraId="19E4C86B" w14:textId="2EA85D69" w:rsidR="00CC7D2C" w:rsidRPr="002176B5" w:rsidRDefault="00CC7D2C" w:rsidP="00822842">
            <w:pPr>
              <w:pStyle w:val="body"/>
              <w:rPr>
                <w:rStyle w:val="InstructionsTabelleText"/>
                <w:rFonts w:ascii="Times New Roman" w:hAnsi="Times New Roman"/>
                <w:b/>
                <w:bCs/>
                <w:sz w:val="24"/>
                <w:u w:val="single"/>
              </w:rPr>
            </w:pPr>
            <w:r w:rsidRPr="002176B5">
              <w:rPr>
                <w:rStyle w:val="InstructionsTabelleberschrift"/>
                <w:rFonts w:ascii="Times New Roman" w:hAnsi="Times New Roman"/>
                <w:sz w:val="24"/>
              </w:rPr>
              <w:t>3.2.1.</w:t>
            </w:r>
            <w:r w:rsidRPr="002176B5">
              <w:tab/>
            </w:r>
            <w:r w:rsidRPr="002176B5">
              <w:rPr>
                <w:rStyle w:val="InstructionsTabelleberschrift"/>
                <w:rFonts w:ascii="Times New Roman" w:hAnsi="Times New Roman"/>
                <w:sz w:val="24"/>
              </w:rPr>
              <w:t>Položky</w:t>
            </w:r>
            <w:r w:rsidR="002176B5">
              <w:rPr>
                <w:rStyle w:val="InstructionsTabelleberschrift"/>
                <w:rFonts w:ascii="Times New Roman" w:hAnsi="Times New Roman"/>
                <w:sz w:val="24"/>
              </w:rPr>
              <w:t xml:space="preserve"> s </w:t>
            </w:r>
            <w:r w:rsidRPr="002176B5">
              <w:rPr>
                <w:rStyle w:val="InstructionsTabelleberschrift"/>
                <w:rFonts w:ascii="Times New Roman" w:hAnsi="Times New Roman"/>
                <w:sz w:val="24"/>
              </w:rPr>
              <w:t>kúpnou opciou uplatniteľnou po dátume vykazovania, ktoré spĺňajú podmienky stanovené</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článku 63 nariadenia (EÚ) č. 575/2013 po dátume efektívnej splatnosti</w:t>
            </w:r>
          </w:p>
          <w:p w14:paraId="78E9816A" w14:textId="64AC6784" w:rsidR="00CC7D2C" w:rsidRPr="002176B5" w:rsidRDefault="00CC7D2C" w:rsidP="00822842">
            <w:pPr>
              <w:pStyle w:val="body"/>
              <w:rPr>
                <w:rStyle w:val="InstructionsTabelleText"/>
                <w:rFonts w:ascii="Times New Roman" w:hAnsi="Times New Roman"/>
                <w:sz w:val="24"/>
              </w:rPr>
            </w:pPr>
            <w:r w:rsidRPr="002176B5">
              <w:rPr>
                <w:rStyle w:val="InstructionsTabelleText"/>
                <w:rFonts w:ascii="Times New Roman" w:hAnsi="Times New Roman"/>
                <w:sz w:val="24"/>
              </w:rPr>
              <w:t>Článok 490 ods. 3</w:t>
            </w:r>
            <w:r w:rsidR="002176B5">
              <w:rPr>
                <w:rStyle w:val="InstructionsTabelleText"/>
                <w:rFonts w:ascii="Times New Roman" w:hAnsi="Times New Roman"/>
                <w:sz w:val="24"/>
              </w:rPr>
              <w:t xml:space="preserve"> a </w:t>
            </w:r>
            <w:r w:rsidRPr="002176B5">
              <w:rPr>
                <w:rStyle w:val="InstructionsTabelleText"/>
                <w:rFonts w:ascii="Times New Roman" w:hAnsi="Times New Roman"/>
                <w:sz w:val="24"/>
              </w:rPr>
              <w:t xml:space="preserve">článok 491 písm. a) </w:t>
            </w:r>
            <w:r w:rsidRPr="002176B5">
              <w:rPr>
                <w:rFonts w:ascii="Times New Roman" w:hAnsi="Times New Roman"/>
                <w:sz w:val="24"/>
              </w:rPr>
              <w:t>nariadenia (EÚ) č. 575/2013</w:t>
            </w:r>
          </w:p>
          <w:p w14:paraId="3116C9D4" w14:textId="77777777" w:rsidR="00CC7D2C" w:rsidRPr="002176B5" w:rsidRDefault="00CC7D2C" w:rsidP="00822842">
            <w:pPr>
              <w:pStyle w:val="body"/>
              <w:rPr>
                <w:rStyle w:val="InstructionsTabelleText"/>
                <w:rFonts w:ascii="Times New Roman" w:hAnsi="Times New Roman"/>
                <w:sz w:val="24"/>
              </w:rPr>
            </w:pPr>
            <w:r w:rsidRPr="002176B5">
              <w:rPr>
                <w:rStyle w:val="InstructionsTabelleText"/>
                <w:rFonts w:ascii="Times New Roman" w:hAnsi="Times New Roman"/>
                <w:sz w:val="24"/>
              </w:rPr>
              <w:t>Vykazovaná hodnota zahŕňa súvisiace účty emisného ážia.</w:t>
            </w:r>
          </w:p>
        </w:tc>
      </w:tr>
      <w:tr w:rsidR="00CC7D2C" w:rsidRPr="002176B5" w14:paraId="0D1B7BB0" w14:textId="77777777" w:rsidTr="00822842">
        <w:tc>
          <w:tcPr>
            <w:tcW w:w="703" w:type="dxa"/>
          </w:tcPr>
          <w:p w14:paraId="6A2C07C0" w14:textId="77777777" w:rsidR="00CC7D2C" w:rsidRPr="002176B5" w:rsidRDefault="00CC7D2C" w:rsidP="00822842">
            <w:pPr>
              <w:pStyle w:val="body"/>
              <w:rPr>
                <w:rStyle w:val="InstructionsTabelleText"/>
                <w:rFonts w:ascii="Times New Roman" w:hAnsi="Times New Roman"/>
                <w:sz w:val="24"/>
              </w:rPr>
            </w:pPr>
            <w:r w:rsidRPr="002176B5">
              <w:rPr>
                <w:rStyle w:val="InstructionsTabelleText"/>
                <w:rFonts w:ascii="Times New Roman" w:hAnsi="Times New Roman"/>
                <w:sz w:val="24"/>
              </w:rPr>
              <w:t>0130</w:t>
            </w:r>
          </w:p>
        </w:tc>
        <w:tc>
          <w:tcPr>
            <w:tcW w:w="7478" w:type="dxa"/>
          </w:tcPr>
          <w:p w14:paraId="3632494F" w14:textId="0111A350" w:rsidR="00CC7D2C" w:rsidRPr="002176B5" w:rsidRDefault="00CC7D2C" w:rsidP="00822842">
            <w:pPr>
              <w:pStyle w:val="body"/>
              <w:rPr>
                <w:rStyle w:val="InstructionsTabelleText"/>
                <w:rFonts w:ascii="Times New Roman" w:hAnsi="Times New Roman"/>
                <w:b/>
                <w:sz w:val="24"/>
                <w:u w:val="single"/>
              </w:rPr>
            </w:pPr>
            <w:r w:rsidRPr="002176B5">
              <w:rPr>
                <w:rStyle w:val="InstructionsTabelleberschrift"/>
                <w:rFonts w:ascii="Times New Roman" w:hAnsi="Times New Roman"/>
                <w:sz w:val="24"/>
              </w:rPr>
              <w:t>3.2.2.</w:t>
            </w:r>
            <w:r w:rsidRPr="002176B5">
              <w:tab/>
            </w:r>
            <w:r w:rsidRPr="002176B5">
              <w:rPr>
                <w:rStyle w:val="InstructionsTabelleberschrift"/>
                <w:rFonts w:ascii="Times New Roman" w:hAnsi="Times New Roman"/>
                <w:sz w:val="24"/>
              </w:rPr>
              <w:t>Položky</w:t>
            </w:r>
            <w:r w:rsidR="002176B5">
              <w:rPr>
                <w:rStyle w:val="InstructionsTabelleberschrift"/>
                <w:rFonts w:ascii="Times New Roman" w:hAnsi="Times New Roman"/>
                <w:sz w:val="24"/>
              </w:rPr>
              <w:t xml:space="preserve"> s </w:t>
            </w:r>
            <w:r w:rsidRPr="002176B5">
              <w:rPr>
                <w:rStyle w:val="InstructionsTabelleberschrift"/>
                <w:rFonts w:ascii="Times New Roman" w:hAnsi="Times New Roman"/>
                <w:sz w:val="24"/>
              </w:rPr>
              <w:t>kúpnou opciou uplatniteľnou po dátume vykazovania, ktoré nespĺňajú podmienky stanovené</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článku 63 nariadenia (EÚ) č. 575/2013 po dátume efektívnej splatnosti</w:t>
            </w:r>
          </w:p>
          <w:p w14:paraId="42333F81" w14:textId="7B19F07E" w:rsidR="00CC7D2C" w:rsidRPr="002176B5" w:rsidRDefault="00CC7D2C" w:rsidP="00822842">
            <w:pPr>
              <w:pStyle w:val="body"/>
              <w:rPr>
                <w:rStyle w:val="InstructionsTabelleText"/>
                <w:rFonts w:ascii="Times New Roman" w:hAnsi="Times New Roman"/>
                <w:sz w:val="24"/>
              </w:rPr>
            </w:pPr>
            <w:r w:rsidRPr="002176B5">
              <w:rPr>
                <w:rStyle w:val="InstructionsTabelleText"/>
                <w:rFonts w:ascii="Times New Roman" w:hAnsi="Times New Roman"/>
                <w:sz w:val="24"/>
              </w:rPr>
              <w:t>Článok 490 ods. 5</w:t>
            </w:r>
            <w:r w:rsidR="002176B5">
              <w:rPr>
                <w:rStyle w:val="InstructionsTabelleText"/>
                <w:rFonts w:ascii="Times New Roman" w:hAnsi="Times New Roman"/>
                <w:sz w:val="24"/>
              </w:rPr>
              <w:t xml:space="preserve"> a </w:t>
            </w:r>
            <w:r w:rsidRPr="002176B5">
              <w:rPr>
                <w:rStyle w:val="InstructionsTabelleText"/>
                <w:rFonts w:ascii="Times New Roman" w:hAnsi="Times New Roman"/>
                <w:sz w:val="24"/>
              </w:rPr>
              <w:t xml:space="preserve">článok 491 písm. a) </w:t>
            </w:r>
            <w:r w:rsidRPr="002176B5">
              <w:rPr>
                <w:rFonts w:ascii="Times New Roman" w:hAnsi="Times New Roman"/>
                <w:sz w:val="24"/>
              </w:rPr>
              <w:t>nariadenia (EÚ) č. 575/2013</w:t>
            </w:r>
          </w:p>
          <w:p w14:paraId="43180F9B" w14:textId="77777777" w:rsidR="00CC7D2C" w:rsidRPr="002176B5" w:rsidRDefault="00CC7D2C" w:rsidP="00822842">
            <w:pPr>
              <w:pStyle w:val="body"/>
              <w:rPr>
                <w:rStyle w:val="InstructionsTabelleText"/>
                <w:rFonts w:ascii="Times New Roman" w:hAnsi="Times New Roman"/>
                <w:sz w:val="24"/>
              </w:rPr>
            </w:pPr>
            <w:r w:rsidRPr="002176B5">
              <w:rPr>
                <w:rStyle w:val="InstructionsTabelleText"/>
                <w:rFonts w:ascii="Times New Roman" w:hAnsi="Times New Roman"/>
                <w:sz w:val="24"/>
              </w:rPr>
              <w:t>Vykazovaná hodnota zahŕňa súvisiace účty emisného ážia.</w:t>
            </w:r>
          </w:p>
        </w:tc>
      </w:tr>
      <w:tr w:rsidR="00CC7D2C" w:rsidRPr="002176B5" w14:paraId="73CDFE7F" w14:textId="77777777" w:rsidTr="00822842">
        <w:tc>
          <w:tcPr>
            <w:tcW w:w="703" w:type="dxa"/>
          </w:tcPr>
          <w:p w14:paraId="7264C243" w14:textId="77777777" w:rsidR="00CC7D2C" w:rsidRPr="002176B5" w:rsidRDefault="00CC7D2C" w:rsidP="00822842">
            <w:pPr>
              <w:pStyle w:val="body"/>
              <w:rPr>
                <w:rStyle w:val="InstructionsTabelleText"/>
                <w:rFonts w:ascii="Times New Roman" w:hAnsi="Times New Roman"/>
                <w:sz w:val="24"/>
              </w:rPr>
            </w:pPr>
            <w:r w:rsidRPr="002176B5">
              <w:rPr>
                <w:rStyle w:val="InstructionsTabelleText"/>
                <w:rFonts w:ascii="Times New Roman" w:hAnsi="Times New Roman"/>
                <w:sz w:val="24"/>
              </w:rPr>
              <w:lastRenderedPageBreak/>
              <w:t>0140</w:t>
            </w:r>
          </w:p>
        </w:tc>
        <w:tc>
          <w:tcPr>
            <w:tcW w:w="7478" w:type="dxa"/>
          </w:tcPr>
          <w:p w14:paraId="1E7D6E71" w14:textId="3BA94D15" w:rsidR="00CC7D2C" w:rsidRPr="002176B5" w:rsidRDefault="00CC7D2C" w:rsidP="00822842">
            <w:pPr>
              <w:pStyle w:val="body"/>
              <w:rPr>
                <w:rStyle w:val="InstructionsTabelleberschrift"/>
                <w:rFonts w:ascii="Times New Roman" w:hAnsi="Times New Roman"/>
                <w:bCs w:val="0"/>
                <w:sz w:val="24"/>
              </w:rPr>
            </w:pPr>
            <w:r w:rsidRPr="002176B5">
              <w:rPr>
                <w:rStyle w:val="InstructionsTabelleberschrift"/>
                <w:rFonts w:ascii="Times New Roman" w:hAnsi="Times New Roman"/>
                <w:sz w:val="24"/>
              </w:rPr>
              <w:t>3.2.3.</w:t>
            </w:r>
            <w:r w:rsidRPr="002176B5">
              <w:tab/>
            </w:r>
            <w:r w:rsidRPr="002176B5">
              <w:rPr>
                <w:rStyle w:val="InstructionsTabelleberschrift"/>
                <w:rFonts w:ascii="Times New Roman" w:hAnsi="Times New Roman"/>
                <w:sz w:val="24"/>
              </w:rPr>
              <w:t>Položky</w:t>
            </w:r>
            <w:r w:rsidR="002176B5">
              <w:rPr>
                <w:rStyle w:val="InstructionsTabelleberschrift"/>
                <w:rFonts w:ascii="Times New Roman" w:hAnsi="Times New Roman"/>
                <w:sz w:val="24"/>
              </w:rPr>
              <w:t xml:space="preserve"> s </w:t>
            </w:r>
            <w:r w:rsidRPr="002176B5">
              <w:rPr>
                <w:rStyle w:val="InstructionsTabelleberschrift"/>
                <w:rFonts w:ascii="Times New Roman" w:hAnsi="Times New Roman"/>
                <w:sz w:val="24"/>
              </w:rPr>
              <w:t>kúpnou opciou uplatniteľnou 20</w:t>
            </w:r>
            <w:r w:rsidR="002176B5">
              <w:rPr>
                <w:rStyle w:val="InstructionsTabelleberschrift"/>
                <w:rFonts w:ascii="Times New Roman" w:hAnsi="Times New Roman"/>
                <w:sz w:val="24"/>
              </w:rPr>
              <w:t>. júla</w:t>
            </w:r>
            <w:r w:rsidRPr="002176B5">
              <w:rPr>
                <w:rStyle w:val="InstructionsTabelleberschrift"/>
                <w:rFonts w:ascii="Times New Roman" w:hAnsi="Times New Roman"/>
                <w:sz w:val="24"/>
              </w:rPr>
              <w:t xml:space="preserve"> 2011 alebo pred týmto dátumom, ktoré nespĺňajú podmienky stanovené</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článku 63 nariadenia (EÚ) č. 575/2013 po dátume efektívnej splatnosti</w:t>
            </w:r>
          </w:p>
          <w:p w14:paraId="4D02A052" w14:textId="0C4AB1B6" w:rsidR="00CC7D2C" w:rsidRPr="002176B5" w:rsidRDefault="00CC7D2C" w:rsidP="00822842">
            <w:pPr>
              <w:pStyle w:val="body"/>
              <w:rPr>
                <w:rStyle w:val="InstructionsTabelleText"/>
                <w:rFonts w:ascii="Times New Roman" w:hAnsi="Times New Roman"/>
                <w:sz w:val="24"/>
              </w:rPr>
            </w:pPr>
            <w:r w:rsidRPr="002176B5">
              <w:rPr>
                <w:rStyle w:val="InstructionsTabelleText"/>
                <w:rFonts w:ascii="Times New Roman" w:hAnsi="Times New Roman"/>
                <w:sz w:val="24"/>
              </w:rPr>
              <w:t>Článok 490 ods. 6</w:t>
            </w:r>
            <w:r w:rsidR="002176B5">
              <w:rPr>
                <w:rStyle w:val="InstructionsTabelleText"/>
                <w:rFonts w:ascii="Times New Roman" w:hAnsi="Times New Roman"/>
                <w:sz w:val="24"/>
              </w:rPr>
              <w:t xml:space="preserve"> a </w:t>
            </w:r>
            <w:r w:rsidRPr="002176B5">
              <w:rPr>
                <w:rStyle w:val="InstructionsTabelleText"/>
                <w:rFonts w:ascii="Times New Roman" w:hAnsi="Times New Roman"/>
                <w:sz w:val="24"/>
              </w:rPr>
              <w:t xml:space="preserve">článok 491 písm. c) </w:t>
            </w:r>
            <w:r w:rsidRPr="002176B5">
              <w:rPr>
                <w:rFonts w:ascii="Times New Roman" w:hAnsi="Times New Roman"/>
                <w:sz w:val="24"/>
              </w:rPr>
              <w:t>nariadenia (EÚ) č. 575/2013</w:t>
            </w:r>
          </w:p>
          <w:p w14:paraId="78CD3743" w14:textId="77777777" w:rsidR="00CC7D2C" w:rsidRPr="002176B5" w:rsidRDefault="00CC7D2C" w:rsidP="00822842">
            <w:pPr>
              <w:pStyle w:val="body"/>
              <w:rPr>
                <w:rStyle w:val="InstructionsTabelleText"/>
                <w:rFonts w:ascii="Times New Roman" w:hAnsi="Times New Roman"/>
                <w:sz w:val="24"/>
              </w:rPr>
            </w:pPr>
            <w:r w:rsidRPr="002176B5">
              <w:rPr>
                <w:rStyle w:val="InstructionsTabelleText"/>
                <w:rFonts w:ascii="Times New Roman" w:hAnsi="Times New Roman"/>
                <w:sz w:val="24"/>
              </w:rPr>
              <w:t>Vykazovaná hodnota zahŕňa súvisiace účty emisného ážia.</w:t>
            </w:r>
          </w:p>
        </w:tc>
      </w:tr>
      <w:tr w:rsidR="00CC7D2C" w:rsidRPr="002176B5" w14:paraId="6303C10E" w14:textId="77777777" w:rsidTr="00822842">
        <w:tc>
          <w:tcPr>
            <w:tcW w:w="703" w:type="dxa"/>
          </w:tcPr>
          <w:p w14:paraId="40A94366" w14:textId="77777777" w:rsidR="00CC7D2C" w:rsidRPr="002176B5" w:rsidRDefault="00CC7D2C" w:rsidP="00822842">
            <w:pPr>
              <w:pStyle w:val="body"/>
              <w:rPr>
                <w:rStyle w:val="InstructionsTabelleText"/>
                <w:rFonts w:ascii="Times New Roman" w:hAnsi="Times New Roman"/>
                <w:sz w:val="24"/>
              </w:rPr>
            </w:pPr>
            <w:r w:rsidRPr="002176B5">
              <w:rPr>
                <w:rStyle w:val="InstructionsTabelleText"/>
                <w:rFonts w:ascii="Times New Roman" w:hAnsi="Times New Roman"/>
                <w:sz w:val="24"/>
              </w:rPr>
              <w:t>0150</w:t>
            </w:r>
          </w:p>
        </w:tc>
        <w:tc>
          <w:tcPr>
            <w:tcW w:w="7478" w:type="dxa"/>
          </w:tcPr>
          <w:p w14:paraId="388B843C" w14:textId="63252B74" w:rsidR="00CC7D2C" w:rsidRPr="002176B5" w:rsidRDefault="00CC7D2C" w:rsidP="00822842">
            <w:pPr>
              <w:pStyle w:val="body"/>
              <w:rPr>
                <w:rStyle w:val="InstructionsTabelleberschrift"/>
                <w:rFonts w:ascii="Times New Roman" w:hAnsi="Times New Roman"/>
                <w:sz w:val="24"/>
              </w:rPr>
            </w:pPr>
            <w:r w:rsidRPr="002176B5">
              <w:rPr>
                <w:rStyle w:val="InstructionsTabelleberschrift"/>
                <w:rFonts w:ascii="Times New Roman" w:hAnsi="Times New Roman"/>
                <w:sz w:val="24"/>
              </w:rPr>
              <w:t>3.3.</w:t>
            </w:r>
            <w:r w:rsidRPr="002176B5">
              <w:tab/>
            </w:r>
            <w:r w:rsidRPr="002176B5">
              <w:rPr>
                <w:rStyle w:val="InstructionsTabelleberschrift"/>
                <w:rFonts w:ascii="Times New Roman" w:hAnsi="Times New Roman"/>
                <w:sz w:val="24"/>
              </w:rPr>
              <w:t>Prekročenie obmedzenia nástrojov AT1 zachovaných</w:t>
            </w:r>
            <w:r w:rsidR="002176B5">
              <w:rPr>
                <w:rStyle w:val="InstructionsTabelleberschrift"/>
                <w:rFonts w:ascii="Times New Roman" w:hAnsi="Times New Roman"/>
                <w:sz w:val="24"/>
              </w:rPr>
              <w:t xml:space="preserve"> v </w:t>
            </w:r>
            <w:r w:rsidRPr="002176B5">
              <w:rPr>
                <w:rStyle w:val="InstructionsTabelleberschrift"/>
                <w:rFonts w:ascii="Times New Roman" w:hAnsi="Times New Roman"/>
                <w:sz w:val="24"/>
              </w:rPr>
              <w:t>predchádzajúcom stave</w:t>
            </w:r>
          </w:p>
          <w:p w14:paraId="0EFD8CF8" w14:textId="77777777" w:rsidR="002176B5" w:rsidRDefault="00CC7D2C" w:rsidP="00822842">
            <w:pPr>
              <w:pStyle w:val="body"/>
              <w:rPr>
                <w:rFonts w:ascii="Times New Roman" w:hAnsi="Times New Roman"/>
                <w:sz w:val="24"/>
              </w:rPr>
            </w:pPr>
            <w:r w:rsidRPr="002176B5">
              <w:rPr>
                <w:rStyle w:val="InstructionsTabelleText"/>
                <w:rFonts w:ascii="Times New Roman" w:hAnsi="Times New Roman"/>
                <w:sz w:val="24"/>
              </w:rPr>
              <w:t xml:space="preserve">Článok 487 ods. 2 </w:t>
            </w:r>
            <w:r w:rsidRPr="002176B5">
              <w:rPr>
                <w:rFonts w:ascii="Times New Roman" w:hAnsi="Times New Roman"/>
                <w:sz w:val="24"/>
              </w:rPr>
              <w:t>nariadenia (EÚ) č. 575/2013</w:t>
            </w:r>
          </w:p>
          <w:p w14:paraId="11256797" w14:textId="362A4749" w:rsidR="00CC7D2C" w:rsidRPr="002176B5" w:rsidRDefault="00CC7D2C" w:rsidP="00822842">
            <w:pPr>
              <w:pStyle w:val="body"/>
              <w:rPr>
                <w:rStyle w:val="InstructionsTabelleText"/>
                <w:rFonts w:ascii="Times New Roman" w:hAnsi="Times New Roman"/>
                <w:sz w:val="24"/>
              </w:rPr>
            </w:pPr>
            <w:r w:rsidRPr="002176B5">
              <w:rPr>
                <w:rStyle w:val="InstructionsTabelleText"/>
                <w:rFonts w:ascii="Times New Roman" w:hAnsi="Times New Roman"/>
                <w:sz w:val="24"/>
              </w:rPr>
              <w:t>K prekročeniu obmedzenia nástrojov AT1 zachovaných</w:t>
            </w:r>
            <w:r w:rsidR="002176B5">
              <w:rPr>
                <w:rStyle w:val="InstructionsTabelleText"/>
                <w:rFonts w:ascii="Times New Roman" w:hAnsi="Times New Roman"/>
                <w:sz w:val="24"/>
              </w:rPr>
              <w:t xml:space="preserve"> v </w:t>
            </w:r>
            <w:r w:rsidRPr="002176B5">
              <w:rPr>
                <w:rStyle w:val="InstructionsTabelleText"/>
                <w:rFonts w:ascii="Times New Roman" w:hAnsi="Times New Roman"/>
                <w:sz w:val="24"/>
              </w:rPr>
              <w:t>predchádzajúcom stave sa môže pristupovať ako</w:t>
            </w:r>
            <w:r w:rsidR="002176B5">
              <w:rPr>
                <w:rStyle w:val="InstructionsTabelleText"/>
                <w:rFonts w:ascii="Times New Roman" w:hAnsi="Times New Roman"/>
                <w:sz w:val="24"/>
              </w:rPr>
              <w:t xml:space="preserve"> k </w:t>
            </w:r>
            <w:r w:rsidRPr="002176B5">
              <w:rPr>
                <w:rStyle w:val="InstructionsTabelleText"/>
                <w:rFonts w:ascii="Times New Roman" w:hAnsi="Times New Roman"/>
                <w:sz w:val="24"/>
              </w:rPr>
              <w:t>nástrojom, ktoré možno zachovať</w:t>
            </w:r>
            <w:r w:rsidR="002176B5">
              <w:rPr>
                <w:rStyle w:val="InstructionsTabelleText"/>
                <w:rFonts w:ascii="Times New Roman" w:hAnsi="Times New Roman"/>
                <w:sz w:val="24"/>
              </w:rPr>
              <w:t xml:space="preserve"> v </w:t>
            </w:r>
            <w:r w:rsidRPr="002176B5">
              <w:rPr>
                <w:rStyle w:val="InstructionsTabelleText"/>
                <w:rFonts w:ascii="Times New Roman" w:hAnsi="Times New Roman"/>
                <w:sz w:val="24"/>
              </w:rPr>
              <w:t>predchádzajúcom stave ako nástroje T2.</w:t>
            </w:r>
          </w:p>
        </w:tc>
      </w:tr>
    </w:tbl>
    <w:p w14:paraId="6B9B322A" w14:textId="77777777" w:rsidR="00E26A90" w:rsidRPr="002176B5" w:rsidRDefault="00E26A90"/>
    <w:p w14:paraId="5F847FCD" w14:textId="77777777" w:rsidR="00CC7D2C" w:rsidRPr="002176B5" w:rsidRDefault="00CC7D2C"/>
    <w:sectPr w:rsidR="00CC7D2C" w:rsidRPr="002176B5">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207281" w14:textId="77777777" w:rsidR="00637DBF" w:rsidRDefault="00637DBF" w:rsidP="00E26A90">
      <w:pPr>
        <w:spacing w:after="0"/>
      </w:pPr>
      <w:r>
        <w:separator/>
      </w:r>
    </w:p>
  </w:endnote>
  <w:endnote w:type="continuationSeparator" w:id="0">
    <w:p w14:paraId="50B5B77D" w14:textId="77777777" w:rsidR="00637DBF" w:rsidRDefault="00637DBF"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CD1EC7" w14:textId="77777777" w:rsidR="00637DBF" w:rsidRDefault="00637DBF" w:rsidP="00E26A90">
      <w:pPr>
        <w:spacing w:after="0"/>
      </w:pPr>
      <w:r>
        <w:separator/>
      </w:r>
    </w:p>
  </w:footnote>
  <w:footnote w:type="continuationSeparator" w:id="0">
    <w:p w14:paraId="0085C367" w14:textId="77777777" w:rsidR="00637DBF" w:rsidRDefault="00637DBF" w:rsidP="00E26A90">
      <w:pPr>
        <w:spacing w:after="0"/>
      </w:pPr>
      <w:r>
        <w:continuationSeparator/>
      </w:r>
    </w:p>
  </w:footnote>
  <w:footnote w:id="1">
    <w:p w14:paraId="22120E94" w14:textId="77777777" w:rsidR="00CC7D2C" w:rsidRPr="005B592F" w:rsidRDefault="00CC7D2C" w:rsidP="00CC7D2C">
      <w:pPr>
        <w:pStyle w:val="NormalWeb"/>
        <w:spacing w:before="0" w:beforeAutospacing="0" w:after="0" w:afterAutospacing="0"/>
        <w:ind w:left="567" w:hanging="567"/>
        <w:jc w:val="both"/>
        <w:rPr>
          <w:sz w:val="20"/>
          <w:szCs w:val="20"/>
        </w:rPr>
      </w:pPr>
      <w:r>
        <w:rPr>
          <w:rStyle w:val="FootnoteReference"/>
          <w:sz w:val="20"/>
          <w:szCs w:val="20"/>
        </w:rPr>
        <w:footnoteRef/>
      </w:r>
      <w:r>
        <w:tab/>
      </w:r>
      <w:r>
        <w:rPr>
          <w:color w:val="444444"/>
          <w:sz w:val="20"/>
        </w:rPr>
        <w:t>Delegované nariadenie Komisie (EÚ) č. 241/2014 zo 7. januára 2014, ktorým sa dopĺňa nariadenie Európskeho parlamentu a Rady (EÚ) č. 575/2013, pokiaľ ide o regulačné technické predpisy týkajúce sa požiadaviek na vlastné zdroje inštitúcií (Ú. v. EÚ L 74, 14.3.2014, s. 8)</w:t>
      </w:r>
      <w:r>
        <w:rPr>
          <w:rStyle w:val="Emphasis"/>
          <w:color w:val="444444"/>
          <w:sz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 bežné použit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 bežné použitie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EBA – bežné použiti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 bežné použitie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 bežné použit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 bežné použitie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EBA – bežné použiti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 bežné použitie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 bežné použit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 bežné použitie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EBA – bežné použiti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 bežné použitie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7"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8"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0" w15:restartNumberingAfterBreak="0">
    <w:nsid w:val="2F7D7F02"/>
    <w:multiLevelType w:val="multilevel"/>
    <w:tmpl w:val="0407001D"/>
    <w:numStyleLink w:val="Formatvorlage3"/>
  </w:abstractNum>
  <w:abstractNum w:abstractNumId="11"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2"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3"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4"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1"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2"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4"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5"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6"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7"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1"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2"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3"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26"/>
  </w:num>
  <w:num w:numId="3" w16cid:durableId="286200695">
    <w:abstractNumId w:val="35"/>
  </w:num>
  <w:num w:numId="4" w16cid:durableId="487287975">
    <w:abstractNumId w:val="19"/>
  </w:num>
  <w:num w:numId="5" w16cid:durableId="1754350949">
    <w:abstractNumId w:val="29"/>
  </w:num>
  <w:num w:numId="6" w16cid:durableId="1507597667">
    <w:abstractNumId w:val="15"/>
  </w:num>
  <w:num w:numId="7" w16cid:durableId="139271283">
    <w:abstractNumId w:val="34"/>
  </w:num>
  <w:num w:numId="8" w16cid:durableId="763764270">
    <w:abstractNumId w:val="7"/>
  </w:num>
  <w:num w:numId="9" w16cid:durableId="1561986968">
    <w:abstractNumId w:val="27"/>
  </w:num>
  <w:num w:numId="10" w16cid:durableId="1349260748">
    <w:abstractNumId w:val="13"/>
  </w:num>
  <w:num w:numId="11" w16cid:durableId="1097991330">
    <w:abstractNumId w:val="21"/>
  </w:num>
  <w:num w:numId="12" w16cid:durableId="858469680">
    <w:abstractNumId w:val="8"/>
  </w:num>
  <w:num w:numId="13" w16cid:durableId="1485394352">
    <w:abstractNumId w:val="28"/>
  </w:num>
  <w:num w:numId="14" w16cid:durableId="881021889">
    <w:abstractNumId w:val="25"/>
  </w:num>
  <w:num w:numId="15" w16cid:durableId="1923681300">
    <w:abstractNumId w:val="11"/>
  </w:num>
  <w:num w:numId="16" w16cid:durableId="211188018">
    <w:abstractNumId w:val="20"/>
  </w:num>
  <w:num w:numId="17" w16cid:durableId="373817584">
    <w:abstractNumId w:val="10"/>
  </w:num>
  <w:num w:numId="18" w16cid:durableId="1615165847">
    <w:abstractNumId w:val="30"/>
  </w:num>
  <w:num w:numId="19" w16cid:durableId="429467310">
    <w:abstractNumId w:val="4"/>
  </w:num>
  <w:num w:numId="20" w16cid:durableId="1023021418">
    <w:abstractNumId w:val="12"/>
  </w:num>
  <w:num w:numId="21" w16cid:durableId="510485648">
    <w:abstractNumId w:val="18"/>
  </w:num>
  <w:num w:numId="22" w16cid:durableId="863594772">
    <w:abstractNumId w:val="24"/>
  </w:num>
  <w:num w:numId="23" w16cid:durableId="1184786628">
    <w:abstractNumId w:val="31"/>
  </w:num>
  <w:num w:numId="24" w16cid:durableId="156314703">
    <w:abstractNumId w:val="6"/>
  </w:num>
  <w:num w:numId="25" w16cid:durableId="1106079368">
    <w:abstractNumId w:val="16"/>
  </w:num>
  <w:num w:numId="26" w16cid:durableId="1353070508">
    <w:abstractNumId w:val="23"/>
  </w:num>
  <w:num w:numId="27" w16cid:durableId="70588701">
    <w:abstractNumId w:val="5"/>
  </w:num>
  <w:num w:numId="28" w16cid:durableId="1079792157">
    <w:abstractNumId w:val="17"/>
  </w:num>
  <w:num w:numId="29" w16cid:durableId="1333265662">
    <w:abstractNumId w:val="2"/>
  </w:num>
  <w:num w:numId="30" w16cid:durableId="737484550">
    <w:abstractNumId w:val="14"/>
  </w:num>
  <w:num w:numId="31" w16cid:durableId="309210531">
    <w:abstractNumId w:val="33"/>
  </w:num>
  <w:num w:numId="32" w16cid:durableId="166527561">
    <w:abstractNumId w:val="1"/>
  </w:num>
  <w:num w:numId="33" w16cid:durableId="1544101633">
    <w:abstractNumId w:val="32"/>
  </w:num>
  <w:num w:numId="34" w16cid:durableId="44380249">
    <w:abstractNumId w:val="22"/>
  </w:num>
  <w:num w:numId="35" w16cid:durableId="1838038624">
    <w:abstractNumId w:val="0"/>
  </w:num>
  <w:num w:numId="36" w16cid:durableId="1856265522">
    <w:abstractNumId w:val="9"/>
  </w:num>
  <w:num w:numId="37" w16cid:durableId="261912047">
    <w:abstractNumId w:val="1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removePersonalInformation/>
  <w:removeDateAndTime/>
  <w:proofState w:spelling="clean" w:grammar="clean"/>
  <w:revisionView w:markup="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348C0"/>
    <w:rsid w:val="00070EF5"/>
    <w:rsid w:val="000B4FE0"/>
    <w:rsid w:val="000C32E9"/>
    <w:rsid w:val="001225D1"/>
    <w:rsid w:val="0013200F"/>
    <w:rsid w:val="00142F33"/>
    <w:rsid w:val="00152C1C"/>
    <w:rsid w:val="00181A32"/>
    <w:rsid w:val="001B3BC1"/>
    <w:rsid w:val="00206539"/>
    <w:rsid w:val="00215DBD"/>
    <w:rsid w:val="002176B5"/>
    <w:rsid w:val="00224FE1"/>
    <w:rsid w:val="00287E31"/>
    <w:rsid w:val="002F0B1D"/>
    <w:rsid w:val="00320EFD"/>
    <w:rsid w:val="00320FF3"/>
    <w:rsid w:val="00345B4F"/>
    <w:rsid w:val="00390E63"/>
    <w:rsid w:val="003C36D5"/>
    <w:rsid w:val="003D5537"/>
    <w:rsid w:val="003D745D"/>
    <w:rsid w:val="00421644"/>
    <w:rsid w:val="004424E0"/>
    <w:rsid w:val="0047453F"/>
    <w:rsid w:val="0048706A"/>
    <w:rsid w:val="004A46D8"/>
    <w:rsid w:val="004C7866"/>
    <w:rsid w:val="00503CAB"/>
    <w:rsid w:val="00585ABC"/>
    <w:rsid w:val="005E3217"/>
    <w:rsid w:val="005F24EB"/>
    <w:rsid w:val="005F25FD"/>
    <w:rsid w:val="00631623"/>
    <w:rsid w:val="00637DBF"/>
    <w:rsid w:val="0064189A"/>
    <w:rsid w:val="006C0BAF"/>
    <w:rsid w:val="00702E18"/>
    <w:rsid w:val="00756BE3"/>
    <w:rsid w:val="00766CB0"/>
    <w:rsid w:val="00767D3D"/>
    <w:rsid w:val="007F42A0"/>
    <w:rsid w:val="007F4B3F"/>
    <w:rsid w:val="00886567"/>
    <w:rsid w:val="00984406"/>
    <w:rsid w:val="009D5CC6"/>
    <w:rsid w:val="00A6002C"/>
    <w:rsid w:val="00A63F48"/>
    <w:rsid w:val="00A8011A"/>
    <w:rsid w:val="00A85510"/>
    <w:rsid w:val="00A94A24"/>
    <w:rsid w:val="00B0254B"/>
    <w:rsid w:val="00B3752E"/>
    <w:rsid w:val="00B550EF"/>
    <w:rsid w:val="00B71F25"/>
    <w:rsid w:val="00C32586"/>
    <w:rsid w:val="00CC220A"/>
    <w:rsid w:val="00CC7D2C"/>
    <w:rsid w:val="00D1404A"/>
    <w:rsid w:val="00D15A2C"/>
    <w:rsid w:val="00D5131F"/>
    <w:rsid w:val="00DA32D5"/>
    <w:rsid w:val="00DD523D"/>
    <w:rsid w:val="00E14A9A"/>
    <w:rsid w:val="00E26A90"/>
    <w:rsid w:val="00E40F85"/>
    <w:rsid w:val="00EF07A1"/>
    <w:rsid w:val="00F07734"/>
    <w:rsid w:val="00F70C94"/>
    <w:rsid w:val="00FA5A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7D2C"/>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CC7D2C"/>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767D3D"/>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CC7D2C"/>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CC7D2C"/>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CC7D2C"/>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CC7D2C"/>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CC7D2C"/>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CC7D2C"/>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CC7D2C"/>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CC7D2C"/>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767D3D"/>
    <w:rPr>
      <w:rFonts w:ascii="Verdana" w:eastAsia="Arial" w:hAnsi="Verdana" w:cs="Times New Roman"/>
      <w:b/>
      <w:kern w:val="0"/>
      <w:sz w:val="24"/>
      <w:szCs w:val="24"/>
      <w:u w:val="single"/>
      <w:lang w:val="sk-SK" w:eastAsia="x-none"/>
      <w14:ligatures w14:val="none"/>
    </w:rPr>
  </w:style>
  <w:style w:type="character" w:customStyle="1" w:styleId="Heading3Char">
    <w:name w:val="Heading 3 Char"/>
    <w:aliases w:val="Title 2 Char"/>
    <w:basedOn w:val="DefaultParagraphFont"/>
    <w:uiPriority w:val="99"/>
    <w:rsid w:val="00CC7D2C"/>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CC7D2C"/>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CC7D2C"/>
    <w:rPr>
      <w:rFonts w:ascii="Arial" w:eastAsia="Arial" w:hAnsi="Arial" w:cs="Times New Roman"/>
      <w:b/>
      <w:i/>
      <w:kern w:val="0"/>
      <w:sz w:val="20"/>
      <w:szCs w:val="20"/>
      <w:lang w:val="sk-SK" w:eastAsia="de-DE"/>
      <w14:ligatures w14:val="none"/>
    </w:rPr>
  </w:style>
  <w:style w:type="character" w:customStyle="1" w:styleId="Heading6Char">
    <w:name w:val="Heading 6 Char"/>
    <w:basedOn w:val="DefaultParagraphFont"/>
    <w:link w:val="Heading6"/>
    <w:rsid w:val="00CC7D2C"/>
    <w:rPr>
      <w:rFonts w:ascii="Times New Roman" w:eastAsia="Arial" w:hAnsi="Times New Roman" w:cs="Times New Roman"/>
      <w:b/>
      <w:bCs/>
      <w:kern w:val="0"/>
      <w:sz w:val="20"/>
      <w:szCs w:val="20"/>
      <w:lang w:val="sk-SK" w:eastAsia="de-DE"/>
      <w14:ligatures w14:val="none"/>
    </w:rPr>
  </w:style>
  <w:style w:type="character" w:customStyle="1" w:styleId="Heading7Char">
    <w:name w:val="Heading 7 Char"/>
    <w:basedOn w:val="DefaultParagraphFont"/>
    <w:link w:val="Heading7"/>
    <w:rsid w:val="00CC7D2C"/>
    <w:rPr>
      <w:rFonts w:ascii="Times New Roman" w:eastAsia="Arial" w:hAnsi="Times New Roman" w:cs="Times New Roman"/>
      <w:kern w:val="0"/>
      <w:sz w:val="20"/>
      <w:szCs w:val="20"/>
      <w:lang w:val="sk-SK" w:eastAsia="de-DE"/>
      <w14:ligatures w14:val="none"/>
    </w:rPr>
  </w:style>
  <w:style w:type="character" w:customStyle="1" w:styleId="Heading8Char">
    <w:name w:val="Heading 8 Char"/>
    <w:basedOn w:val="DefaultParagraphFont"/>
    <w:link w:val="Heading8"/>
    <w:rsid w:val="00CC7D2C"/>
    <w:rPr>
      <w:rFonts w:ascii="Times New Roman" w:eastAsia="Arial" w:hAnsi="Times New Roman" w:cs="Times New Roman"/>
      <w:i/>
      <w:iCs/>
      <w:kern w:val="0"/>
      <w:sz w:val="20"/>
      <w:szCs w:val="20"/>
      <w:lang w:val="sk-SK" w:eastAsia="de-DE"/>
      <w14:ligatures w14:val="none"/>
    </w:rPr>
  </w:style>
  <w:style w:type="character" w:customStyle="1" w:styleId="Heading9Char">
    <w:name w:val="Heading 9 Char"/>
    <w:basedOn w:val="DefaultParagraphFont"/>
    <w:link w:val="Heading9"/>
    <w:rsid w:val="00CC7D2C"/>
    <w:rPr>
      <w:rFonts w:ascii="Arial" w:eastAsia="Arial" w:hAnsi="Arial" w:cs="Times New Roman"/>
      <w:kern w:val="0"/>
      <w:sz w:val="20"/>
      <w:szCs w:val="20"/>
      <w:lang w:val="sk-SK" w:eastAsia="de-DE"/>
      <w14:ligatures w14:val="none"/>
    </w:rPr>
  </w:style>
  <w:style w:type="paragraph" w:styleId="TableofFigures">
    <w:name w:val="table of figures"/>
    <w:basedOn w:val="Normal"/>
    <w:next w:val="Normal"/>
    <w:qFormat/>
    <w:rsid w:val="00CC7D2C"/>
    <w:pPr>
      <w:ind w:left="440" w:hanging="440"/>
    </w:pPr>
  </w:style>
  <w:style w:type="paragraph" w:customStyle="1" w:styleId="Aufzhlungszeichen1">
    <w:name w:val="Aufzählungszeichen1"/>
    <w:basedOn w:val="Normal"/>
    <w:uiPriority w:val="1"/>
    <w:qFormat/>
    <w:rsid w:val="00CC7D2C"/>
    <w:pPr>
      <w:numPr>
        <w:numId w:val="1"/>
      </w:numPr>
      <w:spacing w:line="240" w:lineRule="exact"/>
    </w:pPr>
  </w:style>
  <w:style w:type="paragraph" w:customStyle="1" w:styleId="Aufzhlungszeichen2">
    <w:name w:val="Aufzählungszeichen2"/>
    <w:basedOn w:val="Normal"/>
    <w:uiPriority w:val="1"/>
    <w:qFormat/>
    <w:rsid w:val="00CC7D2C"/>
    <w:pPr>
      <w:numPr>
        <w:numId w:val="2"/>
      </w:numPr>
      <w:spacing w:line="240" w:lineRule="exact"/>
    </w:pPr>
  </w:style>
  <w:style w:type="paragraph" w:customStyle="1" w:styleId="Aufzhlungszeichen3">
    <w:name w:val="Aufzählungszeichen3"/>
    <w:basedOn w:val="Normal"/>
    <w:uiPriority w:val="1"/>
    <w:qFormat/>
    <w:rsid w:val="00CC7D2C"/>
    <w:pPr>
      <w:numPr>
        <w:numId w:val="3"/>
      </w:numPr>
      <w:spacing w:line="240" w:lineRule="exact"/>
    </w:pPr>
  </w:style>
  <w:style w:type="paragraph" w:customStyle="1" w:styleId="Aufzhlungszeichen4">
    <w:name w:val="Aufzählungszeichen4"/>
    <w:basedOn w:val="Normal"/>
    <w:uiPriority w:val="1"/>
    <w:qFormat/>
    <w:rsid w:val="00CC7D2C"/>
    <w:pPr>
      <w:numPr>
        <w:numId w:val="4"/>
      </w:numPr>
      <w:spacing w:line="240" w:lineRule="exact"/>
    </w:pPr>
  </w:style>
  <w:style w:type="paragraph" w:styleId="FootnoteText">
    <w:name w:val="footnote text"/>
    <w:basedOn w:val="Normal"/>
    <w:link w:val="FootnoteTextChar"/>
    <w:qFormat/>
    <w:rsid w:val="00CC7D2C"/>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CC7D2C"/>
    <w:rPr>
      <w:rFonts w:ascii="Arial" w:eastAsia="Arial" w:hAnsi="Arial" w:cs="Times New Roman"/>
      <w:kern w:val="0"/>
      <w:sz w:val="16"/>
      <w:szCs w:val="16"/>
      <w:lang w:val="sk-SK"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CC7D2C"/>
    <w:rPr>
      <w:rFonts w:ascii="Arial" w:hAnsi="Arial" w:cs="Times New Roman"/>
      <w:kern w:val="0"/>
      <w:position w:val="4"/>
      <w:sz w:val="12"/>
      <w:szCs w:val="12"/>
      <w:vertAlign w:val="baseline"/>
    </w:rPr>
  </w:style>
  <w:style w:type="paragraph" w:styleId="Footer">
    <w:name w:val="footer"/>
    <w:basedOn w:val="Normal"/>
    <w:link w:val="FooterChar"/>
    <w:uiPriority w:val="99"/>
    <w:rsid w:val="00CC7D2C"/>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CC7D2C"/>
    <w:rPr>
      <w:rFonts w:ascii="Arial" w:eastAsia="Arial" w:hAnsi="Arial" w:cs="Times New Roman"/>
      <w:kern w:val="0"/>
      <w:sz w:val="14"/>
      <w:szCs w:val="14"/>
      <w:lang w:val="sk-SK" w:eastAsia="de-DE"/>
      <w14:ligatures w14:val="none"/>
    </w:rPr>
  </w:style>
  <w:style w:type="paragraph" w:customStyle="1" w:styleId="GliederungmitAufzhlung">
    <w:name w:val="Gliederung mit Aufzählung"/>
    <w:basedOn w:val="Normal"/>
    <w:uiPriority w:val="1"/>
    <w:qFormat/>
    <w:rsid w:val="00CC7D2C"/>
    <w:pPr>
      <w:numPr>
        <w:numId w:val="7"/>
      </w:numPr>
      <w:spacing w:line="312" w:lineRule="auto"/>
    </w:pPr>
  </w:style>
  <w:style w:type="paragraph" w:customStyle="1" w:styleId="GliederungmitNummerierung">
    <w:name w:val="Gliederung mit Nummerierung"/>
    <w:basedOn w:val="Normal"/>
    <w:uiPriority w:val="1"/>
    <w:qFormat/>
    <w:rsid w:val="00CC7D2C"/>
    <w:pPr>
      <w:numPr>
        <w:numId w:val="8"/>
      </w:numPr>
      <w:spacing w:line="312" w:lineRule="auto"/>
    </w:pPr>
  </w:style>
  <w:style w:type="paragraph" w:customStyle="1" w:styleId="HngEinrckung1">
    <w:name w:val="Häng. Einrückung1"/>
    <w:basedOn w:val="Normal"/>
    <w:uiPriority w:val="1"/>
    <w:qFormat/>
    <w:rsid w:val="00CC7D2C"/>
    <w:pPr>
      <w:spacing w:line="312" w:lineRule="auto"/>
      <w:ind w:left="567" w:hanging="567"/>
    </w:pPr>
  </w:style>
  <w:style w:type="paragraph" w:customStyle="1" w:styleId="HngEinrckung2">
    <w:name w:val="Häng. Einrückung2"/>
    <w:basedOn w:val="Normal"/>
    <w:uiPriority w:val="1"/>
    <w:qFormat/>
    <w:rsid w:val="00CC7D2C"/>
    <w:pPr>
      <w:spacing w:line="312" w:lineRule="auto"/>
      <w:ind w:left="1134" w:hanging="567"/>
    </w:pPr>
  </w:style>
  <w:style w:type="paragraph" w:customStyle="1" w:styleId="HngEinrckung3">
    <w:name w:val="Häng. Einrückung3"/>
    <w:basedOn w:val="Normal"/>
    <w:uiPriority w:val="1"/>
    <w:qFormat/>
    <w:rsid w:val="00CC7D2C"/>
    <w:pPr>
      <w:spacing w:line="312" w:lineRule="auto"/>
      <w:ind w:left="1701" w:hanging="567"/>
    </w:pPr>
  </w:style>
  <w:style w:type="character" w:styleId="Hyperlink">
    <w:name w:val="Hyperlink"/>
    <w:uiPriority w:val="99"/>
    <w:rsid w:val="00CC7D2C"/>
    <w:rPr>
      <w:rFonts w:cs="Times New Roman"/>
      <w:color w:val="0000FF"/>
      <w:u w:val="single"/>
    </w:rPr>
  </w:style>
  <w:style w:type="paragraph" w:customStyle="1" w:styleId="Marginalspalte">
    <w:name w:val="Marginalspalte"/>
    <w:basedOn w:val="Normal"/>
    <w:uiPriority w:val="1"/>
    <w:qFormat/>
    <w:rsid w:val="00CC7D2C"/>
    <w:pPr>
      <w:framePr w:w="851" w:h="851" w:hSpace="284" w:wrap="around" w:vAnchor="text" w:hAnchor="page" w:y="1"/>
    </w:pPr>
    <w:rPr>
      <w:i/>
      <w:szCs w:val="22"/>
    </w:rPr>
  </w:style>
  <w:style w:type="paragraph" w:customStyle="1" w:styleId="Nummerierungsart1">
    <w:name w:val="Nummerierungsart1"/>
    <w:basedOn w:val="Normal"/>
    <w:uiPriority w:val="1"/>
    <w:qFormat/>
    <w:rsid w:val="00CC7D2C"/>
    <w:pPr>
      <w:numPr>
        <w:numId w:val="9"/>
      </w:numPr>
    </w:pPr>
  </w:style>
  <w:style w:type="paragraph" w:customStyle="1" w:styleId="Nummerierungsart2">
    <w:name w:val="Nummerierungsart2"/>
    <w:basedOn w:val="Normal"/>
    <w:uiPriority w:val="1"/>
    <w:qFormat/>
    <w:rsid w:val="00CC7D2C"/>
    <w:pPr>
      <w:numPr>
        <w:numId w:val="10"/>
      </w:numPr>
    </w:pPr>
  </w:style>
  <w:style w:type="paragraph" w:customStyle="1" w:styleId="Nummerierungsart3">
    <w:name w:val="Nummerierungsart3"/>
    <w:basedOn w:val="Normal"/>
    <w:uiPriority w:val="1"/>
    <w:qFormat/>
    <w:rsid w:val="00CC7D2C"/>
    <w:pPr>
      <w:numPr>
        <w:numId w:val="11"/>
      </w:numPr>
    </w:pPr>
  </w:style>
  <w:style w:type="paragraph" w:customStyle="1" w:styleId="Nummerierungsart4">
    <w:name w:val="Nummerierungsart4"/>
    <w:basedOn w:val="Normal"/>
    <w:uiPriority w:val="1"/>
    <w:qFormat/>
    <w:rsid w:val="00CC7D2C"/>
    <w:pPr>
      <w:numPr>
        <w:numId w:val="12"/>
      </w:numPr>
    </w:pPr>
  </w:style>
  <w:style w:type="character" w:styleId="PageNumber">
    <w:name w:val="page number"/>
    <w:uiPriority w:val="99"/>
    <w:rsid w:val="00CC7D2C"/>
    <w:rPr>
      <w:rFonts w:ascii="Arial" w:hAnsi="Arial" w:cs="Times New Roman"/>
      <w:sz w:val="22"/>
    </w:rPr>
  </w:style>
  <w:style w:type="character" w:customStyle="1" w:styleId="Heading3Char1">
    <w:name w:val="Heading 3 Char1"/>
    <w:aliases w:val="Title 2 Char1"/>
    <w:link w:val="Heading3"/>
    <w:uiPriority w:val="99"/>
    <w:locked/>
    <w:rsid w:val="00CC7D2C"/>
    <w:rPr>
      <w:rFonts w:ascii="Arial" w:eastAsia="Arial" w:hAnsi="Arial" w:cs="Times New Roman"/>
      <w:b/>
      <w:kern w:val="0"/>
      <w:sz w:val="20"/>
      <w:szCs w:val="20"/>
      <w:lang w:val="sk-SK" w:eastAsia="de-DE"/>
      <w14:ligatures w14:val="none"/>
    </w:rPr>
  </w:style>
  <w:style w:type="paragraph" w:styleId="TOC1">
    <w:name w:val="toc 1"/>
    <w:basedOn w:val="Normal"/>
    <w:next w:val="Normal"/>
    <w:autoRedefine/>
    <w:uiPriority w:val="39"/>
    <w:qFormat/>
    <w:rsid w:val="00CC7D2C"/>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CC7D2C"/>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CC7D2C"/>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CC7D2C"/>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CC7D2C"/>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CC7D2C"/>
    <w:pPr>
      <w:tabs>
        <w:tab w:val="left" w:pos="2058"/>
        <w:tab w:val="right" w:leader="dot" w:pos="9071"/>
      </w:tabs>
      <w:ind w:left="1134" w:hanging="1134"/>
    </w:pPr>
    <w:rPr>
      <w:noProof/>
      <w:sz w:val="16"/>
    </w:rPr>
  </w:style>
  <w:style w:type="paragraph" w:styleId="TOC7">
    <w:name w:val="toc 7"/>
    <w:basedOn w:val="Normal"/>
    <w:next w:val="Normal"/>
    <w:autoRedefine/>
    <w:uiPriority w:val="39"/>
    <w:rsid w:val="00CC7D2C"/>
    <w:pPr>
      <w:tabs>
        <w:tab w:val="right" w:leader="dot" w:pos="9071"/>
      </w:tabs>
      <w:ind w:left="1134" w:hanging="1134"/>
    </w:pPr>
    <w:rPr>
      <w:sz w:val="16"/>
    </w:rPr>
  </w:style>
  <w:style w:type="paragraph" w:styleId="TOC8">
    <w:name w:val="toc 8"/>
    <w:basedOn w:val="Normal"/>
    <w:next w:val="Normal"/>
    <w:autoRedefine/>
    <w:uiPriority w:val="39"/>
    <w:rsid w:val="00CC7D2C"/>
    <w:pPr>
      <w:tabs>
        <w:tab w:val="left" w:pos="2758"/>
        <w:tab w:val="right" w:leader="dot" w:pos="9071"/>
      </w:tabs>
      <w:ind w:left="1361" w:hanging="1361"/>
    </w:pPr>
    <w:rPr>
      <w:noProof/>
      <w:sz w:val="16"/>
    </w:rPr>
  </w:style>
  <w:style w:type="paragraph" w:styleId="TOC9">
    <w:name w:val="toc 9"/>
    <w:basedOn w:val="Normal"/>
    <w:next w:val="Normal"/>
    <w:autoRedefine/>
    <w:uiPriority w:val="39"/>
    <w:rsid w:val="00CC7D2C"/>
    <w:pPr>
      <w:tabs>
        <w:tab w:val="right" w:leader="dot" w:pos="9071"/>
      </w:tabs>
      <w:ind w:left="1361" w:hanging="1361"/>
    </w:pPr>
    <w:rPr>
      <w:sz w:val="16"/>
    </w:rPr>
  </w:style>
  <w:style w:type="paragraph" w:styleId="Quote">
    <w:name w:val="Quote"/>
    <w:basedOn w:val="Normal"/>
    <w:next w:val="Normal"/>
    <w:link w:val="QuoteChar"/>
    <w:uiPriority w:val="29"/>
    <w:qFormat/>
    <w:rsid w:val="00CC7D2C"/>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CC7D2C"/>
    <w:rPr>
      <w:rFonts w:ascii="Arial" w:eastAsia="Arial" w:hAnsi="Arial" w:cs="Times New Roman"/>
      <w:i/>
      <w:iCs/>
      <w:color w:val="000000"/>
      <w:kern w:val="0"/>
      <w:sz w:val="20"/>
      <w:szCs w:val="20"/>
      <w:lang w:val="sk-SK" w:eastAsia="de-DE"/>
      <w14:ligatures w14:val="none"/>
    </w:rPr>
  </w:style>
  <w:style w:type="paragraph" w:styleId="TOCHeading">
    <w:name w:val="TOC Heading"/>
    <w:basedOn w:val="Heading1"/>
    <w:next w:val="Normal"/>
    <w:uiPriority w:val="39"/>
    <w:qFormat/>
    <w:rsid w:val="00CC7D2C"/>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CC7D2C"/>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CC7D2C"/>
    <w:rPr>
      <w:rFonts w:ascii="Arial" w:eastAsia="Arial" w:hAnsi="Arial" w:cs="Times New Roman"/>
      <w:kern w:val="0"/>
      <w:sz w:val="20"/>
      <w:szCs w:val="20"/>
      <w:lang w:val="sk-SK" w:eastAsia="de-DE"/>
      <w14:ligatures w14:val="none"/>
    </w:rPr>
  </w:style>
  <w:style w:type="character" w:styleId="EndnoteReference">
    <w:name w:val="endnote reference"/>
    <w:uiPriority w:val="1"/>
    <w:rsid w:val="00CC7D2C"/>
    <w:rPr>
      <w:rFonts w:ascii="Arial" w:hAnsi="Arial" w:cs="Times New Roman"/>
      <w:color w:val="auto"/>
      <w:position w:val="4"/>
      <w:sz w:val="12"/>
      <w:vertAlign w:val="baseline"/>
    </w:rPr>
  </w:style>
  <w:style w:type="paragraph" w:customStyle="1" w:styleId="Ballontekst">
    <w:name w:val="Ballontekst"/>
    <w:basedOn w:val="Normal"/>
    <w:uiPriority w:val="99"/>
    <w:semiHidden/>
    <w:rsid w:val="00CC7D2C"/>
    <w:rPr>
      <w:rFonts w:ascii="Tahoma" w:hAnsi="Tahoma" w:cs="Tahoma"/>
      <w:sz w:val="16"/>
      <w:szCs w:val="16"/>
    </w:rPr>
  </w:style>
  <w:style w:type="character" w:styleId="CommentReference">
    <w:name w:val="annotation reference"/>
    <w:uiPriority w:val="99"/>
    <w:rsid w:val="00CC7D2C"/>
    <w:rPr>
      <w:rFonts w:cs="Times New Roman"/>
      <w:sz w:val="16"/>
      <w:szCs w:val="16"/>
    </w:rPr>
  </w:style>
  <w:style w:type="paragraph" w:styleId="CommentText">
    <w:name w:val="annotation text"/>
    <w:basedOn w:val="Normal"/>
    <w:link w:val="CommentTextChar"/>
    <w:uiPriority w:val="99"/>
    <w:rsid w:val="00CC7D2C"/>
    <w:rPr>
      <w:rFonts w:eastAsia="Arial"/>
      <w:szCs w:val="20"/>
      <w:lang w:eastAsia="x-none"/>
    </w:rPr>
  </w:style>
  <w:style w:type="character" w:customStyle="1" w:styleId="CommentTextChar">
    <w:name w:val="Comment Text Char"/>
    <w:basedOn w:val="DefaultParagraphFont"/>
    <w:link w:val="CommentText"/>
    <w:uiPriority w:val="99"/>
    <w:rsid w:val="00CC7D2C"/>
    <w:rPr>
      <w:rFonts w:ascii="Verdana" w:eastAsia="Arial" w:hAnsi="Verdana" w:cs="Times New Roman"/>
      <w:kern w:val="0"/>
      <w:sz w:val="20"/>
      <w:szCs w:val="20"/>
      <w:lang w:val="sk-SK" w:eastAsia="x-none"/>
      <w14:ligatures w14:val="none"/>
    </w:rPr>
  </w:style>
  <w:style w:type="paragraph" w:customStyle="1" w:styleId="Onderwerpvanopmerking">
    <w:name w:val="Onderwerp van opmerking"/>
    <w:basedOn w:val="CommentText"/>
    <w:next w:val="CommentText"/>
    <w:uiPriority w:val="99"/>
    <w:semiHidden/>
    <w:rsid w:val="00CC7D2C"/>
    <w:rPr>
      <w:b/>
      <w:bCs/>
    </w:rPr>
  </w:style>
  <w:style w:type="character" w:styleId="FollowedHyperlink">
    <w:name w:val="FollowedHyperlink"/>
    <w:uiPriority w:val="99"/>
    <w:rsid w:val="00CC7D2C"/>
    <w:rPr>
      <w:rFonts w:cs="Times New Roman"/>
      <w:color w:val="606420"/>
      <w:u w:val="single"/>
    </w:rPr>
  </w:style>
  <w:style w:type="paragraph" w:styleId="BalloonText">
    <w:name w:val="Balloon Text"/>
    <w:basedOn w:val="Normal"/>
    <w:link w:val="BalloonTextChar"/>
    <w:uiPriority w:val="99"/>
    <w:rsid w:val="00CC7D2C"/>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CC7D2C"/>
    <w:rPr>
      <w:rFonts w:ascii="Tahoma" w:eastAsia="Arial" w:hAnsi="Tahoma" w:cs="Times New Roman"/>
      <w:kern w:val="0"/>
      <w:sz w:val="16"/>
      <w:szCs w:val="16"/>
      <w:lang w:val="sk-SK" w:eastAsia="x-none"/>
      <w14:ligatures w14:val="none"/>
    </w:rPr>
  </w:style>
  <w:style w:type="paragraph" w:styleId="CommentSubject">
    <w:name w:val="annotation subject"/>
    <w:basedOn w:val="CommentText"/>
    <w:next w:val="CommentText"/>
    <w:link w:val="CommentSubjectChar"/>
    <w:uiPriority w:val="99"/>
    <w:rsid w:val="00CC7D2C"/>
    <w:rPr>
      <w:b/>
      <w:bCs/>
    </w:rPr>
  </w:style>
  <w:style w:type="character" w:customStyle="1" w:styleId="CommentSubjectChar">
    <w:name w:val="Comment Subject Char"/>
    <w:basedOn w:val="CommentTextChar"/>
    <w:link w:val="CommentSubject"/>
    <w:uiPriority w:val="99"/>
    <w:rsid w:val="00CC7D2C"/>
    <w:rPr>
      <w:rFonts w:ascii="Verdana" w:eastAsia="Arial" w:hAnsi="Verdana" w:cs="Times New Roman"/>
      <w:b/>
      <w:bCs/>
      <w:kern w:val="0"/>
      <w:sz w:val="20"/>
      <w:szCs w:val="20"/>
      <w:lang w:val="sk-SK" w:eastAsia="x-none"/>
      <w14:ligatures w14:val="none"/>
    </w:rPr>
  </w:style>
  <w:style w:type="table" w:styleId="TableGrid">
    <w:name w:val="Table Grid"/>
    <w:aliases w:val="Tabla CUADROS"/>
    <w:basedOn w:val="TableNormal"/>
    <w:uiPriority w:val="59"/>
    <w:rsid w:val="00CC7D2C"/>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CC7D2C"/>
    <w:pPr>
      <w:spacing w:before="240" w:after="60"/>
    </w:pPr>
    <w:rPr>
      <w:iCs/>
      <w:szCs w:val="28"/>
    </w:rPr>
  </w:style>
  <w:style w:type="character" w:customStyle="1" w:styleId="Formatvorlageberschrift4Char">
    <w:name w:val="Formatvorlage Überschrift 4 Char"/>
    <w:link w:val="Formatvorlageberschrift4"/>
    <w:uiPriority w:val="99"/>
    <w:locked/>
    <w:rsid w:val="00CC7D2C"/>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CC7D2C"/>
    <w:pPr>
      <w:tabs>
        <w:tab w:val="num" w:pos="540"/>
      </w:tabs>
      <w:spacing w:before="240"/>
      <w:ind w:left="540" w:hanging="540"/>
    </w:pPr>
    <w:rPr>
      <w:b w:val="0"/>
      <w:kern w:val="32"/>
    </w:rPr>
  </w:style>
  <w:style w:type="paragraph" w:customStyle="1" w:styleId="Instructionsberschrift2">
    <w:name w:val="Instructions Überschrift 2"/>
    <w:basedOn w:val="Heading2"/>
    <w:rsid w:val="00CC7D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CC7D2C"/>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CC7D2C"/>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CC7D2C"/>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320EFD"/>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CC7D2C"/>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CC7D2C"/>
    <w:rPr>
      <w:rFonts w:ascii="Verdana" w:hAnsi="Verdana" w:cs="Times New Roman"/>
      <w:b/>
      <w:bCs/>
      <w:sz w:val="20"/>
      <w:u w:val="single"/>
    </w:rPr>
  </w:style>
  <w:style w:type="character" w:customStyle="1" w:styleId="InstructionsTabelleText">
    <w:name w:val="Instructions Tabelle Text"/>
    <w:rsid w:val="00CC7D2C"/>
    <w:rPr>
      <w:rFonts w:ascii="Verdana" w:hAnsi="Verdana" w:cs="Times New Roman"/>
      <w:sz w:val="20"/>
    </w:rPr>
  </w:style>
  <w:style w:type="character" w:customStyle="1" w:styleId="FormatvorlageInstructionsTabelleText">
    <w:name w:val="Formatvorlage Instructions Tabelle Text"/>
    <w:uiPriority w:val="99"/>
    <w:qFormat/>
    <w:rsid w:val="00CC7D2C"/>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CC7D2C"/>
    <w:pPr>
      <w:ind w:left="0" w:firstLine="0"/>
    </w:pPr>
    <w:rPr>
      <w:szCs w:val="20"/>
    </w:rPr>
  </w:style>
  <w:style w:type="paragraph" w:customStyle="1" w:styleId="Texte2">
    <w:name w:val="Texte 2"/>
    <w:basedOn w:val="Normal"/>
    <w:uiPriority w:val="99"/>
    <w:rsid w:val="00CC7D2C"/>
    <w:pPr>
      <w:spacing w:after="0"/>
      <w:ind w:left="567"/>
    </w:pPr>
    <w:rPr>
      <w:sz w:val="22"/>
      <w:szCs w:val="20"/>
      <w:lang w:eastAsia="fr-FR"/>
    </w:rPr>
  </w:style>
  <w:style w:type="paragraph" w:customStyle="1" w:styleId="Prrafodelista1">
    <w:name w:val="Párrafo de lista1"/>
    <w:basedOn w:val="Normal"/>
    <w:uiPriority w:val="99"/>
    <w:rsid w:val="00CC7D2C"/>
    <w:pPr>
      <w:ind w:left="720"/>
    </w:pPr>
  </w:style>
  <w:style w:type="paragraph" w:customStyle="1" w:styleId="Prrafodelista2">
    <w:name w:val="Párrafo de lista2"/>
    <w:basedOn w:val="Normal"/>
    <w:uiPriority w:val="99"/>
    <w:rsid w:val="00CC7D2C"/>
    <w:pPr>
      <w:ind w:left="708"/>
    </w:pPr>
  </w:style>
  <w:style w:type="paragraph" w:styleId="PlainText">
    <w:name w:val="Plain Text"/>
    <w:basedOn w:val="Normal"/>
    <w:link w:val="PlainTextChar"/>
    <w:uiPriority w:val="99"/>
    <w:rsid w:val="00CC7D2C"/>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CC7D2C"/>
    <w:rPr>
      <w:rFonts w:ascii="Verdana" w:eastAsia="Arial" w:hAnsi="Verdana" w:cs="Times New Roman"/>
      <w:kern w:val="0"/>
      <w:sz w:val="20"/>
      <w:szCs w:val="20"/>
      <w:lang w:val="sk-SK" w:eastAsia="es-ES_tradnl"/>
      <w14:ligatures w14:val="none"/>
    </w:rPr>
  </w:style>
  <w:style w:type="paragraph" w:customStyle="1" w:styleId="Listenabsatz1">
    <w:name w:val="Listenabsatz1"/>
    <w:basedOn w:val="Normal"/>
    <w:uiPriority w:val="99"/>
    <w:rsid w:val="00CC7D2C"/>
    <w:pPr>
      <w:ind w:left="708"/>
    </w:pPr>
  </w:style>
  <w:style w:type="character" w:customStyle="1" w:styleId="InstructionsTextChar">
    <w:name w:val="Instructions Text Char"/>
    <w:link w:val="InstructionsText"/>
    <w:locked/>
    <w:rsid w:val="00320EFD"/>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CC7D2C"/>
    <w:pPr>
      <w:spacing w:after="0" w:line="240" w:lineRule="auto"/>
    </w:pPr>
    <w:rPr>
      <w:rFonts w:ascii="Verdana" w:eastAsia="Times New Roman" w:hAnsi="Verdana" w:cs="Times New Roman"/>
      <w:kern w:val="0"/>
      <w:sz w:val="20"/>
      <w:szCs w:val="24"/>
      <w14:ligatures w14:val="none"/>
    </w:rPr>
  </w:style>
  <w:style w:type="paragraph" w:styleId="ListParagraph">
    <w:name w:val="List Paragraph"/>
    <w:basedOn w:val="Normal"/>
    <w:link w:val="ListParagraphChar"/>
    <w:uiPriority w:val="34"/>
    <w:qFormat/>
    <w:rsid w:val="00CC7D2C"/>
    <w:pPr>
      <w:ind w:left="708"/>
    </w:pPr>
  </w:style>
  <w:style w:type="character" w:styleId="PlaceholderText">
    <w:name w:val="Placeholder Text"/>
    <w:uiPriority w:val="99"/>
    <w:semiHidden/>
    <w:rsid w:val="00CC7D2C"/>
    <w:rPr>
      <w:rFonts w:cs="Times New Roman"/>
      <w:color w:val="808080"/>
    </w:rPr>
  </w:style>
  <w:style w:type="paragraph" w:customStyle="1" w:styleId="InstructionsText2">
    <w:name w:val="Instructions Text 2"/>
    <w:basedOn w:val="InstructionsText"/>
    <w:qFormat/>
    <w:rsid w:val="00CC7D2C"/>
    <w:pPr>
      <w:numPr>
        <w:numId w:val="15"/>
      </w:numPr>
      <w:spacing w:after="240"/>
    </w:pPr>
  </w:style>
  <w:style w:type="character" w:customStyle="1" w:styleId="Instructionsberschrift3Char">
    <w:name w:val="Instructions Überschrift 3 Char"/>
    <w:locked/>
    <w:rsid w:val="00CC7D2C"/>
    <w:rPr>
      <w:rFonts w:ascii="Verdana" w:hAnsi="Verdana" w:cs="Arial"/>
      <w:b/>
      <w:bCs/>
      <w:sz w:val="26"/>
      <w:szCs w:val="26"/>
      <w:u w:val="single"/>
      <w:lang w:val="sk-SK" w:eastAsia="en-US" w:bidi="ar-SA"/>
    </w:rPr>
  </w:style>
  <w:style w:type="paragraph" w:customStyle="1" w:styleId="CM4">
    <w:name w:val="CM4"/>
    <w:basedOn w:val="Normal"/>
    <w:next w:val="Normal"/>
    <w:uiPriority w:val="99"/>
    <w:rsid w:val="00CC7D2C"/>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CC7D2C"/>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CC7D2C"/>
    <w:rPr>
      <w:rFonts w:ascii="Tahoma" w:eastAsia="Arial" w:hAnsi="Tahoma" w:cs="Times New Roman"/>
      <w:kern w:val="0"/>
      <w:sz w:val="16"/>
      <w:szCs w:val="16"/>
      <w:lang w:val="sk-SK" w:eastAsia="x-none"/>
      <w14:ligatures w14:val="none"/>
    </w:rPr>
  </w:style>
  <w:style w:type="paragraph" w:customStyle="1" w:styleId="Titrearticle">
    <w:name w:val="Titre article"/>
    <w:basedOn w:val="Normal"/>
    <w:next w:val="Normal"/>
    <w:rsid w:val="00CC7D2C"/>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C7D2C"/>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C7D2C"/>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CC7D2C"/>
    <w:rPr>
      <w:rFonts w:cs="Times New Roman"/>
      <w:sz w:val="24"/>
      <w:szCs w:val="24"/>
      <w:lang w:eastAsia="de-DE"/>
    </w:rPr>
  </w:style>
  <w:style w:type="paragraph" w:customStyle="1" w:styleId="NumPar1">
    <w:name w:val="NumPar 1"/>
    <w:basedOn w:val="Normal"/>
    <w:next w:val="Normal"/>
    <w:link w:val="NumPar1Char"/>
    <w:uiPriority w:val="99"/>
    <w:rsid w:val="00CC7D2C"/>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CC7D2C"/>
    <w:rPr>
      <w:rFonts w:cs="Times New Roman"/>
      <w:sz w:val="24"/>
      <w:szCs w:val="24"/>
    </w:rPr>
  </w:style>
  <w:style w:type="paragraph" w:customStyle="1" w:styleId="Point1letter">
    <w:name w:val="Point 1 (letter)"/>
    <w:basedOn w:val="Normal"/>
    <w:link w:val="Point1letterChar"/>
    <w:uiPriority w:val="99"/>
    <w:rsid w:val="00CC7D2C"/>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CC7D2C"/>
    <w:pPr>
      <w:numPr>
        <w:numId w:val="6"/>
      </w:numPr>
    </w:pPr>
  </w:style>
  <w:style w:type="numbering" w:customStyle="1" w:styleId="Formatvorlage3">
    <w:name w:val="Formatvorlage3"/>
    <w:uiPriority w:val="99"/>
    <w:rsid w:val="00CC7D2C"/>
    <w:pPr>
      <w:numPr>
        <w:numId w:val="16"/>
      </w:numPr>
    </w:pPr>
  </w:style>
  <w:style w:type="numbering" w:customStyle="1" w:styleId="Formatvorlage1">
    <w:name w:val="Formatvorlage1"/>
    <w:uiPriority w:val="99"/>
    <w:rsid w:val="00CC7D2C"/>
    <w:pPr>
      <w:numPr>
        <w:numId w:val="5"/>
      </w:numPr>
    </w:pPr>
  </w:style>
  <w:style w:type="numbering" w:customStyle="1" w:styleId="Formatvorlage4">
    <w:name w:val="Formatvorlage4"/>
    <w:uiPriority w:val="99"/>
    <w:rsid w:val="00CC7D2C"/>
    <w:pPr>
      <w:numPr>
        <w:numId w:val="18"/>
      </w:numPr>
    </w:pPr>
  </w:style>
  <w:style w:type="paragraph" w:customStyle="1" w:styleId="ListParagraph1">
    <w:name w:val="List Paragraph1"/>
    <w:basedOn w:val="Normal"/>
    <w:uiPriority w:val="99"/>
    <w:qFormat/>
    <w:rsid w:val="00CC7D2C"/>
    <w:pPr>
      <w:ind w:left="708"/>
    </w:pPr>
  </w:style>
  <w:style w:type="paragraph" w:customStyle="1" w:styleId="Anfhrungszeichen1">
    <w:name w:val="Anführungszeichen1"/>
    <w:basedOn w:val="Normal"/>
    <w:next w:val="Normal"/>
    <w:link w:val="AnfhrungszeichenZchn"/>
    <w:uiPriority w:val="29"/>
    <w:semiHidden/>
    <w:rsid w:val="00CC7D2C"/>
    <w:rPr>
      <w:i/>
      <w:iCs/>
      <w:color w:val="000000"/>
    </w:rPr>
  </w:style>
  <w:style w:type="character" w:customStyle="1" w:styleId="AnfhrungszeichenZchn">
    <w:name w:val="Anführungszeichen Zchn"/>
    <w:link w:val="Anfhrungszeichen1"/>
    <w:uiPriority w:val="29"/>
    <w:semiHidden/>
    <w:rsid w:val="00CC7D2C"/>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CC7D2C"/>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CC7D2C"/>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CC7D2C"/>
    <w:pPr>
      <w:ind w:left="708"/>
    </w:pPr>
  </w:style>
  <w:style w:type="character" w:customStyle="1" w:styleId="Platzhaltertext1">
    <w:name w:val="Platzhaltertext1"/>
    <w:uiPriority w:val="99"/>
    <w:semiHidden/>
    <w:rsid w:val="00CC7D2C"/>
    <w:rPr>
      <w:color w:val="808080"/>
    </w:rPr>
  </w:style>
  <w:style w:type="paragraph" w:customStyle="1" w:styleId="Default">
    <w:name w:val="Default"/>
    <w:rsid w:val="00CC7D2C"/>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CC7D2C"/>
    <w:rPr>
      <w:rFonts w:ascii="EU Albertina" w:hAnsi="EU Albertina" w:cs="Times New Roman"/>
      <w:color w:val="auto"/>
    </w:rPr>
  </w:style>
  <w:style w:type="paragraph" w:customStyle="1" w:styleId="CM3">
    <w:name w:val="CM3"/>
    <w:basedOn w:val="Default"/>
    <w:next w:val="Default"/>
    <w:uiPriority w:val="99"/>
    <w:rsid w:val="00CC7D2C"/>
    <w:rPr>
      <w:rFonts w:ascii="EU Albertina" w:hAnsi="EU Albertina" w:cs="Times New Roman"/>
      <w:color w:val="auto"/>
    </w:rPr>
  </w:style>
  <w:style w:type="paragraph" w:styleId="NormalWeb">
    <w:name w:val="Normal (Web)"/>
    <w:basedOn w:val="Normal"/>
    <w:uiPriority w:val="99"/>
    <w:unhideWhenUsed/>
    <w:rsid w:val="00CC7D2C"/>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CC7D2C"/>
    <w:rPr>
      <w:i/>
      <w:iCs/>
    </w:rPr>
  </w:style>
  <w:style w:type="paragraph" w:customStyle="1" w:styleId="TableMainHeading">
    <w:name w:val="TableMainHeading"/>
    <w:basedOn w:val="Normal"/>
    <w:next w:val="Normal"/>
    <w:uiPriority w:val="99"/>
    <w:rsid w:val="00CC7D2C"/>
    <w:pPr>
      <w:jc w:val="left"/>
    </w:pPr>
    <w:rPr>
      <w:rFonts w:ascii="Segoe UI" w:hAnsi="Segoe UI"/>
      <w:sz w:val="22"/>
      <w:szCs w:val="20"/>
    </w:rPr>
  </w:style>
  <w:style w:type="paragraph" w:customStyle="1" w:styleId="body">
    <w:name w:val="body"/>
    <w:qFormat/>
    <w:rsid w:val="00CC7D2C"/>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CC7D2C"/>
    <w:pPr>
      <w:spacing w:before="480"/>
    </w:pPr>
    <w:rPr>
      <w:rFonts w:ascii="Times New Roman" w:hAnsi="Times New Roman"/>
      <w:sz w:val="24"/>
    </w:rPr>
  </w:style>
  <w:style w:type="paragraph" w:customStyle="1" w:styleId="Fait">
    <w:name w:val="Fait à"/>
    <w:basedOn w:val="Normal"/>
    <w:next w:val="Normal"/>
    <w:rsid w:val="00CC7D2C"/>
    <w:pPr>
      <w:keepNext/>
      <w:spacing w:after="0"/>
    </w:pPr>
    <w:rPr>
      <w:rFonts w:ascii="Times New Roman" w:hAnsi="Times New Roman"/>
      <w:sz w:val="24"/>
    </w:rPr>
  </w:style>
  <w:style w:type="paragraph" w:customStyle="1" w:styleId="Numberedtilelevel1">
    <w:name w:val="Numbered tile level 1"/>
    <w:basedOn w:val="Titlelevel1"/>
    <w:qFormat/>
    <w:rsid w:val="00CC7D2C"/>
    <w:pPr>
      <w:numPr>
        <w:numId w:val="33"/>
      </w:numPr>
    </w:pPr>
  </w:style>
  <w:style w:type="paragraph" w:customStyle="1" w:styleId="Numberedtitlelevel2">
    <w:name w:val="Numbered title level 2"/>
    <w:basedOn w:val="Titlelevel2"/>
    <w:next w:val="body"/>
    <w:qFormat/>
    <w:rsid w:val="00CC7D2C"/>
    <w:pPr>
      <w:numPr>
        <w:ilvl w:val="1"/>
        <w:numId w:val="33"/>
      </w:numPr>
    </w:pPr>
  </w:style>
  <w:style w:type="paragraph" w:customStyle="1" w:styleId="Titlelevel2">
    <w:name w:val="Title level 2"/>
    <w:qFormat/>
    <w:rsid w:val="00CC7D2C"/>
    <w:pPr>
      <w:spacing w:before="240" w:after="240" w:line="240" w:lineRule="auto"/>
    </w:pPr>
    <w:rPr>
      <w:rFonts w:asciiTheme="majorHAnsi" w:eastAsiaTheme="majorEastAsia" w:hAnsiTheme="majorHAnsi" w:cstheme="majorBidi"/>
      <w:bCs/>
      <w:color w:val="44546A" w:themeColor="text2"/>
      <w:kern w:val="0"/>
      <w:sz w:val="32"/>
      <w:szCs w:val="24"/>
      <w14:ligatures w14:val="none"/>
    </w:rPr>
  </w:style>
  <w:style w:type="paragraph" w:customStyle="1" w:styleId="Tableheader">
    <w:name w:val="Table header"/>
    <w:next w:val="Tabledata"/>
    <w:qFormat/>
    <w:rsid w:val="00CC7D2C"/>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CC7D2C"/>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CC7D2C"/>
    <w:pPr>
      <w:numPr>
        <w:numId w:val="31"/>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CC7D2C"/>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CC7D2C"/>
    <w:pPr>
      <w:numPr>
        <w:numId w:val="32"/>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CC7D2C"/>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14:ligatures w14:val="none"/>
    </w:rPr>
  </w:style>
  <w:style w:type="paragraph" w:customStyle="1" w:styleId="Titlelevel3">
    <w:name w:val="Title level 3"/>
    <w:qFormat/>
    <w:rsid w:val="00CC7D2C"/>
    <w:pPr>
      <w:spacing w:before="240" w:after="240" w:line="240" w:lineRule="auto"/>
    </w:pPr>
    <w:rPr>
      <w:rFonts w:eastAsiaTheme="minorEastAsia"/>
      <w:b/>
      <w:color w:val="44546A" w:themeColor="text2"/>
      <w:kern w:val="0"/>
      <w:sz w:val="24"/>
      <w:szCs w:val="24"/>
      <w14:ligatures w14:val="none"/>
    </w:rPr>
  </w:style>
  <w:style w:type="paragraph" w:customStyle="1" w:styleId="Titlelevel4">
    <w:name w:val="Title level 4"/>
    <w:next w:val="body"/>
    <w:qFormat/>
    <w:rsid w:val="00CC7D2C"/>
    <w:pPr>
      <w:spacing w:before="240" w:after="240" w:line="240" w:lineRule="auto"/>
    </w:pPr>
    <w:rPr>
      <w:rFonts w:eastAsiaTheme="minorEastAsia"/>
      <w:color w:val="E7E6E6" w:themeColor="background2"/>
      <w:kern w:val="0"/>
      <w:sz w:val="24"/>
      <w:szCs w:val="24"/>
      <w14:ligatures w14:val="none"/>
    </w:rPr>
  </w:style>
  <w:style w:type="paragraph" w:customStyle="1" w:styleId="Figuretitle">
    <w:name w:val="Figure title"/>
    <w:basedOn w:val="body"/>
    <w:next w:val="Normal"/>
    <w:autoRedefine/>
    <w:qFormat/>
    <w:rsid w:val="00CC7D2C"/>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CC7D2C"/>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CC7D2C"/>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CC7D2C"/>
    <w:pPr>
      <w:numPr>
        <w:numId w:val="29"/>
      </w:numPr>
    </w:pPr>
    <w:rPr>
      <w:szCs w:val="22"/>
    </w:rPr>
  </w:style>
  <w:style w:type="paragraph" w:customStyle="1" w:styleId="bullet2">
    <w:name w:val="bullet 2"/>
    <w:basedOn w:val="body"/>
    <w:qFormat/>
    <w:rsid w:val="00CC7D2C"/>
    <w:pPr>
      <w:numPr>
        <w:numId w:val="28"/>
      </w:numPr>
    </w:pPr>
    <w:rPr>
      <w:szCs w:val="22"/>
    </w:rPr>
  </w:style>
  <w:style w:type="paragraph" w:customStyle="1" w:styleId="Numberedtitlelevel3">
    <w:name w:val="Numbered title level 3"/>
    <w:basedOn w:val="Titlelevel3"/>
    <w:next w:val="body"/>
    <w:qFormat/>
    <w:rsid w:val="00CC7D2C"/>
    <w:pPr>
      <w:numPr>
        <w:ilvl w:val="2"/>
        <w:numId w:val="33"/>
      </w:numPr>
    </w:pPr>
  </w:style>
  <w:style w:type="table" w:styleId="LightShading">
    <w:name w:val="Light Shading"/>
    <w:basedOn w:val="TableNormal"/>
    <w:uiPriority w:val="60"/>
    <w:rsid w:val="00CC7D2C"/>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CC7D2C"/>
    <w:pPr>
      <w:spacing w:after="0" w:line="240" w:lineRule="auto"/>
    </w:pPr>
    <w:rPr>
      <w:rFonts w:eastAsiaTheme="minorEastAsia"/>
      <w:color w:val="2F5496" w:themeColor="accent1" w:themeShade="BF"/>
      <w:kern w:val="0"/>
      <w:sz w:val="24"/>
      <w:szCs w:val="24"/>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CC7D2C"/>
  </w:style>
  <w:style w:type="paragraph" w:customStyle="1" w:styleId="Numberedtitlelevel4">
    <w:name w:val="Numbered title level 4"/>
    <w:basedOn w:val="Titlelevel4"/>
    <w:qFormat/>
    <w:rsid w:val="00CC7D2C"/>
    <w:pPr>
      <w:numPr>
        <w:numId w:val="30"/>
      </w:numPr>
    </w:pPr>
  </w:style>
  <w:style w:type="paragraph" w:styleId="Title">
    <w:name w:val="Title"/>
    <w:basedOn w:val="Normal"/>
    <w:next w:val="Normal"/>
    <w:link w:val="TitleChar"/>
    <w:qFormat/>
    <w:rsid w:val="00CC7D2C"/>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CC7D2C"/>
    <w:rPr>
      <w:rFonts w:asciiTheme="majorHAnsi" w:eastAsiaTheme="majorEastAsia" w:hAnsiTheme="majorHAnsi" w:cstheme="majorBidi"/>
      <w:color w:val="44546A" w:themeColor="text2"/>
      <w:spacing w:val="5"/>
      <w:kern w:val="28"/>
      <w:sz w:val="52"/>
      <w:szCs w:val="52"/>
      <w:lang w:val="sk-SK"/>
      <w14:ligatures w14:val="none"/>
    </w:rPr>
  </w:style>
  <w:style w:type="paragraph" w:styleId="Subtitle">
    <w:name w:val="Subtitle"/>
    <w:next w:val="Normal"/>
    <w:link w:val="SubtitleChar"/>
    <w:autoRedefine/>
    <w:uiPriority w:val="11"/>
    <w:qFormat/>
    <w:rsid w:val="00CC7D2C"/>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CC7D2C"/>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CC7D2C"/>
    <w:rPr>
      <w:b/>
      <w:bCs/>
      <w:smallCaps/>
      <w:spacing w:val="5"/>
    </w:rPr>
  </w:style>
  <w:style w:type="character" w:customStyle="1" w:styleId="Highlighttext">
    <w:name w:val="Highlight text"/>
    <w:basedOn w:val="DefaultParagraphFont"/>
    <w:uiPriority w:val="1"/>
    <w:semiHidden/>
    <w:qFormat/>
    <w:rsid w:val="00CC7D2C"/>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CC7D2C"/>
    <w:rPr>
      <w:bCs/>
      <w:lang w:eastAsia="en-GB"/>
    </w:rPr>
  </w:style>
  <w:style w:type="paragraph" w:styleId="ListBullet">
    <w:name w:val="List Bullet"/>
    <w:basedOn w:val="Normal"/>
    <w:semiHidden/>
    <w:qFormat/>
    <w:rsid w:val="00CC7D2C"/>
    <w:pPr>
      <w:numPr>
        <w:numId w:val="35"/>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CC7D2C"/>
    <w:pPr>
      <w:numPr>
        <w:numId w:val="34"/>
      </w:numPr>
    </w:pPr>
  </w:style>
  <w:style w:type="character" w:customStyle="1" w:styleId="Marker">
    <w:name w:val="Marker"/>
    <w:rsid w:val="00CC7D2C"/>
    <w:rPr>
      <w:color w:val="0000FF"/>
      <w:shd w:val="clear" w:color="auto" w:fill="auto"/>
    </w:rPr>
  </w:style>
  <w:style w:type="character" w:customStyle="1" w:styleId="Marker2">
    <w:name w:val="Marker2"/>
    <w:rsid w:val="00CC7D2C"/>
    <w:rPr>
      <w:color w:val="FF0000"/>
      <w:shd w:val="clear" w:color="auto" w:fill="auto"/>
    </w:rPr>
  </w:style>
  <w:style w:type="paragraph" w:customStyle="1" w:styleId="Annexetitre">
    <w:name w:val="Annexe titre"/>
    <w:basedOn w:val="Normal"/>
    <w:next w:val="Normal"/>
    <w:rsid w:val="00CC7D2C"/>
    <w:pPr>
      <w:jc w:val="center"/>
    </w:pPr>
    <w:rPr>
      <w:rFonts w:ascii="Times New Roman" w:hAnsi="Times New Roman"/>
      <w:b/>
      <w:sz w:val="24"/>
      <w:u w:val="single"/>
    </w:rPr>
  </w:style>
  <w:style w:type="paragraph" w:customStyle="1" w:styleId="Considrant">
    <w:name w:val="Considérant"/>
    <w:basedOn w:val="Normal"/>
    <w:rsid w:val="00CC7D2C"/>
    <w:pPr>
      <w:numPr>
        <w:numId w:val="36"/>
      </w:numPr>
    </w:pPr>
    <w:rPr>
      <w:rFonts w:ascii="Times New Roman" w:hAnsi="Times New Roman"/>
      <w:sz w:val="24"/>
    </w:rPr>
  </w:style>
  <w:style w:type="paragraph" w:customStyle="1" w:styleId="Datedadoption">
    <w:name w:val="Date d'adoption"/>
    <w:basedOn w:val="Normal"/>
    <w:next w:val="Titreobjet"/>
    <w:rsid w:val="00CC7D2C"/>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CC7D2C"/>
    <w:pPr>
      <w:keepNext/>
    </w:pPr>
    <w:rPr>
      <w:rFonts w:ascii="Times New Roman" w:hAnsi="Times New Roman"/>
      <w:sz w:val="24"/>
    </w:rPr>
  </w:style>
  <w:style w:type="paragraph" w:customStyle="1" w:styleId="Institutionquisigne">
    <w:name w:val="Institution qui signe"/>
    <w:basedOn w:val="Normal"/>
    <w:next w:val="Personnequisigne"/>
    <w:rsid w:val="00CC7D2C"/>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CC7D2C"/>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CC7D2C"/>
    <w:pPr>
      <w:spacing w:before="360" w:after="360"/>
      <w:jc w:val="center"/>
    </w:pPr>
    <w:rPr>
      <w:rFonts w:ascii="Times New Roman" w:hAnsi="Times New Roman"/>
      <w:b/>
      <w:sz w:val="24"/>
    </w:rPr>
  </w:style>
  <w:style w:type="paragraph" w:customStyle="1" w:styleId="Typedudocument">
    <w:name w:val="Type du document"/>
    <w:basedOn w:val="Normal"/>
    <w:next w:val="Titreobjet"/>
    <w:rsid w:val="00CC7D2C"/>
    <w:pPr>
      <w:spacing w:before="360" w:after="0"/>
      <w:jc w:val="center"/>
    </w:pPr>
    <w:rPr>
      <w:rFonts w:ascii="Times New Roman" w:hAnsi="Times New Roman"/>
      <w:b/>
      <w:sz w:val="24"/>
    </w:rPr>
  </w:style>
  <w:style w:type="paragraph" w:customStyle="1" w:styleId="Pagedecouverture">
    <w:name w:val="Page de couverture"/>
    <w:basedOn w:val="Normal"/>
    <w:next w:val="Normal"/>
    <w:rsid w:val="00CC7D2C"/>
    <w:rPr>
      <w:rFonts w:ascii="Times New Roman" w:hAnsi="Times New Roman"/>
      <w:sz w:val="24"/>
    </w:rPr>
  </w:style>
  <w:style w:type="paragraph" w:customStyle="1" w:styleId="Institutionquiagit">
    <w:name w:val="Institution qui agit"/>
    <w:basedOn w:val="Normal"/>
    <w:next w:val="Normal"/>
    <w:rsid w:val="00CC7D2C"/>
    <w:pPr>
      <w:keepNext/>
      <w:spacing w:before="600"/>
    </w:pPr>
    <w:rPr>
      <w:rFonts w:ascii="Times New Roman" w:hAnsi="Times New Roman"/>
      <w:sz w:val="24"/>
    </w:rPr>
  </w:style>
  <w:style w:type="paragraph" w:styleId="Caption">
    <w:name w:val="caption"/>
    <w:basedOn w:val="Normal"/>
    <w:next w:val="Normal"/>
    <w:uiPriority w:val="35"/>
    <w:unhideWhenUsed/>
    <w:qFormat/>
    <w:rsid w:val="00CC7D2C"/>
    <w:pPr>
      <w:spacing w:before="0" w:after="200"/>
      <w:jc w:val="left"/>
    </w:pPr>
    <w:rPr>
      <w:rFonts w:asciiTheme="minorHAnsi" w:eastAsiaTheme="minorEastAsia" w:hAnsiTheme="minorHAnsi" w:cstheme="minorBidi"/>
      <w:b/>
      <w:bCs/>
      <w:color w:val="4472C4" w:themeColor="accent1"/>
      <w:sz w:val="18"/>
      <w:szCs w:val="18"/>
    </w:rPr>
  </w:style>
  <w:style w:type="paragraph" w:customStyle="1" w:styleId="TableNote">
    <w:name w:val="TableNote"/>
    <w:basedOn w:val="Normal"/>
    <w:rsid w:val="00CC7D2C"/>
    <w:pPr>
      <w:spacing w:before="60"/>
    </w:pPr>
    <w:rPr>
      <w:rFonts w:ascii="Segoe UI" w:hAnsi="Segoe UI"/>
      <w:sz w:val="15"/>
      <w:szCs w:val="20"/>
    </w:rPr>
  </w:style>
  <w:style w:type="paragraph" w:customStyle="1" w:styleId="CM11">
    <w:name w:val="CM1+1"/>
    <w:basedOn w:val="Default"/>
    <w:next w:val="Default"/>
    <w:uiPriority w:val="99"/>
    <w:rsid w:val="00CC7D2C"/>
    <w:rPr>
      <w:rFonts w:ascii="EUAlbertina" w:eastAsiaTheme="minorEastAsia" w:hAnsi="EUAlbertina" w:cstheme="minorBidi"/>
      <w:color w:val="auto"/>
      <w:lang w:eastAsia="en-US"/>
    </w:rPr>
  </w:style>
  <w:style w:type="paragraph" w:customStyle="1" w:styleId="CM31">
    <w:name w:val="CM3+1"/>
    <w:basedOn w:val="Default"/>
    <w:next w:val="Default"/>
    <w:uiPriority w:val="99"/>
    <w:rsid w:val="00CC7D2C"/>
    <w:rPr>
      <w:rFonts w:ascii="EUAlbertina" w:eastAsiaTheme="minorEastAsia" w:hAnsi="EUAlbertina" w:cstheme="minorBidi"/>
      <w:color w:val="auto"/>
      <w:lang w:eastAsia="en-US"/>
    </w:rPr>
  </w:style>
  <w:style w:type="paragraph" w:customStyle="1" w:styleId="CM13">
    <w:name w:val="CM1+3"/>
    <w:basedOn w:val="Default"/>
    <w:next w:val="Default"/>
    <w:uiPriority w:val="99"/>
    <w:rsid w:val="00CC7D2C"/>
    <w:rPr>
      <w:rFonts w:ascii="EUAlbertina" w:eastAsiaTheme="minorEastAsia" w:hAnsi="EUAlbertina" w:cstheme="minorBidi"/>
      <w:color w:val="auto"/>
      <w:lang w:eastAsia="en-US"/>
    </w:rPr>
  </w:style>
  <w:style w:type="paragraph" w:customStyle="1" w:styleId="CM33">
    <w:name w:val="CM3+3"/>
    <w:basedOn w:val="Default"/>
    <w:next w:val="Default"/>
    <w:uiPriority w:val="99"/>
    <w:rsid w:val="00CC7D2C"/>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CC7D2C"/>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CC7D2C"/>
    <w:rPr>
      <w:color w:val="605E5C"/>
      <w:shd w:val="clear" w:color="auto" w:fill="E1DFDD"/>
    </w:rPr>
  </w:style>
  <w:style w:type="character" w:styleId="Mention">
    <w:name w:val="Mention"/>
    <w:basedOn w:val="DefaultParagraphFont"/>
    <w:uiPriority w:val="99"/>
    <w:unhideWhenUsed/>
    <w:rsid w:val="00CC7D2C"/>
    <w:rPr>
      <w:color w:val="2B579A"/>
      <w:shd w:val="clear" w:color="auto" w:fill="E1DFDD"/>
    </w:rPr>
  </w:style>
  <w:style w:type="paragraph" w:customStyle="1" w:styleId="pf0">
    <w:name w:val="pf0"/>
    <w:basedOn w:val="Normal"/>
    <w:rsid w:val="00CC7D2C"/>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CC7D2C"/>
  </w:style>
  <w:style w:type="character" w:customStyle="1" w:styleId="cf01">
    <w:name w:val="cf01"/>
    <w:basedOn w:val="DefaultParagraphFont"/>
    <w:rsid w:val="00CC7D2C"/>
    <w:rPr>
      <w:rFonts w:ascii="Segoe UI" w:hAnsi="Segoe UI" w:cs="Segoe UI" w:hint="default"/>
      <w:sz w:val="18"/>
      <w:szCs w:val="18"/>
    </w:rPr>
  </w:style>
  <w:style w:type="paragraph" w:styleId="BodyText">
    <w:name w:val="Body Text"/>
    <w:basedOn w:val="Normal"/>
    <w:link w:val="BodyTextChar"/>
    <w:rsid w:val="00CC7D2C"/>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CC7D2C"/>
    <w:rPr>
      <w:rFonts w:ascii="Liberation Serif" w:eastAsia="SimSun" w:hAnsi="Liberation Serif" w:cs="Lucida Sans"/>
      <w:kern w:val="0"/>
      <w:sz w:val="24"/>
      <w:szCs w:val="24"/>
      <w:lang w:val="sk-SK" w:eastAsia="zh-CN" w:bidi="hi-IN"/>
      <w14:ligatures w14:val="none"/>
    </w:rPr>
  </w:style>
  <w:style w:type="paragraph" w:customStyle="1" w:styleId="Tabelleninhalt">
    <w:name w:val="Tabelleninhalt"/>
    <w:basedOn w:val="Normal"/>
    <w:qFormat/>
    <w:rsid w:val="00CC7D2C"/>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CC7D2C"/>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CC7D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2664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5E0B95-D390-4968-8AED-C50D8C78521A}">
  <ds:schemaRefs>
    <ds:schemaRef ds:uri="http://purl.org/dc/elements/1.1/"/>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purl.org/dc/dcmitype/"/>
    <ds:schemaRef ds:uri="http://www.w3.org/XML/1998/namespace"/>
    <ds:schemaRef ds:uri="http://schemas.microsoft.com/office/infopath/2007/PartnerControls"/>
    <ds:schemaRef ds:uri="da0bec91-bd15-486a-844a-39cd7890c3eb"/>
    <ds:schemaRef ds:uri="82dbab2e-3b56-44de-becc-0ec356b33dff"/>
  </ds:schemaRefs>
</ds:datastoreItem>
</file>

<file path=customXml/itemProps2.xml><?xml version="1.0" encoding="utf-8"?>
<ds:datastoreItem xmlns:ds="http://schemas.openxmlformats.org/officeDocument/2006/customXml" ds:itemID="{7A2824FC-0F71-4BF1-96F2-46510D4ADEE5}">
  <ds:schemaRefs>
    <ds:schemaRef ds:uri="http://schemas.microsoft.com/sharepoint/v3/contenttype/forms"/>
  </ds:schemaRefs>
</ds:datastoreItem>
</file>

<file path=customXml/itemProps3.xml><?xml version="1.0" encoding="utf-8"?>
<ds:datastoreItem xmlns:ds="http://schemas.openxmlformats.org/officeDocument/2006/customXml" ds:itemID="{DCC698AB-3453-4754-AF38-122FC09A81FB}"/>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66</Pages>
  <Words>21470</Words>
  <Characters>113153</Characters>
  <Application>Microsoft Office Word</Application>
  <DocSecurity>0</DocSecurity>
  <Lines>2977</Lines>
  <Paragraphs>1923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2024-06-19T16:02:00Z</dcterms:created>
  <dcterms:modified xsi:type="dcterms:W3CDTF">2025-01-27T09:48:00Z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ediaServiceImageTags">
    <vt:lpwstr/>
  </property>
  <property fmtid="{D5CDD505-2E9C-101B-9397-08002B2CF9AE}" pid="4" name="MSIP_Label_6bd9ddd1-4d20-43f6-abfa-fc3c07406f94_Enabled">
    <vt:lpwstr>true</vt:lpwstr>
  </property>
  <property fmtid="{D5CDD505-2E9C-101B-9397-08002B2CF9AE}" pid="5" name="MSIP_Label_6bd9ddd1-4d20-43f6-abfa-fc3c07406f94_SetDate">
    <vt:lpwstr>2025-01-27T06:18:19Z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0f0edada-a3f2-48aa-bd09-2779c41ce9cd</vt:lpwstr>
  </property>
  <property fmtid="{D5CDD505-2E9C-101B-9397-08002B2CF9AE}" pid="10" name="MSIP_Label_6bd9ddd1-4d20-43f6-abfa-fc3c07406f94_ContentBits">
    <vt:lpwstr>0</vt:lpwstr>
  </property>
</Properties>
</file>