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F53D" w14:textId="1CD88E22" w:rsidR="00E25A69" w:rsidRPr="00D45BA8" w:rsidRDefault="00E25A69" w:rsidP="00A33695">
      <w:pPr>
        <w:jc w:val="center"/>
        <w:rPr>
          <w:rFonts w:ascii="Times New Roman" w:hAnsi="Times New Roman"/>
          <w:b/>
          <w:sz w:val="24"/>
        </w:rPr>
      </w:pPr>
      <w:bookmarkStart w:id="0" w:name="_Toc262568021"/>
      <w:bookmarkStart w:id="1" w:name="_Toc295829847"/>
      <w:r w:rsidRPr="00D45BA8">
        <w:rPr>
          <w:rFonts w:ascii="Times New Roman" w:hAnsi="Times New Roman"/>
          <w:b/>
          <w:sz w:val="24"/>
        </w:rPr>
        <w:t>SK</w:t>
      </w:r>
    </w:p>
    <w:p w14:paraId="07D2872A" w14:textId="77777777" w:rsidR="00E25A69" w:rsidRPr="00D45BA8" w:rsidRDefault="00E25A69" w:rsidP="00A33695">
      <w:pPr>
        <w:jc w:val="center"/>
        <w:rPr>
          <w:rFonts w:ascii="Times New Roman" w:hAnsi="Times New Roman"/>
          <w:b/>
          <w:sz w:val="24"/>
        </w:rPr>
      </w:pPr>
    </w:p>
    <w:p w14:paraId="2325719B" w14:textId="72782FE6" w:rsidR="00047C1D" w:rsidRPr="00D45BA8" w:rsidRDefault="00047C1D" w:rsidP="00A33695">
      <w:pPr>
        <w:jc w:val="center"/>
        <w:rPr>
          <w:rFonts w:ascii="Times New Roman" w:hAnsi="Times New Roman"/>
          <w:b/>
          <w:sz w:val="24"/>
        </w:rPr>
      </w:pPr>
      <w:r w:rsidRPr="00D45BA8">
        <w:rPr>
          <w:rFonts w:ascii="Times New Roman" w:hAnsi="Times New Roman"/>
          <w:b/>
          <w:sz w:val="24"/>
        </w:rPr>
        <w:t>PRÍLOHA XII</w:t>
      </w:r>
    </w:p>
    <w:p w14:paraId="52460C1D" w14:textId="5185247E" w:rsidR="002648B0" w:rsidRPr="00D45BA8" w:rsidRDefault="00047C1D" w:rsidP="00A33695">
      <w:pPr>
        <w:jc w:val="center"/>
        <w:rPr>
          <w:rFonts w:ascii="Times New Roman" w:hAnsi="Times New Roman"/>
          <w:b/>
          <w:sz w:val="24"/>
        </w:rPr>
      </w:pPr>
      <w:r w:rsidRPr="00D45BA8">
        <w:rPr>
          <w:rFonts w:ascii="Times New Roman" w:hAnsi="Times New Roman"/>
          <w:b/>
          <w:sz w:val="24"/>
        </w:rPr>
        <w:t>„PRÍLOHA XXVII</w:t>
      </w:r>
    </w:p>
    <w:p w14:paraId="6530F745" w14:textId="77777777" w:rsidR="00D45BA8" w:rsidRDefault="002648B0" w:rsidP="00C87CEE">
      <w:pPr>
        <w:jc w:val="center"/>
        <w:rPr>
          <w:rFonts w:ascii="Times New Roman" w:hAnsi="Times New Roman"/>
          <w:b/>
          <w:sz w:val="24"/>
        </w:rPr>
      </w:pPr>
      <w:r w:rsidRPr="00D45BA8">
        <w:rPr>
          <w:rFonts w:ascii="Times New Roman" w:hAnsi="Times New Roman"/>
          <w:b/>
          <w:sz w:val="24"/>
        </w:rPr>
        <w:t>POKYNY NA VYKAZOVANIE NA ÚČELY IDENTIFIKÁCIE GLOBÁLNYCH SYSTÉMOVO VÝZNAMNÝCH INŠTITÚCIÍ (G-SII) A PRIRAĎOVANIA MIER KAPITÁLOVÉHO VANKÚŠA PRE G-SII</w:t>
      </w:r>
    </w:p>
    <w:p w14:paraId="4592BD27" w14:textId="6153C171" w:rsidR="00436204" w:rsidRPr="00D45BA8" w:rsidRDefault="00436204" w:rsidP="00C87CEE">
      <w:pPr>
        <w:jc w:val="center"/>
        <w:rPr>
          <w:rFonts w:ascii="Times New Roman" w:hAnsi="Times New Roman"/>
          <w:b/>
          <w:sz w:val="24"/>
          <w:lang w:eastAsia="de-DE"/>
        </w:rPr>
      </w:pPr>
    </w:p>
    <w:p w14:paraId="296F65E0" w14:textId="77777777" w:rsidR="00783881" w:rsidRPr="00D45BA8" w:rsidRDefault="002648B0" w:rsidP="00B94200">
      <w:pPr>
        <w:pStyle w:val="InstructionsText"/>
      </w:pPr>
      <w:r w:rsidRPr="00D45BA8">
        <w:t>Obsah</w:t>
      </w:r>
    </w:p>
    <w:p w14:paraId="3B1DB9D5" w14:textId="6CFE1A31" w:rsidR="00360609" w:rsidRDefault="00745369">
      <w:pPr>
        <w:pStyle w:val="TOC2"/>
        <w:rPr>
          <w:rFonts w:asciiTheme="minorHAnsi" w:eastAsiaTheme="minorEastAsia" w:hAnsiTheme="minorHAnsi" w:cstheme="minorBidi"/>
          <w:b w:val="0"/>
          <w:smallCaps w:val="0"/>
          <w:kern w:val="2"/>
          <w:sz w:val="24"/>
          <w:szCs w:val="24"/>
          <w:lang w:val="en-IE" w:eastAsia="en-IE"/>
          <w14:ligatures w14:val="standardContextual"/>
        </w:rPr>
      </w:pPr>
      <w:r w:rsidRPr="00D45BA8">
        <w:rPr>
          <w:rFonts w:ascii="Times New Roman" w:hAnsi="Times New Roman"/>
          <w:noProof w:val="0"/>
          <w:sz w:val="24"/>
        </w:rPr>
        <w:fldChar w:fldCharType="begin"/>
      </w:r>
      <w:r w:rsidRPr="00D45BA8">
        <w:rPr>
          <w:rFonts w:ascii="Times New Roman" w:hAnsi="Times New Roman"/>
          <w:noProof w:val="0"/>
          <w:sz w:val="24"/>
        </w:rPr>
        <w:instrText xml:space="preserve"> TOC \o "1-3" \h \z \u </w:instrText>
      </w:r>
      <w:r w:rsidRPr="00D45BA8">
        <w:rPr>
          <w:rFonts w:ascii="Times New Roman" w:hAnsi="Times New Roman"/>
          <w:noProof w:val="0"/>
          <w:sz w:val="24"/>
        </w:rPr>
        <w:fldChar w:fldCharType="separate"/>
      </w:r>
      <w:hyperlink w:anchor="_Toc188881159" w:history="1">
        <w:r w:rsidR="00360609" w:rsidRPr="00665047">
          <w:rPr>
            <w:rStyle w:val="Hyperlink"/>
          </w:rPr>
          <w:t>ČASŤ I: VŠEOBECNÉ POKYNY</w:t>
        </w:r>
        <w:r w:rsidR="00360609">
          <w:rPr>
            <w:webHidden/>
          </w:rPr>
          <w:tab/>
        </w:r>
        <w:r w:rsidR="00360609">
          <w:rPr>
            <w:webHidden/>
          </w:rPr>
          <w:fldChar w:fldCharType="begin"/>
        </w:r>
        <w:r w:rsidR="00360609">
          <w:rPr>
            <w:webHidden/>
          </w:rPr>
          <w:instrText xml:space="preserve"> PAGEREF _Toc188881159 \h </w:instrText>
        </w:r>
        <w:r w:rsidR="00360609">
          <w:rPr>
            <w:webHidden/>
          </w:rPr>
        </w:r>
        <w:r w:rsidR="00360609">
          <w:rPr>
            <w:webHidden/>
          </w:rPr>
          <w:fldChar w:fldCharType="separate"/>
        </w:r>
        <w:r w:rsidR="00360609">
          <w:rPr>
            <w:webHidden/>
          </w:rPr>
          <w:t>2</w:t>
        </w:r>
        <w:r w:rsidR="00360609">
          <w:rPr>
            <w:webHidden/>
          </w:rPr>
          <w:fldChar w:fldCharType="end"/>
        </w:r>
      </w:hyperlink>
    </w:p>
    <w:p w14:paraId="7E6F0082" w14:textId="35C3296E" w:rsidR="00360609" w:rsidRDefault="0036060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1160" w:history="1">
        <w:r w:rsidRPr="00665047">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665047">
          <w:rPr>
            <w:rStyle w:val="Hyperlink"/>
          </w:rPr>
          <w:t>Štruktúra a pravidlá</w:t>
        </w:r>
        <w:r>
          <w:rPr>
            <w:webHidden/>
          </w:rPr>
          <w:tab/>
        </w:r>
        <w:r>
          <w:rPr>
            <w:webHidden/>
          </w:rPr>
          <w:fldChar w:fldCharType="begin"/>
        </w:r>
        <w:r>
          <w:rPr>
            <w:webHidden/>
          </w:rPr>
          <w:instrText xml:space="preserve"> PAGEREF _Toc188881160 \h </w:instrText>
        </w:r>
        <w:r>
          <w:rPr>
            <w:webHidden/>
          </w:rPr>
        </w:r>
        <w:r>
          <w:rPr>
            <w:webHidden/>
          </w:rPr>
          <w:fldChar w:fldCharType="separate"/>
        </w:r>
        <w:r>
          <w:rPr>
            <w:webHidden/>
          </w:rPr>
          <w:t>2</w:t>
        </w:r>
        <w:r>
          <w:rPr>
            <w:webHidden/>
          </w:rPr>
          <w:fldChar w:fldCharType="end"/>
        </w:r>
      </w:hyperlink>
    </w:p>
    <w:p w14:paraId="03737D28" w14:textId="346E5322" w:rsidR="00360609" w:rsidRDefault="0036060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1161" w:history="1">
        <w:r w:rsidRPr="00665047">
          <w:rPr>
            <w:rStyle w:val="Hyperlink"/>
          </w:rPr>
          <w:t>1.1.</w:t>
        </w:r>
        <w:r>
          <w:rPr>
            <w:rFonts w:asciiTheme="minorHAnsi" w:eastAsiaTheme="minorEastAsia" w:hAnsiTheme="minorHAnsi" w:cstheme="minorBidi"/>
            <w:b w:val="0"/>
            <w:smallCaps w:val="0"/>
            <w:kern w:val="2"/>
            <w:sz w:val="24"/>
            <w:szCs w:val="24"/>
            <w:lang w:val="en-IE" w:eastAsia="en-IE"/>
            <w14:ligatures w14:val="standardContextual"/>
          </w:rPr>
          <w:tab/>
        </w:r>
        <w:r w:rsidRPr="00665047">
          <w:rPr>
            <w:rStyle w:val="Hyperlink"/>
          </w:rPr>
          <w:t>Štruktúra</w:t>
        </w:r>
        <w:r>
          <w:rPr>
            <w:webHidden/>
          </w:rPr>
          <w:tab/>
        </w:r>
        <w:r>
          <w:rPr>
            <w:webHidden/>
          </w:rPr>
          <w:fldChar w:fldCharType="begin"/>
        </w:r>
        <w:r>
          <w:rPr>
            <w:webHidden/>
          </w:rPr>
          <w:instrText xml:space="preserve"> PAGEREF _Toc188881161 \h </w:instrText>
        </w:r>
        <w:r>
          <w:rPr>
            <w:webHidden/>
          </w:rPr>
        </w:r>
        <w:r>
          <w:rPr>
            <w:webHidden/>
          </w:rPr>
          <w:fldChar w:fldCharType="separate"/>
        </w:r>
        <w:r>
          <w:rPr>
            <w:webHidden/>
          </w:rPr>
          <w:t>2</w:t>
        </w:r>
        <w:r>
          <w:rPr>
            <w:webHidden/>
          </w:rPr>
          <w:fldChar w:fldCharType="end"/>
        </w:r>
      </w:hyperlink>
    </w:p>
    <w:p w14:paraId="009519D0" w14:textId="41F9E7C7" w:rsidR="00360609" w:rsidRDefault="0036060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1162" w:history="1">
        <w:r w:rsidRPr="00665047">
          <w:rPr>
            <w:rStyle w:val="Hyperlink"/>
          </w:rPr>
          <w:t>1.2.</w:t>
        </w:r>
        <w:r>
          <w:rPr>
            <w:rFonts w:asciiTheme="minorHAnsi" w:eastAsiaTheme="minorEastAsia" w:hAnsiTheme="minorHAnsi" w:cstheme="minorBidi"/>
            <w:b w:val="0"/>
            <w:smallCaps w:val="0"/>
            <w:kern w:val="2"/>
            <w:sz w:val="24"/>
            <w:szCs w:val="24"/>
            <w:lang w:val="en-IE" w:eastAsia="en-IE"/>
            <w14:ligatures w14:val="standardContextual"/>
          </w:rPr>
          <w:tab/>
        </w:r>
        <w:r w:rsidRPr="00665047">
          <w:rPr>
            <w:rStyle w:val="Hyperlink"/>
          </w:rPr>
          <w:t>Pravidlá číslovania</w:t>
        </w:r>
        <w:r>
          <w:rPr>
            <w:webHidden/>
          </w:rPr>
          <w:tab/>
        </w:r>
        <w:r>
          <w:rPr>
            <w:webHidden/>
          </w:rPr>
          <w:fldChar w:fldCharType="begin"/>
        </w:r>
        <w:r>
          <w:rPr>
            <w:webHidden/>
          </w:rPr>
          <w:instrText xml:space="preserve"> PAGEREF _Toc188881162 \h </w:instrText>
        </w:r>
        <w:r>
          <w:rPr>
            <w:webHidden/>
          </w:rPr>
        </w:r>
        <w:r>
          <w:rPr>
            <w:webHidden/>
          </w:rPr>
          <w:fldChar w:fldCharType="separate"/>
        </w:r>
        <w:r>
          <w:rPr>
            <w:webHidden/>
          </w:rPr>
          <w:t>2</w:t>
        </w:r>
        <w:r>
          <w:rPr>
            <w:webHidden/>
          </w:rPr>
          <w:fldChar w:fldCharType="end"/>
        </w:r>
      </w:hyperlink>
    </w:p>
    <w:p w14:paraId="730BEF77" w14:textId="359EC3B8" w:rsidR="00360609" w:rsidRDefault="0036060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1163" w:history="1">
        <w:r w:rsidRPr="00665047">
          <w:rPr>
            <w:rStyle w:val="Hyperlink"/>
          </w:rPr>
          <w:t>1.3.</w:t>
        </w:r>
        <w:r>
          <w:rPr>
            <w:rFonts w:asciiTheme="minorHAnsi" w:eastAsiaTheme="minorEastAsia" w:hAnsiTheme="minorHAnsi" w:cstheme="minorBidi"/>
            <w:b w:val="0"/>
            <w:smallCaps w:val="0"/>
            <w:kern w:val="2"/>
            <w:sz w:val="24"/>
            <w:szCs w:val="24"/>
            <w:lang w:val="en-IE" w:eastAsia="en-IE"/>
            <w14:ligatures w14:val="standardContextual"/>
          </w:rPr>
          <w:tab/>
        </w:r>
        <w:r w:rsidRPr="00665047">
          <w:rPr>
            <w:rStyle w:val="Hyperlink"/>
          </w:rPr>
          <w:t>Pravidlá používania znamienok</w:t>
        </w:r>
        <w:r>
          <w:rPr>
            <w:webHidden/>
          </w:rPr>
          <w:tab/>
        </w:r>
        <w:r>
          <w:rPr>
            <w:webHidden/>
          </w:rPr>
          <w:fldChar w:fldCharType="begin"/>
        </w:r>
        <w:r>
          <w:rPr>
            <w:webHidden/>
          </w:rPr>
          <w:instrText xml:space="preserve"> PAGEREF _Toc188881163 \h </w:instrText>
        </w:r>
        <w:r>
          <w:rPr>
            <w:webHidden/>
          </w:rPr>
        </w:r>
        <w:r>
          <w:rPr>
            <w:webHidden/>
          </w:rPr>
          <w:fldChar w:fldCharType="separate"/>
        </w:r>
        <w:r>
          <w:rPr>
            <w:webHidden/>
          </w:rPr>
          <w:t>2</w:t>
        </w:r>
        <w:r>
          <w:rPr>
            <w:webHidden/>
          </w:rPr>
          <w:fldChar w:fldCharType="end"/>
        </w:r>
      </w:hyperlink>
    </w:p>
    <w:p w14:paraId="2BEE9D32" w14:textId="73834AB5" w:rsidR="00360609" w:rsidRDefault="0036060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1164" w:history="1">
        <w:r w:rsidRPr="00665047">
          <w:rPr>
            <w:rStyle w:val="Hyperlink"/>
          </w:rPr>
          <w:t>ČASŤ II: POKYNY TÝKAJÚCE SA VZOROV</w:t>
        </w:r>
        <w:r>
          <w:rPr>
            <w:webHidden/>
          </w:rPr>
          <w:tab/>
        </w:r>
        <w:r>
          <w:rPr>
            <w:webHidden/>
          </w:rPr>
          <w:fldChar w:fldCharType="begin"/>
        </w:r>
        <w:r>
          <w:rPr>
            <w:webHidden/>
          </w:rPr>
          <w:instrText xml:space="preserve"> PAGEREF _Toc188881164 \h </w:instrText>
        </w:r>
        <w:r>
          <w:rPr>
            <w:webHidden/>
          </w:rPr>
        </w:r>
        <w:r>
          <w:rPr>
            <w:webHidden/>
          </w:rPr>
          <w:fldChar w:fldCharType="separate"/>
        </w:r>
        <w:r>
          <w:rPr>
            <w:webHidden/>
          </w:rPr>
          <w:t>3</w:t>
        </w:r>
        <w:r>
          <w:rPr>
            <w:webHidden/>
          </w:rPr>
          <w:fldChar w:fldCharType="end"/>
        </w:r>
      </w:hyperlink>
    </w:p>
    <w:p w14:paraId="7C115B01" w14:textId="34C1A25E" w:rsidR="00360609" w:rsidRDefault="0036060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1165" w:history="1">
        <w:r w:rsidRPr="00665047">
          <w:rPr>
            <w:rStyle w:val="Hyperlink"/>
          </w:rPr>
          <w:t>1.</w:t>
        </w:r>
        <w:r>
          <w:rPr>
            <w:rFonts w:asciiTheme="minorHAnsi" w:eastAsiaTheme="minorEastAsia" w:hAnsiTheme="minorHAnsi" w:cstheme="minorBidi"/>
            <w:b w:val="0"/>
            <w:smallCaps w:val="0"/>
            <w:kern w:val="2"/>
            <w:sz w:val="24"/>
            <w:szCs w:val="24"/>
            <w:lang w:val="en-IE" w:eastAsia="en-IE"/>
            <w14:ligatures w14:val="standardContextual"/>
          </w:rPr>
          <w:tab/>
        </w:r>
        <w:r w:rsidRPr="00665047">
          <w:rPr>
            <w:rStyle w:val="Hyperlink"/>
          </w:rPr>
          <w:t>Všeobecné poznámky</w:t>
        </w:r>
        <w:r>
          <w:rPr>
            <w:webHidden/>
          </w:rPr>
          <w:tab/>
        </w:r>
        <w:r>
          <w:rPr>
            <w:webHidden/>
          </w:rPr>
          <w:fldChar w:fldCharType="begin"/>
        </w:r>
        <w:r>
          <w:rPr>
            <w:webHidden/>
          </w:rPr>
          <w:instrText xml:space="preserve"> PAGEREF _Toc188881165 \h </w:instrText>
        </w:r>
        <w:r>
          <w:rPr>
            <w:webHidden/>
          </w:rPr>
        </w:r>
        <w:r>
          <w:rPr>
            <w:webHidden/>
          </w:rPr>
          <w:fldChar w:fldCharType="separate"/>
        </w:r>
        <w:r>
          <w:rPr>
            <w:webHidden/>
          </w:rPr>
          <w:t>3</w:t>
        </w:r>
        <w:r>
          <w:rPr>
            <w:webHidden/>
          </w:rPr>
          <w:fldChar w:fldCharType="end"/>
        </w:r>
      </w:hyperlink>
    </w:p>
    <w:p w14:paraId="40DD3F62" w14:textId="1B68802C" w:rsidR="00360609" w:rsidRDefault="00360609">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881166" w:history="1">
        <w:r w:rsidRPr="00665047">
          <w:rPr>
            <w:rStyle w:val="Hyperlink"/>
          </w:rPr>
          <w:t>2.</w:t>
        </w:r>
        <w:r>
          <w:rPr>
            <w:rFonts w:asciiTheme="minorHAnsi" w:eastAsiaTheme="minorEastAsia" w:hAnsiTheme="minorHAnsi" w:cstheme="minorBidi"/>
            <w:b w:val="0"/>
            <w:smallCaps w:val="0"/>
            <w:kern w:val="2"/>
            <w:sz w:val="24"/>
            <w:szCs w:val="24"/>
            <w:lang w:val="en-IE" w:eastAsia="en-IE"/>
            <w14:ligatures w14:val="standardContextual"/>
          </w:rPr>
          <w:tab/>
        </w:r>
        <w:r w:rsidRPr="00665047">
          <w:rPr>
            <w:rStyle w:val="Hyperlink"/>
          </w:rPr>
          <w:t>Pokyny týkajúce sa konkrétnych pozícií</w:t>
        </w:r>
        <w:r>
          <w:rPr>
            <w:webHidden/>
          </w:rPr>
          <w:tab/>
        </w:r>
        <w:r>
          <w:rPr>
            <w:webHidden/>
          </w:rPr>
          <w:fldChar w:fldCharType="begin"/>
        </w:r>
        <w:r>
          <w:rPr>
            <w:webHidden/>
          </w:rPr>
          <w:instrText xml:space="preserve"> PAGEREF _Toc188881166 \h </w:instrText>
        </w:r>
        <w:r>
          <w:rPr>
            <w:webHidden/>
          </w:rPr>
        </w:r>
        <w:r>
          <w:rPr>
            <w:webHidden/>
          </w:rPr>
          <w:fldChar w:fldCharType="separate"/>
        </w:r>
        <w:r>
          <w:rPr>
            <w:webHidden/>
          </w:rPr>
          <w:t>3</w:t>
        </w:r>
        <w:r>
          <w:rPr>
            <w:webHidden/>
          </w:rPr>
          <w:fldChar w:fldCharType="end"/>
        </w:r>
      </w:hyperlink>
    </w:p>
    <w:p w14:paraId="7AC7042C" w14:textId="02D55C8F" w:rsidR="002648B0" w:rsidRPr="00D45BA8" w:rsidRDefault="00745369" w:rsidP="00005FFC">
      <w:pPr>
        <w:rPr>
          <w:rFonts w:ascii="Times New Roman" w:hAnsi="Times New Roman"/>
          <w:sz w:val="24"/>
        </w:rPr>
        <w:sectPr w:rsidR="002648B0" w:rsidRPr="00D45BA8"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D45BA8">
        <w:rPr>
          <w:rFonts w:ascii="Times New Roman" w:hAnsi="Times New Roman"/>
          <w:sz w:val="24"/>
        </w:rPr>
        <w:fldChar w:fldCharType="end"/>
      </w:r>
    </w:p>
    <w:p w14:paraId="2820F465" w14:textId="77777777" w:rsidR="002648B0" w:rsidRPr="00D45BA8" w:rsidRDefault="002648B0" w:rsidP="00EC067D">
      <w:pPr>
        <w:pStyle w:val="Heading2"/>
      </w:pPr>
      <w:bookmarkStart w:id="2" w:name="_Toc264038394"/>
      <w:bookmarkStart w:id="3" w:name="_Toc360188317"/>
      <w:bookmarkStart w:id="4" w:name="_Toc473560865"/>
      <w:bookmarkStart w:id="5" w:name="_Toc188881159"/>
      <w:r w:rsidRPr="00D45BA8">
        <w:lastRenderedPageBreak/>
        <w:t>ČASŤ I:</w:t>
      </w:r>
      <w:bookmarkEnd w:id="2"/>
      <w:r w:rsidRPr="00D45BA8">
        <w:t xml:space="preserve"> VŠEOBECNÉ POKYNY</w:t>
      </w:r>
      <w:bookmarkEnd w:id="3"/>
      <w:bookmarkEnd w:id="4"/>
      <w:bookmarkEnd w:id="5"/>
    </w:p>
    <w:p w14:paraId="134C985E" w14:textId="42773C43" w:rsidR="002648B0" w:rsidRPr="00D45BA8"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88881160"/>
      <w:r w:rsidRPr="00D45BA8">
        <w:rPr>
          <w:sz w:val="24"/>
        </w:rPr>
        <w:t>1.</w:t>
      </w:r>
      <w:r w:rsidRPr="00D45BA8">
        <w:tab/>
      </w:r>
      <w:r w:rsidRPr="00D45BA8">
        <w:rPr>
          <w:sz w:val="24"/>
        </w:rPr>
        <w:t>Štruktúra</w:t>
      </w:r>
      <w:r w:rsidR="00D45BA8">
        <w:rPr>
          <w:sz w:val="24"/>
        </w:rPr>
        <w:t xml:space="preserve"> a </w:t>
      </w:r>
      <w:r w:rsidRPr="00D45BA8">
        <w:rPr>
          <w:sz w:val="24"/>
        </w:rPr>
        <w:t>pravidlá</w:t>
      </w:r>
      <w:bookmarkEnd w:id="6"/>
      <w:bookmarkEnd w:id="7"/>
      <w:bookmarkEnd w:id="8"/>
    </w:p>
    <w:p w14:paraId="7C7E012C" w14:textId="77777777" w:rsidR="002648B0" w:rsidRPr="00D45BA8"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264038399"/>
      <w:bookmarkStart w:id="12" w:name="_Toc294018834"/>
      <w:bookmarkStart w:id="13" w:name="_Toc188881161"/>
      <w:r w:rsidRPr="00D45BA8">
        <w:rPr>
          <w:sz w:val="24"/>
        </w:rPr>
        <w:t>1.1.</w:t>
      </w:r>
      <w:r w:rsidRPr="00D45BA8">
        <w:tab/>
      </w:r>
      <w:r w:rsidRPr="00D45BA8">
        <w:rPr>
          <w:sz w:val="24"/>
        </w:rPr>
        <w:t>Štruktúra</w:t>
      </w:r>
      <w:bookmarkEnd w:id="9"/>
      <w:bookmarkEnd w:id="10"/>
      <w:bookmarkEnd w:id="13"/>
    </w:p>
    <w:p w14:paraId="6C67B776" w14:textId="54111512" w:rsidR="005643EA" w:rsidRPr="00D45BA8" w:rsidRDefault="00125707" w:rsidP="00B26332">
      <w:pPr>
        <w:pStyle w:val="InstructionsText2"/>
        <w:ind w:left="993"/>
      </w:pPr>
      <w:r w:rsidRPr="00D45BA8">
        <w:t>1.</w:t>
      </w:r>
      <w:r w:rsidRPr="00D45BA8">
        <w:tab/>
        <w:t>Tieto požiadavky na vykazovanie, ktorých cieľom je identifikácia globálnych systémovo významných inštitúcií (G-SII)</w:t>
      </w:r>
      <w:r w:rsidR="00D45BA8">
        <w:t xml:space="preserve"> a </w:t>
      </w:r>
      <w:r w:rsidRPr="00D45BA8">
        <w:t>priraďovanie zodpovedajúcich mier kapitálového vankúša pre G-SII, pozostávajú</w:t>
      </w:r>
      <w:r w:rsidR="00D45BA8">
        <w:t xml:space="preserve"> z </w:t>
      </w:r>
      <w:r w:rsidRPr="00D45BA8">
        <w:t>jedného vzoru,</w:t>
      </w:r>
      <w:r w:rsidR="00D45BA8">
        <w:t xml:space="preserve"> v </w:t>
      </w:r>
      <w:r w:rsidRPr="00D45BA8">
        <w:t>ktorom sa zaznamenávajú informácie</w:t>
      </w:r>
      <w:r w:rsidR="00D45BA8">
        <w:t xml:space="preserve"> o </w:t>
      </w:r>
      <w:r w:rsidRPr="00D45BA8">
        <w:t>ukazovateľoch globálneho systémového významu</w:t>
      </w:r>
      <w:r w:rsidR="00D45BA8">
        <w:t xml:space="preserve"> a </w:t>
      </w:r>
      <w:r w:rsidRPr="00D45BA8">
        <w:t>konkrétnych položkách potrebných na uplatňovanie metodiky Únie na identifikáciu G-SII</w:t>
      </w:r>
      <w:r w:rsidR="00D45BA8">
        <w:t xml:space="preserve"> a </w:t>
      </w:r>
      <w:r w:rsidRPr="00D45BA8">
        <w:t>priraďovanie zodpovedajúcich mier kapitálového vankúša pre G-SII.</w:t>
      </w:r>
    </w:p>
    <w:p w14:paraId="61F62C51" w14:textId="77777777" w:rsidR="002648B0" w:rsidRPr="00D45BA8"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88881162"/>
      <w:r w:rsidRPr="00D45BA8">
        <w:rPr>
          <w:sz w:val="24"/>
        </w:rPr>
        <w:t>1.2.</w:t>
      </w:r>
      <w:r w:rsidRPr="00D45BA8">
        <w:tab/>
      </w:r>
      <w:r w:rsidRPr="00D45BA8">
        <w:rPr>
          <w:sz w:val="24"/>
        </w:rPr>
        <w:t>Pravidlá číslovania</w:t>
      </w:r>
      <w:bookmarkEnd w:id="14"/>
      <w:bookmarkEnd w:id="15"/>
      <w:bookmarkEnd w:id="16"/>
    </w:p>
    <w:p w14:paraId="3C0F0268" w14:textId="0A15C58D" w:rsidR="002648B0" w:rsidRPr="00D45BA8" w:rsidRDefault="006137FD" w:rsidP="00AB7C07">
      <w:pPr>
        <w:pStyle w:val="InstructionsText2"/>
        <w:ind w:left="993"/>
      </w:pPr>
      <w:r w:rsidRPr="00D45BA8">
        <w:t>2.</w:t>
      </w:r>
      <w:r w:rsidRPr="00D45BA8">
        <w:tab/>
        <w:t>V dokumente sa pri odkaze na stĺpce, riadky</w:t>
      </w:r>
      <w:r w:rsidR="00D45BA8">
        <w:t xml:space="preserve"> a </w:t>
      </w:r>
      <w:r w:rsidRPr="00D45BA8">
        <w:t>bunky vzorov používajú pravidlá označovania stanovené</w:t>
      </w:r>
      <w:r w:rsidR="00D45BA8">
        <w:t xml:space="preserve"> v </w:t>
      </w:r>
      <w:r w:rsidRPr="00D45BA8">
        <w:t>bodoch 3 až 5. Tieto číselné kódy sa vo veľkej miere používajú</w:t>
      </w:r>
      <w:r w:rsidR="00D45BA8">
        <w:t xml:space="preserve"> v </w:t>
      </w:r>
      <w:r w:rsidRPr="00D45BA8">
        <w:t>pravidlách validácie.</w:t>
      </w:r>
    </w:p>
    <w:p w14:paraId="26DC2799" w14:textId="2C43513E" w:rsidR="005643EA" w:rsidRPr="00D45BA8" w:rsidRDefault="006137FD" w:rsidP="00AB7C07">
      <w:pPr>
        <w:pStyle w:val="InstructionsText2"/>
        <w:ind w:left="993"/>
      </w:pPr>
      <w:r w:rsidRPr="00D45BA8">
        <w:t>3.</w:t>
      </w:r>
      <w:r w:rsidRPr="00D45BA8">
        <w:tab/>
        <w:t>V pokynoch sa používa tento všeobecný zápis: {vzor; riadok; stĺpec}.</w:t>
      </w:r>
    </w:p>
    <w:p w14:paraId="6A9F72AA" w14:textId="72C32918" w:rsidR="005643EA" w:rsidRPr="00D45BA8" w:rsidRDefault="006137FD" w:rsidP="00AB7C07">
      <w:pPr>
        <w:pStyle w:val="InstructionsText2"/>
        <w:ind w:left="993"/>
      </w:pPr>
      <w:r w:rsidRPr="00D45BA8">
        <w:t>4.</w:t>
      </w:r>
      <w:r w:rsidRPr="00D45BA8">
        <w:tab/>
        <w:t>Ak sa odkazuje</w:t>
      </w:r>
      <w:r w:rsidR="00D45BA8">
        <w:t xml:space="preserve"> v </w:t>
      </w:r>
      <w:r w:rsidRPr="00D45BA8">
        <w:t>rámci vzoru,</w:t>
      </w:r>
      <w:r w:rsidR="00D45BA8">
        <w:t xml:space="preserve"> a </w:t>
      </w:r>
      <w:r w:rsidRPr="00D45BA8">
        <w:t>preto sa používajú len údajové body uvedeného vzoru, zápis neobsahuje vzor: {riadok; stĺpec}. Ak vzory majú len jeden stĺpec, odkazuje sa len na riadky: {vzor; riadok}.</w:t>
      </w:r>
    </w:p>
    <w:p w14:paraId="01FECE3C" w14:textId="482B71E1" w:rsidR="002648B0" w:rsidRPr="00D45BA8" w:rsidRDefault="006137FD" w:rsidP="00AB7C07">
      <w:pPr>
        <w:pStyle w:val="InstructionsText2"/>
        <w:ind w:left="993"/>
      </w:pPr>
      <w:r w:rsidRPr="00D45BA8">
        <w:t>5.</w:t>
      </w:r>
      <w:r w:rsidRPr="00D45BA8">
        <w:tab/>
        <w:t>Symbol hviezdičky sa používa na vyjadrenie toho, že odkaz sa vzťahuje na skôr uvedené riadky alebo stĺpce.</w:t>
      </w:r>
    </w:p>
    <w:p w14:paraId="273A8B8C" w14:textId="0AF01339" w:rsidR="002648B0" w:rsidRPr="00D45BA8"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88881163"/>
      <w:r w:rsidRPr="00D45BA8">
        <w:rPr>
          <w:sz w:val="24"/>
        </w:rPr>
        <w:t>1.3.</w:t>
      </w:r>
      <w:r w:rsidRPr="00D45BA8">
        <w:tab/>
      </w:r>
      <w:r w:rsidRPr="00D45BA8">
        <w:rPr>
          <w:sz w:val="24"/>
        </w:rPr>
        <w:t>Pravidlá používania znamienok</w:t>
      </w:r>
      <w:bookmarkEnd w:id="11"/>
      <w:bookmarkEnd w:id="12"/>
      <w:bookmarkEnd w:id="17"/>
      <w:bookmarkEnd w:id="18"/>
      <w:bookmarkEnd w:id="19"/>
    </w:p>
    <w:p w14:paraId="0C0832BC" w14:textId="7BA68430" w:rsidR="002648B0" w:rsidRPr="00D45BA8" w:rsidRDefault="006137FD" w:rsidP="00AB7C07">
      <w:pPr>
        <w:pStyle w:val="InstructionsText2"/>
        <w:ind w:left="993"/>
      </w:pPr>
      <w:r w:rsidRPr="00D45BA8">
        <w:t>6.</w:t>
      </w:r>
      <w:r w:rsidRPr="00D45BA8">
        <w:tab/>
        <w:t>Každá suma, ktorá zvyšuje hodnotu ukazovateľa, aktív, záväzkov alebo expozícií, sa vykazuje ako kladné číslo. Každá suma, ktorá znižuje hodnotu ukazovateľa, aktív, záväzkov alebo expozícií, sa vykazuje ako záporné číslo. Ak je pred označením určitej položky záporné znamienko (–), očakáva sa, že</w:t>
      </w:r>
      <w:r w:rsidR="00D45BA8">
        <w:t xml:space="preserve"> v </w:t>
      </w:r>
      <w:r w:rsidRPr="00D45BA8">
        <w:t>prípade tejto položky sa neuvedie žiadne kladné číslo.</w:t>
      </w:r>
    </w:p>
    <w:p w14:paraId="078AD951" w14:textId="77777777" w:rsidR="00304CA5" w:rsidRPr="00D45BA8" w:rsidRDefault="00304CA5" w:rsidP="00AB7C07">
      <w:pPr>
        <w:pStyle w:val="InstructionsText2"/>
        <w:ind w:left="993"/>
      </w:pPr>
    </w:p>
    <w:p w14:paraId="74BFACB9" w14:textId="77777777" w:rsidR="002648B0" w:rsidRPr="00D45BA8" w:rsidRDefault="002648B0" w:rsidP="00B94200">
      <w:pPr>
        <w:pStyle w:val="InstructionsText2"/>
        <w:sectPr w:rsidR="002648B0" w:rsidRPr="00D45BA8"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D45BA8" w:rsidRDefault="002648B0" w:rsidP="00EC067D">
      <w:pPr>
        <w:pStyle w:val="Heading2"/>
      </w:pPr>
      <w:bookmarkStart w:id="21" w:name="_Toc360188322"/>
      <w:bookmarkStart w:id="22" w:name="_Toc473560870"/>
      <w:bookmarkStart w:id="23" w:name="_Toc188881164"/>
      <w:r w:rsidRPr="00D45BA8">
        <w:t>ČASŤ II: POKYNY TÝKAJÚCE SA VZOROV</w:t>
      </w:r>
      <w:bookmarkEnd w:id="21"/>
      <w:bookmarkEnd w:id="22"/>
      <w:bookmarkEnd w:id="23"/>
    </w:p>
    <w:p w14:paraId="5E8C221B" w14:textId="6A60103B" w:rsidR="002648B0" w:rsidRPr="00D45BA8"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88881165"/>
      <w:r w:rsidRPr="00D45BA8">
        <w:rPr>
          <w:sz w:val="24"/>
        </w:rPr>
        <w:t>1.</w:t>
      </w:r>
      <w:r w:rsidRPr="00D45BA8">
        <w:tab/>
      </w:r>
      <w:bookmarkStart w:id="27" w:name="_Toc308175819"/>
      <w:bookmarkStart w:id="28" w:name="_Toc360188324"/>
      <w:bookmarkStart w:id="29" w:name="_Toc473560872"/>
      <w:bookmarkEnd w:id="24"/>
      <w:bookmarkEnd w:id="25"/>
      <w:r w:rsidRPr="00D45BA8">
        <w:rPr>
          <w:sz w:val="24"/>
        </w:rPr>
        <w:t>Všeobecné poznámky</w:t>
      </w:r>
      <w:bookmarkEnd w:id="27"/>
      <w:bookmarkEnd w:id="28"/>
      <w:bookmarkEnd w:id="29"/>
      <w:bookmarkEnd w:id="26"/>
    </w:p>
    <w:p w14:paraId="38B5D641" w14:textId="6CF13A47" w:rsidR="00D45BA8" w:rsidRDefault="00004542" w:rsidP="00AB7C07">
      <w:pPr>
        <w:pStyle w:val="InstructionsText2"/>
        <w:ind w:left="993"/>
      </w:pPr>
      <w:r w:rsidRPr="00D45BA8">
        <w:t>8.</w:t>
      </w:r>
      <w:r w:rsidRPr="00D45BA8">
        <w:tab/>
        <w:t>Vzor je rozdelený na dve časti. Horná časť</w:t>
      </w:r>
      <w:r w:rsidR="00D45BA8">
        <w:t xml:space="preserve"> o </w:t>
      </w:r>
      <w:r w:rsidRPr="00D45BA8">
        <w:t>ukazovateľoch G-SII obsahuje ukazovatele na identifikáciu globálnych systémovo významných inštitúcií, ako sú vymedzené</w:t>
      </w:r>
      <w:r w:rsidR="00D45BA8">
        <w:t xml:space="preserve"> v </w:t>
      </w:r>
      <w:r w:rsidRPr="00D45BA8">
        <w:t>metodike, ktorú vypracoval Bazilejský výbor pre bankový dohľad. Dolná časť obsahuje niekoľko položiek potrebných na výpočet príslušných ukazovateľov</w:t>
      </w:r>
      <w:r w:rsidR="00D45BA8">
        <w:t xml:space="preserve"> v </w:t>
      </w:r>
      <w:r w:rsidRPr="00D45BA8">
        <w:t>súlade</w:t>
      </w:r>
      <w:r w:rsidR="00D45BA8">
        <w:t xml:space="preserve"> s </w:t>
      </w:r>
      <w:r w:rsidRPr="00D45BA8">
        <w:t>metodikou vymedzenou na základe článku 131 ods. 18 smernice 2013/36/EÚ</w:t>
      </w:r>
      <w:r w:rsidRPr="00D45BA8">
        <w:rPr>
          <w:rStyle w:val="FootnoteReference"/>
          <w:rFonts w:ascii="Times New Roman" w:hAnsi="Times New Roman"/>
          <w:sz w:val="24"/>
          <w:szCs w:val="24"/>
          <w:vertAlign w:val="superscript"/>
        </w:rPr>
        <w:footnoteReference w:id="2"/>
      </w:r>
      <w:r w:rsidR="00D45BA8">
        <w:t>.</w:t>
      </w:r>
    </w:p>
    <w:p w14:paraId="285BFC5F" w14:textId="48A9C16F" w:rsidR="005643EA" w:rsidRPr="00D45BA8" w:rsidRDefault="00004542" w:rsidP="00AB7C07">
      <w:pPr>
        <w:pStyle w:val="InstructionsText2"/>
        <w:ind w:left="993"/>
      </w:pPr>
      <w:r w:rsidRPr="00D45BA8">
        <w:t>9.</w:t>
      </w:r>
      <w:r w:rsidRPr="00D45BA8">
        <w:tab/>
        <w:t>Ak je to relevantné, informácie poskytnuté</w:t>
      </w:r>
      <w:r w:rsidR="00D45BA8">
        <w:t xml:space="preserve"> v </w:t>
      </w:r>
      <w:r w:rsidRPr="00D45BA8">
        <w:t>tomto vzore musia byť</w:t>
      </w:r>
      <w:r w:rsidR="00D45BA8">
        <w:t xml:space="preserve"> v </w:t>
      </w:r>
      <w:r w:rsidRPr="00D45BA8">
        <w:t>súlade</w:t>
      </w:r>
      <w:r w:rsidR="00D45BA8">
        <w:t xml:space="preserve"> s </w:t>
      </w:r>
      <w:r w:rsidRPr="00D45BA8">
        <w:t>informáciami, ktoré sa poskytujú príslušným orgánom na účely zberu hodnôt ukazovateľov príslušnými orgánmi, ako sa stanovuje</w:t>
      </w:r>
      <w:r w:rsidR="00D45BA8">
        <w:t xml:space="preserve"> v </w:t>
      </w:r>
      <w:r w:rsidRPr="00D45BA8">
        <w:t>článku 3 ods. 2 delegovaného nariadenia Komisie (EÚ) č. 1222/2014</w:t>
      </w:r>
      <w:r w:rsidRPr="00D45BA8">
        <w:rPr>
          <w:rStyle w:val="FootnoteReference"/>
          <w:rFonts w:ascii="Times New Roman" w:hAnsi="Times New Roman"/>
          <w:sz w:val="24"/>
          <w:szCs w:val="24"/>
          <w:vertAlign w:val="superscript"/>
        </w:rPr>
        <w:footnoteReference w:id="3"/>
      </w:r>
      <w:r w:rsidRPr="00D45BA8">
        <w:t>.</w:t>
      </w:r>
    </w:p>
    <w:p w14:paraId="1640AAF5" w14:textId="010F44D6" w:rsidR="002648B0" w:rsidRPr="00D45BA8"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88881166"/>
      <w:r w:rsidRPr="00D45BA8">
        <w:rPr>
          <w:sz w:val="24"/>
        </w:rPr>
        <w:t>2.</w:t>
      </w:r>
      <w:r w:rsidRPr="00D45BA8">
        <w:tab/>
      </w:r>
      <w:r w:rsidRPr="00D45BA8">
        <w:rPr>
          <w:sz w:val="24"/>
        </w:rPr>
        <w:t xml:space="preserve">Pokyny týkajúce sa konkrétnych </w:t>
      </w:r>
      <w:bookmarkEnd w:id="30"/>
      <w:bookmarkEnd w:id="31"/>
      <w:r w:rsidRPr="00D45BA8">
        <w:rPr>
          <w:sz w:val="24"/>
        </w:rPr>
        <w:t>pozícií</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D45BA8" w14:paraId="5D5CC09A" w14:textId="77777777" w:rsidTr="00D731E3">
        <w:tc>
          <w:tcPr>
            <w:tcW w:w="1129" w:type="dxa"/>
            <w:shd w:val="clear" w:color="auto" w:fill="D9D9D9"/>
          </w:tcPr>
          <w:p w14:paraId="5EE5330B" w14:textId="77777777" w:rsidR="005643EA" w:rsidRPr="00D45BA8" w:rsidRDefault="002648B0" w:rsidP="00B94200">
            <w:pPr>
              <w:pStyle w:val="InstructionsText"/>
              <w:rPr>
                <w:rStyle w:val="InstructionsTabelleText"/>
                <w:rFonts w:ascii="Times New Roman" w:hAnsi="Times New Roman"/>
                <w:bCs/>
                <w:sz w:val="24"/>
              </w:rPr>
            </w:pPr>
            <w:r w:rsidRPr="00D45BA8">
              <w:rPr>
                <w:rStyle w:val="InstructionsTabelleText"/>
                <w:rFonts w:ascii="Times New Roman" w:hAnsi="Times New Roman"/>
                <w:sz w:val="24"/>
              </w:rPr>
              <w:t>Riadok</w:t>
            </w:r>
          </w:p>
        </w:tc>
        <w:tc>
          <w:tcPr>
            <w:tcW w:w="7620" w:type="dxa"/>
            <w:shd w:val="clear" w:color="auto" w:fill="D9D9D9"/>
          </w:tcPr>
          <w:p w14:paraId="19E41094" w14:textId="4FA58E55" w:rsidR="005643EA" w:rsidRPr="00D45BA8" w:rsidRDefault="002648B0" w:rsidP="00B94200">
            <w:pPr>
              <w:pStyle w:val="InstructionsText"/>
              <w:rPr>
                <w:rStyle w:val="InstructionsTabelleText"/>
                <w:rFonts w:ascii="Times New Roman" w:hAnsi="Times New Roman"/>
                <w:bCs/>
                <w:sz w:val="24"/>
              </w:rPr>
            </w:pPr>
            <w:r w:rsidRPr="00D45BA8">
              <w:rPr>
                <w:rStyle w:val="InstructionsTabelleText"/>
                <w:rFonts w:ascii="Times New Roman" w:hAnsi="Times New Roman"/>
                <w:sz w:val="24"/>
              </w:rPr>
              <w:t>Odkazy na právne predpisy</w:t>
            </w:r>
            <w:r w:rsidR="00D45BA8">
              <w:rPr>
                <w:rStyle w:val="InstructionsTabelleText"/>
                <w:rFonts w:ascii="Times New Roman" w:hAnsi="Times New Roman"/>
                <w:sz w:val="24"/>
              </w:rPr>
              <w:t xml:space="preserve"> a </w:t>
            </w:r>
            <w:r w:rsidRPr="00D45BA8">
              <w:rPr>
                <w:rStyle w:val="InstructionsTabelleText"/>
                <w:rFonts w:ascii="Times New Roman" w:hAnsi="Times New Roman"/>
                <w:sz w:val="24"/>
              </w:rPr>
              <w:t>pokyny</w:t>
            </w:r>
          </w:p>
        </w:tc>
      </w:tr>
      <w:tr w:rsidR="002648B0" w:rsidRPr="00D45BA8" w14:paraId="0E5D273A" w14:textId="77777777" w:rsidTr="00D731E3">
        <w:tc>
          <w:tcPr>
            <w:tcW w:w="1129" w:type="dxa"/>
          </w:tcPr>
          <w:p w14:paraId="4A55AEAF" w14:textId="3BFAC98E" w:rsidR="002648B0" w:rsidRPr="00D45BA8" w:rsidRDefault="00004542" w:rsidP="00B94200">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0010 – 0130</w:t>
            </w:r>
          </w:p>
        </w:tc>
        <w:tc>
          <w:tcPr>
            <w:tcW w:w="7620" w:type="dxa"/>
          </w:tcPr>
          <w:p w14:paraId="541B4823" w14:textId="0EF9A745" w:rsidR="00D7242F" w:rsidRPr="00D45BA8" w:rsidRDefault="00004542" w:rsidP="00B94200">
            <w:pPr>
              <w:pStyle w:val="InstructionsText"/>
              <w:rPr>
                <w:rStyle w:val="InstructionsTabelleberschrift"/>
                <w:rFonts w:ascii="Times New Roman" w:hAnsi="Times New Roman"/>
                <w:sz w:val="24"/>
              </w:rPr>
            </w:pPr>
            <w:r w:rsidRPr="00D45BA8">
              <w:rPr>
                <w:rStyle w:val="InstructionsTabelleberschrift"/>
                <w:rFonts w:ascii="Times New Roman" w:hAnsi="Times New Roman"/>
                <w:sz w:val="24"/>
              </w:rPr>
              <w:t>Ukazovatele G-SII</w:t>
            </w:r>
          </w:p>
          <w:p w14:paraId="71B4C248" w14:textId="37861472" w:rsidR="005643EA" w:rsidRPr="00D45BA8" w:rsidRDefault="00004542" w:rsidP="00B94200">
            <w:pPr>
              <w:pStyle w:val="InstructionsText2"/>
              <w:rPr>
                <w:rStyle w:val="FormatvorlageInstructionsTabelleText"/>
                <w:rFonts w:ascii="Times New Roman" w:hAnsi="Times New Roman"/>
                <w:sz w:val="24"/>
              </w:rPr>
            </w:pPr>
            <w:r w:rsidRPr="00D45BA8">
              <w:rPr>
                <w:rStyle w:val="FormatvorlageInstructionsTabelleText"/>
                <w:rFonts w:ascii="Times New Roman" w:hAnsi="Times New Roman"/>
                <w:sz w:val="24"/>
              </w:rPr>
              <w:t>Vymedzenie ukazovateľov je rovnaké ako vymedzenie použité na účely určenia informácií uvedených</w:t>
            </w:r>
            <w:r w:rsidR="00D45BA8">
              <w:rPr>
                <w:rStyle w:val="FormatvorlageInstructionsTabelleText"/>
                <w:rFonts w:ascii="Times New Roman" w:hAnsi="Times New Roman"/>
                <w:sz w:val="24"/>
              </w:rPr>
              <w:t xml:space="preserve"> v </w:t>
            </w:r>
            <w:r w:rsidRPr="00D45BA8">
              <w:rPr>
                <w:rStyle w:val="FormatvorlageInstructionsTabelleText"/>
                <w:rFonts w:ascii="Times New Roman" w:hAnsi="Times New Roman"/>
                <w:sz w:val="24"/>
              </w:rPr>
              <w:t>prílohe</w:t>
            </w:r>
            <w:r w:rsidR="00D45BA8">
              <w:rPr>
                <w:rStyle w:val="FormatvorlageInstructionsTabelleText"/>
                <w:rFonts w:ascii="Times New Roman" w:hAnsi="Times New Roman"/>
                <w:sz w:val="24"/>
              </w:rPr>
              <w:t xml:space="preserve"> k </w:t>
            </w:r>
            <w:r w:rsidRPr="00D45BA8">
              <w:rPr>
                <w:rStyle w:val="FormatvorlageInstructionsTabelleText"/>
                <w:rFonts w:ascii="Times New Roman" w:hAnsi="Times New Roman"/>
                <w:sz w:val="24"/>
              </w:rPr>
              <w:t>delegovanému nariadeniu Komisie (EÚ) č. 1222/2014.</w:t>
            </w:r>
          </w:p>
          <w:p w14:paraId="77AC76F2" w14:textId="746AC1EF" w:rsidR="00EF0DDB" w:rsidRPr="00D45BA8" w:rsidRDefault="00087903" w:rsidP="00B94200">
            <w:pPr>
              <w:pStyle w:val="InstructionsText2"/>
              <w:rPr>
                <w:rStyle w:val="FormatvorlageInstructionsTabelleText"/>
                <w:rFonts w:ascii="Times New Roman" w:hAnsi="Times New Roman"/>
                <w:sz w:val="24"/>
              </w:rPr>
            </w:pPr>
            <w:r w:rsidRPr="00D45BA8">
              <w:rPr>
                <w:rStyle w:val="FormatvorlageInstructionsTabelleText"/>
                <w:rFonts w:ascii="Times New Roman" w:hAnsi="Times New Roman"/>
                <w:sz w:val="24"/>
              </w:rPr>
              <w:t>V prípade zmien vymedzení</w:t>
            </w:r>
            <w:r w:rsidR="00D45BA8">
              <w:rPr>
                <w:rStyle w:val="FormatvorlageInstructionsTabelleText"/>
                <w:rFonts w:ascii="Times New Roman" w:hAnsi="Times New Roman"/>
                <w:sz w:val="24"/>
              </w:rPr>
              <w:t xml:space="preserve"> v </w:t>
            </w:r>
            <w:r w:rsidRPr="00D45BA8">
              <w:rPr>
                <w:rStyle w:val="FormatvorlageInstructionsTabelleText"/>
                <w:rFonts w:ascii="Times New Roman" w:hAnsi="Times New Roman"/>
                <w:sz w:val="24"/>
              </w:rPr>
              <w:t>uvedenej metodike sa tieto zmenené vymedzenia</w:t>
            </w:r>
            <w:r w:rsidR="00D45BA8">
              <w:rPr>
                <w:rStyle w:val="FormatvorlageInstructionsTabelleText"/>
                <w:rFonts w:ascii="Times New Roman" w:hAnsi="Times New Roman"/>
                <w:sz w:val="24"/>
              </w:rPr>
              <w:t xml:space="preserve"> v </w:t>
            </w:r>
            <w:r w:rsidRPr="00D45BA8">
              <w:rPr>
                <w:rStyle w:val="FormatvorlageInstructionsTabelleText"/>
                <w:rFonts w:ascii="Times New Roman" w:hAnsi="Times New Roman"/>
                <w:sz w:val="24"/>
              </w:rPr>
              <w:t>metodike na určenie hodnôt ukazovateľov ku koncu finančného roka („metodika koncoročného vykazovania“) použijú na účely vykazovania informácií ku koncu prvého, druhého</w:t>
            </w:r>
            <w:r w:rsidR="00D45BA8">
              <w:rPr>
                <w:rStyle w:val="FormatvorlageInstructionsTabelleText"/>
                <w:rFonts w:ascii="Times New Roman" w:hAnsi="Times New Roman"/>
                <w:sz w:val="24"/>
              </w:rPr>
              <w:t xml:space="preserve"> a </w:t>
            </w:r>
            <w:r w:rsidRPr="00D45BA8">
              <w:rPr>
                <w:rStyle w:val="FormatvorlageInstructionsTabelleText"/>
                <w:rFonts w:ascii="Times New Roman" w:hAnsi="Times New Roman"/>
                <w:sz w:val="24"/>
              </w:rPr>
              <w:t>tretieho štvrťroka daného finančného roka. Ak je vzor</w:t>
            </w:r>
            <w:r w:rsidR="00D45BA8">
              <w:rPr>
                <w:rStyle w:val="FormatvorlageInstructionsTabelleText"/>
                <w:rFonts w:ascii="Times New Roman" w:hAnsi="Times New Roman"/>
                <w:sz w:val="24"/>
              </w:rPr>
              <w:t xml:space="preserve"> v </w:t>
            </w:r>
            <w:r w:rsidRPr="00D45BA8">
              <w:rPr>
                <w:rStyle w:val="FormatvorlageInstructionsTabelleText"/>
                <w:rFonts w:ascii="Times New Roman" w:hAnsi="Times New Roman"/>
                <w:sz w:val="24"/>
              </w:rPr>
              <w:t>prílohe XXVI predmetom zmien počas predmetného finančného roka, metodika koncoročného vykazovania sa používa od prvých uplatniteľných referenčných dátumov po nadobudnutí účinnosti tohto zmeneného nariadenia.</w:t>
            </w:r>
          </w:p>
          <w:p w14:paraId="09DD6AF6" w14:textId="46653849" w:rsidR="00805C7A" w:rsidRPr="00D45BA8" w:rsidRDefault="00805C7A" w:rsidP="00B94200">
            <w:pPr>
              <w:pStyle w:val="InstructionsText2"/>
              <w:rPr>
                <w:rStyle w:val="InstructionsTabelleberschrift"/>
                <w:rFonts w:ascii="Times New Roman" w:hAnsi="Times New Roman"/>
                <w:sz w:val="24"/>
              </w:rPr>
            </w:pPr>
            <w:r w:rsidRPr="00D45BA8">
              <w:rPr>
                <w:rStyle w:val="FormatvorlageInstructionsTabelleText"/>
                <w:rFonts w:ascii="Times New Roman" w:hAnsi="Times New Roman"/>
                <w:sz w:val="24"/>
              </w:rPr>
              <w:t>Ukazovatele, ktoré sú ukazovateľmi tokov, sa vykazujú na kumulatívnom základe od začiatku kalendárneho alebo prípadne finančného roka.</w:t>
            </w:r>
          </w:p>
        </w:tc>
      </w:tr>
      <w:tr w:rsidR="000359E7" w:rsidRPr="00D45BA8" w14:paraId="3C8BC05D" w14:textId="77777777" w:rsidTr="00D731E3">
        <w:tc>
          <w:tcPr>
            <w:tcW w:w="1129" w:type="dxa"/>
          </w:tcPr>
          <w:p w14:paraId="2DB15F09" w14:textId="10FDDDE8" w:rsidR="000359E7" w:rsidRPr="00D45BA8" w:rsidRDefault="000359E7" w:rsidP="00B94200">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0010</w:t>
            </w:r>
          </w:p>
        </w:tc>
        <w:tc>
          <w:tcPr>
            <w:tcW w:w="7620" w:type="dxa"/>
          </w:tcPr>
          <w:p w14:paraId="0897A46E" w14:textId="4CC72B82" w:rsidR="000359E7" w:rsidRPr="00D45BA8" w:rsidRDefault="00461B95" w:rsidP="00B94200">
            <w:pPr>
              <w:pStyle w:val="InstructionsText"/>
              <w:rPr>
                <w:rStyle w:val="InstructionsTabelleberschrift"/>
                <w:rFonts w:ascii="Times New Roman" w:hAnsi="Times New Roman"/>
                <w:sz w:val="24"/>
              </w:rPr>
            </w:pPr>
            <w:r w:rsidRPr="00D45BA8">
              <w:rPr>
                <w:rStyle w:val="InstructionsTabelleberschrift"/>
                <w:rFonts w:ascii="Times New Roman" w:hAnsi="Times New Roman"/>
                <w:sz w:val="24"/>
              </w:rPr>
              <w:t>Celkové expozície vrátane dcérskych poisťovacích spoločností</w:t>
            </w:r>
          </w:p>
        </w:tc>
      </w:tr>
      <w:tr w:rsidR="000359E7" w:rsidRPr="00D45BA8" w14:paraId="6D4F9F35" w14:textId="77777777" w:rsidTr="00D731E3">
        <w:tc>
          <w:tcPr>
            <w:tcW w:w="1129" w:type="dxa"/>
          </w:tcPr>
          <w:p w14:paraId="744137FA" w14:textId="7636C40D" w:rsidR="000359E7" w:rsidRPr="00D45BA8" w:rsidRDefault="000359E7" w:rsidP="00B94200">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0020</w:t>
            </w:r>
          </w:p>
        </w:tc>
        <w:tc>
          <w:tcPr>
            <w:tcW w:w="7620" w:type="dxa"/>
          </w:tcPr>
          <w:p w14:paraId="050D6105" w14:textId="22669478" w:rsidR="000359E7" w:rsidRPr="00D45BA8" w:rsidRDefault="00461B95" w:rsidP="00B94200">
            <w:pPr>
              <w:pStyle w:val="InstructionsText"/>
              <w:rPr>
                <w:rStyle w:val="InstructionsTabelleberschrift"/>
                <w:rFonts w:ascii="Times New Roman" w:hAnsi="Times New Roman"/>
                <w:sz w:val="24"/>
              </w:rPr>
            </w:pPr>
            <w:r w:rsidRPr="00D45BA8">
              <w:rPr>
                <w:rStyle w:val="InstructionsTabelleberschrift"/>
                <w:rFonts w:ascii="Times New Roman" w:hAnsi="Times New Roman"/>
                <w:sz w:val="24"/>
              </w:rPr>
              <w:t>Aktíva</w:t>
            </w:r>
            <w:r w:rsidR="00D45BA8">
              <w:rPr>
                <w:rStyle w:val="InstructionsTabelleberschrift"/>
                <w:rFonts w:ascii="Times New Roman" w:hAnsi="Times New Roman"/>
                <w:sz w:val="24"/>
              </w:rPr>
              <w:t xml:space="preserve"> v </w:t>
            </w:r>
            <w:r w:rsidRPr="00D45BA8">
              <w:rPr>
                <w:rStyle w:val="InstructionsTabelleberschrift"/>
                <w:rFonts w:ascii="Times New Roman" w:hAnsi="Times New Roman"/>
                <w:sz w:val="24"/>
              </w:rPr>
              <w:t xml:space="preserve">rámci finančného systému vrátane dcérskych poisťovacích spoločností </w:t>
            </w:r>
          </w:p>
        </w:tc>
      </w:tr>
      <w:tr w:rsidR="000359E7" w:rsidRPr="00D45BA8" w14:paraId="6DDE62D2" w14:textId="77777777" w:rsidTr="00D731E3">
        <w:tc>
          <w:tcPr>
            <w:tcW w:w="1129" w:type="dxa"/>
          </w:tcPr>
          <w:p w14:paraId="119F2029" w14:textId="2E0C1E76" w:rsidR="000359E7" w:rsidRPr="00D45BA8" w:rsidRDefault="000359E7" w:rsidP="00B94200">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0030</w:t>
            </w:r>
          </w:p>
        </w:tc>
        <w:tc>
          <w:tcPr>
            <w:tcW w:w="7620" w:type="dxa"/>
          </w:tcPr>
          <w:p w14:paraId="20A17A52" w14:textId="316CB821" w:rsidR="000359E7" w:rsidRPr="00D45BA8" w:rsidRDefault="00461B95" w:rsidP="00B94200">
            <w:pPr>
              <w:pStyle w:val="InstructionsText"/>
              <w:rPr>
                <w:rStyle w:val="InstructionsTabelleberschrift"/>
                <w:rFonts w:ascii="Times New Roman" w:hAnsi="Times New Roman"/>
                <w:sz w:val="24"/>
              </w:rPr>
            </w:pPr>
            <w:r w:rsidRPr="00D45BA8">
              <w:rPr>
                <w:rStyle w:val="InstructionsTabelleberschrift"/>
                <w:rFonts w:ascii="Times New Roman" w:hAnsi="Times New Roman"/>
                <w:sz w:val="24"/>
              </w:rPr>
              <w:t>Záväzky</w:t>
            </w:r>
            <w:r w:rsidR="00D45BA8">
              <w:rPr>
                <w:rStyle w:val="InstructionsTabelleberschrift"/>
                <w:rFonts w:ascii="Times New Roman" w:hAnsi="Times New Roman"/>
                <w:sz w:val="24"/>
              </w:rPr>
              <w:t xml:space="preserve"> v </w:t>
            </w:r>
            <w:r w:rsidRPr="00D45BA8">
              <w:rPr>
                <w:rStyle w:val="InstructionsTabelleberschrift"/>
                <w:rFonts w:ascii="Times New Roman" w:hAnsi="Times New Roman"/>
                <w:sz w:val="24"/>
              </w:rPr>
              <w:t xml:space="preserve">rámci finančného systému vrátane dcérskych poisťovacích spoločností </w:t>
            </w:r>
          </w:p>
        </w:tc>
      </w:tr>
      <w:tr w:rsidR="000359E7" w:rsidRPr="00D45BA8" w14:paraId="1E32E0D4" w14:textId="77777777" w:rsidTr="00D731E3">
        <w:tc>
          <w:tcPr>
            <w:tcW w:w="1129" w:type="dxa"/>
          </w:tcPr>
          <w:p w14:paraId="62806938" w14:textId="21F95289" w:rsidR="000359E7" w:rsidRPr="00D45BA8" w:rsidRDefault="000359E7" w:rsidP="00B94200">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0040</w:t>
            </w:r>
          </w:p>
        </w:tc>
        <w:tc>
          <w:tcPr>
            <w:tcW w:w="7620" w:type="dxa"/>
          </w:tcPr>
          <w:p w14:paraId="1992577C" w14:textId="744932D1" w:rsidR="000359E7" w:rsidRPr="00D45BA8" w:rsidRDefault="00461B95" w:rsidP="00B94200">
            <w:pPr>
              <w:pStyle w:val="InstructionsText"/>
              <w:rPr>
                <w:rStyle w:val="InstructionsTabelleberschrift"/>
                <w:rFonts w:ascii="Times New Roman" w:hAnsi="Times New Roman"/>
                <w:sz w:val="24"/>
              </w:rPr>
            </w:pPr>
            <w:r w:rsidRPr="00D45BA8">
              <w:rPr>
                <w:rStyle w:val="InstructionsTabelleberschrift"/>
                <w:rFonts w:ascii="Times New Roman" w:hAnsi="Times New Roman"/>
                <w:sz w:val="24"/>
              </w:rPr>
              <w:t xml:space="preserve">Nesplatené cenné papiere vrátane cenných papierov emitovaných dcérskymi poisťovacími spoločnosťami </w:t>
            </w:r>
          </w:p>
        </w:tc>
      </w:tr>
      <w:tr w:rsidR="000359E7" w:rsidRPr="00D45BA8" w14:paraId="168CAFD1" w14:textId="77777777" w:rsidTr="00D731E3">
        <w:tc>
          <w:tcPr>
            <w:tcW w:w="1129" w:type="dxa"/>
          </w:tcPr>
          <w:p w14:paraId="20E7E202" w14:textId="74E0180D" w:rsidR="000359E7" w:rsidRPr="00D45BA8" w:rsidRDefault="000359E7" w:rsidP="00B94200">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0050</w:t>
            </w:r>
          </w:p>
        </w:tc>
        <w:tc>
          <w:tcPr>
            <w:tcW w:w="7620" w:type="dxa"/>
          </w:tcPr>
          <w:p w14:paraId="07A315EC" w14:textId="475F88BE" w:rsidR="000359E7" w:rsidRPr="00D45BA8" w:rsidRDefault="00461B95" w:rsidP="00B94200">
            <w:pPr>
              <w:pStyle w:val="InstructionsText"/>
              <w:rPr>
                <w:rStyle w:val="InstructionsTabelleberschrift"/>
                <w:rFonts w:ascii="Times New Roman" w:hAnsi="Times New Roman"/>
                <w:sz w:val="24"/>
              </w:rPr>
            </w:pPr>
            <w:r w:rsidRPr="00D45BA8">
              <w:rPr>
                <w:rStyle w:val="InstructionsTabelleberschrift"/>
                <w:rFonts w:ascii="Times New Roman" w:hAnsi="Times New Roman"/>
                <w:sz w:val="24"/>
              </w:rPr>
              <w:t xml:space="preserve">Platobná činnosť </w:t>
            </w:r>
          </w:p>
        </w:tc>
      </w:tr>
      <w:tr w:rsidR="000359E7" w:rsidRPr="00D45BA8" w14:paraId="7D83D84B" w14:textId="77777777" w:rsidTr="00D731E3">
        <w:tc>
          <w:tcPr>
            <w:tcW w:w="1129" w:type="dxa"/>
          </w:tcPr>
          <w:p w14:paraId="2E41976E" w14:textId="54079319" w:rsidR="000359E7" w:rsidRPr="00D45BA8" w:rsidRDefault="000359E7" w:rsidP="00B94200">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0060</w:t>
            </w:r>
          </w:p>
        </w:tc>
        <w:tc>
          <w:tcPr>
            <w:tcW w:w="7620" w:type="dxa"/>
          </w:tcPr>
          <w:p w14:paraId="6BD24A93" w14:textId="6C6D4B0B" w:rsidR="000359E7" w:rsidRPr="00D45BA8" w:rsidRDefault="00461B95" w:rsidP="00B94200">
            <w:pPr>
              <w:pStyle w:val="InstructionsText"/>
              <w:rPr>
                <w:rStyle w:val="InstructionsTabelleberschrift"/>
                <w:rFonts w:ascii="Times New Roman" w:hAnsi="Times New Roman"/>
                <w:sz w:val="24"/>
              </w:rPr>
            </w:pPr>
            <w:r w:rsidRPr="00D45BA8">
              <w:rPr>
                <w:rStyle w:val="InstructionsTabelleberschrift"/>
                <w:rFonts w:ascii="Times New Roman" w:hAnsi="Times New Roman"/>
                <w:sz w:val="24"/>
              </w:rPr>
              <w:t>Aktíva</w:t>
            </w:r>
            <w:r w:rsidR="00D45BA8">
              <w:rPr>
                <w:rStyle w:val="InstructionsTabelleberschrift"/>
                <w:rFonts w:ascii="Times New Roman" w:hAnsi="Times New Roman"/>
                <w:sz w:val="24"/>
              </w:rPr>
              <w:t xml:space="preserve"> v </w:t>
            </w:r>
            <w:r w:rsidRPr="00D45BA8">
              <w:rPr>
                <w:rStyle w:val="InstructionsTabelleberschrift"/>
                <w:rFonts w:ascii="Times New Roman" w:hAnsi="Times New Roman"/>
                <w:sz w:val="24"/>
              </w:rPr>
              <w:t xml:space="preserve">úschove </w:t>
            </w:r>
          </w:p>
        </w:tc>
      </w:tr>
      <w:tr w:rsidR="000359E7" w:rsidRPr="00D45BA8" w14:paraId="40C175C7" w14:textId="77777777" w:rsidTr="00D731E3">
        <w:tc>
          <w:tcPr>
            <w:tcW w:w="1129" w:type="dxa"/>
          </w:tcPr>
          <w:p w14:paraId="05CF3D3D" w14:textId="4A19EAF3" w:rsidR="000359E7" w:rsidRPr="00D45BA8" w:rsidRDefault="000359E7" w:rsidP="00B94200">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0070</w:t>
            </w:r>
          </w:p>
        </w:tc>
        <w:tc>
          <w:tcPr>
            <w:tcW w:w="7620" w:type="dxa"/>
          </w:tcPr>
          <w:p w14:paraId="7A6CF35F" w14:textId="264D705F" w:rsidR="000359E7" w:rsidRPr="00D45BA8" w:rsidRDefault="00461B95" w:rsidP="00B94200">
            <w:pPr>
              <w:pStyle w:val="InstructionsText"/>
              <w:rPr>
                <w:rStyle w:val="InstructionsTabelleberschrift"/>
                <w:rFonts w:ascii="Times New Roman" w:hAnsi="Times New Roman"/>
                <w:sz w:val="24"/>
              </w:rPr>
            </w:pPr>
            <w:r w:rsidRPr="00D45BA8">
              <w:rPr>
                <w:rStyle w:val="InstructionsTabelleberschrift"/>
                <w:rFonts w:ascii="Times New Roman" w:hAnsi="Times New Roman"/>
                <w:sz w:val="24"/>
              </w:rPr>
              <w:t xml:space="preserve">Činnosť upisovania </w:t>
            </w:r>
          </w:p>
        </w:tc>
      </w:tr>
      <w:tr w:rsidR="00C53D25" w:rsidRPr="00D45BA8" w14:paraId="12E2671F" w14:textId="77777777" w:rsidTr="001676CB">
        <w:tc>
          <w:tcPr>
            <w:tcW w:w="1129" w:type="dxa"/>
          </w:tcPr>
          <w:p w14:paraId="09A598C9" w14:textId="039AD27A" w:rsidR="00C53D25" w:rsidRPr="00D45BA8" w:rsidRDefault="00C53D25" w:rsidP="00B94200">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0081</w:t>
            </w:r>
          </w:p>
        </w:tc>
        <w:tc>
          <w:tcPr>
            <w:tcW w:w="7620" w:type="dxa"/>
          </w:tcPr>
          <w:p w14:paraId="30E3167C" w14:textId="73F88F82" w:rsidR="00C53D25" w:rsidRPr="00D45BA8" w:rsidRDefault="00C53D25" w:rsidP="00B94200">
            <w:pPr>
              <w:pStyle w:val="InstructionsText"/>
              <w:rPr>
                <w:rStyle w:val="InstructionsTabelleberschrift"/>
                <w:rFonts w:ascii="Times New Roman" w:hAnsi="Times New Roman"/>
                <w:sz w:val="24"/>
              </w:rPr>
            </w:pPr>
            <w:r w:rsidRPr="00D45BA8">
              <w:rPr>
                <w:rStyle w:val="InstructionsTabelleberschrift"/>
                <w:rFonts w:ascii="Times New Roman" w:hAnsi="Times New Roman"/>
                <w:sz w:val="24"/>
              </w:rPr>
              <w:t>Objem obchodovania – pevný výnos</w:t>
            </w:r>
          </w:p>
        </w:tc>
      </w:tr>
      <w:tr w:rsidR="00C53D25" w:rsidRPr="00D45BA8" w14:paraId="52CA54E3" w14:textId="77777777" w:rsidTr="001676CB">
        <w:tc>
          <w:tcPr>
            <w:tcW w:w="1129" w:type="dxa"/>
          </w:tcPr>
          <w:p w14:paraId="71073FC3" w14:textId="140E68CD" w:rsidR="00C53D25" w:rsidRPr="00D45BA8" w:rsidRDefault="00C53D25" w:rsidP="00B94200">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0085</w:t>
            </w:r>
          </w:p>
        </w:tc>
        <w:tc>
          <w:tcPr>
            <w:tcW w:w="7620" w:type="dxa"/>
          </w:tcPr>
          <w:p w14:paraId="3E25FF92" w14:textId="7318691C" w:rsidR="00C53D25" w:rsidRPr="00D45BA8" w:rsidRDefault="00C53D25" w:rsidP="00B94200">
            <w:pPr>
              <w:pStyle w:val="InstructionsText"/>
              <w:rPr>
                <w:rStyle w:val="InstructionsTabelleberschrift"/>
                <w:rFonts w:ascii="Times New Roman" w:hAnsi="Times New Roman"/>
                <w:sz w:val="24"/>
              </w:rPr>
            </w:pPr>
            <w:r w:rsidRPr="00D45BA8">
              <w:rPr>
                <w:rStyle w:val="InstructionsTabelleberschrift"/>
                <w:rFonts w:ascii="Times New Roman" w:hAnsi="Times New Roman"/>
                <w:sz w:val="24"/>
              </w:rPr>
              <w:t>Objem obchodovania – kapitálové cenné papiere</w:t>
            </w:r>
            <w:r w:rsidR="00D45BA8">
              <w:rPr>
                <w:rStyle w:val="InstructionsTabelleberschrift"/>
                <w:rFonts w:ascii="Times New Roman" w:hAnsi="Times New Roman"/>
                <w:sz w:val="24"/>
              </w:rPr>
              <w:t xml:space="preserve"> a </w:t>
            </w:r>
            <w:r w:rsidRPr="00D45BA8">
              <w:rPr>
                <w:rStyle w:val="InstructionsTabelleberschrift"/>
                <w:rFonts w:ascii="Times New Roman" w:hAnsi="Times New Roman"/>
                <w:sz w:val="24"/>
              </w:rPr>
              <w:t>ostatné cenné papiere</w:t>
            </w:r>
          </w:p>
        </w:tc>
      </w:tr>
      <w:tr w:rsidR="00461B95" w:rsidRPr="00D45BA8" w14:paraId="77AC2598" w14:textId="77777777" w:rsidTr="00D731E3">
        <w:tc>
          <w:tcPr>
            <w:tcW w:w="1129" w:type="dxa"/>
          </w:tcPr>
          <w:p w14:paraId="2EA7B719" w14:textId="61AD4AA2" w:rsidR="00461B95" w:rsidRPr="00D45BA8" w:rsidRDefault="00461B95" w:rsidP="00B94200">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0090</w:t>
            </w:r>
          </w:p>
        </w:tc>
        <w:tc>
          <w:tcPr>
            <w:tcW w:w="7620" w:type="dxa"/>
          </w:tcPr>
          <w:p w14:paraId="78F8B106" w14:textId="03DCAE87" w:rsidR="00461B95" w:rsidRPr="00D45BA8" w:rsidRDefault="00461B95" w:rsidP="00B94200">
            <w:pPr>
              <w:pStyle w:val="InstructionsText"/>
              <w:rPr>
                <w:rStyle w:val="InstructionsTabelleberschrift"/>
                <w:rFonts w:ascii="Times New Roman" w:hAnsi="Times New Roman"/>
                <w:sz w:val="24"/>
              </w:rPr>
            </w:pPr>
            <w:r w:rsidRPr="00D45BA8">
              <w:rPr>
                <w:rStyle w:val="InstructionsTabelleberschrift"/>
                <w:rFonts w:ascii="Times New Roman" w:hAnsi="Times New Roman"/>
                <w:sz w:val="24"/>
              </w:rPr>
              <w:t xml:space="preserve">Pomyselná hodnota mimoburzových (OTC) derivátov vrátane dcérskych poisťovacích spoločností </w:t>
            </w:r>
          </w:p>
        </w:tc>
      </w:tr>
      <w:tr w:rsidR="00461B95" w:rsidRPr="00D45BA8" w14:paraId="68CA6CE8" w14:textId="77777777" w:rsidTr="00D731E3">
        <w:tc>
          <w:tcPr>
            <w:tcW w:w="1129" w:type="dxa"/>
          </w:tcPr>
          <w:p w14:paraId="6BF1E474" w14:textId="0CCD0D86" w:rsidR="00461B95" w:rsidRPr="00D45BA8" w:rsidRDefault="00461B95" w:rsidP="00B94200">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0100</w:t>
            </w:r>
          </w:p>
        </w:tc>
        <w:tc>
          <w:tcPr>
            <w:tcW w:w="7620" w:type="dxa"/>
          </w:tcPr>
          <w:p w14:paraId="39D62EB3" w14:textId="387E6F4F" w:rsidR="00461B95" w:rsidRPr="00D45BA8" w:rsidRDefault="00A14DB6" w:rsidP="00B94200">
            <w:pPr>
              <w:pStyle w:val="InstructionsText"/>
              <w:rPr>
                <w:rStyle w:val="InstructionsTabelleberschrift"/>
                <w:rFonts w:ascii="Times New Roman" w:hAnsi="Times New Roman"/>
                <w:sz w:val="24"/>
              </w:rPr>
            </w:pPr>
            <w:r w:rsidRPr="00D45BA8">
              <w:rPr>
                <w:rStyle w:val="InstructionsTabelleberschrift"/>
                <w:rFonts w:ascii="Times New Roman" w:hAnsi="Times New Roman"/>
                <w:sz w:val="24"/>
              </w:rPr>
              <w:t>Cenné papiere určené na obchodovanie</w:t>
            </w:r>
            <w:r w:rsidR="00D45BA8">
              <w:rPr>
                <w:rStyle w:val="InstructionsTabelleberschrift"/>
                <w:rFonts w:ascii="Times New Roman" w:hAnsi="Times New Roman"/>
                <w:sz w:val="24"/>
              </w:rPr>
              <w:t xml:space="preserve"> a </w:t>
            </w:r>
            <w:r w:rsidRPr="00D45BA8">
              <w:rPr>
                <w:rStyle w:val="InstructionsTabelleberschrift"/>
                <w:rFonts w:ascii="Times New Roman" w:hAnsi="Times New Roman"/>
                <w:sz w:val="24"/>
              </w:rPr>
              <w:t>cenné papiere</w:t>
            </w:r>
            <w:r w:rsidR="00D45BA8">
              <w:rPr>
                <w:rStyle w:val="InstructionsTabelleberschrift"/>
                <w:rFonts w:ascii="Times New Roman" w:hAnsi="Times New Roman"/>
                <w:sz w:val="24"/>
              </w:rPr>
              <w:t xml:space="preserve"> k </w:t>
            </w:r>
            <w:r w:rsidRPr="00D45BA8">
              <w:rPr>
                <w:rStyle w:val="InstructionsTabelleberschrift"/>
                <w:rFonts w:ascii="Times New Roman" w:hAnsi="Times New Roman"/>
                <w:sz w:val="24"/>
              </w:rPr>
              <w:t>dispozícii na predaj</w:t>
            </w:r>
          </w:p>
        </w:tc>
      </w:tr>
      <w:tr w:rsidR="00461B95" w:rsidRPr="00D45BA8" w14:paraId="43F77E74" w14:textId="77777777" w:rsidTr="00D731E3">
        <w:tc>
          <w:tcPr>
            <w:tcW w:w="1129" w:type="dxa"/>
          </w:tcPr>
          <w:p w14:paraId="222B2025" w14:textId="318C8EA5" w:rsidR="00461B95" w:rsidRPr="00D45BA8" w:rsidRDefault="00461B95" w:rsidP="00B94200">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0110</w:t>
            </w:r>
          </w:p>
        </w:tc>
        <w:tc>
          <w:tcPr>
            <w:tcW w:w="7620" w:type="dxa"/>
          </w:tcPr>
          <w:p w14:paraId="6C924F42" w14:textId="204B324F" w:rsidR="00461B95" w:rsidRPr="00D45BA8" w:rsidRDefault="00A14DB6" w:rsidP="00B94200">
            <w:pPr>
              <w:pStyle w:val="InstructionsText"/>
              <w:rPr>
                <w:rStyle w:val="InstructionsTabelleberschrift"/>
                <w:rFonts w:ascii="Times New Roman" w:hAnsi="Times New Roman"/>
                <w:sz w:val="24"/>
              </w:rPr>
            </w:pPr>
            <w:r w:rsidRPr="00D45BA8">
              <w:rPr>
                <w:rStyle w:val="InstructionsTabelleberschrift"/>
                <w:rFonts w:ascii="Times New Roman" w:hAnsi="Times New Roman"/>
                <w:sz w:val="24"/>
              </w:rPr>
              <w:t>Aktíva úrovne 3 vrátane dcérskych poisťovacích spoločností</w:t>
            </w:r>
          </w:p>
        </w:tc>
      </w:tr>
      <w:tr w:rsidR="00461B95" w:rsidRPr="00D45BA8" w14:paraId="20E3E2F0" w14:textId="77777777" w:rsidTr="00D731E3">
        <w:tc>
          <w:tcPr>
            <w:tcW w:w="1129" w:type="dxa"/>
          </w:tcPr>
          <w:p w14:paraId="4C62BBAD" w14:textId="784915EC" w:rsidR="00461B95" w:rsidRPr="00D45BA8" w:rsidRDefault="00461B95" w:rsidP="00B94200">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0120</w:t>
            </w:r>
          </w:p>
        </w:tc>
        <w:tc>
          <w:tcPr>
            <w:tcW w:w="7620" w:type="dxa"/>
          </w:tcPr>
          <w:p w14:paraId="1AAE0433" w14:textId="7FD5CAE0" w:rsidR="00461B95" w:rsidRPr="00D45BA8" w:rsidRDefault="00461B95" w:rsidP="00B94200">
            <w:pPr>
              <w:pStyle w:val="InstructionsText"/>
              <w:rPr>
                <w:rStyle w:val="InstructionsTabelleberschrift"/>
                <w:rFonts w:ascii="Times New Roman" w:hAnsi="Times New Roman"/>
                <w:sz w:val="24"/>
              </w:rPr>
            </w:pPr>
            <w:r w:rsidRPr="00D45BA8">
              <w:rPr>
                <w:rStyle w:val="InstructionsTabelleberschrift"/>
                <w:rFonts w:ascii="Times New Roman" w:hAnsi="Times New Roman"/>
                <w:sz w:val="24"/>
              </w:rPr>
              <w:t>Pohľadávky zahŕňajúce viaceré jurisdikcie</w:t>
            </w:r>
          </w:p>
        </w:tc>
      </w:tr>
      <w:tr w:rsidR="00461B95" w:rsidRPr="00D45BA8" w14:paraId="00DCCD96" w14:textId="77777777" w:rsidTr="00D731E3">
        <w:tc>
          <w:tcPr>
            <w:tcW w:w="1129" w:type="dxa"/>
          </w:tcPr>
          <w:p w14:paraId="6185C376" w14:textId="0A67EB11" w:rsidR="00461B95" w:rsidRPr="00D45BA8" w:rsidRDefault="00461B95" w:rsidP="00B94200">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0130</w:t>
            </w:r>
          </w:p>
        </w:tc>
        <w:tc>
          <w:tcPr>
            <w:tcW w:w="7620" w:type="dxa"/>
          </w:tcPr>
          <w:p w14:paraId="1AC7DFAE" w14:textId="47D4ECD5" w:rsidR="00461B95" w:rsidRPr="00D45BA8" w:rsidRDefault="00461B95" w:rsidP="00B94200">
            <w:pPr>
              <w:pStyle w:val="InstructionsText"/>
              <w:rPr>
                <w:rStyle w:val="InstructionsTabelleberschrift"/>
                <w:rFonts w:ascii="Times New Roman" w:hAnsi="Times New Roman"/>
                <w:sz w:val="24"/>
              </w:rPr>
            </w:pPr>
            <w:r w:rsidRPr="00D45BA8">
              <w:rPr>
                <w:rStyle w:val="InstructionsTabelleberschrift"/>
                <w:rFonts w:ascii="Times New Roman" w:hAnsi="Times New Roman"/>
                <w:sz w:val="24"/>
              </w:rPr>
              <w:t>Záväzky zahŕňajúce viaceré jurisdikcie</w:t>
            </w:r>
          </w:p>
        </w:tc>
      </w:tr>
      <w:tr w:rsidR="00461B95" w:rsidRPr="00D45BA8" w14:paraId="1692F927" w14:textId="77777777" w:rsidTr="00D731E3">
        <w:tc>
          <w:tcPr>
            <w:tcW w:w="1129" w:type="dxa"/>
          </w:tcPr>
          <w:p w14:paraId="0B33EE2F" w14:textId="4E8E9227" w:rsidR="00461B95" w:rsidRPr="00D45BA8" w:rsidRDefault="00461B95" w:rsidP="00B94200">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0140 – 0160</w:t>
            </w:r>
          </w:p>
        </w:tc>
        <w:tc>
          <w:tcPr>
            <w:tcW w:w="7620" w:type="dxa"/>
          </w:tcPr>
          <w:p w14:paraId="37D5CB7B" w14:textId="5F9EF0DC" w:rsidR="00461B95" w:rsidRPr="00D45BA8" w:rsidRDefault="00461B95" w:rsidP="00B94200">
            <w:pPr>
              <w:pStyle w:val="InstructionsText"/>
              <w:rPr>
                <w:rStyle w:val="InstructionsTabelleberschrift"/>
                <w:rFonts w:ascii="Times New Roman" w:hAnsi="Times New Roman"/>
                <w:sz w:val="24"/>
              </w:rPr>
            </w:pPr>
            <w:r w:rsidRPr="00D45BA8">
              <w:rPr>
                <w:rStyle w:val="InstructionsTabelleberschrift"/>
                <w:rFonts w:ascii="Times New Roman" w:hAnsi="Times New Roman"/>
                <w:sz w:val="24"/>
              </w:rPr>
              <w:t>Položky,</w:t>
            </w:r>
            <w:r w:rsidR="00D45BA8">
              <w:rPr>
                <w:rStyle w:val="InstructionsTabelleberschrift"/>
                <w:rFonts w:ascii="Times New Roman" w:hAnsi="Times New Roman"/>
                <w:sz w:val="24"/>
              </w:rPr>
              <w:t xml:space="preserve"> v </w:t>
            </w:r>
            <w:r w:rsidRPr="00D45BA8">
              <w:rPr>
                <w:rStyle w:val="InstructionsTabelleberschrift"/>
                <w:rFonts w:ascii="Times New Roman" w:hAnsi="Times New Roman"/>
                <w:sz w:val="24"/>
              </w:rPr>
              <w:t>prípade ktorých sa Európska banková únia považuje za jednu jurisdikciu</w:t>
            </w:r>
          </w:p>
          <w:p w14:paraId="5DB1FD22" w14:textId="442F7F5C" w:rsidR="00461B95" w:rsidRPr="00D45BA8" w:rsidRDefault="00461B95" w:rsidP="00B94200">
            <w:pPr>
              <w:pStyle w:val="InstructionsText2"/>
              <w:rPr>
                <w:rStyle w:val="FormatvorlageInstructionsTabelleText"/>
                <w:rFonts w:ascii="Times New Roman" w:hAnsi="Times New Roman"/>
                <w:sz w:val="24"/>
              </w:rPr>
            </w:pPr>
            <w:r w:rsidRPr="00D45BA8">
              <w:rPr>
                <w:rStyle w:val="FormatvorlageInstructionsTabelleText"/>
                <w:rFonts w:ascii="Times New Roman" w:hAnsi="Times New Roman"/>
                <w:sz w:val="24"/>
              </w:rPr>
              <w:t>Na účely určenia položiek uvedených ďalej</w:t>
            </w:r>
            <w:r w:rsidR="00D45BA8">
              <w:rPr>
                <w:rStyle w:val="FormatvorlageInstructionsTabelleText"/>
                <w:rFonts w:ascii="Times New Roman" w:hAnsi="Times New Roman"/>
                <w:sz w:val="24"/>
              </w:rPr>
              <w:t xml:space="preserve"> v </w:t>
            </w:r>
            <w:r w:rsidRPr="00D45BA8">
              <w:rPr>
                <w:rStyle w:val="FormatvorlageInstructionsTabelleText"/>
                <w:rFonts w:ascii="Times New Roman" w:hAnsi="Times New Roman"/>
                <w:sz w:val="24"/>
              </w:rPr>
              <w:t>texte</w:t>
            </w:r>
            <w:r w:rsidR="00D45BA8">
              <w:rPr>
                <w:rStyle w:val="FormatvorlageInstructionsTabelleText"/>
                <w:rFonts w:ascii="Times New Roman" w:hAnsi="Times New Roman"/>
                <w:sz w:val="24"/>
              </w:rPr>
              <w:t xml:space="preserve"> a </w:t>
            </w:r>
            <w:r w:rsidRPr="00D45BA8">
              <w:rPr>
                <w:rStyle w:val="FormatvorlageInstructionsTabelleText"/>
                <w:rFonts w:ascii="Times New Roman" w:hAnsi="Times New Roman"/>
                <w:sz w:val="24"/>
              </w:rPr>
              <w:t>ak</w:t>
            </w:r>
            <w:r w:rsidR="00D45BA8">
              <w:rPr>
                <w:rStyle w:val="FormatvorlageInstructionsTabelleText"/>
                <w:rFonts w:ascii="Times New Roman" w:hAnsi="Times New Roman"/>
                <w:sz w:val="24"/>
              </w:rPr>
              <w:t xml:space="preserve"> v </w:t>
            </w:r>
            <w:r w:rsidRPr="00D45BA8">
              <w:rPr>
                <w:rStyle w:val="FormatvorlageInstructionsTabelleText"/>
                <w:rFonts w:ascii="Times New Roman" w:hAnsi="Times New Roman"/>
                <w:sz w:val="24"/>
              </w:rPr>
              <w:t>ďalej uvedených pokynoch nie sú uvedené špecifikácie, použité vymedzenia pojmov</w:t>
            </w:r>
            <w:r w:rsidR="00D45BA8">
              <w:rPr>
                <w:rStyle w:val="FormatvorlageInstructionsTabelleText"/>
                <w:rFonts w:ascii="Times New Roman" w:hAnsi="Times New Roman"/>
                <w:sz w:val="24"/>
              </w:rPr>
              <w:t xml:space="preserve"> a </w:t>
            </w:r>
            <w:r w:rsidRPr="00D45BA8">
              <w:rPr>
                <w:rStyle w:val="FormatvorlageInstructionsTabelleText"/>
                <w:rFonts w:ascii="Times New Roman" w:hAnsi="Times New Roman"/>
                <w:sz w:val="24"/>
              </w:rPr>
              <w:t>pojmy sa</w:t>
            </w:r>
            <w:r w:rsidR="00D45BA8">
              <w:rPr>
                <w:rStyle w:val="FormatvorlageInstructionsTabelleText"/>
                <w:rFonts w:ascii="Times New Roman" w:hAnsi="Times New Roman"/>
                <w:sz w:val="24"/>
              </w:rPr>
              <w:t xml:space="preserve"> v </w:t>
            </w:r>
            <w:r w:rsidRPr="00D45BA8">
              <w:rPr>
                <w:rStyle w:val="FormatvorlageInstructionsTabelleText"/>
                <w:rFonts w:ascii="Times New Roman" w:hAnsi="Times New Roman"/>
                <w:sz w:val="24"/>
              </w:rPr>
              <w:t>čo najväčšej možnej miere zosúlaďujú</w:t>
            </w:r>
            <w:r w:rsidR="00D45BA8">
              <w:rPr>
                <w:rStyle w:val="FormatvorlageInstructionsTabelleText"/>
                <w:rFonts w:ascii="Times New Roman" w:hAnsi="Times New Roman"/>
                <w:sz w:val="24"/>
              </w:rPr>
              <w:t xml:space="preserve"> s </w:t>
            </w:r>
            <w:r w:rsidRPr="00D45BA8">
              <w:rPr>
                <w:rStyle w:val="FormatvorlageInstructionsTabelleText"/>
                <w:rFonts w:ascii="Times New Roman" w:hAnsi="Times New Roman"/>
                <w:sz w:val="24"/>
              </w:rPr>
              <w:t>vymedzeniami pojmov</w:t>
            </w:r>
            <w:r w:rsidR="00D45BA8">
              <w:rPr>
                <w:rStyle w:val="FormatvorlageInstructionsTabelleText"/>
                <w:rFonts w:ascii="Times New Roman" w:hAnsi="Times New Roman"/>
                <w:sz w:val="24"/>
              </w:rPr>
              <w:t xml:space="preserve"> a </w:t>
            </w:r>
            <w:r w:rsidRPr="00D45BA8">
              <w:rPr>
                <w:rStyle w:val="FormatvorlageInstructionsTabelleText"/>
                <w:rFonts w:ascii="Times New Roman" w:hAnsi="Times New Roman"/>
                <w:sz w:val="24"/>
              </w:rPr>
              <w:t>pojmami uvedenými</w:t>
            </w:r>
            <w:r w:rsidR="00D45BA8">
              <w:rPr>
                <w:rStyle w:val="FormatvorlageInstructionsTabelleText"/>
                <w:rFonts w:ascii="Times New Roman" w:hAnsi="Times New Roman"/>
                <w:sz w:val="24"/>
              </w:rPr>
              <w:t xml:space="preserve"> v </w:t>
            </w:r>
            <w:r w:rsidRPr="00D45BA8">
              <w:rPr>
                <w:rStyle w:val="FormatvorlageInstructionsTabelleText"/>
                <w:rFonts w:ascii="Times New Roman" w:hAnsi="Times New Roman"/>
                <w:sz w:val="24"/>
              </w:rPr>
              <w:t>usmerneniach pre vykazovanie medzinárodných bankových štatistík Banky pre medzinárodné zúčtovanie (BIS).</w:t>
            </w:r>
          </w:p>
          <w:p w14:paraId="624545C8" w14:textId="428B0F72" w:rsidR="00461B95" w:rsidRPr="00D45BA8" w:rsidRDefault="00461B95" w:rsidP="00B94200">
            <w:pPr>
              <w:pStyle w:val="InstructionsText2"/>
              <w:rPr>
                <w:rStyle w:val="InstructionsTabelleberschrift"/>
                <w:rFonts w:ascii="Times New Roman" w:hAnsi="Times New Roman"/>
                <w:sz w:val="24"/>
              </w:rPr>
            </w:pPr>
            <w:r w:rsidRPr="00D45BA8">
              <w:rPr>
                <w:rStyle w:val="FormatvorlageInstructionsTabelleText"/>
              </w:rPr>
              <w:t>Odchylne od uvedeného sa vylúčia činnosti vykazujúcich subjektov vo všetkých zúčastnených členských štátoch, ako sa uvádza</w:t>
            </w:r>
            <w:r w:rsidR="00D45BA8">
              <w:rPr>
                <w:rStyle w:val="FormatvorlageInstructionsTabelleText"/>
              </w:rPr>
              <w:t xml:space="preserve"> v </w:t>
            </w:r>
            <w:r w:rsidRPr="00D45BA8">
              <w:rPr>
                <w:rStyle w:val="FormatvorlageInstructionsTabelleText"/>
              </w:rPr>
              <w:t>článku 4 nariadenia Európskeho parlamentu</w:t>
            </w:r>
            <w:r w:rsidR="00D45BA8">
              <w:rPr>
                <w:rStyle w:val="FormatvorlageInstructionsTabelleText"/>
              </w:rPr>
              <w:t xml:space="preserve"> a </w:t>
            </w:r>
            <w:r w:rsidRPr="00D45BA8">
              <w:rPr>
                <w:rStyle w:val="FormatvorlageInstructionsTabelleText"/>
              </w:rPr>
              <w:t>Rady (EÚ) č. 806/2014</w:t>
            </w:r>
            <w:r w:rsidRPr="00D45BA8">
              <w:rPr>
                <w:rStyle w:val="FootnoteReference"/>
                <w:rFonts w:ascii="Times New Roman" w:hAnsi="Times New Roman"/>
                <w:sz w:val="24"/>
                <w:szCs w:val="24"/>
                <w:vertAlign w:val="superscript"/>
              </w:rPr>
              <w:footnoteReference w:id="4"/>
            </w:r>
            <w:r w:rsidRPr="00D45BA8">
              <w:rPr>
                <w:rStyle w:val="FormatvorlageInstructionsTabelleText"/>
                <w:rFonts w:ascii="Times New Roman" w:hAnsi="Times New Roman"/>
                <w:sz w:val="24"/>
              </w:rPr>
              <w:t>, t. j. zúčastnený členský štát sa považuje za jedinú jurisdikciu.</w:t>
            </w:r>
          </w:p>
        </w:tc>
      </w:tr>
      <w:tr w:rsidR="00461B95" w:rsidRPr="00D45BA8" w14:paraId="61796B97" w14:textId="77777777" w:rsidTr="00D731E3">
        <w:tc>
          <w:tcPr>
            <w:tcW w:w="1129" w:type="dxa"/>
          </w:tcPr>
          <w:p w14:paraId="03539F89" w14:textId="70440909" w:rsidR="00461B95" w:rsidRPr="00D45BA8" w:rsidRDefault="00461B95" w:rsidP="00B94200">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0140</w:t>
            </w:r>
          </w:p>
        </w:tc>
        <w:tc>
          <w:tcPr>
            <w:tcW w:w="7620" w:type="dxa"/>
          </w:tcPr>
          <w:p w14:paraId="5728CDBE" w14:textId="77777777" w:rsidR="00461B95" w:rsidRPr="00D45BA8" w:rsidRDefault="00461B95" w:rsidP="00B94200">
            <w:pPr>
              <w:pStyle w:val="InstructionsText"/>
              <w:rPr>
                <w:rStyle w:val="InstructionsTabelleberschrift"/>
                <w:rFonts w:ascii="Times New Roman" w:hAnsi="Times New Roman"/>
                <w:sz w:val="24"/>
              </w:rPr>
            </w:pPr>
            <w:r w:rsidRPr="00D45BA8">
              <w:rPr>
                <w:rStyle w:val="InstructionsTabelleberschrift"/>
                <w:rFonts w:ascii="Times New Roman" w:hAnsi="Times New Roman"/>
                <w:sz w:val="24"/>
              </w:rPr>
              <w:t>Celkové zahraničné pohľadávky na základe konečného rizika</w:t>
            </w:r>
          </w:p>
          <w:p w14:paraId="3CA29343" w14:textId="59867AC7" w:rsidR="00D45BA8" w:rsidRDefault="00461B95" w:rsidP="00B94200">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Celkové zahraničné pohľadávky sú súčtom cezhraničných pohľadávok</w:t>
            </w:r>
            <w:r w:rsidR="00D45BA8">
              <w:rPr>
                <w:rStyle w:val="FormatvorlageInstructionsTabelleText"/>
                <w:rFonts w:ascii="Times New Roman" w:hAnsi="Times New Roman"/>
                <w:sz w:val="24"/>
              </w:rPr>
              <w:t xml:space="preserve"> a </w:t>
            </w:r>
            <w:r w:rsidRPr="00D45BA8">
              <w:rPr>
                <w:rStyle w:val="FormatvorlageInstructionsTabelleText"/>
                <w:rFonts w:ascii="Times New Roman" w:hAnsi="Times New Roman"/>
                <w:sz w:val="24"/>
              </w:rPr>
              <w:t>miestnych pohľadávok zahraničných pridružených subjektov</w:t>
            </w:r>
            <w:r w:rsidR="00D45BA8">
              <w:rPr>
                <w:rStyle w:val="FormatvorlageInstructionsTabelleText"/>
                <w:rFonts w:ascii="Times New Roman" w:hAnsi="Times New Roman"/>
                <w:sz w:val="24"/>
              </w:rPr>
              <w:t xml:space="preserve"> v </w:t>
            </w:r>
            <w:r w:rsidRPr="00D45BA8">
              <w:rPr>
                <w:rStyle w:val="FormatvorlageInstructionsTabelleText"/>
                <w:rFonts w:ascii="Times New Roman" w:hAnsi="Times New Roman"/>
                <w:sz w:val="24"/>
              </w:rPr>
              <w:t>miestnej alebo cudzej mene. Vylúčia sa pohľadávky</w:t>
            </w:r>
            <w:r w:rsidR="00D45BA8">
              <w:rPr>
                <w:rStyle w:val="FormatvorlageInstructionsTabelleText"/>
                <w:rFonts w:ascii="Times New Roman" w:hAnsi="Times New Roman"/>
                <w:sz w:val="24"/>
              </w:rPr>
              <w:t xml:space="preserve"> z </w:t>
            </w:r>
            <w:r w:rsidRPr="00D45BA8">
              <w:rPr>
                <w:rStyle w:val="FormatvorlageInstructionsTabelleText"/>
                <w:rFonts w:ascii="Times New Roman" w:hAnsi="Times New Roman"/>
                <w:sz w:val="24"/>
              </w:rPr>
              <w:t>pozícií</w:t>
            </w:r>
            <w:r w:rsidR="00D45BA8">
              <w:rPr>
                <w:rStyle w:val="FormatvorlageInstructionsTabelleText"/>
                <w:rFonts w:ascii="Times New Roman" w:hAnsi="Times New Roman"/>
                <w:sz w:val="24"/>
              </w:rPr>
              <w:t xml:space="preserve"> v </w:t>
            </w:r>
            <w:r w:rsidRPr="00D45BA8">
              <w:rPr>
                <w:rStyle w:val="FormatvorlageInstructionsTabelleText"/>
                <w:rFonts w:ascii="Times New Roman" w:hAnsi="Times New Roman"/>
                <w:sz w:val="24"/>
              </w:rPr>
              <w:t>zmluvách</w:t>
            </w:r>
            <w:r w:rsidR="00D45BA8">
              <w:rPr>
                <w:rStyle w:val="FormatvorlageInstructionsTabelleText"/>
                <w:rFonts w:ascii="Times New Roman" w:hAnsi="Times New Roman"/>
                <w:sz w:val="24"/>
              </w:rPr>
              <w:t xml:space="preserve"> o </w:t>
            </w:r>
            <w:r w:rsidRPr="00D45BA8">
              <w:rPr>
                <w:rStyle w:val="FormatvorlageInstructionsTabelleText"/>
                <w:rFonts w:ascii="Times New Roman" w:hAnsi="Times New Roman"/>
                <w:sz w:val="24"/>
              </w:rPr>
              <w:t>derivátoch. Výrazy „pohľadávky“, „cezhraničné pohľadávky“, „miestne pohľadávky zahraničných pridružených subjektov</w:t>
            </w:r>
            <w:r w:rsidR="00D45BA8">
              <w:rPr>
                <w:rStyle w:val="FormatvorlageInstructionsTabelleText"/>
                <w:rFonts w:ascii="Times New Roman" w:hAnsi="Times New Roman"/>
                <w:sz w:val="24"/>
              </w:rPr>
              <w:t xml:space="preserve"> v </w:t>
            </w:r>
            <w:r w:rsidRPr="00D45BA8">
              <w:rPr>
                <w:rStyle w:val="FormatvorlageInstructionsTabelleText"/>
                <w:rFonts w:ascii="Times New Roman" w:hAnsi="Times New Roman"/>
                <w:sz w:val="24"/>
              </w:rPr>
              <w:t>cudzej</w:t>
            </w:r>
            <w:r w:rsidR="00D45BA8">
              <w:rPr>
                <w:rStyle w:val="FormatvorlageInstructionsTabelleText"/>
                <w:rFonts w:ascii="Times New Roman" w:hAnsi="Times New Roman"/>
                <w:sz w:val="24"/>
              </w:rPr>
              <w:t xml:space="preserve"> a </w:t>
            </w:r>
            <w:r w:rsidRPr="00D45BA8">
              <w:rPr>
                <w:rStyle w:val="FormatvorlageInstructionsTabelleText"/>
                <w:rFonts w:ascii="Times New Roman" w:hAnsi="Times New Roman"/>
                <w:sz w:val="24"/>
              </w:rPr>
              <w:t>miestnej mene“ majú rovnaký význam ako vymedzenia</w:t>
            </w:r>
            <w:r w:rsidR="00D45BA8">
              <w:rPr>
                <w:rStyle w:val="FormatvorlageInstructionsTabelleText"/>
                <w:rFonts w:ascii="Times New Roman" w:hAnsi="Times New Roman"/>
                <w:sz w:val="24"/>
              </w:rPr>
              <w:t xml:space="preserve"> v </w:t>
            </w:r>
            <w:r w:rsidRPr="00D45BA8">
              <w:rPr>
                <w:rStyle w:val="FormatvorlageInstructionsTabelleText"/>
                <w:rFonts w:ascii="Times New Roman" w:hAnsi="Times New Roman"/>
                <w:sz w:val="24"/>
              </w:rPr>
              <w:t>usmerneniach pre vykazovanie medzinárodných bankových štatistík BIS</w:t>
            </w:r>
            <w:r w:rsidR="00D45BA8">
              <w:rPr>
                <w:rStyle w:val="FormatvorlageInstructionsTabelleText"/>
                <w:rFonts w:ascii="Times New Roman" w:hAnsi="Times New Roman"/>
                <w:sz w:val="24"/>
              </w:rPr>
              <w:t>.</w:t>
            </w:r>
          </w:p>
          <w:p w14:paraId="3A1C0F08" w14:textId="040E00B0" w:rsidR="00461B95" w:rsidRPr="00D45BA8" w:rsidRDefault="00461B95" w:rsidP="00B94200">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Výraz „na základe konečného rizika“ znamená, že na účely určenia, či je pohľadávka cezhraničnou alebo miestnou pohľadávkou, sa pozícia pridelí tretej strane, ktorá sa zmluvne zaviazala prevziať dlhy alebo záväzky hlavnej protistrany</w:t>
            </w:r>
            <w:r w:rsidR="00D45BA8">
              <w:rPr>
                <w:rStyle w:val="FormatvorlageInstructionsTabelleText"/>
                <w:rFonts w:ascii="Times New Roman" w:hAnsi="Times New Roman"/>
                <w:sz w:val="24"/>
              </w:rPr>
              <w:t xml:space="preserve"> v </w:t>
            </w:r>
            <w:r w:rsidRPr="00D45BA8">
              <w:rPr>
                <w:rStyle w:val="FormatvorlageInstructionsTabelleText"/>
                <w:rFonts w:ascii="Times New Roman" w:hAnsi="Times New Roman"/>
                <w:sz w:val="24"/>
              </w:rPr>
              <w:t>prípade, že táto protistrana neplní svoje záväzky, pokiaľ existuje takáto tretia strana. Toto pridelenie sa vykoná</w:t>
            </w:r>
            <w:r w:rsidR="00D45BA8">
              <w:rPr>
                <w:rStyle w:val="FormatvorlageInstructionsTabelleText"/>
                <w:rFonts w:ascii="Times New Roman" w:hAnsi="Times New Roman"/>
                <w:sz w:val="24"/>
              </w:rPr>
              <w:t xml:space="preserve"> v </w:t>
            </w:r>
            <w:r w:rsidRPr="00D45BA8">
              <w:rPr>
                <w:rStyle w:val="FormatvorlageInstructionsTabelleText"/>
                <w:rFonts w:ascii="Times New Roman" w:hAnsi="Times New Roman"/>
                <w:sz w:val="24"/>
              </w:rPr>
              <w:t>súlade</w:t>
            </w:r>
            <w:r w:rsidR="00D45BA8">
              <w:rPr>
                <w:rStyle w:val="FormatvorlageInstructionsTabelleText"/>
                <w:rFonts w:ascii="Times New Roman" w:hAnsi="Times New Roman"/>
                <w:sz w:val="24"/>
              </w:rPr>
              <w:t xml:space="preserve"> s </w:t>
            </w:r>
            <w:r w:rsidRPr="00D45BA8">
              <w:rPr>
                <w:rStyle w:val="FormatvorlageInstructionsTabelleText"/>
                <w:rFonts w:ascii="Times New Roman" w:hAnsi="Times New Roman"/>
                <w:sz w:val="24"/>
              </w:rPr>
              <w:t>ustanoveniami</w:t>
            </w:r>
            <w:r w:rsidR="00D45BA8">
              <w:rPr>
                <w:rStyle w:val="FormatvorlageInstructionsTabelleText"/>
                <w:rFonts w:ascii="Times New Roman" w:hAnsi="Times New Roman"/>
                <w:sz w:val="24"/>
              </w:rPr>
              <w:t xml:space="preserve"> o </w:t>
            </w:r>
            <w:r w:rsidRPr="00D45BA8">
              <w:rPr>
                <w:rStyle w:val="FormatvorlageInstructionsTabelleText"/>
                <w:rFonts w:ascii="Times New Roman" w:hAnsi="Times New Roman"/>
                <w:sz w:val="24"/>
              </w:rPr>
              <w:t>prenosoch rizika uvedenými</w:t>
            </w:r>
            <w:r w:rsidR="00D45BA8">
              <w:rPr>
                <w:rStyle w:val="FormatvorlageInstructionsTabelleText"/>
                <w:rFonts w:ascii="Times New Roman" w:hAnsi="Times New Roman"/>
                <w:sz w:val="24"/>
              </w:rPr>
              <w:t xml:space="preserve"> v </w:t>
            </w:r>
            <w:r w:rsidRPr="00D45BA8">
              <w:rPr>
                <w:rStyle w:val="FormatvorlageInstructionsTabelleText"/>
                <w:rFonts w:ascii="Times New Roman" w:hAnsi="Times New Roman"/>
                <w:sz w:val="24"/>
              </w:rPr>
              <w:t>usmerneniach pre vykazovanie medzinárodných bankových štatistík BIS.</w:t>
            </w:r>
          </w:p>
        </w:tc>
      </w:tr>
      <w:tr w:rsidR="001B7EDC" w:rsidRPr="00D45BA8" w14:paraId="33C28A8A" w14:textId="77777777" w:rsidTr="00D731E3">
        <w:tc>
          <w:tcPr>
            <w:tcW w:w="1129" w:type="dxa"/>
          </w:tcPr>
          <w:p w14:paraId="310D6463" w14:textId="0BD4FBE8" w:rsidR="00461B95" w:rsidRPr="00D45BA8" w:rsidRDefault="00461B95">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0150</w:t>
            </w:r>
          </w:p>
        </w:tc>
        <w:tc>
          <w:tcPr>
            <w:tcW w:w="7620" w:type="dxa"/>
          </w:tcPr>
          <w:p w14:paraId="370543F2" w14:textId="525560C3" w:rsidR="00461B95" w:rsidRPr="00D45BA8" w:rsidRDefault="00461B95">
            <w:pPr>
              <w:pStyle w:val="InstructionsText"/>
              <w:rPr>
                <w:rStyle w:val="InstructionsTabelleberschrift"/>
                <w:rFonts w:ascii="Times New Roman" w:hAnsi="Times New Roman"/>
                <w:sz w:val="24"/>
              </w:rPr>
            </w:pPr>
            <w:r w:rsidRPr="00D45BA8">
              <w:rPr>
                <w:rStyle w:val="InstructionsTabelleberschrift"/>
                <w:rFonts w:ascii="Times New Roman" w:hAnsi="Times New Roman"/>
                <w:sz w:val="24"/>
              </w:rPr>
              <w:t>Zahraničné derivátové pohľadávky na základe konečného rizika</w:t>
            </w:r>
          </w:p>
          <w:p w14:paraId="25AE494D" w14:textId="4B57ED15" w:rsidR="00D45BA8" w:rsidRDefault="00461B95">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Kladná reálna hodnota všetkých derivátových pohľadávok, ktoré sú cezhraničnými pohľadávkami alebo miestnymi pohľadávkami zahraničných pridružených subjektov</w:t>
            </w:r>
            <w:r w:rsidR="00D45BA8">
              <w:rPr>
                <w:rStyle w:val="FormatvorlageInstructionsTabelleText"/>
                <w:rFonts w:ascii="Times New Roman" w:hAnsi="Times New Roman"/>
                <w:sz w:val="24"/>
              </w:rPr>
              <w:t xml:space="preserve"> v </w:t>
            </w:r>
            <w:r w:rsidRPr="00D45BA8">
              <w:rPr>
                <w:rStyle w:val="FormatvorlageInstructionsTabelleText"/>
                <w:rFonts w:ascii="Times New Roman" w:hAnsi="Times New Roman"/>
                <w:sz w:val="24"/>
              </w:rPr>
              <w:t>miestnej alebo cudzej mene</w:t>
            </w:r>
            <w:r w:rsidR="00D45BA8">
              <w:rPr>
                <w:rStyle w:val="FormatvorlageInstructionsTabelleText"/>
                <w:rFonts w:ascii="Times New Roman" w:hAnsi="Times New Roman"/>
                <w:sz w:val="24"/>
              </w:rPr>
              <w:t>.</w:t>
            </w:r>
          </w:p>
          <w:p w14:paraId="3184A088" w14:textId="4696BC9B" w:rsidR="00461B95" w:rsidRPr="00D45BA8" w:rsidRDefault="00461B95">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Deriváty zahŕňajú forwardy, swapy</w:t>
            </w:r>
            <w:r w:rsidR="00D45BA8">
              <w:rPr>
                <w:rStyle w:val="FormatvorlageInstructionsTabelleText"/>
                <w:rFonts w:ascii="Times New Roman" w:hAnsi="Times New Roman"/>
                <w:sz w:val="24"/>
              </w:rPr>
              <w:t xml:space="preserve"> a </w:t>
            </w:r>
            <w:r w:rsidRPr="00D45BA8">
              <w:rPr>
                <w:rStyle w:val="FormatvorlageInstructionsTabelleText"/>
                <w:rFonts w:ascii="Times New Roman" w:hAnsi="Times New Roman"/>
                <w:sz w:val="24"/>
              </w:rPr>
              <w:t>opcie súvisiace</w:t>
            </w:r>
            <w:r w:rsidR="00D45BA8">
              <w:rPr>
                <w:rStyle w:val="FormatvorlageInstructionsTabelleText"/>
                <w:rFonts w:ascii="Times New Roman" w:hAnsi="Times New Roman"/>
                <w:sz w:val="24"/>
              </w:rPr>
              <w:t xml:space="preserve"> s </w:t>
            </w:r>
            <w:r w:rsidRPr="00D45BA8">
              <w:rPr>
                <w:rStyle w:val="FormatvorlageInstructionsTabelleText"/>
                <w:rFonts w:ascii="Times New Roman" w:hAnsi="Times New Roman"/>
                <w:sz w:val="24"/>
              </w:rPr>
              <w:t>devízami, úrokovou sadzbou, akciami, komoditami</w:t>
            </w:r>
            <w:r w:rsidR="00D45BA8">
              <w:rPr>
                <w:rStyle w:val="FormatvorlageInstructionsTabelleText"/>
                <w:rFonts w:ascii="Times New Roman" w:hAnsi="Times New Roman"/>
                <w:sz w:val="24"/>
              </w:rPr>
              <w:t xml:space="preserve"> a </w:t>
            </w:r>
            <w:r w:rsidRPr="00D45BA8">
              <w:rPr>
                <w:rStyle w:val="FormatvorlageInstructionsTabelleText"/>
                <w:rFonts w:ascii="Times New Roman" w:hAnsi="Times New Roman"/>
                <w:sz w:val="24"/>
              </w:rPr>
              <w:t xml:space="preserve">úverovými nástrojmi. Patria sem kúpené kreditné deriváty, ktorými sa </w:t>
            </w:r>
            <w:proofErr w:type="spellStart"/>
            <w:r w:rsidRPr="00D45BA8">
              <w:rPr>
                <w:rStyle w:val="FormatvorlageInstructionsTabelleText"/>
                <w:rFonts w:ascii="Times New Roman" w:hAnsi="Times New Roman"/>
                <w:sz w:val="24"/>
              </w:rPr>
              <w:t>hedžuje</w:t>
            </w:r>
            <w:proofErr w:type="spellEnd"/>
            <w:r w:rsidRPr="00D45BA8">
              <w:rPr>
                <w:rStyle w:val="FormatvorlageInstructionsTabelleText"/>
                <w:rFonts w:ascii="Times New Roman" w:hAnsi="Times New Roman"/>
                <w:sz w:val="24"/>
              </w:rPr>
              <w:t xml:space="preserve"> alebo kompenzuje predané kreditné zabezpečenie alebo ktoré sú držané na účely obchodovania.</w:t>
            </w:r>
          </w:p>
          <w:p w14:paraId="47C46446" w14:textId="77777777" w:rsidR="00D45BA8" w:rsidRDefault="00461B95">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V prípade takýchto kúpených kreditných derivátov nie je ich hodnota zhora ohraničená na hodnotu bezprostrednej pohľadávky, na ktorej zaručenie boli kúpené</w:t>
            </w:r>
            <w:r w:rsidR="00D45BA8">
              <w:rPr>
                <w:rStyle w:val="FormatvorlageInstructionsTabelleText"/>
                <w:rFonts w:ascii="Times New Roman" w:hAnsi="Times New Roman"/>
                <w:sz w:val="24"/>
              </w:rPr>
              <w:t>.</w:t>
            </w:r>
          </w:p>
          <w:p w14:paraId="5B2F16FF" w14:textId="73EE24BC" w:rsidR="00D45BA8" w:rsidRDefault="00461B95">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Kladné reálne hodnoty zmlúv</w:t>
            </w:r>
            <w:r w:rsidR="00D45BA8">
              <w:rPr>
                <w:rStyle w:val="FormatvorlageInstructionsTabelleText"/>
                <w:rFonts w:ascii="Times New Roman" w:hAnsi="Times New Roman"/>
                <w:sz w:val="24"/>
              </w:rPr>
              <w:t xml:space="preserve"> o </w:t>
            </w:r>
            <w:r w:rsidRPr="00D45BA8">
              <w:rPr>
                <w:rStyle w:val="FormatvorlageInstructionsTabelleText"/>
                <w:rFonts w:ascii="Times New Roman" w:hAnsi="Times New Roman"/>
                <w:sz w:val="24"/>
              </w:rPr>
              <w:t>derivátoch možno započítať voči záporným reálnym hodnotám len vtedy, ak sa pozície realizovali</w:t>
            </w:r>
            <w:r w:rsidR="00D45BA8">
              <w:rPr>
                <w:rStyle w:val="FormatvorlageInstructionsTabelleText"/>
                <w:rFonts w:ascii="Times New Roman" w:hAnsi="Times New Roman"/>
                <w:sz w:val="24"/>
              </w:rPr>
              <w:t xml:space="preserve"> s </w:t>
            </w:r>
            <w:r w:rsidRPr="00D45BA8">
              <w:rPr>
                <w:rStyle w:val="FormatvorlageInstructionsTabelleText"/>
                <w:rFonts w:ascii="Times New Roman" w:hAnsi="Times New Roman"/>
                <w:sz w:val="24"/>
              </w:rPr>
              <w:t>tou istou protistranou na základe právne vymožiteľnej dohody</w:t>
            </w:r>
            <w:r w:rsidR="00D45BA8">
              <w:rPr>
                <w:rStyle w:val="FormatvorlageInstructionsTabelleText"/>
                <w:rFonts w:ascii="Times New Roman" w:hAnsi="Times New Roman"/>
                <w:sz w:val="24"/>
              </w:rPr>
              <w:t xml:space="preserve"> o </w:t>
            </w:r>
            <w:r w:rsidRPr="00D45BA8">
              <w:rPr>
                <w:rStyle w:val="FormatvorlageInstructionsTabelleText"/>
                <w:rFonts w:ascii="Times New Roman" w:hAnsi="Times New Roman"/>
                <w:sz w:val="24"/>
              </w:rPr>
              <w:t>vzájomnom započítavaní. Do tejto položky sa zahrnú len súbory vzájomného započítavania</w:t>
            </w:r>
            <w:r w:rsidR="00D45BA8">
              <w:rPr>
                <w:rStyle w:val="FormatvorlageInstructionsTabelleText"/>
                <w:rFonts w:ascii="Times New Roman" w:hAnsi="Times New Roman"/>
                <w:sz w:val="24"/>
              </w:rPr>
              <w:t xml:space="preserve"> s </w:t>
            </w:r>
            <w:r w:rsidRPr="00D45BA8">
              <w:rPr>
                <w:rStyle w:val="FormatvorlageInstructionsTabelleText"/>
                <w:rFonts w:ascii="Times New Roman" w:hAnsi="Times New Roman"/>
                <w:sz w:val="24"/>
              </w:rPr>
              <w:t>kladnou hodnotou</w:t>
            </w:r>
            <w:r w:rsidR="00D45BA8">
              <w:rPr>
                <w:rStyle w:val="FormatvorlageInstructionsTabelleText"/>
                <w:rFonts w:ascii="Times New Roman" w:hAnsi="Times New Roman"/>
                <w:sz w:val="24"/>
              </w:rPr>
              <w:t>.</w:t>
            </w:r>
          </w:p>
          <w:p w14:paraId="5A138405" w14:textId="77777777" w:rsidR="00D45BA8" w:rsidRDefault="00461B95">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Derivátové pohľadávky sa vykazujú bez zohľadnenia akéhokoľvek peňažného kolaterálu</w:t>
            </w:r>
            <w:r w:rsidR="00D45BA8">
              <w:rPr>
                <w:rStyle w:val="FormatvorlageInstructionsTabelleText"/>
                <w:rFonts w:ascii="Times New Roman" w:hAnsi="Times New Roman"/>
                <w:sz w:val="24"/>
              </w:rPr>
              <w:t>.</w:t>
            </w:r>
          </w:p>
          <w:p w14:paraId="57A0BD55" w14:textId="389227F4" w:rsidR="00461B95" w:rsidRPr="00D45BA8" w:rsidRDefault="00461B95">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Na účely vykazovania informácií na základe konečného rizika platí toto:</w:t>
            </w:r>
          </w:p>
          <w:p w14:paraId="143F58ED" w14:textId="366592C6" w:rsidR="00D45BA8" w:rsidRDefault="00461B95" w:rsidP="00304B5D">
            <w:pPr>
              <w:pStyle w:val="InstructionsText"/>
              <w:numPr>
                <w:ilvl w:val="0"/>
                <w:numId w:val="20"/>
              </w:numPr>
              <w:rPr>
                <w:rStyle w:val="FormatvorlageInstructionsTabelleText"/>
                <w:rFonts w:ascii="Times New Roman" w:hAnsi="Times New Roman"/>
                <w:sz w:val="24"/>
              </w:rPr>
            </w:pPr>
            <w:r w:rsidRPr="00D45BA8">
              <w:rPr>
                <w:rStyle w:val="FormatvorlageInstructionsTabelleText"/>
                <w:rFonts w:ascii="Times New Roman" w:hAnsi="Times New Roman"/>
                <w:sz w:val="24"/>
              </w:rPr>
              <w:t>Keď konečné riziko znáša protistrana, derivát sa považuje za zahraničný, ak sa protistrana nenachádza</w:t>
            </w:r>
            <w:r w:rsidR="00D45BA8">
              <w:rPr>
                <w:rStyle w:val="FormatvorlageInstructionsTabelleText"/>
                <w:rFonts w:ascii="Times New Roman" w:hAnsi="Times New Roman"/>
                <w:sz w:val="24"/>
              </w:rPr>
              <w:t xml:space="preserve"> v </w:t>
            </w:r>
            <w:r w:rsidRPr="00D45BA8">
              <w:rPr>
                <w:rStyle w:val="FormatvorlageInstructionsTabelleText"/>
                <w:rFonts w:ascii="Times New Roman" w:hAnsi="Times New Roman"/>
                <w:sz w:val="24"/>
              </w:rPr>
              <w:t>domovskej jurisdikcii vykazujúcich subjektov</w:t>
            </w:r>
            <w:r w:rsidR="00D45BA8">
              <w:rPr>
                <w:rStyle w:val="FormatvorlageInstructionsTabelleText"/>
                <w:rFonts w:ascii="Times New Roman" w:hAnsi="Times New Roman"/>
                <w:sz w:val="24"/>
              </w:rPr>
              <w:t>.</w:t>
            </w:r>
          </w:p>
          <w:p w14:paraId="4EE29D54" w14:textId="67BF42F0" w:rsidR="00461B95" w:rsidRPr="00D45BA8" w:rsidRDefault="00461B95" w:rsidP="00304B5D">
            <w:pPr>
              <w:pStyle w:val="InstructionsText"/>
              <w:numPr>
                <w:ilvl w:val="0"/>
                <w:numId w:val="20"/>
              </w:numPr>
              <w:rPr>
                <w:rStyle w:val="FormatvorlageInstructionsTabelleText"/>
                <w:rFonts w:ascii="Times New Roman" w:hAnsi="Times New Roman"/>
                <w:sz w:val="24"/>
              </w:rPr>
            </w:pPr>
            <w:r w:rsidRPr="00D45BA8">
              <w:rPr>
                <w:rStyle w:val="FormatvorlageInstructionsTabelleText"/>
                <w:rFonts w:ascii="Times New Roman" w:hAnsi="Times New Roman"/>
                <w:sz w:val="24"/>
              </w:rPr>
              <w:t>Keď konečné riziko znáša ručiteľ, derivát sa považuje za zahraničný, ak sa ručiteľ nenachádza</w:t>
            </w:r>
            <w:r w:rsidR="00D45BA8">
              <w:rPr>
                <w:rStyle w:val="FormatvorlageInstructionsTabelleText"/>
                <w:rFonts w:ascii="Times New Roman" w:hAnsi="Times New Roman"/>
                <w:sz w:val="24"/>
              </w:rPr>
              <w:t xml:space="preserve"> v </w:t>
            </w:r>
            <w:r w:rsidRPr="00D45BA8">
              <w:rPr>
                <w:rStyle w:val="FormatvorlageInstructionsTabelleText"/>
                <w:rFonts w:ascii="Times New Roman" w:hAnsi="Times New Roman"/>
                <w:sz w:val="24"/>
              </w:rPr>
              <w:t>domovskej jurisdikcii vykazujúcich subjektov.</w:t>
            </w:r>
          </w:p>
        </w:tc>
      </w:tr>
      <w:tr w:rsidR="001B7EDC" w:rsidRPr="00D45BA8" w14:paraId="35AEB6DF" w14:textId="77777777" w:rsidTr="00D731E3">
        <w:tc>
          <w:tcPr>
            <w:tcW w:w="1129" w:type="dxa"/>
          </w:tcPr>
          <w:p w14:paraId="1B78021A" w14:textId="185021E5" w:rsidR="00461B95" w:rsidRPr="00D45BA8" w:rsidRDefault="00461B95">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0160</w:t>
            </w:r>
          </w:p>
        </w:tc>
        <w:tc>
          <w:tcPr>
            <w:tcW w:w="7620" w:type="dxa"/>
          </w:tcPr>
          <w:p w14:paraId="4AFA7D61" w14:textId="553941DC" w:rsidR="00461B95" w:rsidRPr="00D45BA8" w:rsidRDefault="00461B95">
            <w:pPr>
              <w:pStyle w:val="InstructionsText"/>
              <w:rPr>
                <w:rStyle w:val="InstructionsTabelleberschrift"/>
                <w:rFonts w:ascii="Times New Roman" w:hAnsi="Times New Roman"/>
                <w:sz w:val="24"/>
              </w:rPr>
            </w:pPr>
            <w:r w:rsidRPr="00D45BA8">
              <w:rPr>
                <w:rStyle w:val="InstructionsTabelleberschrift"/>
                <w:rFonts w:ascii="Times New Roman" w:hAnsi="Times New Roman"/>
                <w:sz w:val="24"/>
              </w:rPr>
              <w:t>Zahraničné záväzky na základe bezprostredného rizika vrátane derivátov</w:t>
            </w:r>
          </w:p>
          <w:p w14:paraId="2232ACAE" w14:textId="4B0386B6" w:rsidR="00461B95" w:rsidRPr="00D45BA8" w:rsidRDefault="00461B95">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Zahraničné záväzky vrátane derivátov sú súčtom zahraničných záväzkov</w:t>
            </w:r>
            <w:r w:rsidR="00D45BA8">
              <w:rPr>
                <w:rStyle w:val="FormatvorlageInstructionsTabelleText"/>
                <w:rFonts w:ascii="Times New Roman" w:hAnsi="Times New Roman"/>
                <w:sz w:val="24"/>
              </w:rPr>
              <w:t xml:space="preserve"> a </w:t>
            </w:r>
            <w:r w:rsidRPr="00D45BA8">
              <w:rPr>
                <w:rStyle w:val="FormatvorlageInstructionsTabelleText"/>
                <w:rFonts w:ascii="Times New Roman" w:hAnsi="Times New Roman"/>
                <w:sz w:val="24"/>
              </w:rPr>
              <w:t>zahraničných záväzkov vyplývajúcich</w:t>
            </w:r>
            <w:r w:rsidR="00D45BA8">
              <w:rPr>
                <w:rStyle w:val="FormatvorlageInstructionsTabelleText"/>
                <w:rFonts w:ascii="Times New Roman" w:hAnsi="Times New Roman"/>
                <w:sz w:val="24"/>
              </w:rPr>
              <w:t xml:space="preserve"> z </w:t>
            </w:r>
            <w:r w:rsidRPr="00D45BA8">
              <w:rPr>
                <w:rStyle w:val="FormatvorlageInstructionsTabelleText"/>
                <w:rFonts w:ascii="Times New Roman" w:hAnsi="Times New Roman"/>
                <w:sz w:val="24"/>
              </w:rPr>
              <w:t>derivátov.</w:t>
            </w:r>
            <w:r w:rsidR="00D45BA8">
              <w:rPr>
                <w:rStyle w:val="FormatvorlageInstructionsTabelleText"/>
                <w:rFonts w:ascii="Times New Roman" w:hAnsi="Times New Roman"/>
                <w:sz w:val="24"/>
              </w:rPr>
              <w:t xml:space="preserve"> Z </w:t>
            </w:r>
            <w:r w:rsidRPr="00D45BA8">
              <w:rPr>
                <w:rStyle w:val="FormatvorlageInstructionsTabelleText"/>
                <w:rFonts w:ascii="Times New Roman" w:hAnsi="Times New Roman"/>
                <w:sz w:val="24"/>
              </w:rPr>
              <w:t>tejto položky sa vylúčia záväzky</w:t>
            </w:r>
            <w:r w:rsidR="00D45BA8">
              <w:rPr>
                <w:rStyle w:val="FormatvorlageInstructionsTabelleText"/>
                <w:rFonts w:ascii="Times New Roman" w:hAnsi="Times New Roman"/>
                <w:sz w:val="24"/>
              </w:rPr>
              <w:t xml:space="preserve"> z </w:t>
            </w:r>
            <w:r w:rsidRPr="00D45BA8">
              <w:rPr>
                <w:rStyle w:val="FormatvorlageInstructionsTabelleText"/>
                <w:rFonts w:ascii="Times New Roman" w:hAnsi="Times New Roman"/>
                <w:sz w:val="24"/>
              </w:rPr>
              <w:t>cenných papierov, ktoré sú obchodovateľnými finančnými aktívami emitovanými vykazujúcou inštitúciou.</w:t>
            </w:r>
          </w:p>
          <w:p w14:paraId="253FB5E8" w14:textId="249FFB98" w:rsidR="00461B95" w:rsidRPr="00D45BA8" w:rsidRDefault="00461B95">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Vymedzenie derivátov je rovnaké ako</w:t>
            </w:r>
            <w:r w:rsidR="00D45BA8">
              <w:rPr>
                <w:rStyle w:val="FormatvorlageInstructionsTabelleText"/>
                <w:rFonts w:ascii="Times New Roman" w:hAnsi="Times New Roman"/>
                <w:sz w:val="24"/>
              </w:rPr>
              <w:t xml:space="preserve"> v </w:t>
            </w:r>
            <w:r w:rsidRPr="00D45BA8">
              <w:rPr>
                <w:rStyle w:val="FormatvorlageInstructionsTabelleText"/>
                <w:rFonts w:ascii="Times New Roman" w:hAnsi="Times New Roman"/>
                <w:sz w:val="24"/>
              </w:rPr>
              <w:t>prípade riadku 0150.</w:t>
            </w:r>
          </w:p>
          <w:p w14:paraId="77F1D023" w14:textId="45AD9847" w:rsidR="00D45BA8" w:rsidRDefault="00461B95">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Záporné reálne hodnoty zmlúv</w:t>
            </w:r>
            <w:r w:rsidR="00D45BA8">
              <w:rPr>
                <w:rStyle w:val="FormatvorlageInstructionsTabelleText"/>
                <w:rFonts w:ascii="Times New Roman" w:hAnsi="Times New Roman"/>
                <w:sz w:val="24"/>
              </w:rPr>
              <w:t xml:space="preserve"> o </w:t>
            </w:r>
            <w:r w:rsidRPr="00D45BA8">
              <w:rPr>
                <w:rStyle w:val="FormatvorlageInstructionsTabelleText"/>
                <w:rFonts w:ascii="Times New Roman" w:hAnsi="Times New Roman"/>
                <w:sz w:val="24"/>
              </w:rPr>
              <w:t>derivátoch možno započítať voči kladným reálnym hodnotám len vtedy, ak sa pozície realizovali</w:t>
            </w:r>
            <w:r w:rsidR="00D45BA8">
              <w:rPr>
                <w:rStyle w:val="FormatvorlageInstructionsTabelleText"/>
                <w:rFonts w:ascii="Times New Roman" w:hAnsi="Times New Roman"/>
                <w:sz w:val="24"/>
              </w:rPr>
              <w:t xml:space="preserve"> s </w:t>
            </w:r>
            <w:r w:rsidRPr="00D45BA8">
              <w:rPr>
                <w:rStyle w:val="FormatvorlageInstructionsTabelleText"/>
                <w:rFonts w:ascii="Times New Roman" w:hAnsi="Times New Roman"/>
                <w:sz w:val="24"/>
              </w:rPr>
              <w:t>tou istou protistranou na základe právne vymožiteľnej dohody</w:t>
            </w:r>
            <w:r w:rsidR="00D45BA8">
              <w:rPr>
                <w:rStyle w:val="FormatvorlageInstructionsTabelleText"/>
                <w:rFonts w:ascii="Times New Roman" w:hAnsi="Times New Roman"/>
                <w:sz w:val="24"/>
              </w:rPr>
              <w:t xml:space="preserve"> o </w:t>
            </w:r>
            <w:r w:rsidRPr="00D45BA8">
              <w:rPr>
                <w:rStyle w:val="FormatvorlageInstructionsTabelleText"/>
                <w:rFonts w:ascii="Times New Roman" w:hAnsi="Times New Roman"/>
                <w:sz w:val="24"/>
              </w:rPr>
              <w:t>vzájomnom započítavaní. Derivátové záväzky sa vykazujú bez zohľadnenia akéhokoľvek kolaterálu (peňažného</w:t>
            </w:r>
            <w:r w:rsidR="00D45BA8">
              <w:rPr>
                <w:rStyle w:val="FormatvorlageInstructionsTabelleText"/>
                <w:rFonts w:ascii="Times New Roman" w:hAnsi="Times New Roman"/>
                <w:sz w:val="24"/>
              </w:rPr>
              <w:t xml:space="preserve"> i </w:t>
            </w:r>
            <w:r w:rsidRPr="00D45BA8">
              <w:rPr>
                <w:rStyle w:val="FormatvorlageInstructionsTabelleText"/>
                <w:rFonts w:ascii="Times New Roman" w:hAnsi="Times New Roman"/>
                <w:sz w:val="24"/>
              </w:rPr>
              <w:t>nepeňažného)</w:t>
            </w:r>
            <w:r w:rsidR="00D45BA8">
              <w:rPr>
                <w:rStyle w:val="FormatvorlageInstructionsTabelleText"/>
                <w:rFonts w:ascii="Times New Roman" w:hAnsi="Times New Roman"/>
                <w:sz w:val="24"/>
              </w:rPr>
              <w:t>.</w:t>
            </w:r>
          </w:p>
          <w:p w14:paraId="2F888DBB" w14:textId="5D433FC2" w:rsidR="00461B95" w:rsidRPr="00D45BA8" w:rsidRDefault="00461B95">
            <w:pPr>
              <w:pStyle w:val="InstructionsText"/>
              <w:rPr>
                <w:rStyle w:val="FormatvorlageInstructionsTabelleText"/>
                <w:rFonts w:ascii="Times New Roman" w:hAnsi="Times New Roman"/>
                <w:sz w:val="24"/>
              </w:rPr>
            </w:pPr>
            <w:r w:rsidRPr="00D45BA8">
              <w:rPr>
                <w:rStyle w:val="FormatvorlageInstructionsTabelleText"/>
                <w:rFonts w:ascii="Times New Roman" w:hAnsi="Times New Roman"/>
                <w:sz w:val="24"/>
              </w:rPr>
              <w:t>Výraz „na základe bezprostredného rizika“ znamená, že na účely určenia, či je pohľadávka cezhraničnou alebo miestnou pohľadávkou, sa pozícia pridelí priamej protistrane zmluvy.“</w:t>
            </w:r>
          </w:p>
        </w:tc>
      </w:tr>
      <w:bookmarkEnd w:id="0"/>
      <w:bookmarkEnd w:id="1"/>
    </w:tbl>
    <w:p w14:paraId="61DBD972" w14:textId="77777777" w:rsidR="00DD00B4" w:rsidRPr="00D45BA8" w:rsidRDefault="00DD00B4" w:rsidP="006137FD">
      <w:pPr>
        <w:spacing w:after="0"/>
        <w:rPr>
          <w:rStyle w:val="InstructionsTabelleText"/>
          <w:rFonts w:ascii="Times New Roman" w:hAnsi="Times New Roman"/>
          <w:sz w:val="24"/>
        </w:rPr>
      </w:pPr>
    </w:p>
    <w:sectPr w:rsidR="00DD00B4" w:rsidRPr="00D45BA8"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2E8C" w14:textId="2828EE3F"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C43E" w14:textId="0ED9D703"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C733" w14:textId="66BADAE5"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5</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0E8B30C5" w:rsidR="00FE1150" w:rsidRPr="00D45BA8" w:rsidRDefault="00FE1150" w:rsidP="00FE1150">
      <w:pPr>
        <w:pStyle w:val="FootnoteText"/>
        <w:spacing w:before="0" w:after="0" w:line="240" w:lineRule="auto"/>
        <w:ind w:left="567" w:hanging="567"/>
        <w:rPr>
          <w:rFonts w:ascii="Times New Roman" w:hAnsi="Times New Roman"/>
          <w:sz w:val="20"/>
          <w:szCs w:val="20"/>
        </w:rPr>
      </w:pPr>
      <w:r w:rsidRPr="00D45BA8">
        <w:rPr>
          <w:rStyle w:val="FootnoteReference"/>
          <w:rFonts w:ascii="Times New Roman" w:hAnsi="Times New Roman"/>
          <w:sz w:val="20"/>
          <w:szCs w:val="20"/>
          <w:vertAlign w:val="superscript"/>
        </w:rPr>
        <w:footnoteRef/>
      </w:r>
      <w:r w:rsidRPr="00D45BA8">
        <w:tab/>
      </w:r>
      <w:r w:rsidRPr="00D45BA8">
        <w:rPr>
          <w:rFonts w:ascii="Times New Roman" w:hAnsi="Times New Roman"/>
          <w:color w:val="444444"/>
          <w:sz w:val="20"/>
        </w:rPr>
        <w:t>Smernica Európskeho parlamentu</w:t>
      </w:r>
      <w:r w:rsidR="00D45BA8">
        <w:rPr>
          <w:rFonts w:ascii="Times New Roman" w:hAnsi="Times New Roman"/>
          <w:color w:val="444444"/>
          <w:sz w:val="20"/>
        </w:rPr>
        <w:t xml:space="preserve"> a </w:t>
      </w:r>
      <w:r w:rsidRPr="00D45BA8">
        <w:rPr>
          <w:rFonts w:ascii="Times New Roman" w:hAnsi="Times New Roman"/>
          <w:color w:val="444444"/>
          <w:sz w:val="20"/>
        </w:rPr>
        <w:t>Rady 2013/36/EÚ</w:t>
      </w:r>
      <w:r w:rsidR="00D45BA8">
        <w:rPr>
          <w:rFonts w:ascii="Times New Roman" w:hAnsi="Times New Roman"/>
          <w:color w:val="444444"/>
          <w:sz w:val="20"/>
        </w:rPr>
        <w:t xml:space="preserve"> z </w:t>
      </w:r>
      <w:r w:rsidRPr="00D45BA8">
        <w:rPr>
          <w:rFonts w:ascii="Times New Roman" w:hAnsi="Times New Roman"/>
          <w:color w:val="444444"/>
          <w:sz w:val="20"/>
        </w:rPr>
        <w:t>26</w:t>
      </w:r>
      <w:r w:rsidR="00D45BA8">
        <w:rPr>
          <w:rFonts w:ascii="Times New Roman" w:hAnsi="Times New Roman"/>
          <w:color w:val="444444"/>
          <w:sz w:val="20"/>
        </w:rPr>
        <w:t>. júna</w:t>
      </w:r>
      <w:r w:rsidRPr="00D45BA8">
        <w:rPr>
          <w:rFonts w:ascii="Times New Roman" w:hAnsi="Times New Roman"/>
          <w:color w:val="444444"/>
          <w:sz w:val="20"/>
        </w:rPr>
        <w:t xml:space="preserve"> 2013</w:t>
      </w:r>
      <w:r w:rsidR="00D45BA8">
        <w:rPr>
          <w:rFonts w:ascii="Times New Roman" w:hAnsi="Times New Roman"/>
          <w:color w:val="444444"/>
          <w:sz w:val="20"/>
        </w:rPr>
        <w:t xml:space="preserve"> o </w:t>
      </w:r>
      <w:r w:rsidRPr="00D45BA8">
        <w:rPr>
          <w:rFonts w:ascii="Times New Roman" w:hAnsi="Times New Roman"/>
          <w:color w:val="444444"/>
          <w:sz w:val="20"/>
        </w:rPr>
        <w:t>prístupe</w:t>
      </w:r>
      <w:r w:rsidR="00D45BA8">
        <w:rPr>
          <w:rFonts w:ascii="Times New Roman" w:hAnsi="Times New Roman"/>
          <w:color w:val="444444"/>
          <w:sz w:val="20"/>
        </w:rPr>
        <w:t xml:space="preserve"> k </w:t>
      </w:r>
      <w:r w:rsidRPr="00D45BA8">
        <w:rPr>
          <w:rFonts w:ascii="Times New Roman" w:hAnsi="Times New Roman"/>
          <w:color w:val="444444"/>
          <w:sz w:val="20"/>
        </w:rPr>
        <w:t>činnosti úverových inštitúcií</w:t>
      </w:r>
      <w:r w:rsidR="00D45BA8">
        <w:rPr>
          <w:rFonts w:ascii="Times New Roman" w:hAnsi="Times New Roman"/>
          <w:color w:val="444444"/>
          <w:sz w:val="20"/>
        </w:rPr>
        <w:t xml:space="preserve"> a </w:t>
      </w:r>
      <w:r w:rsidRPr="00D45BA8">
        <w:rPr>
          <w:rFonts w:ascii="Times New Roman" w:hAnsi="Times New Roman"/>
          <w:color w:val="444444"/>
          <w:sz w:val="20"/>
        </w:rPr>
        <w:t>prudenciálnom dohľade nad úverovými inštitúciami,</w:t>
      </w:r>
      <w:r w:rsidR="00D45BA8">
        <w:rPr>
          <w:rFonts w:ascii="Times New Roman" w:hAnsi="Times New Roman"/>
          <w:color w:val="444444"/>
          <w:sz w:val="20"/>
        </w:rPr>
        <w:t xml:space="preserve"> o </w:t>
      </w:r>
      <w:r w:rsidRPr="00D45BA8">
        <w:rPr>
          <w:rFonts w:ascii="Times New Roman" w:hAnsi="Times New Roman"/>
          <w:color w:val="444444"/>
          <w:sz w:val="20"/>
        </w:rPr>
        <w:t>zmene smernice 2002/87/ES</w:t>
      </w:r>
      <w:r w:rsidR="00D45BA8">
        <w:rPr>
          <w:rFonts w:ascii="Times New Roman" w:hAnsi="Times New Roman"/>
          <w:color w:val="444444"/>
          <w:sz w:val="20"/>
        </w:rPr>
        <w:t xml:space="preserve"> a o </w:t>
      </w:r>
      <w:r w:rsidRPr="00D45BA8">
        <w:rPr>
          <w:rFonts w:ascii="Times New Roman" w:hAnsi="Times New Roman"/>
          <w:color w:val="444444"/>
          <w:sz w:val="20"/>
        </w:rPr>
        <w:t>zrušení smerníc 2006/48/ES</w:t>
      </w:r>
      <w:r w:rsidR="00D45BA8">
        <w:rPr>
          <w:rFonts w:ascii="Times New Roman" w:hAnsi="Times New Roman"/>
          <w:color w:val="444444"/>
          <w:sz w:val="20"/>
        </w:rPr>
        <w:t xml:space="preserve"> a </w:t>
      </w:r>
      <w:r w:rsidRPr="00D45BA8">
        <w:rPr>
          <w:rFonts w:ascii="Times New Roman" w:hAnsi="Times New Roman"/>
          <w:color w:val="444444"/>
          <w:sz w:val="20"/>
        </w:rPr>
        <w:t>2006/49/ES (Ú. v. EÚ L 176, 27.6.2013, s. 338).</w:t>
      </w:r>
    </w:p>
  </w:footnote>
  <w:footnote w:id="3">
    <w:p w14:paraId="7392EC52" w14:textId="1788D585" w:rsidR="00FE1150" w:rsidRPr="00D45BA8" w:rsidRDefault="00FE1150" w:rsidP="007A705E">
      <w:pPr>
        <w:pStyle w:val="FootnoteText"/>
        <w:spacing w:before="0" w:after="0" w:line="240" w:lineRule="auto"/>
        <w:ind w:left="567" w:hanging="567"/>
        <w:rPr>
          <w:rFonts w:ascii="Times New Roman" w:hAnsi="Times New Roman"/>
          <w:color w:val="444444"/>
          <w:sz w:val="20"/>
          <w:szCs w:val="20"/>
        </w:rPr>
      </w:pPr>
      <w:r w:rsidRPr="00D45BA8">
        <w:rPr>
          <w:rStyle w:val="FootnoteReference"/>
        </w:rPr>
        <w:footnoteRef/>
      </w:r>
      <w:r w:rsidRPr="00D45BA8">
        <w:tab/>
      </w:r>
      <w:r w:rsidRPr="00D45BA8">
        <w:rPr>
          <w:rFonts w:ascii="Times New Roman" w:hAnsi="Times New Roman"/>
          <w:color w:val="444444"/>
          <w:sz w:val="20"/>
        </w:rPr>
        <w:t>Delegované nariadenie Komisie (EÚ) č. 1222/2014</w:t>
      </w:r>
      <w:r w:rsidR="00D45BA8">
        <w:rPr>
          <w:rFonts w:ascii="Times New Roman" w:hAnsi="Times New Roman"/>
          <w:color w:val="444444"/>
          <w:sz w:val="20"/>
        </w:rPr>
        <w:t xml:space="preserve"> z </w:t>
      </w:r>
      <w:r w:rsidRPr="00D45BA8">
        <w:rPr>
          <w:rFonts w:ascii="Times New Roman" w:hAnsi="Times New Roman"/>
          <w:color w:val="444444"/>
          <w:sz w:val="20"/>
        </w:rPr>
        <w:t>8</w:t>
      </w:r>
      <w:r w:rsidR="00D45BA8">
        <w:rPr>
          <w:rFonts w:ascii="Times New Roman" w:hAnsi="Times New Roman"/>
          <w:color w:val="444444"/>
          <w:sz w:val="20"/>
        </w:rPr>
        <w:t>. októbra</w:t>
      </w:r>
      <w:r w:rsidRPr="00D45BA8">
        <w:rPr>
          <w:rFonts w:ascii="Times New Roman" w:hAnsi="Times New Roman"/>
          <w:color w:val="444444"/>
          <w:sz w:val="20"/>
        </w:rPr>
        <w:t xml:space="preserve"> 2014, ktorým sa dopĺňa smernica Európskeho parlamentu</w:t>
      </w:r>
      <w:r w:rsidR="00D45BA8">
        <w:rPr>
          <w:rFonts w:ascii="Times New Roman" w:hAnsi="Times New Roman"/>
          <w:color w:val="444444"/>
          <w:sz w:val="20"/>
        </w:rPr>
        <w:t xml:space="preserve"> a </w:t>
      </w:r>
      <w:r w:rsidRPr="00D45BA8">
        <w:rPr>
          <w:rFonts w:ascii="Times New Roman" w:hAnsi="Times New Roman"/>
          <w:color w:val="444444"/>
          <w:sz w:val="20"/>
        </w:rPr>
        <w:t>Rady 2013/36/EÚ, pokiaľ ide</w:t>
      </w:r>
      <w:r w:rsidR="00D45BA8">
        <w:rPr>
          <w:rFonts w:ascii="Times New Roman" w:hAnsi="Times New Roman"/>
          <w:color w:val="444444"/>
          <w:sz w:val="20"/>
        </w:rPr>
        <w:t xml:space="preserve"> o </w:t>
      </w:r>
      <w:r w:rsidRPr="00D45BA8">
        <w:rPr>
          <w:rFonts w:ascii="Times New Roman" w:hAnsi="Times New Roman"/>
          <w:color w:val="444444"/>
          <w:sz w:val="20"/>
        </w:rPr>
        <w:t>regulačné technické predpisy na vymedzenie metodiky identifikácie globálnych systémovo dôležitých inštitúcií</w:t>
      </w:r>
      <w:r w:rsidR="00D45BA8">
        <w:rPr>
          <w:rFonts w:ascii="Times New Roman" w:hAnsi="Times New Roman"/>
          <w:color w:val="444444"/>
          <w:sz w:val="20"/>
        </w:rPr>
        <w:t xml:space="preserve"> a </w:t>
      </w:r>
      <w:r w:rsidRPr="00D45BA8">
        <w:rPr>
          <w:rFonts w:ascii="Times New Roman" w:hAnsi="Times New Roman"/>
          <w:color w:val="444444"/>
          <w:sz w:val="20"/>
        </w:rPr>
        <w:t xml:space="preserve">vymedzenia podkategórií globálnych systémovo dôležitých inštitúcií </w:t>
      </w:r>
      <w:r w:rsidRPr="00D45BA8">
        <w:rPr>
          <w:rFonts w:ascii="Times New Roman" w:hAnsi="Times New Roman"/>
          <w:sz w:val="20"/>
        </w:rPr>
        <w:t>(Ú. v. EÚ L 330 15.11.2014, s. 27</w:t>
      </w:r>
      <w:r w:rsidRPr="00D45BA8">
        <w:rPr>
          <w:rFonts w:ascii="Times New Roman" w:hAnsi="Times New Roman"/>
          <w:color w:val="444444"/>
          <w:sz w:val="20"/>
        </w:rPr>
        <w:t>).</w:t>
      </w:r>
    </w:p>
  </w:footnote>
  <w:footnote w:id="4">
    <w:p w14:paraId="7E81C75F" w14:textId="3D9C2543" w:rsidR="00461B95" w:rsidRPr="00D45BA8" w:rsidRDefault="00461B95">
      <w:pPr>
        <w:pStyle w:val="FootnoteText"/>
      </w:pPr>
      <w:r w:rsidRPr="00D45BA8">
        <w:rPr>
          <w:rStyle w:val="FootnoteReference"/>
        </w:rPr>
        <w:footnoteRef/>
      </w:r>
      <w:r w:rsidRPr="00D45BA8">
        <w:t xml:space="preserve"> Nariadenie Európskeho parlamentu</w:t>
      </w:r>
      <w:r w:rsidR="00D45BA8">
        <w:t xml:space="preserve"> a </w:t>
      </w:r>
      <w:r w:rsidRPr="00D45BA8">
        <w:t>Rady (EÚ) č. 806/2014</w:t>
      </w:r>
      <w:r w:rsidR="00D45BA8">
        <w:t xml:space="preserve"> z </w:t>
      </w:r>
      <w:r w:rsidRPr="00D45BA8">
        <w:t>15</w:t>
      </w:r>
      <w:r w:rsidR="00D45BA8">
        <w:t>. júla</w:t>
      </w:r>
      <w:r w:rsidRPr="00D45BA8">
        <w:t xml:space="preserve"> 2014, ktorým sa stanovujú jednotné pravidlá</w:t>
      </w:r>
      <w:r w:rsidR="00D45BA8">
        <w:t xml:space="preserve"> a </w:t>
      </w:r>
      <w:r w:rsidRPr="00D45BA8">
        <w:t>jednotný postup riešenia krízových situácií úverových inštitúcií</w:t>
      </w:r>
      <w:r w:rsidR="00D45BA8">
        <w:t xml:space="preserve"> a </w:t>
      </w:r>
      <w:r w:rsidRPr="00D45BA8">
        <w:t>určitých investičných spoločností</w:t>
      </w:r>
      <w:r w:rsidR="00D45BA8">
        <w:t xml:space="preserve"> v </w:t>
      </w:r>
      <w:r w:rsidRPr="00D45BA8">
        <w:t>rámci jednotného mechanizmu riešenia krízových situácií</w:t>
      </w:r>
      <w:r w:rsidR="00D45BA8">
        <w:t xml:space="preserve"> a </w:t>
      </w:r>
      <w:r w:rsidRPr="00D45BA8">
        <w:t>jednotného fondu na riešenie krízových situácií</w:t>
      </w:r>
      <w:r w:rsidR="00D45BA8">
        <w:t xml:space="preserve"> a </w:t>
      </w:r>
      <w:r w:rsidRPr="00D45BA8">
        <w:t>ktorým sa mení nariadenie (EÚ) č. 1093/2010 (Ú. v. EÚ L 225, 30.7.2014,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751047261">
    <w:abstractNumId w:val="0"/>
  </w:num>
  <w:num w:numId="2" w16cid:durableId="1890993164">
    <w:abstractNumId w:val="13"/>
  </w:num>
  <w:num w:numId="3" w16cid:durableId="1856459136">
    <w:abstractNumId w:val="19"/>
  </w:num>
  <w:num w:numId="4" w16cid:durableId="2028750821">
    <w:abstractNumId w:val="9"/>
  </w:num>
  <w:num w:numId="5" w16cid:durableId="308291035">
    <w:abstractNumId w:val="16"/>
  </w:num>
  <w:num w:numId="6" w16cid:durableId="326327672">
    <w:abstractNumId w:val="8"/>
  </w:num>
  <w:num w:numId="7" w16cid:durableId="1619604381">
    <w:abstractNumId w:val="18"/>
  </w:num>
  <w:num w:numId="8" w16cid:durableId="1156648871">
    <w:abstractNumId w:val="2"/>
  </w:num>
  <w:num w:numId="9" w16cid:durableId="771123551">
    <w:abstractNumId w:val="14"/>
  </w:num>
  <w:num w:numId="10" w16cid:durableId="1893079841">
    <w:abstractNumId w:val="7"/>
  </w:num>
  <w:num w:numId="11" w16cid:durableId="2070761650">
    <w:abstractNumId w:val="11"/>
  </w:num>
  <w:num w:numId="12" w16cid:durableId="1238249569">
    <w:abstractNumId w:val="3"/>
  </w:num>
  <w:num w:numId="13" w16cid:durableId="1049377582">
    <w:abstractNumId w:val="15"/>
  </w:num>
  <w:num w:numId="14" w16cid:durableId="1831872246">
    <w:abstractNumId w:val="12"/>
  </w:num>
  <w:num w:numId="15" w16cid:durableId="1086535741">
    <w:abstractNumId w:val="5"/>
  </w:num>
  <w:num w:numId="16" w16cid:durableId="348722562">
    <w:abstractNumId w:val="10"/>
  </w:num>
  <w:num w:numId="17" w16cid:durableId="911545994">
    <w:abstractNumId w:val="4"/>
  </w:num>
  <w:num w:numId="18" w16cid:durableId="98525569">
    <w:abstractNumId w:val="17"/>
  </w:num>
  <w:num w:numId="19" w16cid:durableId="306012211">
    <w:abstractNumId w:val="1"/>
  </w:num>
  <w:num w:numId="20" w16cid:durableId="229076776">
    <w:abstractNumId w:val="6"/>
  </w:num>
  <w:num w:numId="21" w16cid:durableId="295837635">
    <w:abstractNumId w:val="5"/>
  </w:num>
  <w:num w:numId="22" w16cid:durableId="226109524">
    <w:abstractNumId w:val="15"/>
  </w:num>
  <w:num w:numId="23" w16cid:durableId="1459254587">
    <w:abstractNumId w:val="15"/>
  </w:num>
  <w:num w:numId="24" w16cid:durableId="774910971">
    <w:abstractNumId w:val="15"/>
  </w:num>
  <w:num w:numId="25" w16cid:durableId="1572813511">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28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0609"/>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2387"/>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0016"/>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823"/>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5BA8"/>
    <w:rsid w:val="00D4691D"/>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81"/>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sk-SK"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k-SK"/>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sk-S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k-S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k-S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k-S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k-S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k-S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k-S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k-S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k-S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k-S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C5D54-2A50-4C0D-BCD8-3613886A454C}">
  <ds:schemaRefs>
    <ds:schemaRef ds:uri="http://schemas.openxmlformats.org/officeDocument/2006/bibliography"/>
  </ds:schemaRefs>
</ds:datastoreItem>
</file>

<file path=customXml/itemProps2.xml><?xml version="1.0" encoding="utf-8"?>
<ds:datastoreItem xmlns:ds="http://schemas.openxmlformats.org/officeDocument/2006/customXml" ds:itemID="{4D310B48-772B-49F7-A8E5-A4C82A24FFAD}"/>
</file>

<file path=customXml/itemProps3.xml><?xml version="1.0" encoding="utf-8"?>
<ds:datastoreItem xmlns:ds="http://schemas.openxmlformats.org/officeDocument/2006/customXml" ds:itemID="{D88B4621-1EA9-40C1-A1CA-37BE67DC634F}"/>
</file>

<file path=customXml/itemProps4.xml><?xml version="1.0" encoding="utf-8"?>
<ds:datastoreItem xmlns:ds="http://schemas.openxmlformats.org/officeDocument/2006/customXml" ds:itemID="{EF82494B-8D7E-48EF-87B6-BF665A039956}"/>
</file>

<file path=docProps/app.xml><?xml version="1.0" encoding="utf-8"?>
<Properties xmlns="http://schemas.openxmlformats.org/officeDocument/2006/extended-properties" xmlns:vt="http://schemas.openxmlformats.org/officeDocument/2006/docPropsVTypes">
  <Template>Normal</Template>
  <TotalTime>0</TotalTime>
  <Pages>5</Pages>
  <Words>1145</Words>
  <Characters>7844</Characters>
  <Application>Microsoft Office Word</Application>
  <DocSecurity>0</DocSecurity>
  <Lines>196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8881</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2025-01-27T13:39:00Z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2025-01-27T13:38:01Z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9f9a0596-a201-4f3e-8621-ec88e95a247c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