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LT</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II PRIEDAS</w:t>
      </w:r>
    </w:p>
    <w:p w14:paraId="7B92C63B" w14:textId="77777777" w:rsidR="00C61CB8" w:rsidRPr="00037E7B" w:rsidRDefault="00C61CB8" w:rsidP="00C61CB8">
      <w:pPr>
        <w:jc w:val="center"/>
        <w:rPr>
          <w:rFonts w:ascii="Times New Roman" w:hAnsi="Times New Roman"/>
          <w:sz w:val="24"/>
        </w:rPr>
      </w:pPr>
      <w:r>
        <w:rPr>
          <w:rFonts w:ascii="Times New Roman" w:hAnsi="Times New Roman"/>
          <w:sz w:val="24"/>
        </w:rPr>
        <w:t>„II PRIEDAS</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DALIS. NURODYMAI DĖL FORMŲ</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GRUPĖS MOKUMAS. INFORMACIJA APIE SUSIJUSIUS SUBJEKTUS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rPr>
          <w:rFonts w:ascii="Times New Roman" w:hAnsi="Times New Roman"/>
          <w:sz w:val="24"/>
          <w:u w:val="none"/>
        </w:rPr>
        <w:tab/>
      </w:r>
      <w:r>
        <w:rPr>
          <w:rFonts w:ascii="Times New Roman" w:hAnsi="Times New Roman"/>
          <w:sz w:val="24"/>
        </w:rPr>
        <w:t>Bendrosios pastabos</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27</w:t>
      </w:r>
      <w:r>
        <w:fldChar w:fldCharType="end"/>
      </w:r>
      <w:r>
        <w:t>.</w:t>
      </w:r>
      <w:r>
        <w:tab/>
        <w:t>C 06.01 ir C 06.02 formose informacija teikiama, jeigu nuosavų lėšų reikalavimai apskaičiuojami konsoliduotai. C 06.02 formą sudaro keturios dalys, kuriose pateikiama skirtinga informacija apie visus atskirus subjektus (įskaitant informaciją teikiančią įstaigą), kurie yra konsoliduojami:</w:t>
      </w:r>
    </w:p>
    <w:p w14:paraId="427E4E34" w14:textId="77777777" w:rsidR="00173F08" w:rsidRPr="002A677E" w:rsidRDefault="00173F08" w:rsidP="00173F08">
      <w:pPr>
        <w:pStyle w:val="InstructionsText2"/>
        <w:numPr>
          <w:ilvl w:val="0"/>
          <w:numId w:val="0"/>
        </w:numPr>
        <w:ind w:left="993"/>
      </w:pPr>
      <w:r>
        <w:t>a)</w:t>
      </w:r>
      <w:r>
        <w:tab/>
        <w:t>konsoliduojami subjektai;</w:t>
      </w:r>
    </w:p>
    <w:p w14:paraId="028B029B" w14:textId="77777777" w:rsidR="00173F08" w:rsidRPr="002A677E" w:rsidRDefault="00173F08" w:rsidP="00173F08">
      <w:pPr>
        <w:pStyle w:val="InstructionsText2"/>
        <w:numPr>
          <w:ilvl w:val="0"/>
          <w:numId w:val="0"/>
        </w:numPr>
        <w:ind w:left="993"/>
      </w:pPr>
      <w:r>
        <w:t>b)</w:t>
      </w:r>
      <w:r>
        <w:tab/>
        <w:t>išsami informacija apie grupės mokumą;</w:t>
      </w:r>
    </w:p>
    <w:p w14:paraId="29EF9308" w14:textId="77777777" w:rsidR="00173F08" w:rsidRPr="002A677E" w:rsidRDefault="00173F08" w:rsidP="00173F08">
      <w:pPr>
        <w:pStyle w:val="InstructionsText2"/>
        <w:numPr>
          <w:ilvl w:val="0"/>
          <w:numId w:val="0"/>
        </w:numPr>
        <w:ind w:left="993"/>
      </w:pPr>
      <w:r>
        <w:t>c)</w:t>
      </w:r>
      <w:r>
        <w:tab/>
        <w:t>informacija apie atskirų subjektų indėlį į grupės mokumą;</w:t>
      </w:r>
    </w:p>
    <w:p w14:paraId="66E85F84" w14:textId="77777777" w:rsidR="00173F08" w:rsidRPr="002A677E" w:rsidRDefault="00173F08" w:rsidP="00173F08">
      <w:pPr>
        <w:pStyle w:val="InstructionsText2"/>
        <w:numPr>
          <w:ilvl w:val="0"/>
          <w:numId w:val="0"/>
        </w:numPr>
        <w:ind w:left="993"/>
      </w:pPr>
      <w:r>
        <w:t>d)</w:t>
      </w:r>
      <w:r>
        <w:tab/>
        <w:t>informacija apie kapitalo rezervus.</w:t>
      </w:r>
    </w:p>
    <w:p w14:paraId="7BA531FA" w14:textId="701A6BC9" w:rsidR="00173F08" w:rsidRPr="002A677E" w:rsidRDefault="00173F08" w:rsidP="00173F08">
      <w:pPr>
        <w:pStyle w:val="InstructionsText2"/>
        <w:numPr>
          <w:ilvl w:val="0"/>
          <w:numId w:val="0"/>
        </w:numPr>
      </w:pPr>
      <w:r>
        <w:fldChar w:fldCharType="begin"/>
      </w:r>
      <w:r>
        <w:instrText>seq paragraphs</w:instrText>
      </w:r>
      <w:r>
        <w:fldChar w:fldCharType="separate"/>
      </w:r>
      <w:r>
        <w:t>28</w:t>
      </w:r>
      <w:r>
        <w:fldChar w:fldCharType="end"/>
      </w:r>
      <w:r>
        <w:t>.</w:t>
      </w:r>
      <w:r>
        <w:tab/>
        <w:t>Įstaigos, kurioms pagal Reglamento (ES) Nr. 575/2013 7 straipsnį taikoma reikalavimų netaikymo nuostata, užpildo tik 0010–0065 ir 0250–0400 skiltis.</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29</w:t>
      </w:r>
      <w:r>
        <w:fldChar w:fldCharType="end"/>
      </w:r>
      <w:r>
        <w:t>.</w:t>
      </w:r>
      <w:r>
        <w:tab/>
        <w:t>Nurodant vertes atsižvelgiama į visas atitinkamą ataskaitinę dieną taikytinas Reglamento (ES) Nr. 575/2013 pereinamojo laikotarpio nuostatas.</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rPr>
          <w:rFonts w:ascii="Times New Roman" w:hAnsi="Times New Roman"/>
          <w:sz w:val="24"/>
          <w:u w:val="none"/>
        </w:rPr>
        <w:tab/>
      </w:r>
      <w:r>
        <w:rPr>
          <w:rFonts w:ascii="Times New Roman" w:hAnsi="Times New Roman"/>
          <w:sz w:val="24"/>
        </w:rPr>
        <w:t>Išsami informacija apie grupės mokumą</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r>
      <w:r>
        <w:instrText>seq paragraphs</w:instrText>
      </w:r>
      <w:r>
        <w:fldChar w:fldCharType="separate"/>
      </w:r>
      <w:r>
        <w:t>30</w:t>
      </w:r>
      <w:r>
        <w:fldChar w:fldCharType="end"/>
      </w:r>
      <w:r>
        <w:t>.</w:t>
      </w:r>
      <w:r>
        <w:tab/>
        <w:t xml:space="preserve">C 06.02 formos antros dalies (išsami informacija apie grupės mokumą) 0070–0240 skiltys yra skirtos informacijai apie kredito ir kitas reguliuojamas finansų įstaigas, kurioms faktiškai atskirai yra taikomi konkretūs mokumo reikalavimai, pateikti. Joje parodomi kiekvieno subjekto, kurio informacija teikiama, nuosavų lėšų reikalavimai pagal kiekvieną rizikos kategoriją ir nuosavų lėšų reikalavimai mokumo tikslams pasiekti.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31</w:t>
      </w:r>
      <w:r>
        <w:fldChar w:fldCharType="end"/>
      </w:r>
      <w:r>
        <w:t>.</w:t>
      </w:r>
      <w:r>
        <w:tab/>
        <w:t>Jeigu dalyvavimas konsoliduojamas proporcingai, su nuosavų lėšų reikalavimais ir nuosavomis lėšomis susiję skaičiai parodo atitinkamas proporcingas sumas.</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lastRenderedPageBreak/>
        <w:t>2.3.</w:t>
      </w:r>
      <w:r>
        <w:rPr>
          <w:rFonts w:ascii="Times New Roman" w:hAnsi="Times New Roman"/>
          <w:sz w:val="24"/>
          <w:u w:val="none"/>
        </w:rPr>
        <w:tab/>
      </w:r>
      <w:r>
        <w:rPr>
          <w:rFonts w:ascii="Times New Roman" w:hAnsi="Times New Roman"/>
          <w:sz w:val="24"/>
        </w:rPr>
        <w:t>Informacija apie atskirų subjektų indėlį į grupės mokumą</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32</w:t>
      </w:r>
      <w:r>
        <w:fldChar w:fldCharType="end"/>
      </w:r>
      <w:r>
        <w:t>.</w:t>
      </w:r>
      <w:r>
        <w:tab/>
        <w:t xml:space="preserve">C 06.02 formos ir C 06.01 formos trečios dalies (informacija apie visų subjektų, konsoliduojamų pagal Reglamentą (ES) Nr. 575/2013, indėlį į grupės mokumą, įskaitant ir tuos subjektus, kuriems atskirai nėra taikomi konkretūs mokumo reikalavimai) 0250–0400 skiltys yra skirtos nurodyti, kurie grupės subjektai kelia riziką ir pritraukia nuosavų lėšų iš rinkos, remiantis duomenimis, kuriuos galima lengvai gauti arba parengti taip, kad kapitalo pakankamumo koeficiento nereikėtų perskaičiuoti pagal kiekvieną atskirą arba konsoliduojamą subjektą. Subjekto lygmeniu į grupės rezultatus įtraukiami ne individualūs mokumo koeficiento elementai, bet rizikos ir nuosavų lėšų skaičiai, todėl jie neturi būti tarpusavyje lyginami.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33</w:t>
      </w:r>
      <w:r>
        <w:fldChar w:fldCharType="end"/>
      </w:r>
      <w:r>
        <w:t>.</w:t>
      </w:r>
      <w:r>
        <w:tab/>
        <w:t>Trečioje dalyje taip pat nurodomos mažumos dalių, kvalifikuotojo papildomo 1 lygio (AT1) kapitalo ir kvalifikuotojo 2 lygio (T2) kapitalo, kurį galima įtraukti į konsoliduotas nuosavas lėšas, sumos.</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34</w:t>
      </w:r>
      <w:r>
        <w:fldChar w:fldCharType="end"/>
      </w:r>
      <w:r>
        <w:t>.</w:t>
      </w:r>
      <w:r>
        <w:tab/>
        <w:t>Kadangi šios formos trečioje dalyje nurodomi „indėliai“, joje nurodomos reikšmės tam tikrais atvejais skirsis nuo reikšmių, nurodomų skiltyse, kuriose pateikiama išsami informacija apie grupės mokumą.</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35</w:t>
      </w:r>
      <w:r>
        <w:fldChar w:fldCharType="end"/>
      </w:r>
      <w:r>
        <w:t>.</w:t>
      </w:r>
      <w:r>
        <w:tab/>
        <w:t>Principas – vienodai išbraukti rizikos arba nuosavų lėšų pozicijas, kurios dubliuojasi toje pačioje grupėje, ir taip parodyti grupės konsoliduotoje CA formoje nurodytas sumas, pridedant „Grupės mokumo“ formoje nurodytas kiekvieno subjekto sumas. Jei neviršijama 1 % riba, tiesioginė sąsaja su CA forma negalima.</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36</w:t>
      </w:r>
      <w:r>
        <w:fldChar w:fldCharType="end"/>
      </w:r>
      <w:r>
        <w:t>.</w:t>
      </w:r>
      <w:r>
        <w:tab/>
        <w:t>Įstaigos apibrėžia tinkamiausią subjektų suskirstymo metodiką, kad atsižvelgtų į galimą diversifikavimo poveikį rinkos rizikai ir operacinei rizikai.</w:t>
      </w:r>
    </w:p>
    <w:p w14:paraId="6EE62E0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37</w:t>
      </w:r>
      <w:r>
        <w:fldChar w:fldCharType="end"/>
      </w:r>
      <w:r>
        <w:t>.</w:t>
      </w:r>
      <w:r>
        <w:tab/>
        <w:t xml:space="preserve">Viena konsoliduota grupė gali būti įtraukta į kitą konsoliduotą grupę. Tai reiškia, kad informacija apie pogrupį sudarančius subjektus visos grupės mokumo (GS) formoje teikiama atskirai pagal kiekvieną subjektą, net jeigu informacijos teikimo reikalavimai taikomi pačiam pogrupiui. Pogrupis, kuriam taikomi informacijos teikimo reikalavimai, informaciją GS formoje taip pat teikia atskirai pagal kiekvieną subjektą, nors šie duomenys ir yra įtraukti į aukštesniu lygmeniu konsoliduotos grupės pateiktą GS formą.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38</w:t>
      </w:r>
      <w:r>
        <w:fldChar w:fldCharType="end"/>
      </w:r>
      <w:r>
        <w:t>.</w:t>
      </w:r>
      <w:r>
        <w:tab/>
        <w:t>Įstaiga duomenis apie subjekto indėlį teikia tada, kai jo indėlis į bendrą rizikos pozicijos sumą sudaro daugiau kaip 1 % grupės bendros rizikos pozicijos sumos arba kai jo indėlis į bendrą nuosavų lėšų sumą sudaro daugiau kaip 1 % grupės bendros nuosavų lėšų sumos. Ta riba netaikoma tais atvejais, kai patronuojamosios įmonės arba pogrupiai grupei suteikia nuosavų lėšų (mažumos dalių arba į nuosavas lėšas įtrauktų kvalifikuotųjų AT1 arba T2 priemonių pavidalu).</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Pr>
          <w:rFonts w:ascii="Times New Roman" w:hAnsi="Times New Roman"/>
          <w:sz w:val="24"/>
          <w:u w:val="none"/>
        </w:rPr>
        <w:t>2.4.</w:t>
      </w:r>
      <w:r>
        <w:rPr>
          <w:rFonts w:ascii="Times New Roman" w:hAnsi="Times New Roman"/>
          <w:sz w:val="24"/>
          <w:u w:val="none"/>
        </w:rPr>
        <w:tab/>
      </w:r>
      <w:r>
        <w:rPr>
          <w:rFonts w:ascii="Times New Roman" w:hAnsi="Times New Roman"/>
          <w:sz w:val="24"/>
        </w:rPr>
        <w:t>C 06.01. GRUPĖS MOKUMAS. INFORMACIJA APIE SUSIJUSIUS SUBJEKTUS. Bendra suma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Skiltys</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Nurodymai</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KONSOLIDUOJAMI SUBJEKTAI</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Žr. nurodymus dėl C 06.02 formos.</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KAPITALO REZERVAI</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Žr. nurodymus dėl C 06.02 formos.</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Eilutės</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Nurodymai</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BENDRA SUMA</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Bendra suma atitinka visose C 06.02 formos eilutėse pateiktų verčių sumą.</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GRUPĖS MOKUMAS. INFORMACIJA APIE SUSIJUSIUS SUBJEKTUS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Skiltys</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Nurodymai</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KONSOLIDUOJAMI SUBJEKTAI</w:t>
            </w:r>
          </w:p>
          <w:p w14:paraId="6B6FD15E" w14:textId="77777777" w:rsidR="00173F08" w:rsidRPr="002A677E" w:rsidRDefault="00173F08" w:rsidP="00822842">
            <w:pPr>
              <w:rPr>
                <w:rStyle w:val="InstructionsTabelleberschrift"/>
                <w:rFonts w:ascii="Times New Roman" w:hAnsi="Times New Roman"/>
                <w:b w:val="0"/>
                <w:bCs w:val="0"/>
                <w:sz w:val="24"/>
              </w:rPr>
            </w:pPr>
            <w:r>
              <w:rPr>
                <w:rFonts w:ascii="Times New Roman" w:hAnsi="Times New Roman"/>
                <w:sz w:val="24"/>
              </w:rPr>
              <w:t>Ši forma yra skirta informacijai apie visus subjektus, konsoliduojamus pagal Reglamento (ES) Nr. 575/2013 pirmos dalies II antraštinės dalies 2 skyrių, rinkti pagal atskirą subjektą.</w:t>
            </w:r>
            <w:r>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PAVADINIMAS</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Konsoliduojamo subjekto pavadinimas.</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KODAS</w:t>
            </w:r>
          </w:p>
          <w:p w14:paraId="099B8601" w14:textId="77777777" w:rsidR="00173F08" w:rsidRPr="002A677E" w:rsidRDefault="00173F08" w:rsidP="00822842">
            <w:pPr>
              <w:pStyle w:val="InstructionsText"/>
              <w:rPr>
                <w:rStyle w:val="InstructionsTabelleText"/>
              </w:rPr>
            </w:pPr>
            <w:r>
              <w:rPr>
                <w:rStyle w:val="InstructionsTabelleText"/>
              </w:rPr>
              <w:t>Eilutės numerio dalį sudarantis kodas turi būti unikalus kiekvienam subjektui, apie kurį teikiama informacija. Įstaigų ir draudimo įmonių kodas yra LEI kodas. Kitų subjektų atveju nurodomas LEI kodas arba, jei jo nėra, nacionalinis kodas. Unikalus kodas visą laiką nuosekliai naudojamas skirtingose formose. Kodas visuomet yra išreikštas tam tikra verte.</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KODO RŪŠIS</w:t>
            </w:r>
          </w:p>
          <w:p w14:paraId="094070A5"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Įstaigos nurodo 0021 skiltyje nurodyto kodo rūšį:</w:t>
            </w:r>
            <w:r>
              <w:rPr>
                <w:rStyle w:val="FormatvorlageInstructionsTabelleText"/>
                <w:rFonts w:ascii="Times New Roman" w:hAnsi="Times New Roman"/>
                <w:sz w:val="24"/>
              </w:rPr>
              <w:t xml:space="preserve"> „LEI kodas“ arba „ne LEI kodas“. Kodo rūšis nurodoma visada.</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NACIONALINIS KODAS</w:t>
            </w:r>
          </w:p>
          <w:p w14:paraId="6AB087F6" w14:textId="77777777"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Įstaigos gali papildomai nurodyti nacionalinį kodą, kai skiltyje „Kodas“ kaip identifikatorių nurodo LEI kodą.</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ĮSTAIGOS ARBA LYGIAVERČIAI REIKALAVIMAI (TAIP / NE)</w:t>
            </w:r>
          </w:p>
          <w:p w14:paraId="592DC07F"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„TAIP“ reikia žymėti, jei įstaigai taikomi nuosavų lėšų reikalavimai pagal Reglamentą (ES) Nr. 575/2013 ir Direktyvą 2013/36/ES arba nuostatos, kurios yra bent jau lygiavertės Bazelio susitarimo nuostatoms.</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Kitais atvejais reikia žymėti „NE“.</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Mažumos dalys:</w:t>
            </w:r>
          </w:p>
          <w:p w14:paraId="753444E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 xml:space="preserve"> Reglamento (ES) Nr. 575/2013 81 straipsnio 1 dalies a punkto ii papunktis ir 82 straipsnio 1 dalies a punkto ii papunktis.</w:t>
            </w:r>
          </w:p>
          <w:p w14:paraId="714487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Atsižvelgiant į mažumos dalių ir patronuojamųjų įmonių išleistų AT1 bei T2 priemonių poveikį, įtraukti patronuojamųjų įmonių priemones galima, jeigu patronuojamoji įmonė yra įstaiga arba įmonė, kuriai pagal taikomą nacionalinę teisę taikomi Reglamento (ES) Nr. 575/2013 reikalavimai.</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SUBJEKTO RŪŠIS</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Subjekto rūšis nurodoma pagal šias kategorijas:</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Pr>
                <w:rStyle w:val="InstructionsTabelleText"/>
                <w:rFonts w:ascii="Times New Roman" w:hAnsi="Times New Roman"/>
                <w:sz w:val="24"/>
              </w:rPr>
              <w:tab/>
              <w:t>kredito įstaiga –</w:t>
            </w:r>
          </w:p>
          <w:p w14:paraId="665499B6"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b/>
            </w:r>
            <w:r>
              <w:rPr>
                <w:rFonts w:ascii="Times New Roman" w:hAnsi="Times New Roman"/>
                <w:sz w:val="24"/>
              </w:rPr>
              <w:t>Reglamento (ES) Nr. 575/2013 4 straipsnio 1 dalies 1 punktas;</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Pr>
                <w:rStyle w:val="InstructionsTabelleText"/>
                <w:rFonts w:ascii="Times New Roman" w:hAnsi="Times New Roman"/>
                <w:sz w:val="24"/>
              </w:rPr>
              <w:tab/>
              <w:t>investicinė įmonė –</w:t>
            </w:r>
          </w:p>
          <w:p w14:paraId="6397577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Reglamento (ES) Nr. 575/2013 4 straipsnio 1 dalies 2 punktas;</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Pr>
                <w:rStyle w:val="InstructionsTabelleText"/>
                <w:rFonts w:ascii="Times New Roman" w:hAnsi="Times New Roman"/>
                <w:sz w:val="24"/>
              </w:rPr>
              <w:tab/>
              <w:t>finansų įstaiga (kita) –</w:t>
            </w:r>
          </w:p>
          <w:p w14:paraId="5B5F8DA3"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Reglamento (ES) Nr. 575/2013 4 straipsnio 1 dalies 20, 21 ir 26 punktai.</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Finansų įstaigos, kaip apibrėžta Reglamento (ES) Nr. 575/2013 4 straipsnio 1 dalies 26 punkte, nepatenkančios į nė vieną iš d, e ar g punktų kategorijų;</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Pr>
                <w:rStyle w:val="InstructionsTabelleText"/>
                <w:rFonts w:ascii="Times New Roman" w:hAnsi="Times New Roman"/>
                <w:sz w:val="24"/>
              </w:rPr>
              <w:tab/>
              <w:t>(mišrią veiklą vykdanti) finansų kontroliuojančioji bendrovė –</w:t>
            </w:r>
          </w:p>
          <w:p w14:paraId="1C70DDA8"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Reglamento (ES) Nr. 575/2013 4 straipsnio 1 dalies 20 ir 21 punktai;</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rPr>
                <w:rStyle w:val="InstructionsTabelleText"/>
                <w:rFonts w:ascii="Times New Roman" w:hAnsi="Times New Roman"/>
                <w:sz w:val="24"/>
              </w:rPr>
              <w:tab/>
              <w:t>papildomas paslaugas teikianti įmonė –</w:t>
            </w:r>
          </w:p>
          <w:p w14:paraId="21A43501"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Reglamento (ES) Nr. 575/2013 4 straipsnio 1 dalies 18 punktas;</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Pr>
                <w:rStyle w:val="InstructionsTabelleText"/>
                <w:rFonts w:ascii="Times New Roman" w:hAnsi="Times New Roman"/>
                <w:sz w:val="24"/>
              </w:rPr>
              <w:tab/>
              <w:t>specialios paskirties pakeitimo vertybiniais popieriais subjektas (SPPVPS) –</w:t>
            </w:r>
          </w:p>
          <w:p w14:paraId="0A5E164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Reglamento (ES) Nr. 575/2013 4 straipsnio 1 dalies 66 punktas;</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Pr>
                <w:rStyle w:val="InstructionsTabelleText"/>
                <w:rFonts w:ascii="Times New Roman" w:hAnsi="Times New Roman"/>
                <w:sz w:val="24"/>
              </w:rPr>
              <w:tab/>
              <w:t>padengtųjų obligacijų bendrovė –</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subjektas, įsteigtas tam, kad leistų padengtąsias obligacijas arba laikytų padengtąsias obligacijas užtikrinančią užtikrinimo priemonę, jei nepatenka į nė vieną iš pirmiau nurodytų a, b arba d–f kategorijų;</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h)</w:t>
            </w:r>
            <w:r>
              <w:rPr>
                <w:rStyle w:val="InstructionsTabelleText"/>
                <w:rFonts w:ascii="Times New Roman" w:hAnsi="Times New Roman"/>
                <w:sz w:val="24"/>
              </w:rPr>
              <w:tab/>
              <w:t>kitos rūšies subjektas –</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subjektas, nepatenkantis į a–g punktų kategorijas.</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Pr>
                <w:rStyle w:val="InstructionsTabelleberschrift"/>
                <w:rFonts w:ascii="Times New Roman" w:hAnsi="Times New Roman"/>
                <w:sz w:val="24"/>
              </w:rPr>
              <w:t>Kai subjektui Reglamentas (ES) Nr. 575/2013 ir Direktyva 2013/36/ES netaikomi, tačiau taikomos nuostatos, kurios yra bent lygiavertės Bazelio nuostatoms, atitinkama kategorija nustatoma kuo rūpestingiau.</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DUOMENŲ APIMTIS. </w:t>
            </w:r>
            <w:r>
              <w:rPr>
                <w:rFonts w:ascii="Times New Roman" w:hAnsi="Times New Roman"/>
                <w:b/>
                <w:caps/>
                <w:sz w:val="24"/>
                <w:u w:val="single"/>
              </w:rPr>
              <w:t>Atskiras visiškai konsoliduojamas subjektas (SF) arba atskiras iš dalies konsoliduojamas subjektas (SP)</w:t>
            </w:r>
          </w:p>
          <w:p w14:paraId="0AE72FF3" w14:textId="77777777" w:rsidR="00173F08" w:rsidRPr="002A677E" w:rsidRDefault="00173F08" w:rsidP="00822842">
            <w:pPr>
              <w:rPr>
                <w:rStyle w:val="Heading1Char"/>
                <w:rFonts w:ascii="Times New Roman" w:hAnsi="Times New Roman"/>
                <w:sz w:val="24"/>
              </w:rPr>
            </w:pPr>
            <w:r>
              <w:rPr>
                <w:rStyle w:val="InstructionsTabelleText"/>
                <w:rFonts w:ascii="Times New Roman" w:hAnsi="Times New Roman"/>
                <w:sz w:val="24"/>
              </w:rPr>
              <w:t>SF</w:t>
            </w:r>
            <w:r>
              <w:rPr>
                <w:rFonts w:ascii="Times New Roman" w:hAnsi="Times New Roman"/>
                <w:sz w:val="24"/>
              </w:rPr>
              <w:t xml:space="preserve"> nurodoma atskirų visiškai konsoliduojamų patronuojamųjų įmonių atveju.</w:t>
            </w:r>
            <w:r>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nurodoma atskirų iš dalies konsoliduojamų patronuojamųjų įmonių atveju.</w:t>
            </w:r>
            <w:r>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ŠALIES KODAS </w:t>
            </w:r>
          </w:p>
          <w:p w14:paraId="6D6EDCAD" w14:textId="3FF412B9"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 xml:space="preserve">Įstaigos nurodo dviraidį šalies kodą, nurodytą ISO 3166-2 standarte.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TURIMOS KAPITALO DALYS (%)</w:t>
            </w:r>
          </w:p>
          <w:p w14:paraId="0214F3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Ši procentinė dalis nurodo patronuojančiosios įmonės faktiškai turimą patronuojamųjų įmonių kapitalo dalį. Jeigu tiesioginė patronuojamoji įmonė yra visiškai konsoliduojama, faktinė dalis yra, pvz., 70 %. </w:t>
            </w:r>
            <w:r>
              <w:rPr>
                <w:rFonts w:ascii="Times New Roman" w:hAnsi="Times New Roman"/>
                <w:sz w:val="24"/>
              </w:rPr>
              <w:t>Vadovaujantis Reglamento (ES) Nr. 575/2013 4 straipsnio 1 dalies 16 punktu, pateikiant informaciją apie turimą patronuojamosios įmonės kapitalo dalį sudauginamos atitinkamų patronuojamųjų įmonių tarpusavyje turimos dalys.</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UŽSKAITOS GRUPĖ</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Užskaitos grupė – viena iš šių:</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grupė subjektų, kuriems kompetentinga institucija yra suteikus leidimą pagal Reglamento (ES) Nr. 575/2013 325b straipsnį tarpusavyje užskaityti vienos tos grupės įstaigos ar įmonės pozicijas ir kitos tos grupės įstaigos ar įmonės pozicijas;</w:t>
            </w:r>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atskiras subjektas, kurio pozicijų ir kito tos pačios grupės subjekto, kuriam taikoma konsoliduota priežiūra, pozicijų negalima užskaityti pagal Direktyvą 2013/36/ES, nes kompetentinga institucija nėra suteikusi leidimo pagal to reglamento 325b straipsnį.</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Įstaigos nurodo kiekvieno šablone išvardyto subjekto užskaitos grupę, jei jos atitinka šias dvi sąlygas:</w:t>
            </w:r>
          </w:p>
          <w:p w14:paraId="147E25D5"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a) apskaičiuoja savo veiklos nuosavų lėšų reikalavimus rinkos rizikai padengti pagal Reglamento (ES) Nr. 575/2013 trečios dalies IV antraštinės dalies 1a arba 1b skyrių, arba abu skyrius, arba yra įpareigotos teikti informaciją apie tuos nuosavų lėšų reikalavimus pagal to reglamento 430 straipsnio 2a arba 2b dalį;</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b) grupė, kuriai taikoma konsoliduota priežiūra pagal Direktyvą 2013/36/ES, turi bent dvi užskaitos grupes.</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Šioje skiltyje nurodomos vertės yra „1 užskaitos grupė“, „2 užskaitos grupė“ ir t. t. Nurodytos juridinių subjektų ir užskaitos grupių sąsajos turi išlikti nuoseklios laikui bėgant skirtingose tos pačios grupės, kuriai taikoma konsoliduota priežiūra, ataskaitose ir užskaitos grupių identifikavimo duomenyse formose, įtrauktose į </w:t>
            </w:r>
            <w:r>
              <w:rPr>
                <w:rStyle w:val="InstructionsTabelleText"/>
                <w:rFonts w:ascii="Times New Roman" w:hAnsi="Times New Roman"/>
                <w:sz w:val="24"/>
                <w:highlight w:val="yellow"/>
              </w:rPr>
              <w:t>[Reglamento (ES) 2021/453 I priedą]</w:t>
            </w:r>
            <w:r>
              <w:rPr>
                <w:rStyle w:val="InstructionsTabelleText"/>
                <w:rFonts w:ascii="Times New Roman" w:hAnsi="Times New Roman"/>
                <w:sz w:val="24"/>
              </w:rPr>
              <w:t>.</w:t>
            </w:r>
          </w:p>
          <w:p w14:paraId="5DB075C7"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Kai įstaiga atitinka a punkto sąlygą, bet grupė, kuriai pagal Direktyvą 2013/36/ES taikoma konsoliduota priežiūra, turi tik vieną užskaitos grupę, šioje formoje nurodomos grupės patronuojančiąją įstaigą atitinkančioje eilutėje įstaigos nurodo „vienintelė užskaitos grupė“.</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INFORMACIJA APIE SUBJEKTUS, KURIEMS TAIKOMI NUOSAVŲ LĖŠŲ REIKALAVIMAI</w:t>
            </w:r>
          </w:p>
          <w:p w14:paraId="5193F4B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Šioje išsamios informacijos dalyje (t. y. 0070–0240 skiltyse) pateikiama informacija tik apie tuos subjektus ir pogrupius, kurie yra konsoliduojami (Reglamento (ES) Nr. 575/2013 pirmos dalies II antraštinės dalies 2 skyrius), kuriems faktiškai taikomi Reglamentu (ES) Nr. 575/2013 nustatyti mokumo reikalavimai arba nuostatos, kurios yra bent jau lygiavertės Bazelio susitarimo nuostatoms (t. y. dėl kurių 0030 skiltyje pažymėta „TAIP“).</w:t>
            </w:r>
            <w:r>
              <w:rPr>
                <w:rStyle w:val="InstructionsTabelleText"/>
                <w:rFonts w:ascii="Times New Roman" w:hAnsi="Times New Roman"/>
                <w:sz w:val="24"/>
              </w:rPr>
              <w:t xml:space="preserve"> </w:t>
            </w:r>
          </w:p>
          <w:p w14:paraId="341FD737" w14:textId="77777777" w:rsidR="00173F08" w:rsidRPr="002A677E" w:rsidRDefault="00173F08" w:rsidP="00822842">
            <w:pPr>
              <w:rPr>
                <w:rFonts w:ascii="Times New Roman" w:hAnsi="Times New Roman"/>
                <w:sz w:val="24"/>
              </w:rPr>
            </w:pPr>
            <w:r>
              <w:rPr>
                <w:rFonts w:ascii="Times New Roman" w:hAnsi="Times New Roman"/>
                <w:sz w:val="24"/>
              </w:rPr>
              <w:lastRenderedPageBreak/>
              <w:t xml:space="preserve">Informacija pateikiama apie visas atskiras konsoliduotos grupės įstaigas, kurioms taikomi nuosavų lėšų reikalavimai, nepaisant to, kur jos yra. </w:t>
            </w:r>
          </w:p>
          <w:p w14:paraId="44903571" w14:textId="77777777" w:rsidR="00173F08" w:rsidRPr="002A677E" w:rsidRDefault="00173F08" w:rsidP="00822842">
            <w:pPr>
              <w:rPr>
                <w:rFonts w:ascii="Times New Roman" w:hAnsi="Times New Roman"/>
                <w:sz w:val="24"/>
              </w:rPr>
            </w:pPr>
            <w:r>
              <w:rPr>
                <w:rFonts w:ascii="Times New Roman" w:hAnsi="Times New Roman"/>
                <w:sz w:val="24"/>
              </w:rPr>
              <w:t>Šioje dalyje informacija pateikiama pagal jurisdikciją turinčios teritorijos, kurioje įstaiga veikia, vietos mokumo taisykles (todėl pildant šią formą kiekvienu atskiru atveju nereikia atlikti dvigubo skaičiavimo pagal patronuojančiosios įstaigos taisykles). Jeigu vietos mokumo taisyklės yra kitokios, negu nustatyta Reglamente (ES) Nr. 575/2013, ir detalus palyginimas nėra pateiktas, informacija turi būti papildyta, jeigu turimi reikiamo išsamumo duomenys. Todėl ši dalis – tai faktinė forma, kurioje apibendrinami skaičiavimai, kuriuos atskiros grupės įstaigos atlieka, atsižvelgdamos į tai, kad kai kurioms įstaigoms gali būti taikomos skirtingos mokumo taisyklės.</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Informacija apie investicinių įmonių pastoviąsias pridėtines išlaidas</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Fonts w:ascii="Times New Roman" w:hAnsi="Times New Roman"/>
                <w:sz w:val="24"/>
              </w:rPr>
              <w:t>Investicinės įmonės, skaičiuodamos savo kapitalo pakankamumą pagal Reglamento (ES) Nr. 575/2013 95, 96, 97 ir 98 straipsnius, įtraukia nuosavų lėšų reikalavimus, susijusius su pastoviosiomis pridėtinėmis išlaidomis.</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Bendros rizikos pozicijos sumos dalis, susijusi su pastoviosiomis pridėtinėmis išlaidomis, nurodoma šios formos 0100 skiltyje.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BENDRA RIZIKOS POZICIJOS SUMA </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Nurodoma 0080–0110 skilčių reikšmių suma.</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DALIS, KURIĄ ATITINKA: APATINĖS RIBOS KOREGAVIMAS (REZULTATŲ APATINĖS RIBOS TREA VERTĖ)</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Subjektai nurodo apatinės ribos koregavimą, apskaičiuotą individualiu pagrindu.</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KREDITO RIZIKA, SANDORIO ŠALIES KREDITO RIZIKA, GAUTINŲ SUMŲ SUMAŽĖJIMO RIZIKA, SU NEBAIGTAIS SANDORIAIS SUSIJUSI RIZIKA IR ATSISKAITYMO / PRISTATYMO RIZIKA</w:t>
            </w:r>
          </w:p>
          <w:p w14:paraId="4C32FDA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Šioje skiltyje nurodytina suma atitinka pagal riziką įvertintų pozicijų sumų, kurios yra lygios arba prilygsta sumoms, kurios turi būti nurodytos 0040 eilutėje „</w:t>
            </w:r>
            <w:r>
              <w:rPr>
                <w:rStyle w:val="InstructionsTabelleberschrift"/>
                <w:rFonts w:ascii="Times New Roman" w:hAnsi="Times New Roman"/>
                <w:sz w:val="24"/>
              </w:rPr>
              <w:t>PAGAL</w:t>
            </w:r>
            <w:r>
              <w:rPr>
                <w:rFonts w:ascii="Times New Roman" w:hAnsi="Times New Roman"/>
                <w:sz w:val="24"/>
              </w:rPr>
              <w:t xml:space="preserve"> KREDITO RIZIKĄ, SANDORIO ŠALIES KREDITO RIZIKĄ, GAUTINŲ SUMŲ SUMAŽĖJIMO RIZIKĄ IR SU NEBAIGTAIS SANDORIAIS SUSIJUSIĄ </w:t>
            </w:r>
            <w:r>
              <w:rPr>
                <w:rStyle w:val="InstructionsTabelleberschrift"/>
                <w:rFonts w:ascii="Times New Roman" w:hAnsi="Times New Roman"/>
                <w:sz w:val="24"/>
              </w:rPr>
              <w:t>RIZIKĄ ĮVERTINTŲ POZICIJŲ SUMOS</w:t>
            </w:r>
            <w:r>
              <w:rPr>
                <w:rFonts w:ascii="Times New Roman" w:hAnsi="Times New Roman"/>
                <w:sz w:val="24"/>
              </w:rPr>
              <w:t>“, ir nuosavų lėšų reikalavimų, kurie yra lygūs arba prilygsta reikalavimams, kurie turi būti nurodyti CA2 formos 0490 eilutėje „BENDRA RIZIKOS POZICIJOS SUMA ATSISKAITYMŲ / PRISTATYMO RIZIKAI“, sumą.</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RINKOS RIZIKA</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Šioje skiltyje nurodytina suma atitinka nuosavų lėšų reikalavimų sumą, lygią arba prilygstančią sumoms, kurios turi būti nurodytos CA2 formos 0520 eilutėje „ĮMONĖS, KURIAI KYLA RINKOS RIZIKA, BENDRA RIZIKOS POZICIJOS SUMA“.</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OPERACINĖ RIZIKA</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Šioje skiltyje nurodoma suma atitinka rizikos pozicijos sumą, lygią arba prilygstančią sumai, kuri turi būti nurodyta CA2 formos 0590 eilutėje „BENDRA RIZIKOS POZICIJOS SUMA OPERACINEI RIZIKAI (OpR)“.</w:t>
            </w:r>
          </w:p>
          <w:p w14:paraId="793CB6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Pastoviosios pridėtinės išlaidos įskaitomos į šią skiltį ir į CA2 formos 0630 eilutę „PAPILDOMA RIZIKOS POZICIJOS SUMA DĖL PASTOVIŲJŲ PRIDĖTINIŲ IŠLAIDŲ“.</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KITOS RIZIKOS POZICIJOS SUMOS</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Šioje skiltyje nurodoma suma atitinka kitur specialiai nenurodytos rizikos pozicijos sumą. Tai – CA2 formos 0640, 0680 ir 0690 eilučių reikšmių suma.</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IŠSAMI INFORMACIJA APIE NUOSAVAS LĖŠAS GRUPĖS MOKUMUI UŽTIKRINTI</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Šiose skiltyse informacija teikiama pagal valstybės narės, kurioje veikia įstaiga arba pogrupis, vietos mokumo taisykles.</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NUOSAVOS LĖŠOS</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Šioje skiltyje nurodoma suma atitinka nuosavų lėšų sumą, lygią arba prilygstančią sumoms, kurios turi būti nurodytos CA1 formos 0010 eilutėje „NUOSAVOS LĖŠOS“.</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DALIS, KURIĄ ATITINKA: KVALIFIKUOTOSIOS NUOSAVOS LĖŠOS </w:t>
            </w:r>
          </w:p>
          <w:p w14:paraId="34714CB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Reglamento (ES) Nr. 575/2013 82 straipsnis </w:t>
            </w:r>
          </w:p>
          <w:p w14:paraId="7999D7D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Šioje skiltyje informacija pateikiama tik apie patronuojamąsias įmones, apie kurias informacija teikiama atskirai, kurios yra visiškai konsoliduojamos ir kurios yra įstaigos. </w:t>
            </w:r>
          </w:p>
          <w:p w14:paraId="1DFAEDAA"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Kvalifikuotoji akcijų paketo dalis pirmiau nurodytų patronuojamųjų įmonių atveju yra asmenims, kurie nėra pagal Reglamentą (ES) Nr. 575/2013 konsoliduojamos įmonės, priklausančios priemonės (įskaitant susijusį nepaskirstytąjį pelną, akcijų priedus ir kitus rezervus).</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SUSIJUSIOS NUOSAVŲ LĖŠŲ PRIEMONĖS, SUSIJĘS NEPASKIRSTYTASIS PELNAS, AKCIJŲ PRIEDAI IR KITI REZERVAI</w:t>
            </w:r>
          </w:p>
          <w:p w14:paraId="3F7E53C7" w14:textId="77777777" w:rsidR="00173F08" w:rsidRPr="002A677E" w:rsidRDefault="00173F08" w:rsidP="00822842">
            <w:pPr>
              <w:rPr>
                <w:rStyle w:val="InstructionsTabelleberschrift"/>
                <w:rFonts w:ascii="Times New Roman" w:hAnsi="Times New Roman"/>
                <w:b w:val="0"/>
                <w:sz w:val="24"/>
              </w:rPr>
            </w:pPr>
            <w:r>
              <w:rPr>
                <w:rFonts w:ascii="Times New Roman" w:hAnsi="Times New Roman"/>
                <w:sz w:val="24"/>
              </w:rPr>
              <w:t>Reglamento (ES) Nr. 575/2013 87 straipsnio 1 dalies b punktas</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BENDRA 1 LYGIO KAPITALO SUMA</w:t>
            </w:r>
          </w:p>
          <w:p w14:paraId="3E861344"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Reglamento (ES) Nr. 575/2013 25 straipsnis</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DALIS, KURIĄ ATITINKA: KVALIFIKUOTASIS 1 LYGIO KAPITALAS</w:t>
            </w:r>
          </w:p>
          <w:p w14:paraId="4EB8A1F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Reglamento (ES) Nr. 575/2013 82 straipsnis</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Šioje skiltyje informacija pateikiama tik apie patronuojamąsias įmones, apie kurias informacija teikiama atskirai, kurios yra visiškai konsoliduojamos ir kurios yra įstaigos.</w:t>
            </w:r>
          </w:p>
          <w:p w14:paraId="0AF355C7"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Kvalifikuotoji akcijų paketo dalis pirmiau nurodytų patronuojamųjų įmonių atveju yra asmenims, kurie nėra pagal Reglamentą (ES) Nr. 575/2013 konsoliduojamos įmonės, priklausančios priemonės (įskaitant susijusį nepaskirstytąjį pelną ir akcijų priedus).</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SUSIJUSIOS T1 PRIEMONĖS, SUSIJĘS NEPASKIRSTYTASIS PELNAS IR AKCIJŲ PRIEDAI</w:t>
            </w:r>
          </w:p>
          <w:p w14:paraId="0C524078"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 xml:space="preserve">Reglamento (ES) Nr. 575/2013 85 straipsnio 1 dalies b punktas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BENDRAS 1 LYGIO NUOSAVAS KAPITALAS</w:t>
            </w:r>
          </w:p>
          <w:p w14:paraId="1D31362E"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Reglamento (ES) Nr. 575/2013 50 straipsnis</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DALIS, KURIĄ ATITINKA: MAŽUMOS DALYS</w:t>
            </w:r>
          </w:p>
          <w:p w14:paraId="03A35E0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Reglamento (ES) Nr. 575/2013 81 straipsnis</w:t>
            </w:r>
          </w:p>
          <w:p w14:paraId="2D5B8BC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Šioje skiltyje informacija pateikiama tik apie visiškai konsoliduojamas patronuojamąsias įmones, kurios yra įstaigos, išskyrus Reglamento (ES) Nr. 575/2013 84 straipsnio 3 dalyje nurodytas patronuojamąsias įmones.</w:t>
            </w:r>
            <w:r>
              <w:rPr>
                <w:rStyle w:val="InstructionsTabelleText"/>
                <w:rFonts w:ascii="Times New Roman" w:hAnsi="Times New Roman"/>
                <w:sz w:val="24"/>
              </w:rPr>
              <w:t xml:space="preserve"> </w:t>
            </w:r>
            <w:r>
              <w:rPr>
                <w:rFonts w:ascii="Times New Roman" w:hAnsi="Times New Roman"/>
                <w:sz w:val="24"/>
              </w:rPr>
              <w:t>Visi skaičiavimai, kurių reikalaujama Reglamento (ES) Nr. 575/2013 84 straipsniu, atliekami kiekvieną patronuojamąją įmonę konsoliduojant pogrupio lygmeniu, prireikus laikantis 84 straipsnio 2 dalies, o kitais atvejais – atskirai.</w:t>
            </w:r>
          </w:p>
          <w:p w14:paraId="2C0D816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Mažumos dalys pirmiau nurodytų patronuojamųjų įmonių atveju yra asmenims, kurie nėra pagal Reglamentą (ES) Nr. 575/2013 konsoliduojamos įmonės, priklausančios CET1 priemonės (įskaitant susijusį nepaskirstytąjį pelną ir akcijų priedus).</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SUSIJUSIOS NUOSAVŲ LĖŠŲ PRIEMONĖS, SUSIJĘS NEPASKIRSTYTASIS PELNAS, AKCIJŲ PRIEDAI IR KITI REZERVAI</w:t>
            </w:r>
          </w:p>
          <w:p w14:paraId="707CE464" w14:textId="77777777" w:rsidR="00173F08" w:rsidRPr="002A677E" w:rsidRDefault="00173F08" w:rsidP="00822842">
            <w:pPr>
              <w:rPr>
                <w:rStyle w:val="InstructionsTabelleberschrift"/>
                <w:rFonts w:ascii="Times New Roman" w:hAnsi="Times New Roman"/>
                <w:b w:val="0"/>
                <w:sz w:val="24"/>
              </w:rPr>
            </w:pPr>
            <w:r>
              <w:rPr>
                <w:rFonts w:ascii="Times New Roman" w:hAnsi="Times New Roman"/>
                <w:sz w:val="24"/>
              </w:rPr>
              <w:t>Reglamento (ES) Nr. 575/2013 84 straipsnio 1 dalies b punktas</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PAPILDOMAS 1 LYGIO KAPITALAS</w:t>
            </w:r>
          </w:p>
          <w:p w14:paraId="1CE78A7A"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Reglamento (ES) Nr. 575/2013 61 straipsnis</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DALIS, KURIĄ ATITINKA: KVALIFIKUOTASIS PAPILDOMAS 1 LYGIO KAPITALAS</w:t>
            </w:r>
          </w:p>
          <w:p w14:paraId="3A11BFD0"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Reglamento (ES) Nr. 575/2013 82 ir 83 straipsniai</w:t>
            </w:r>
          </w:p>
          <w:p w14:paraId="55F852A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Šioje skiltyje informacija pateikiama tik apie visiškai konsoliduojamas patronuojamąsias įmones, kurios yra įstaigos, išskyrus Reglamento (ES) Nr. 575/2013 85 straipsnio 2 dalyje nurodytas patronuojamąsias įmones.</w:t>
            </w:r>
            <w:r>
              <w:rPr>
                <w:rStyle w:val="InstructionsTabelleText"/>
                <w:rFonts w:ascii="Times New Roman" w:hAnsi="Times New Roman"/>
                <w:sz w:val="24"/>
              </w:rPr>
              <w:t xml:space="preserve"> </w:t>
            </w:r>
            <w:r>
              <w:rPr>
                <w:rFonts w:ascii="Times New Roman" w:hAnsi="Times New Roman"/>
                <w:sz w:val="24"/>
              </w:rPr>
              <w:t>Visi skaičiavimai, kurių reikalaujama Reglamento (ES) Nr. 575/2013 85 straipsniu, atliekami kiekvieną patronuojamąją įmonę konsoliduojant pogrupio lygmeniu, prireikus laikantis 85 straipsnio 2 dalies, o kitais atvejais – atskirai.</w:t>
            </w:r>
          </w:p>
          <w:p w14:paraId="32886E9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Mažumos dalys pirmiau nurodytų patronuojamųjų įmonių atveju yra asmenims, kurie nėra pagal Reglamentą (ES) Nr. 575/2013 konsoliduojamos įmonės, priklausančios AT1 priemonės (įskaitant susijusį nepaskirstytąjį pelną ir akcijų priedus).</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2 LYGIO KAPITALAS</w:t>
            </w:r>
          </w:p>
          <w:p w14:paraId="49EA3D83"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lastRenderedPageBreak/>
              <w:t>Reglamento (ES) Nr. 575/2013 71 straipsnis</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DALIS, KURIĄ ATITINKA: KVALIFIKUOTASIS 2 LYGIO KAPITALAS</w:t>
            </w:r>
          </w:p>
          <w:p w14:paraId="23E95E82"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Reglamento (ES) Nr. 575/2013 82 ir 83 straipsniai</w:t>
            </w:r>
          </w:p>
          <w:p w14:paraId="4ADB589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Šioje skiltyje informacija pateikiama tik apie visiškai konsoliduojamas patronuojamąsias įmones, kurios yra įstaigos, išskyrus Reglamento (ES) Nr. 575/2013 87 straipsnio 2 dalyje nurodytas patronuojamąsias įmones.</w:t>
            </w:r>
            <w:r>
              <w:rPr>
                <w:rStyle w:val="InstructionsTabelleText"/>
                <w:rFonts w:ascii="Times New Roman" w:hAnsi="Times New Roman"/>
                <w:sz w:val="24"/>
              </w:rPr>
              <w:t xml:space="preserve"> </w:t>
            </w:r>
            <w:r>
              <w:rPr>
                <w:rFonts w:ascii="Times New Roman" w:hAnsi="Times New Roman"/>
                <w:sz w:val="24"/>
              </w:rPr>
              <w:t>Visi skaičiavimai, kurių reikalaujama Reglamento (ES) Nr. 575/2013 87 straipsniu, atliekami kiekvieną patronuojamąją įmonę konsoliduojant pogrupio lygmeniu, prireikus laikantis to reglamento 87 straipsnio 2 dalies, o kitais atvejais – atskirai.</w:t>
            </w:r>
            <w:r>
              <w:rPr>
                <w:rStyle w:val="InstructionsTabelleText"/>
                <w:rFonts w:ascii="Times New Roman" w:hAnsi="Times New Roman"/>
                <w:sz w:val="24"/>
              </w:rPr>
              <w:t xml:space="preserve"> </w:t>
            </w:r>
          </w:p>
          <w:p w14:paraId="5BE2C85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Mažumos dalys pirmiau nurodytų patronuojamųjų įmonių atveju yra asmenims, kurie nėra pagal Reglamentą (ES) Nr. 575/2013 konsoliduojamos įmonės, priklausančios T2 priemonės (įskaitant susijusį nepaskirstytąjį pelną ir akcijų priedus).</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Suma nurodoma atsižvelgiant į visų pereinamojo laikotarpio nuostatų poveikį. Tai – ataskaitinę datą reikalavimus atitinkanti suma.</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INFORMACIJA APIE SUBJEKTŲ INDĖLĮ Į GRUPĖS MOKUMĄ</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INDĖLIS Į RIZIKĄ</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Toliau išdėstytose skiltyse informacija teikiama pagal informaciją teikiančiai įstaigai taikomas mokumo taisykles.</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BENDRA RIZIKOS POZICIJOS SUMA</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Nurodoma 0260–0290 skilčių reikšmių suma.</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KREDITO RIZIKA, SANDORIO ŠALIES KREDITO RIZIKA, GAUTINŲ SUMŲ SUMAŽĖJIMO RIZIKA, SU NEBAIGTAIS SANDORIAIS SUSIJUSI RIZIKA IR ATSISKAITYMO / PRISTATYMO RIZIKA</w:t>
            </w:r>
          </w:p>
          <w:p w14:paraId="6F46A7C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Nurodoma suma – pagal kredito riziką įvertintų pozicijų sumos ir nuosavų lėšų reikalavimai atsiskaitymo / pristatymo rizikai padengti pagal Reglamentą (ES) Nr. 575/2013, išskyrus bet kokias sumas, susijusias su sandoriais su kitais subjektais, įtrauktais į grupės konsoliduoto mokumo koeficiento skaičiavimą.</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RINKOS RIZIKA</w:t>
            </w:r>
          </w:p>
          <w:p w14:paraId="49127EF1" w14:textId="157C9035" w:rsidR="00173F08" w:rsidRPr="001235ED" w:rsidRDefault="00173F08" w:rsidP="00822842">
            <w:pPr>
              <w:rPr>
                <w:rStyle w:val="InstructionsTabelleText"/>
                <w:rFonts w:ascii="Times New Roman" w:hAnsi="Times New Roman"/>
                <w:sz w:val="24"/>
              </w:rPr>
            </w:pPr>
            <w:r>
              <w:rPr>
                <w:rFonts w:ascii="Times New Roman" w:hAnsi="Times New Roman"/>
                <w:sz w:val="24"/>
              </w:rPr>
              <w:t>Rinkos rizikos pozicijos sumos apskaičiuojamos kiekvieno subjekto lygmeniu, laikantis Reglamento (ES) Nr. 575/2013.</w:t>
            </w:r>
            <w:r>
              <w:rPr>
                <w:rStyle w:val="InstructionsTabelleText"/>
                <w:rFonts w:ascii="Times New Roman" w:hAnsi="Times New Roman"/>
                <w:sz w:val="24"/>
              </w:rPr>
              <w:t xml:space="preserve"> Subjektai nurodo savo indėlį į bendrą grupės rinkos rizikos pozicijos sumą. Čia nurodomų reikšmių suma atitinka sumą, nurodytą konsoliduotos ataskaitos 0520 eilutėje „ĮMONĖS, KURIAI KYLA RINKOS RIZIKA, BENDRA RIZIKOS POZICIJOS SUMA“.</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OPERACINĖ RIZIKA</w:t>
            </w:r>
          </w:p>
          <w:p w14:paraId="58C1AE53" w14:textId="2055313A" w:rsidR="00702B2E" w:rsidRPr="00702B2E" w:rsidRDefault="00702B2E" w:rsidP="00822842">
            <w:pPr>
              <w:rPr>
                <w:rFonts w:ascii="Times New Roman" w:hAnsi="Times New Roman"/>
                <w:sz w:val="24"/>
              </w:rPr>
            </w:pPr>
            <w:r>
              <w:rPr>
                <w:rFonts w:ascii="Times New Roman" w:hAnsi="Times New Roman"/>
                <w:sz w:val="24"/>
              </w:rPr>
              <w:t>Šioje skiltyje nurodytina suma atitinka operacinės rizikos pozicijos sumą.</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sz w:val="24"/>
              </w:rPr>
              <w:t>Pastoviosios pridėtinės išlaidos įskaitomos į šią skiltį.</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KITOS RIZIKOS POZICIJOS SUMOS</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lastRenderedPageBreak/>
              <w:t>Šioje skiltyje nurodoma suma atitinka pirmiau nenurodytos rizikos pozicijos sumą.</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INDĖLIS Į NUOSAVAS LĖŠAS</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Šioje formos dalyje nesiekiama įstaigoms nustatyti reikalavimo atlikti visus bendro kapitalo pakankamumo koeficiento skaičiavimus kiekvieno subjekto lygmeniu.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rPr>
                <w:rFonts w:ascii="Times New Roman" w:hAnsi="Times New Roman"/>
                <w:sz w:val="24"/>
              </w:rPr>
              <w:t>0300–0350 skiltis pildo tie konsoliduoti subjektai, kurie prisideda prie nuosavų lėšų mažumos dalimi, kvalifikuotuoju 1 lygio kapitalu arba kvalifikuotosiomis nuosavomis lėšomis. Taikant II dalies 2.3 skyriaus paskutiniame punkte nurodytą ribą, 0360–0400 skiltis pildo visi konsoliduoti subjektai, kurie prisideda prie konsoliduotų nuosavų lėšų.</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Į nuosavas lėšas, kurias į subjektą įneša kiti subjektai, konsoliduojami kartu su informaciją teikiančiu subjektu, neatsižvelgiama; šioje skiltyje nurodomas tik grynasis indėlis į grupės nuosavas lėšas (dažniausiai – nuosavos lėšos, gautos iš trečiųjų šalių, ir sukaupti rezervai).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Toliau išdėstytose skiltyse informacija teikiama pagal informaciją teikiančiai įstaigai taikomas mokumo taisykles.</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Į KONSOLIDUOTAS NUOSAVAS LĖŠAS ĮTRAUKTOS KVALIFIKUOTOSIOS NUOSAVOS LĖŠOS</w:t>
            </w:r>
          </w:p>
          <w:p w14:paraId="7830B882"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Suma, nurodoma kaip „Į KONSOLIDUOTAS NUOSAVAS LĖŠAS ĮTRAUKTOS KVALIFIKUOTOSIOS NUOSAVOS LĖŠOS“, yra suma, apskaičiuota pagal Reglamento (ES) Nr. 575/2013 antros dalies II antraštinę dalį, neįskaitant jokių kitų grupės subjektų įneštų lėšų.</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Į KONSOLIDUOTAS NUOSAVAS LĖŠAS ĮTRAUKTOS KVALIFIKUOTOSIOS NUOSAVOS LĖŠOS</w:t>
            </w:r>
          </w:p>
          <w:p w14:paraId="6F3A607D"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Reglamento (ES) Nr. 575/2013 87 straipsnis</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Į KONSOLIDUOTĄ 1 LYGIO KAPITALĄ ĮTRAUKTOS KVALIFIKUOTOSIOS 1 LYGIO PRIEMONĖS</w:t>
            </w:r>
          </w:p>
          <w:p w14:paraId="4E25C234"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Reglamento (ES) Nr. 575/2013 85 straipsnis</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Į KONSOLIDUOTĄ BENDRĄ 1 LYGIO NUOSAVĄ KAPITALĄ ĮTRAUKTOS MAŽUMOS DALYS</w:t>
            </w:r>
          </w:p>
          <w:p w14:paraId="0B8B81AA"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Reglamento (ES) Nr. 575/2013 84 straipsnis</w:t>
            </w:r>
          </w:p>
          <w:p w14:paraId="01FA0CD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Nurodoma suma – tai patronuojamosios įmonės mažumos dalių suma, įtraukta į konsoliduotą CET1 kapitalą pagal Reglamentą (ES) Nr. 575/2013.</w:t>
            </w:r>
            <w:r>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Į KONSOLIDUOTĄ PAPILDOMĄ 1 LYGIO KAPITALĄ ĮTRAUKTOS KVALIFIKUOTOSIOS 1 LYGIO PRIEMONĖS</w:t>
            </w:r>
          </w:p>
          <w:p w14:paraId="488797C4"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Reglamento (ES) Nr. 575/2013 86 straipsnis</w:t>
            </w:r>
          </w:p>
          <w:p w14:paraId="14D60AC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Nurodoma suma – tai patronuojamosios įmonės kvalifikuotojo 1 lygio kapitalo suma, įtraukta į konsoliduotą AT1 kapitalą pagal Reglamentą (ES) Nr. 575/2013.</w:t>
            </w:r>
            <w:r>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Į KONSOLIDUOTĄ 2 LYGIO KAPITALĄ ĮTRAUKTOS KVALIFIKUOTOSIOS NUOSAVŲ LĖŠŲ PRIEMONĖS</w:t>
            </w:r>
          </w:p>
          <w:p w14:paraId="1E25A6DF"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Reglamento (ES) Nr. 575/2013 88 straipsnis</w:t>
            </w:r>
          </w:p>
          <w:p w14:paraId="257F78A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Nurodoma suma – tai patronuojamosios įmonės kvalifikuotųjų nuosavų lėšų suma, įtraukta į konsoliduotą T2 kapitalą pagal Reglamentą (ES) Nr. 575/2013.</w:t>
            </w:r>
            <w:r>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lastRenderedPageBreak/>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PAPILDOMAS STRAIPSNIS. (−) PRESTIŽAS / (+) NEIGIAMAS PRESTIŽAS</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KONSOLIDUOTOS NUOSAVOS LĖŠOS</w:t>
            </w:r>
          </w:p>
          <w:p w14:paraId="71907E17"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Reglamento (ES) Nr. 575/2013 18 straipsnis</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Suma, nurodoma kaip „KONSOLIDUOTOS NUOSAVOS LĖŠOS“, yra suma, apskaičiuota pagal balansą, neįskaitant jokių kitų grupės subjektų įneštų lėšų.</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KONSOLIDUOTOS NUOSAVOS LĖŠOS</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DALIS, KURIĄ ATITINKA: BENDRAS 1 LYGIO NUOSAVAS KAPITALAS</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DALIS, KURIĄ ATITINKA: PAPILDOMAS 1 LYGIO KAPITALAS</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DALIS, KURIĄ ATITINKA: INDĖLIAI Į KONSOLIDUOTĄ REZULTATĄ</w:t>
            </w:r>
          </w:p>
          <w:p w14:paraId="0077C0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Nurodomas kiekvieno subjekto indėlis į konsoliduotą rezultatą (pelną arba nuostolį (−)). Įskaitomi mažumos dalims priskiriami rezultatai.</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DALIS, KURIĄ ATITINKA: (−) PRESTIŽAS / (+) NEIGIAMAS PRESTIŽAS</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Čia nurodomas informaciją apie patronuojamąją įmonę teikiančio subjekto prestižas arba neigiamas prestižas.</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KAPITALO REZERVAI</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Informacija apie kapitalo rezervus GS formoje teikiama pagal tokią pačią bendrą struktūrą kaip CA4 formoje, laikantis tų pačių informacijos teikimo principų. Teikiant informaciją apie kapitalo rezervus GS formoje atitinkamos sumos nurodomos atsižvelgiant į nuostatas, taikytinas siekiant nustatyti rezervo reikalavimą konsoliduotai grupės būklei. Todėl nurodytos kapitalo rezervo sumos rodo kiekvieno subjekto įnašus į grupės kapitalo rezervą. Nurodytos sumos turi būti pagrįstos nuostatomis, kuriomis į nacionalinę teisę perkeliama</w:t>
            </w:r>
            <w:r>
              <w:rPr>
                <w:rFonts w:ascii="Times New Roman" w:hAnsi="Times New Roman"/>
                <w:sz w:val="24"/>
              </w:rPr>
              <w:t xml:space="preserve"> Direktyva 2013/36/ES, </w:t>
            </w:r>
            <w:r>
              <w:rPr>
                <w:rStyle w:val="InstructionsTabelleberschrift"/>
                <w:rFonts w:ascii="Times New Roman" w:hAnsi="Times New Roman"/>
                <w:sz w:val="24"/>
              </w:rPr>
              <w:t>ir</w:t>
            </w:r>
            <w:r>
              <w:rPr>
                <w:rFonts w:ascii="Times New Roman" w:hAnsi="Times New Roman"/>
                <w:sz w:val="24"/>
              </w:rPr>
              <w:t xml:space="preserve"> Reglamentu (ES) Nr. 575/2013, </w:t>
            </w:r>
            <w:r>
              <w:rPr>
                <w:rStyle w:val="InstructionsTabelleberschrift"/>
                <w:rFonts w:ascii="Times New Roman" w:hAnsi="Times New Roman"/>
                <w:sz w:val="24"/>
              </w:rPr>
              <w:t>įskaitant visas juose numatytas pereinamojo laikotarpio nuostatas.</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JUNGTINIO REZERVO REIKALAVIMAS</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Fonts w:ascii="Times New Roman" w:hAnsi="Times New Roman"/>
                <w:sz w:val="24"/>
              </w:rPr>
              <w:t>Direktyvos 2013/36/ES 128 straipsnio 6 punktas</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KAPITALO APSAUGOS REZERVAS</w:t>
            </w:r>
          </w:p>
          <w:p w14:paraId="5DD283B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Direktyvos 2013/36/ES 128 straipsnio 1 punktas ir 129 straipsnis</w:t>
            </w:r>
          </w:p>
          <w:p w14:paraId="7013CF4E" w14:textId="77777777" w:rsidR="00173F08" w:rsidRPr="002A677E" w:rsidRDefault="00173F08" w:rsidP="00822842">
            <w:pPr>
              <w:pStyle w:val="InstructionsText"/>
              <w:rPr>
                <w:rStyle w:val="InstructionsTabelleText"/>
              </w:rPr>
            </w:pPr>
            <w:r>
              <w:t>Pagal Direktyvos 2013/36/ES 129 straipsnio 1 dalį kapitalo apsaugos rezervas yra papildoma bendro 1 lygio nuosavo kapitalo suma. Kadangi kapitalo apsaugos rezervo 2,5 % norma yra pastovi, šiame laukelyje nurodoma suma.</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ĮSTAIGOS SPECIALUS ANTICIKLINIS KAPITALO REZERVAS</w:t>
            </w:r>
          </w:p>
          <w:p w14:paraId="38A1148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Direktyvos 2013/36/ES 128 straipsnio 2 punktas, 130 straipsnis ir 135–140 straipsniai</w:t>
            </w:r>
          </w:p>
          <w:p w14:paraId="169D829F" w14:textId="77777777" w:rsidR="00173F08" w:rsidRPr="002A677E" w:rsidRDefault="00173F08" w:rsidP="00822842">
            <w:pPr>
              <w:pStyle w:val="InstructionsText"/>
              <w:rPr>
                <w:rStyle w:val="InstructionsTabelleText"/>
              </w:rPr>
            </w:pPr>
            <w:r>
              <w:t>Šiame laukelyje nurodoma konkreti anticiklinio rezervo suma.</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APSAUGOS REZERVAS, SUDARYTAS DĖL VALSTYBĖS NARĖS LYGMENIU NUSTATYTOS MAKROPRUDENCINĖS RIZIKOS ARBA SISTEMINĖS RIZIKOS</w:t>
            </w:r>
          </w:p>
          <w:p w14:paraId="0EC165D1" w14:textId="77777777" w:rsidR="00173F08" w:rsidRPr="002A677E" w:rsidRDefault="00173F08" w:rsidP="00822842">
            <w:pPr>
              <w:rPr>
                <w:rStyle w:val="InstructionsTabelleberschrift"/>
                <w:rFonts w:ascii="Times New Roman" w:hAnsi="Times New Roman"/>
                <w:b w:val="0"/>
                <w:sz w:val="24"/>
              </w:rPr>
            </w:pPr>
            <w:r>
              <w:rPr>
                <w:rFonts w:ascii="Times New Roman" w:hAnsi="Times New Roman"/>
                <w:sz w:val="24"/>
              </w:rPr>
              <w:t>Reglamento (ES) Nr. 575/2013 458 straipsnio 2 dalies d punkto iv papunktis</w:t>
            </w:r>
          </w:p>
          <w:p w14:paraId="2C6BA8FE" w14:textId="77777777" w:rsidR="00173F08" w:rsidRPr="002A677E" w:rsidRDefault="00173F08" w:rsidP="00822842">
            <w:pPr>
              <w:pStyle w:val="InstructionsText"/>
              <w:rPr>
                <w:rStyle w:val="InstructionsTabelleberschrift"/>
              </w:rPr>
            </w:pPr>
            <w:r>
              <w:t>Šiame laukelyje nurodoma apsaugos rezervo, sudaryto dėl valstybės narės lygmeniu nustatytos makroprudencinės rizikos arba sisteminės rizikos, kurį pagal Reglamento (ES) Nr. 575/2013 458 straipsnį gali būti reikalaujama turėti kartu su kapitalo apsaugos rezervu, suma.</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SISTEMINĖS RIZIKOS REZERVAS</w:t>
            </w:r>
          </w:p>
          <w:p w14:paraId="409112BD" w14:textId="77777777" w:rsidR="00173F08" w:rsidRPr="002A677E" w:rsidRDefault="00173F08" w:rsidP="00822842">
            <w:pPr>
              <w:pStyle w:val="InstructionsText"/>
            </w:pPr>
            <w:r>
              <w:t xml:space="preserve">Direktyvos 2013/36/ES 128 straipsnio 5 punktas, 133 ir 134 straipsniai </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Šiame laukelyje nurodoma sisteminės rizikos rezervo suma.</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PASAULINĖS SISTEMINĖS SVARBOS ĮSTAIGOS REZERVAS</w:t>
            </w:r>
            <w:r>
              <w:rPr>
                <w:rStyle w:val="InstructionsTabelleberschrift"/>
                <w:rFonts w:ascii="Times New Roman" w:hAnsi="Times New Roman"/>
                <w:sz w:val="24"/>
              </w:rPr>
              <w:tab/>
            </w:r>
          </w:p>
          <w:p w14:paraId="530093DF" w14:textId="77777777" w:rsidR="00173F08" w:rsidRPr="002A677E" w:rsidRDefault="00173F08" w:rsidP="00822842">
            <w:pPr>
              <w:pStyle w:val="InstructionsText"/>
              <w:rPr>
                <w:rStyle w:val="InstructionsTabelleberschrift"/>
                <w:b w:val="0"/>
              </w:rPr>
            </w:pPr>
            <w:r>
              <w:t>Direktyvos 2013/36/ES 128 straipsnio 3 punktas ir 131 straipsnis</w:t>
            </w:r>
          </w:p>
          <w:p w14:paraId="5835A3FB" w14:textId="77777777" w:rsidR="00173F08" w:rsidRPr="002A677E" w:rsidRDefault="00173F08" w:rsidP="00822842">
            <w:pPr>
              <w:pStyle w:val="InstructionsText"/>
              <w:rPr>
                <w:rStyle w:val="InstructionsTabelleberschrift"/>
              </w:rPr>
            </w:pPr>
            <w:r>
              <w:t>Šiame laukelyje nurodoma pasaulinės sisteminės svarbos įstaigos rezervo suma.</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KITOS SISTEMINĖS SVARBOS ĮSTAIGOS REZERVAS</w:t>
            </w:r>
            <w:r>
              <w:rPr>
                <w:rStyle w:val="InstructionsTabelleberschrift"/>
                <w:rFonts w:ascii="Times New Roman" w:hAnsi="Times New Roman"/>
                <w:sz w:val="24"/>
              </w:rPr>
              <w:tab/>
            </w:r>
          </w:p>
          <w:p w14:paraId="5C91FC01" w14:textId="77777777" w:rsidR="00173F08" w:rsidRPr="002A677E" w:rsidRDefault="00173F08" w:rsidP="00822842">
            <w:pPr>
              <w:pStyle w:val="InstructionsText"/>
            </w:pPr>
            <w:r>
              <w:t>Direktyvos 2013/36/ES 128 straipsnio 4 punktas ir 131 straipsnis</w:t>
            </w:r>
          </w:p>
          <w:p w14:paraId="677D9498" w14:textId="77777777" w:rsidR="00173F08" w:rsidRPr="002A677E" w:rsidRDefault="00173F08" w:rsidP="00822842">
            <w:pPr>
              <w:pStyle w:val="InstructionsText"/>
              <w:rPr>
                <w:rStyle w:val="InstructionsTabelleberschrift"/>
              </w:rPr>
            </w:pPr>
            <w:r>
              <w:t>Šiame laukelyje nurodoma kitos sisteminės svarbos įstaigos rezervo suma.</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58770D"/>
    <w:rsid w:val="00601EA3"/>
    <w:rsid w:val="00631623"/>
    <w:rsid w:val="00694782"/>
    <w:rsid w:val="00694862"/>
    <w:rsid w:val="00702B2E"/>
    <w:rsid w:val="00780E9B"/>
    <w:rsid w:val="009871DF"/>
    <w:rsid w:val="00A6002C"/>
    <w:rsid w:val="00A70706"/>
    <w:rsid w:val="00B44A0E"/>
    <w:rsid w:val="00B71F25"/>
    <w:rsid w:val="00BF2D9E"/>
    <w:rsid w:val="00C61CB8"/>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FD4A028D-B9AA-4ABD-96F4-355242ED87D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4127</Words>
  <Characters>22044</Characters>
  <Application>Microsoft Office Word</Application>
  <DocSecurity>0</DocSecurity>
  <Lines>512</Lines>
  <Paragraphs>335</Paragraphs>
  <ScaleCrop>false</ScaleCrop>
  <Company/>
  <LinksUpToDate>false</LinksUpToDate>
  <CharactersWithSpaces>25836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2025-01-27T08:45:54Z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551fe5b0-2b44-4a3e-a029-7b0dc4cfee6c</vt:lpwstr>
  </property>
  <property fmtid="{D5CDD505-2E9C-101B-9397-08002B2CF9AE}" pid="10" name="MSIP_Label_6bd9ddd1-4d20-43f6-abfa-fc3c07406f94_ContentBits">
    <vt:lpwstr>0</vt:lpwstr>
  </property>
</Properties>
</file>