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EN</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33BF0F02" w14:textId="77777777" w:rsidR="00DD798A" w:rsidRPr="00037E7B" w:rsidRDefault="00DD798A" w:rsidP="00DD798A">
      <w:pPr>
        <w:jc w:val="center"/>
        <w:rPr>
          <w:rFonts w:ascii="Times New Roman" w:hAnsi="Times New Roman"/>
          <w:sz w:val="24"/>
        </w:rPr>
      </w:pPr>
      <w:r w:rsidRPr="00037E7B">
        <w:rPr>
          <w:rFonts w:ascii="Times New Roman" w:hAnsi="Times New Roman"/>
          <w:sz w:val="24"/>
        </w:rPr>
        <w:t>‘ANNEX II</w:t>
      </w:r>
    </w:p>
    <w:p w14:paraId="43AF84F6" w14:textId="77777777" w:rsidR="00DD798A" w:rsidRPr="00037E7B" w:rsidRDefault="00DD798A" w:rsidP="00DD798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72B21DA" w14:textId="77777777" w:rsidR="00A931D0"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09.01 – Geographical breakdown of exposures by residence of the obligor: SA exposures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0" w:name="_Toc360188363"/>
      <w:bookmarkStart w:id="1" w:name="_Toc473560914"/>
      <w:bookmarkStart w:id="2" w:name="_Toc151714418"/>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Columns</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ORIGINAL EXPOSURE PRE-CONVERSION FACTORS</w:t>
            </w:r>
          </w:p>
          <w:p w14:paraId="1D6A0F00" w14:textId="77777777" w:rsidR="009D6580" w:rsidRPr="002A677E" w:rsidRDefault="009D6580" w:rsidP="00822842">
            <w:pPr>
              <w:rPr>
                <w:rFonts w:ascii="Times New Roman" w:hAnsi="Times New Roman"/>
                <w:sz w:val="24"/>
              </w:rPr>
            </w:pPr>
            <w:r w:rsidRPr="002A677E">
              <w:rPr>
                <w:rFonts w:ascii="Times New Roman" w:hAnsi="Times New Roman"/>
                <w:sz w:val="24"/>
              </w:rPr>
              <w:t>Same definition as for column 0010 of CR SA template</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Defaulted exposures</w:t>
            </w:r>
          </w:p>
          <w:p w14:paraId="147BD4ED" w14:textId="29FBEBE8"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Original exposure pre-conversion factors for those exposures which have been classified as “exposures in default” and for defaulted exposures assigned to the exposure class “equity exposures”</w:t>
            </w:r>
            <w:r w:rsidR="00AF2BE6">
              <w:rPr>
                <w:rStyle w:val="InstructionsTabelleText"/>
                <w:rFonts w:ascii="Times New Roman" w:hAnsi="Times New Roman"/>
                <w:sz w:val="24"/>
              </w:rPr>
              <w:t xml:space="preserve"> and defaulted exposures assigned to the exposure class “</w:t>
            </w:r>
            <w:r w:rsidR="00AF2BE6" w:rsidRPr="000C5380">
              <w:rPr>
                <w:rStyle w:val="InstructionsTabelleText"/>
                <w:rFonts w:ascii="Times New Roman" w:hAnsi="Times New Roman"/>
                <w:sz w:val="24"/>
              </w:rPr>
              <w:t>Exposures in the form of units or shares in collective investment undertakings (‘CIUs’)”</w:t>
            </w:r>
            <w:r w:rsidRPr="002A677E">
              <w:rPr>
                <w:rStyle w:val="InstructionsTabelleText"/>
                <w:rFonts w:ascii="Times New Roman" w:hAnsi="Times New Roman"/>
                <w:sz w:val="24"/>
              </w:rPr>
              <w:t>.</w:t>
            </w:r>
          </w:p>
          <w:p w14:paraId="6DA448A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This ‘memorandum item’ shall provide additional information about the obligor structure of defaulted exposures. Exposures classified as “exposures in default”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 (j)</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be reported where the obligors would have been </w:t>
            </w:r>
            <w:r w:rsidRPr="002A677E">
              <w:rPr>
                <w:rStyle w:val="InstructionsTabelleText"/>
                <w:rFonts w:ascii="Times New Roman" w:hAnsi="Times New Roman"/>
                <w:sz w:val="24"/>
              </w:rPr>
              <w:br/>
              <w:t xml:space="preserve">reported if those exposures were not assigned to the exposure classes 'exposures in default'. </w:t>
            </w:r>
          </w:p>
          <w:p w14:paraId="52855171" w14:textId="65C7A920" w:rsidR="009D6580" w:rsidRPr="002A677E" w:rsidRDefault="00123FDD" w:rsidP="00822842">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classes “exposures in default”</w:t>
            </w:r>
            <w:r>
              <w:rPr>
                <w:rStyle w:val="InstructionsTabelleText"/>
                <w:rFonts w:ascii="Times New Roman" w:hAnsi="Times New Roman"/>
                <w:sz w:val="24"/>
              </w:rPr>
              <w:t>,</w:t>
            </w:r>
            <w:r>
              <w:rPr>
                <w:rStyle w:val="InstructionsTabelleText"/>
                <w:rFonts w:ascii="Times New Roman" w:hAnsi="Times New Roman"/>
                <w:sz w:val="24"/>
              </w:rPr>
              <w:t xml:space="preserve"> </w:t>
            </w:r>
            <w:r w:rsidRPr="002A677E">
              <w:rPr>
                <w:rStyle w:val="InstructionsTabelleText"/>
                <w:rFonts w:ascii="Times New Roman" w:hAnsi="Times New Roman"/>
                <w:sz w:val="24"/>
              </w:rPr>
              <w:t>“equity exposures”</w:t>
            </w:r>
            <w:r>
              <w:rPr>
                <w:rStyle w:val="InstructionsTabelleText"/>
                <w:rFonts w:ascii="Times New Roman" w:hAnsi="Times New Roman"/>
                <w:sz w:val="24"/>
              </w:rPr>
              <w:t xml:space="preserve"> or “</w:t>
            </w:r>
            <w:r w:rsidRPr="000C5380">
              <w:rPr>
                <w:rStyle w:val="InstructionsTabelleText"/>
                <w:rFonts w:ascii="Times New Roman" w:hAnsi="Times New Roman"/>
                <w:sz w:val="24"/>
              </w:rPr>
              <w:t>Exposures in the form of units or shares in collective investment undertakings (‘CIUs’)”</w:t>
            </w:r>
            <w:r w:rsidRPr="002A677E">
              <w:rPr>
                <w:rStyle w:val="InstructionsTabelleText"/>
                <w:rFonts w:ascii="Times New Roman" w:hAnsi="Times New Roman"/>
                <w:sz w:val="24"/>
              </w:rPr>
              <w:t xml:space="preserve"> as referred to in Article 112</w:t>
            </w:r>
            <w:r>
              <w:rPr>
                <w:rStyle w:val="InstructionsTabelleText"/>
                <w:rFonts w:ascii="Times New Roman" w:hAnsi="Times New Roman"/>
                <w:sz w:val="24"/>
              </w:rPr>
              <w:t>, p</w:t>
            </w:r>
            <w:r w:rsidRPr="002A677E">
              <w:rPr>
                <w:rStyle w:val="InstructionsTabelleText"/>
                <w:rFonts w:ascii="Times New Roman" w:hAnsi="Times New Roman"/>
                <w:sz w:val="24"/>
              </w:rPr>
              <w:t>oints (j)</w:t>
            </w:r>
            <w:r>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 (p)</w:t>
            </w:r>
            <w:r>
              <w:rPr>
                <w:rStyle w:val="InstructionsTabelleText"/>
                <w:rFonts w:ascii="Times New Roman" w:hAnsi="Times New Roman"/>
                <w:sz w:val="24"/>
              </w:rPr>
              <w:t xml:space="preserve"> and (o)</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Observed new defaults for the period</w:t>
            </w:r>
          </w:p>
          <w:p w14:paraId="4C451CE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The amount of original exposures which have moved into exposure class “Exposures in default” during the 3-month period since the last reporting reference date shall be reported against the exposure class to which the obligor originally belonged.</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019027A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xml:space="preserve">, as well as Regulation (EU) 183/2014. </w:t>
            </w:r>
          </w:p>
          <w:p w14:paraId="124DE0E0" w14:textId="77777777" w:rsidR="009D6580" w:rsidRPr="002A677E" w:rsidRDefault="009D6580" w:rsidP="00822842">
            <w:pPr>
              <w:rPr>
                <w:rFonts w:ascii="Times New Roman" w:hAnsi="Times New Roman"/>
                <w:sz w:val="24"/>
              </w:rPr>
            </w:pPr>
            <w:r w:rsidRPr="002A677E">
              <w:rPr>
                <w:rFonts w:ascii="Times New Roman" w:hAnsi="Times New Roman"/>
                <w:sz w:val="24"/>
              </w:rPr>
              <w:t>This item shall include the general credit risk adjustments that are eligible for inclusion in T2 capital, before the application of the cap referred to in Article 62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0B8B57C"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0C4040D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E984FA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0061</w:t>
            </w:r>
          </w:p>
        </w:tc>
        <w:tc>
          <w:tcPr>
            <w:tcW w:w="8640" w:type="dxa"/>
          </w:tcPr>
          <w:p w14:paraId="7173ECB3"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074C80EC"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 xml:space="preserve">In line with Article 111 </w:t>
            </w:r>
            <w:r w:rsidRPr="001235ED">
              <w:rPr>
                <w:rFonts w:ascii="Times New Roman" w:hAnsi="Times New Roman"/>
                <w:sz w:val="24"/>
                <w:lang w:val="en-US"/>
              </w:rPr>
              <w:t>of Regulation (EU) No 575/2013</w:t>
            </w:r>
            <w:r w:rsidRPr="002A677E">
              <w:rPr>
                <w:rFonts w:ascii="Times New Roman" w:hAnsi="Times New Roman"/>
                <w:sz w:val="24"/>
                <w:lang w:eastAsia="en-GB" w:bidi="ne-NP"/>
              </w:rPr>
              <w:t>.</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7E554B6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4F849709"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0200 of CR SA template</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r w:rsidR="00AF2BE6">
              <w:rPr>
                <w:rFonts w:ascii="Times New Roman" w:hAnsi="Times New Roman"/>
                <w:b/>
                <w:sz w:val="24"/>
                <w:u w:val="single"/>
              </w:rPr>
              <w:t xml:space="preserve"> AND PRE FX-MISMATCH</w:t>
            </w:r>
          </w:p>
          <w:p w14:paraId="7F917189"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Same definition as for column 0215 of CR SA template</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SME SUPPORTING FACTOR</w:t>
            </w:r>
          </w:p>
          <w:p w14:paraId="7D7BF2EE"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0216 of CR SA template</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ADJUSTMENT TO THE RISK-WEIGHTED EXPOSURE AMOUNT DUE TO THE INFRASTRUCTURE SUPPORTING FACTOR</w:t>
            </w:r>
          </w:p>
          <w:p w14:paraId="3D157D72"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en-GB" w:bidi="ne-NP"/>
              </w:rPr>
              <w:t>Same definition as for column 0217 of CR SA template</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sidRPr="002A677E">
              <w:rPr>
                <w:rFonts w:ascii="Times New Roman" w:hAnsi="Times New Roman"/>
                <w:b/>
                <w:sz w:val="24"/>
                <w:u w:val="single"/>
              </w:rPr>
              <w:t>RISK WEIGHTED EXPOSURE AMOUNT AFTER SUPPORTING FACTORS</w:t>
            </w:r>
            <w:r w:rsidR="00AF2BE6">
              <w:rPr>
                <w:rFonts w:ascii="Times New Roman" w:hAnsi="Times New Roman"/>
                <w:b/>
                <w:sz w:val="24"/>
                <w:u w:val="single"/>
              </w:rPr>
              <w:t xml:space="preserve"> AND AFTER FX-MISMATCH</w:t>
            </w:r>
          </w:p>
          <w:p w14:paraId="5F17785F" w14:textId="6397E6C0" w:rsidR="009D6580" w:rsidRPr="002A677E" w:rsidRDefault="009D6580" w:rsidP="00AF2BE6">
            <w:pPr>
              <w:rPr>
                <w:rFonts w:ascii="Times New Roman" w:hAnsi="Times New Roman"/>
                <w:b/>
                <w:sz w:val="24"/>
                <w:u w:val="single"/>
              </w:rPr>
            </w:pPr>
            <w:r w:rsidRPr="002A677E">
              <w:rPr>
                <w:rFonts w:ascii="Times New Roman" w:hAnsi="Times New Roman"/>
                <w:sz w:val="24"/>
              </w:rPr>
              <w:t>Same definition as for column 0220 of CR SA template</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701FDDD6"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06578FE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(b)</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451BD941"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(c)</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59A0267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(d)</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17C7FCF4"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(e)</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153928C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(f)</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2131631A"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(g)</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sidRPr="002A677E">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Of which: Specialised lending</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Article 122a </w:t>
            </w:r>
            <w:r w:rsidRPr="001235ED">
              <w:rPr>
                <w:rFonts w:ascii="Times New Roman" w:hAnsi="Times New Roman"/>
                <w:sz w:val="24"/>
                <w:lang w:val="en-US"/>
              </w:rPr>
              <w:t>of Regulation (EU) No 575/2013</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4C73D393"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(h)</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sidRPr="002A677E">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r>
              <w:rPr>
                <w:rStyle w:val="InstructionsTabelleberschrift"/>
                <w:rFonts w:ascii="Times New Roman" w:hAnsi="Times New Roman"/>
                <w:sz w:val="24"/>
              </w:rPr>
              <w:t xml:space="preserve"> and ADC exposures</w:t>
            </w:r>
          </w:p>
          <w:p w14:paraId="6DD925ED" w14:textId="77777777" w:rsidR="009D6580" w:rsidRPr="002A677E" w:rsidRDefault="009D6580" w:rsidP="00822842">
            <w:pPr>
              <w:ind w:left="72"/>
              <w:rPr>
                <w:rStyle w:val="InstructionsTabelleText"/>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(i)</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(secured)</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residential immovable property - non-IPRE</w:t>
            </w:r>
            <w:r>
              <w:rPr>
                <w:rStyle w:val="InstructionsTabelleberschrift"/>
                <w:rFonts w:ascii="Times New Roman" w:hAnsi="Times New Roman"/>
                <w:sz w:val="24"/>
              </w:rPr>
              <w:t xml:space="preserve"> (unsecured)</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681B2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non-</w:t>
            </w:r>
            <w:r w:rsidRPr="006C1328">
              <w:rPr>
                <w:rStyle w:val="InstructionsTabelleberschrift"/>
                <w:rFonts w:ascii="Times New Roman" w:hAnsi="Times New Roman"/>
                <w:sz w:val="24"/>
              </w:rPr>
              <w:t>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lastRenderedPageBreak/>
              <w:t>0</w:t>
            </w:r>
            <w:r w:rsidR="009860C5">
              <w:rPr>
                <w:rStyle w:val="FormatvorlageInstructionsTabelleText"/>
                <w:rFonts w:ascii="Times New Roman" w:hAnsi="Times New Roman"/>
                <w:bCs w:val="0"/>
                <w:sz w:val="24"/>
              </w:rPr>
              <w:t>09</w:t>
            </w:r>
            <w:r w:rsidRPr="0020657D">
              <w:rPr>
                <w:rStyle w:val="FormatvorlageInstructionsTabelleText"/>
                <w:rFonts w:ascii="Times New Roman" w:hAnsi="Times New Roman"/>
                <w:bCs w:val="0"/>
                <w:sz w:val="24"/>
              </w:rPr>
              <w:t>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residential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w:t>
            </w:r>
            <w:r w:rsidR="00B3003C">
              <w:rPr>
                <w:rStyle w:val="InstructionsTabelleberschrift"/>
                <w:rFonts w:ascii="Times New Roman" w:hAnsi="Times New Roman"/>
                <w:sz w:val="24"/>
              </w:rPr>
              <w:t>resident</w:t>
            </w:r>
            <w:r w:rsidRPr="006C1328">
              <w:rPr>
                <w:rStyle w:val="InstructionsTabelleberschrift"/>
                <w:rFonts w:ascii="Times New Roman" w:hAnsi="Times New Roman"/>
                <w:sz w:val="24"/>
              </w:rPr>
              <w:t xml:space="preserve">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Other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(secured)</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 non-IPRE</w:t>
            </w:r>
            <w:r>
              <w:rPr>
                <w:rStyle w:val="InstructionsTabelleberschrift"/>
                <w:rFonts w:ascii="Times New Roman" w:hAnsi="Times New Roman"/>
                <w:sz w:val="24"/>
              </w:rPr>
              <w:t xml:space="preserve"> (unsecured)</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w:t>
            </w:r>
            <w:r w:rsidR="00381D02">
              <w:rPr>
                <w:rStyle w:val="InstructionsTabelleberschrift"/>
                <w:rFonts w:ascii="Times New Roman" w:hAnsi="Times New Roman"/>
                <w:b w:val="0"/>
                <w:bCs w:val="0"/>
                <w:sz w:val="24"/>
                <w:u w:val="none"/>
              </w:rPr>
              <w:t>emplate</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 xml:space="preserve">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w:t>
            </w:r>
            <w:r>
              <w:rPr>
                <w:rStyle w:val="InstructionsTabelleberschrift"/>
                <w:rFonts w:ascii="Times New Roman" w:hAnsi="Times New Roman"/>
                <w:sz w:val="24"/>
              </w:rPr>
              <w:t xml:space="preserve">Other - </w:t>
            </w:r>
            <w:r w:rsidRPr="006C1328">
              <w:rPr>
                <w:rStyle w:val="InstructionsTabelleberschrift"/>
                <w:rFonts w:ascii="Times New Roman" w:hAnsi="Times New Roman"/>
                <w:sz w:val="24"/>
              </w:rPr>
              <w:t>non-IPRE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 CR SA template</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w:t>
            </w:r>
            <w:r w:rsidR="009860C5">
              <w:rPr>
                <w:rStyle w:val="FormatvorlageInstructionsTabelleText"/>
                <w:rFonts w:ascii="Times New Roman" w:hAnsi="Times New Roman"/>
                <w:bCs w:val="0"/>
                <w:sz w:val="24"/>
              </w:rPr>
              <w:t>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sidRPr="006C1328">
              <w:rPr>
                <w:rStyle w:val="InstructionsTabelleberschrift"/>
                <w:rFonts w:ascii="Times New Roman" w:hAnsi="Times New Roman"/>
                <w:sz w:val="24"/>
              </w:rPr>
              <w:t>Secured by mortgages on commercial immovable property -</w:t>
            </w:r>
            <w:r>
              <w:rPr>
                <w:rStyle w:val="InstructionsTabelleberschrift"/>
                <w:rFonts w:ascii="Times New Roman" w:hAnsi="Times New Roman"/>
                <w:sz w:val="24"/>
              </w:rPr>
              <w:t>–</w:t>
            </w:r>
            <w:r w:rsidRPr="006C1328">
              <w:rPr>
                <w:rStyle w:val="InstructionsTabelleberschrift"/>
                <w:rFonts w:ascii="Times New Roman" w:hAnsi="Times New Roman"/>
                <w:sz w:val="24"/>
              </w:rPr>
              <w:t xml:space="preserve">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090</w:t>
            </w:r>
            <w:r w:rsidR="005644CB">
              <w:rPr>
                <w:rStyle w:val="FormatvorlageInstructionsTabelleText"/>
                <w:rFonts w:ascii="Times New Roman" w:hAnsi="Times New Roman"/>
                <w:bCs w:val="0"/>
                <w:sz w:val="24"/>
              </w:rPr>
              <w:t>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sidRPr="003A4998">
              <w:rPr>
                <w:rStyle w:val="InstructionsTabelleberschrift"/>
                <w:rFonts w:ascii="Times New Roman" w:hAnsi="Times New Roman"/>
                <w:sz w:val="24"/>
              </w:rPr>
              <w:t>Secured by mortgages on</w:t>
            </w:r>
            <w:r>
              <w:rPr>
                <w:rStyle w:val="InstructionsTabelleberschrift"/>
                <w:rFonts w:ascii="Times New Roman" w:hAnsi="Times New Roman"/>
                <w:sz w:val="24"/>
              </w:rPr>
              <w:t xml:space="preserve"> commercial</w:t>
            </w:r>
            <w:r w:rsidRPr="003A4998">
              <w:rPr>
                <w:rStyle w:val="InstructionsTabelleberschrift"/>
                <w:rFonts w:ascii="Times New Roman" w:hAnsi="Times New Roman"/>
                <w:sz w:val="24"/>
              </w:rPr>
              <w:t xml:space="preserve"> immovable property - Other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w:t>
            </w:r>
            <w:r w:rsidR="00FB1404">
              <w:rPr>
                <w:rStyle w:val="InstructionsTabelleberschrift"/>
                <w:rFonts w:ascii="Times New Roman" w:hAnsi="Times New Roman"/>
                <w:b w:val="0"/>
                <w:bCs w:val="0"/>
                <w:sz w:val="24"/>
                <w:u w:val="none"/>
              </w:rPr>
              <w:t>R</w:t>
            </w:r>
            <w:r>
              <w:rPr>
                <w:rStyle w:val="InstructionsTabelleberschrift"/>
                <w:rFonts w:ascii="Times New Roman" w:hAnsi="Times New Roman"/>
                <w:b w:val="0"/>
                <w:bCs w:val="0"/>
                <w:sz w:val="24"/>
                <w:u w:val="none"/>
              </w:rPr>
              <w:t xml:space="preserve"> SA template</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sidRPr="0020657D">
              <w:rPr>
                <w:rStyle w:val="FormatvorlageInstructionsTabelleText"/>
                <w:rFonts w:ascii="Times New Roman" w:hAnsi="Times New Roman"/>
                <w:bCs w:val="0"/>
                <w:sz w:val="24"/>
              </w:rPr>
              <w:t>09</w:t>
            </w:r>
            <w:r w:rsidR="005644CB">
              <w:rPr>
                <w:rStyle w:val="FormatvorlageInstructionsTabelleText"/>
                <w:rFonts w:ascii="Times New Roman" w:hAnsi="Times New Roman"/>
                <w:bCs w:val="0"/>
                <w:sz w:val="24"/>
              </w:rPr>
              <w:t>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sidRPr="003A4998">
              <w:rPr>
                <w:rStyle w:val="InstructionsTabelleberschrift"/>
                <w:rFonts w:ascii="Times New Roman" w:hAnsi="Times New Roman"/>
                <w:sz w:val="24"/>
              </w:rPr>
              <w:t>Acquisition, development and construction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See CR SA template</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sidRPr="002A677E">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0020 of CR SA template</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4E89ACE"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(j)</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Subordinated debt exposures</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w:t>
            </w:r>
            <w:r>
              <w:rPr>
                <w:rFonts w:ascii="Times New Roman" w:hAnsi="Times New Roman"/>
                <w:sz w:val="24"/>
              </w:rPr>
              <w:t>k</w:t>
            </w:r>
            <w:r w:rsidRPr="001235ED">
              <w:rPr>
                <w:rFonts w:ascii="Times New Roman" w:hAnsi="Times New Roman"/>
                <w:sz w:val="24"/>
              </w:rPr>
              <w:t>)</w:t>
            </w:r>
            <w:r>
              <w:rPr>
                <w:rFonts w:ascii="Times New Roman" w:hAnsi="Times New Roman"/>
                <w:sz w:val="24"/>
              </w:rPr>
              <w:t>,</w:t>
            </w:r>
            <w:r w:rsidRPr="001235ED">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(l)</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corporates with a short-term credit assessment</w:t>
            </w:r>
          </w:p>
          <w:p w14:paraId="53F92677" w14:textId="77777777" w:rsidR="009D6580" w:rsidRPr="002A677E" w:rsidRDefault="009D6580" w:rsidP="00822842">
            <w:pPr>
              <w:ind w:left="72"/>
              <w:rPr>
                <w:rFonts w:ascii="Times New Roman" w:hAnsi="Times New Roman"/>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(n)</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6BE6CAC2" w14:textId="77777777" w:rsidR="009D6580" w:rsidRPr="002A677E" w:rsidRDefault="009D6580" w:rsidP="00822842">
            <w:pPr>
              <w:ind w:left="72"/>
              <w:rPr>
                <w:rFonts w:ascii="Times New Roman" w:hAnsi="Times New Roman"/>
                <w:bCs/>
                <w:sz w:val="24"/>
              </w:rPr>
            </w:pPr>
            <w:r w:rsidRPr="002A677E">
              <w:rPr>
                <w:rFonts w:ascii="Times New Roman" w:hAnsi="Times New Roman"/>
                <w:sz w:val="24"/>
              </w:rPr>
              <w:t>Article 112</w:t>
            </w:r>
            <w:r>
              <w:rPr>
                <w:rFonts w:ascii="Times New Roman" w:hAnsi="Times New Roman"/>
                <w:sz w:val="24"/>
              </w:rPr>
              <w:t>, p</w:t>
            </w:r>
            <w:r w:rsidRPr="002A677E">
              <w:rPr>
                <w:rFonts w:ascii="Times New Roman" w:hAnsi="Times New Roman"/>
                <w:sz w:val="24"/>
              </w:rPr>
              <w:t>oint (o)</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sidRPr="001235ED">
              <w:rPr>
                <w:rFonts w:ascii="Times New Roman" w:hAnsi="Times New Roman"/>
                <w:bCs/>
                <w:sz w:val="24"/>
              </w:rPr>
              <w:t>Sum of rows 0141 to 0143</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sidRPr="002A677E">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Same definition as for row 0281 of CR SA template</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0282 of CR SA template</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sidRPr="002A677E">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0283 of CR SA template</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3170DAFB"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 xml:space="preserve">oint </w:t>
            </w:r>
            <w:r w:rsidRPr="002A677E">
              <w:rPr>
                <w:rFonts w:ascii="Times New Roman" w:hAnsi="Times New Roman"/>
                <w:sz w:val="24"/>
              </w:rPr>
              <w:t>(p)</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sidRPr="002A677E">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5D708342" w14:textId="77777777" w:rsidR="009D6580" w:rsidRPr="002A677E" w:rsidRDefault="009D6580" w:rsidP="00822842">
            <w:pPr>
              <w:ind w:left="72"/>
              <w:rPr>
                <w:rStyle w:val="InstructionsTabelleberschrift"/>
                <w:rFonts w:ascii="Times New Roman" w:hAnsi="Times New Roman"/>
                <w:sz w:val="24"/>
              </w:rPr>
            </w:pPr>
            <w:r w:rsidRPr="001235ED">
              <w:rPr>
                <w:rFonts w:ascii="Times New Roman" w:hAnsi="Times New Roman"/>
                <w:sz w:val="24"/>
              </w:rPr>
              <w:t>Article 112</w:t>
            </w:r>
            <w:r>
              <w:rPr>
                <w:rFonts w:ascii="Times New Roman" w:hAnsi="Times New Roman"/>
                <w:sz w:val="24"/>
              </w:rPr>
              <w:t>, p</w:t>
            </w:r>
            <w:r w:rsidRPr="001235ED">
              <w:rPr>
                <w:rFonts w:ascii="Times New Roman" w:hAnsi="Times New Roman"/>
                <w:sz w:val="24"/>
              </w:rPr>
              <w:t>oint (q)</w:t>
            </w:r>
            <w:r>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sidRPr="002A677E">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4" w:name="_Toc360188364"/>
      <w:bookmarkStart w:id="5" w:name="_Toc473560915"/>
      <w:bookmarkStart w:id="6" w:name="_Toc151714419"/>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09.02 – Geographical breakdown of exposures by residence of the obligor: IRB exposures</w:t>
      </w:r>
      <w:bookmarkEnd w:id="4"/>
      <w:r w:rsidRPr="002A677E">
        <w:rPr>
          <w:rFonts w:ascii="Times New Roman" w:hAnsi="Times New Roman" w:cs="Times New Roman"/>
          <w:sz w:val="24"/>
          <w:lang w:val="en-GB"/>
        </w:rPr>
        <w:t xml:space="preserve"> (CR GB 2)</w:t>
      </w:r>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7" w:name="_Toc360188365"/>
      <w:bookmarkStart w:id="8" w:name="_Toc473560916"/>
      <w:bookmarkStart w:id="9" w:name="_Toc151714420"/>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PRE-CONVERSION FACTORS</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0020 of CR IRB template</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2768B5B2"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Observed new defaults for the period</w:t>
            </w:r>
          </w:p>
          <w:p w14:paraId="2393DECB"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E8FD64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General credit risk adjustments</w:t>
            </w:r>
          </w:p>
          <w:p w14:paraId="1F1D0A5D"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Specific credit risk adjustments</w:t>
            </w:r>
          </w:p>
          <w:p w14:paraId="4DA8E76B"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Credit risk adjustments as referred to in Article 110 </w:t>
            </w:r>
            <w:r w:rsidRPr="001235ED">
              <w:rPr>
                <w:rFonts w:ascii="Times New Roman" w:hAnsi="Times New Roman"/>
                <w:sz w:val="24"/>
                <w:lang w:val="en-US"/>
              </w:rPr>
              <w:t>of Regulation (EU) No 575/2013</w:t>
            </w:r>
            <w:r w:rsidRPr="002A677E">
              <w:rPr>
                <w:rFonts w:ascii="Times New Roman" w:hAnsi="Times New Roman"/>
                <w:sz w:val="24"/>
              </w:rPr>
              <w:t>, as well as Regulation (EU) 183/2014</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sidRPr="002A677E">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Write-offs</w:t>
            </w:r>
          </w:p>
          <w:p w14:paraId="51BEEB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Write-offs as referred to in IFRS 9.5.4.4 and B5.4.9</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0070</w:t>
            </w:r>
          </w:p>
        </w:tc>
        <w:tc>
          <w:tcPr>
            <w:tcW w:w="8640" w:type="dxa"/>
          </w:tcPr>
          <w:p w14:paraId="7C362C1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454774E2"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INTERNAL RATING SCALE/ PD ASSIGNED TO THE OBLIGOR GRADE OR POOL (%)</w:t>
            </w:r>
          </w:p>
          <w:p w14:paraId="2C51714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0010 of CR IRB template</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WEIGHTED AVERAGE LGD (%)</w:t>
            </w:r>
          </w:p>
          <w:p w14:paraId="5BC89E8E" w14:textId="77777777" w:rsidR="009D6580" w:rsidRPr="002A677E" w:rsidRDefault="009D6580" w:rsidP="00822842">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columns 0230 and 0240 of CR IRB template: the exposure weighted average LGD (%) shall refer to all exposures, including exposures to large financial sector entities and unregulated financial entities. Article 181(1),</w:t>
            </w:r>
            <w:r>
              <w:rPr>
                <w:rStyle w:val="InstructionsTabelleText"/>
                <w:rFonts w:ascii="Times New Roman" w:hAnsi="Times New Roman"/>
                <w:sz w:val="24"/>
              </w:rPr>
              <w:t xml:space="preserve"> </w:t>
            </w:r>
            <w:r w:rsidRPr="002A677E">
              <w:rPr>
                <w:rStyle w:val="InstructionsTabelleText"/>
                <w:rFonts w:ascii="Times New Roman" w:hAnsi="Times New Roman"/>
                <w:sz w:val="24"/>
              </w:rPr>
              <w:t>point (h)</w:t>
            </w:r>
            <w:r>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Pr="001235ED">
              <w:rPr>
                <w:rFonts w:ascii="Times New Roman" w:hAnsi="Times New Roman"/>
                <w:sz w:val="24"/>
                <w:lang w:val="en-US"/>
              </w:rPr>
              <w:t>of Regulation (EU) No 575/2013</w:t>
            </w:r>
            <w:r w:rsidRPr="002A677E">
              <w:rPr>
                <w:rStyle w:val="InstructionsTabelleText"/>
                <w:rFonts w:ascii="Times New Roman" w:hAnsi="Times New Roman"/>
                <w:sz w:val="24"/>
              </w:rPr>
              <w:t xml:space="preserve"> shall apply.</w:t>
            </w:r>
          </w:p>
          <w:p w14:paraId="3A7794E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 xml:space="preserve">For specialised lending exposures where the PD is estimated, the reported value should be either the estimated or the regulatory LGD. For specialised lending exposures referred to in Article 153(5) </w:t>
            </w:r>
            <w:r w:rsidRPr="001235ED">
              <w:rPr>
                <w:rFonts w:ascii="Times New Roman" w:hAnsi="Times New Roman"/>
                <w:sz w:val="24"/>
                <w:lang w:val="en-US"/>
              </w:rPr>
              <w:t>of Regulation (EU) No 575/2013</w:t>
            </w:r>
            <w:r w:rsidRPr="002A677E">
              <w:rPr>
                <w:rFonts w:ascii="Times New Roman" w:hAnsi="Times New Roman"/>
                <w:sz w:val="24"/>
              </w:rPr>
              <w:t>, data cannot be reported as it is not available.</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789E281A"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in accordance with Article 178 </w:t>
            </w:r>
            <w:r w:rsidRPr="001235ED">
              <w:rPr>
                <w:rFonts w:ascii="Times New Roman" w:hAnsi="Times New Roman"/>
                <w:sz w:val="24"/>
                <w:lang w:val="en-US"/>
              </w:rPr>
              <w:t>of Regulation (EU) No 575/2013</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sidRPr="002A677E">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Exposure value</w:t>
            </w:r>
          </w:p>
          <w:p w14:paraId="533E4F5D"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0110 of CR IRB template</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38950726"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0255 of CR IRB template</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2A07E1E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defaulted</w:t>
            </w:r>
          </w:p>
          <w:p w14:paraId="0B72119F"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in accordance with Article 178(1) </w:t>
            </w:r>
            <w:r w:rsidRPr="001235ED">
              <w:rPr>
                <w:rFonts w:ascii="Times New Roman" w:hAnsi="Times New Roman"/>
                <w:sz w:val="24"/>
                <w:lang w:val="en-US"/>
              </w:rPr>
              <w:t>of Regulation (EU) No 575/2013</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0121</w:t>
            </w:r>
          </w:p>
        </w:tc>
        <w:tc>
          <w:tcPr>
            <w:tcW w:w="8640" w:type="dxa"/>
          </w:tcPr>
          <w:p w14:paraId="51B6E44A"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w:t>
            </w:r>
            <w:r>
              <w:rPr>
                <w:rFonts w:ascii="Times New Roman" w:hAnsi="Times New Roman"/>
                <w:b/>
                <w:sz w:val="24"/>
                <w:u w:val="single"/>
                <w:lang w:eastAsia="en-GB" w:bidi="ne-NP"/>
              </w:rPr>
              <w:t xml:space="preserve"> </w:t>
            </w:r>
            <w:r w:rsidRPr="002A677E">
              <w:rPr>
                <w:rFonts w:ascii="Times New Roman" w:hAnsi="Times New Roman"/>
                <w:b/>
                <w:sz w:val="24"/>
                <w:u w:val="single"/>
                <w:lang w:eastAsia="en-GB" w:bidi="ne-NP"/>
              </w:rPr>
              <w:t>ADJUSTMENT TO RISK-WEIGHTED EXPOSURE AMOUNT DUE TO SME SUPPORTING FACTOR</w:t>
            </w:r>
          </w:p>
          <w:p w14:paraId="7060DF0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0256 of CR IRB template</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sidRPr="002A677E">
              <w:rPr>
                <w:rFonts w:ascii="Times New Roman" w:hAnsi="Times New Roman"/>
                <w:sz w:val="24"/>
                <w:lang w:eastAsia="en-GB" w:bidi="ne-NP"/>
              </w:rPr>
              <w:t>0122</w:t>
            </w:r>
          </w:p>
        </w:tc>
        <w:tc>
          <w:tcPr>
            <w:tcW w:w="8640" w:type="dxa"/>
          </w:tcPr>
          <w:p w14:paraId="77E17241" w14:textId="77777777" w:rsidR="009D6580" w:rsidRPr="002A677E" w:rsidRDefault="009D6580" w:rsidP="00822842">
            <w:pPr>
              <w:rPr>
                <w:rFonts w:ascii="Times New Roman" w:hAnsi="Times New Roman"/>
                <w:b/>
                <w:sz w:val="24"/>
                <w:u w:val="single"/>
                <w:lang w:eastAsia="en-GB" w:bidi="ne-NP"/>
              </w:rPr>
            </w:pPr>
            <w:r w:rsidRPr="002A677E">
              <w:rPr>
                <w:rFonts w:ascii="Times New Roman" w:hAnsi="Times New Roman"/>
                <w:b/>
                <w:sz w:val="24"/>
                <w:u w:val="single"/>
                <w:lang w:eastAsia="en-GB" w:bidi="ne-NP"/>
              </w:rPr>
              <w:t>(-) ADJUSTMENT TO RISK-WEIGHTED EXPOSURE AMOUNT DUE TO THE INFRASTRUCTURE SUPPORTING FACTOR</w:t>
            </w:r>
          </w:p>
          <w:p w14:paraId="1EE90D25"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lang w:eastAsia="en-GB" w:bidi="ne-NP"/>
              </w:rPr>
              <w:t>Same definition as for column 0257 of CR IRB template</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sidRPr="002A677E">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71F977E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0260 of CR IRB template</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sidRPr="002A677E">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EXPECTED LOSS AMOUNT</w:t>
            </w:r>
          </w:p>
          <w:p w14:paraId="27E13378" w14:textId="77777777" w:rsidR="009D6580" w:rsidRPr="002A677E" w:rsidRDefault="009D6580" w:rsidP="00822842">
            <w:pPr>
              <w:rPr>
                <w:rFonts w:ascii="Times New Roman" w:hAnsi="Times New Roman"/>
                <w:b/>
                <w:sz w:val="24"/>
                <w:u w:val="single"/>
              </w:rPr>
            </w:pPr>
            <w:r w:rsidRPr="002A677E">
              <w:rPr>
                <w:rStyle w:val="InstructionsTabelleText"/>
                <w:rFonts w:ascii="Times New Roman" w:hAnsi="Times New Roman"/>
                <w:sz w:val="24"/>
              </w:rPr>
              <w:t>Same definition as for column 0280 of CR IRB template</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sidRPr="002A677E">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45CC186E"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sidRPr="72FDE0D4">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Of which: Regional governments or local authorities</w:t>
            </w:r>
          </w:p>
          <w:p w14:paraId="4864E157"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w:t>
            </w:r>
            <w:r>
              <w:rPr>
                <w:rFonts w:ascii="Times New Roman" w:hAnsi="Times New Roman"/>
                <w:sz w:val="24"/>
              </w:rPr>
              <w:t>3a</w:t>
            </w:r>
            <w:r w:rsidRPr="002A677E">
              <w:rPr>
                <w:rFonts w:ascii="Times New Roman" w:hAnsi="Times New Roman"/>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Regional governments or local authorities</w:t>
            </w:r>
          </w:p>
          <w:p w14:paraId="19FE9B53"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sidRPr="00B7761D">
              <w:rPr>
                <w:rFonts w:ascii="Times New Roman" w:hAnsi="Times New Roman"/>
                <w:b/>
                <w:sz w:val="24"/>
                <w:u w:val="single"/>
              </w:rPr>
              <w:t xml:space="preserve">Public sector entities </w:t>
            </w:r>
          </w:p>
          <w:p w14:paraId="1DE1AAE7"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(a</w:t>
            </w:r>
            <w:r>
              <w:rPr>
                <w:rFonts w:ascii="Times New Roman" w:hAnsi="Times New Roman"/>
                <w:bCs/>
                <w:sz w:val="24"/>
              </w:rPr>
              <w:t>1</w:t>
            </w:r>
            <w:r w:rsidRPr="002A677E">
              <w:rPr>
                <w:rFonts w:ascii="Times New Roman" w:hAnsi="Times New Roman"/>
                <w:bCs/>
                <w:sz w:val="24"/>
              </w:rPr>
              <w:t>)</w:t>
            </w:r>
            <w:r>
              <w:rPr>
                <w:rFonts w:ascii="Times New Roman" w:hAnsi="Times New Roman"/>
                <w:bCs/>
                <w:sz w:val="24"/>
              </w:rPr>
              <w:t xml:space="preserve"> (ii),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Institutions</w:t>
            </w:r>
          </w:p>
          <w:p w14:paraId="504F46A3" w14:textId="77777777" w:rsidR="009D6580" w:rsidRPr="002A677E" w:rsidRDefault="009D6580" w:rsidP="00822842">
            <w:pPr>
              <w:rPr>
                <w:rFonts w:ascii="Times New Roman" w:hAnsi="Times New Roman"/>
                <w:sz w:val="24"/>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(b)</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 xml:space="preserve">Corporates </w:t>
            </w:r>
          </w:p>
          <w:p w14:paraId="699F9BD2"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All exposures to corporates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sidRPr="002A677E">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Of which: SME</w:t>
            </w:r>
          </w:p>
          <w:p w14:paraId="13819074"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(c)</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For the purpose of classification to this sub-exposure class</w:t>
            </w:r>
            <w:r w:rsidRPr="002A677E" w:rsidDel="00F71C19">
              <w:rPr>
                <w:rFonts w:ascii="Times New Roman" w:hAnsi="Times New Roman"/>
                <w:sz w:val="24"/>
                <w:lang w:eastAsia="de-DE"/>
              </w:rPr>
              <w:t xml:space="preserve"> </w:t>
            </w:r>
            <w:r w:rsidRPr="002A677E">
              <w:rPr>
                <w:rFonts w:ascii="Times New Roman" w:hAnsi="Times New Roman"/>
                <w:sz w:val="24"/>
                <w:lang w:eastAsia="de-DE"/>
              </w:rPr>
              <w:t xml:space="preserve">the reporting entities shall use </w:t>
            </w:r>
            <w:r>
              <w:rPr>
                <w:rFonts w:ascii="Times New Roman" w:hAnsi="Times New Roman"/>
                <w:sz w:val="24"/>
                <w:lang w:eastAsia="de-DE"/>
              </w:rPr>
              <w:t xml:space="preserve">the definition </w:t>
            </w:r>
            <w:r w:rsidRPr="002A677E">
              <w:rPr>
                <w:rFonts w:ascii="Times New Roman" w:hAnsi="Times New Roman"/>
                <w:sz w:val="24"/>
                <w:lang w:eastAsia="de-DE"/>
              </w:rPr>
              <w:t xml:space="preserve">of SME </w:t>
            </w:r>
            <w:r>
              <w:rPr>
                <w:rFonts w:ascii="Times New Roman" w:hAnsi="Times New Roman"/>
                <w:sz w:val="24"/>
                <w:lang w:eastAsia="de-DE"/>
              </w:rPr>
              <w:t xml:space="preserve">in 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sidRPr="00B7761D">
              <w:rPr>
                <w:rFonts w:ascii="Times New Roman" w:hAnsi="Times New Roman"/>
                <w:b/>
                <w:sz w:val="24"/>
                <w:u w:val="single"/>
              </w:rPr>
              <w:t>Of Which: Large Corporates</w:t>
            </w:r>
          </w:p>
          <w:p w14:paraId="503F359E" w14:textId="77777777" w:rsidR="00B56773" w:rsidRPr="00B56773" w:rsidRDefault="00B56773" w:rsidP="00B56773">
            <w:pPr>
              <w:rPr>
                <w:rFonts w:ascii="Times New Roman" w:hAnsi="Times New Roman"/>
                <w:bCs/>
                <w:sz w:val="24"/>
              </w:rPr>
            </w:pPr>
            <w:r w:rsidRPr="00B56773">
              <w:rPr>
                <w:rFonts w:ascii="Times New Roman" w:hAnsi="Times New Roman"/>
                <w:bCs/>
                <w:sz w:val="24"/>
              </w:rPr>
              <w:t>Article 147(2), point (c), of Regulation (EU) No 575/2013.</w:t>
            </w:r>
          </w:p>
          <w:p w14:paraId="23F8CBD6" w14:textId="77777777" w:rsidR="00B56773" w:rsidRPr="00E47484" w:rsidRDefault="00B56773" w:rsidP="007400C4">
            <w:pPr>
              <w:rPr>
                <w:rFonts w:ascii="Times New Roman" w:hAnsi="Times New Roman"/>
                <w:b/>
                <w:sz w:val="24"/>
                <w:u w:val="single"/>
              </w:rPr>
            </w:pPr>
            <w:r w:rsidRPr="00B56773">
              <w:rPr>
                <w:rFonts w:ascii="Times New Roman" w:hAnsi="Times New Roman"/>
                <w:bCs/>
                <w:sz w:val="24"/>
              </w:rPr>
              <w:t>For the purpose of classification to this sub-exposure class</w:t>
            </w:r>
            <w:r w:rsidRPr="00B56773" w:rsidDel="00F71C19">
              <w:rPr>
                <w:rFonts w:ascii="Times New Roman" w:hAnsi="Times New Roman"/>
                <w:bCs/>
                <w:sz w:val="24"/>
              </w:rPr>
              <w:t xml:space="preserve"> </w:t>
            </w:r>
            <w:r w:rsidRPr="00B56773">
              <w:rPr>
                <w:rFonts w:ascii="Times New Roman" w:hAnsi="Times New Roman"/>
                <w:bCs/>
                <w:sz w:val="24"/>
              </w:rPr>
              <w:t>the reporting entities shall use the definition of Large Corporate in Article 142 (1), point (5a) of Regulation (EU) No 575/2013.</w:t>
            </w:r>
            <w:r w:rsidRPr="00B56773">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sidRPr="00B7761D">
              <w:rPr>
                <w:rFonts w:ascii="Times New Roman" w:hAnsi="Times New Roman"/>
                <w:b/>
                <w:sz w:val="24"/>
                <w:u w:val="single"/>
              </w:rPr>
              <w:t>Specialised Lending</w:t>
            </w:r>
          </w:p>
          <w:p w14:paraId="510C1D3E" w14:textId="683EFC86" w:rsidR="00B56773" w:rsidRPr="00B56773" w:rsidDel="000306F2" w:rsidRDefault="00B56773" w:rsidP="007400C4">
            <w:pPr>
              <w:rPr>
                <w:rFonts w:ascii="Times New Roman" w:hAnsi="Times New Roman"/>
                <w:bCs/>
                <w:sz w:val="24"/>
              </w:rPr>
            </w:pPr>
            <w:r w:rsidRPr="00B56773">
              <w:rPr>
                <w:rFonts w:ascii="Times New Roman" w:hAnsi="Times New Roman"/>
                <w:bCs/>
                <w:sz w:val="24"/>
              </w:rPr>
              <w:t>Article 147(2), point (c) (ii), of Regulation (EU) No 575/2013.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sidRPr="00B7761D">
              <w:rPr>
                <w:rFonts w:ascii="Times New Roman" w:hAnsi="Times New Roman"/>
                <w:b/>
                <w:sz w:val="24"/>
                <w:u w:val="single"/>
              </w:rPr>
              <w:t>Specialised Lending</w:t>
            </w:r>
            <w:r w:rsidR="00021099">
              <w:rPr>
                <w:rFonts w:ascii="Times New Roman" w:hAnsi="Times New Roman"/>
                <w:b/>
                <w:sz w:val="24"/>
                <w:u w:val="single"/>
              </w:rPr>
              <w:t xml:space="preserve"> </w:t>
            </w:r>
            <w:r w:rsidR="00021099" w:rsidRPr="00021099">
              <w:rPr>
                <w:rFonts w:ascii="Times New Roman" w:hAnsi="Times New Roman"/>
                <w:b/>
                <w:sz w:val="24"/>
                <w:u w:val="single"/>
              </w:rPr>
              <w:t xml:space="preserve">- </w:t>
            </w:r>
            <w:r w:rsidR="00021099" w:rsidRPr="00021099">
              <w:rPr>
                <w:rFonts w:ascii="Times New Roman" w:hAnsi="Times New Roman"/>
                <w:b/>
                <w:sz w:val="24"/>
              </w:rPr>
              <w:t>types of specialised lending exposures</w:t>
            </w:r>
          </w:p>
          <w:p w14:paraId="1E4AC942" w14:textId="49F536D6" w:rsidR="00B56773" w:rsidRPr="00F16E4D" w:rsidRDefault="00B56773" w:rsidP="00822842">
            <w:pPr>
              <w:rPr>
                <w:rFonts w:ascii="Times New Roman" w:hAnsi="Times New Roman"/>
                <w:bCs/>
                <w:sz w:val="24"/>
              </w:rPr>
            </w:pPr>
            <w:r w:rsidRPr="00B56773">
              <w:rPr>
                <w:rFonts w:ascii="Times New Roman" w:hAnsi="Times New Roman"/>
                <w:bCs/>
                <w:sz w:val="24"/>
              </w:rPr>
              <w:t>Institutions shall report the types of specialised lending exposures referred to in Article 147(8) subpara</w:t>
            </w:r>
            <w:r>
              <w:rPr>
                <w:rFonts w:ascii="Times New Roman" w:hAnsi="Times New Roman"/>
                <w:bCs/>
                <w:sz w:val="24"/>
              </w:rPr>
              <w:t>graph</w:t>
            </w:r>
            <w:r w:rsidRPr="00B56773">
              <w:rPr>
                <w:rFonts w:ascii="Times New Roman" w:hAnsi="Times New Roman"/>
                <w:bCs/>
                <w:sz w:val="24"/>
              </w:rPr>
              <w:t>. 2 in the corresponding row</w:t>
            </w:r>
            <w:r>
              <w:rPr>
                <w:rFonts w:ascii="Times New Roman" w:hAnsi="Times New Roman"/>
                <w:bCs/>
                <w:sz w:val="24"/>
              </w:rPr>
              <w:t>:</w:t>
            </w:r>
            <w:r w:rsidRPr="00B56773">
              <w:rPr>
                <w:rFonts w:ascii="Times New Roman" w:hAnsi="Times New Roman"/>
                <w:bCs/>
                <w:sz w:val="24"/>
              </w:rPr>
              <w:t>.</w:t>
            </w:r>
            <w:r w:rsidRPr="00F16E4D">
              <w:rPr>
                <w:rFonts w:ascii="Times New Roman" w:hAnsi="Times New Roman"/>
                <w:bCs/>
                <w:sz w:val="24"/>
              </w:rPr>
              <w:t>Specialised Lending</w:t>
            </w:r>
            <w:r>
              <w:rPr>
                <w:rFonts w:ascii="Times New Roman" w:hAnsi="Times New Roman"/>
                <w:bCs/>
                <w:sz w:val="24"/>
              </w:rPr>
              <w:t xml:space="preserve"> </w:t>
            </w:r>
            <w:r w:rsidRPr="00F16E4D">
              <w:rPr>
                <w:rFonts w:ascii="Times New Roman" w:hAnsi="Times New Roman"/>
                <w:bCs/>
                <w:sz w:val="24"/>
              </w:rPr>
              <w:t>“project finance”, “object finance”, “commodity finance” and “income</w:t>
            </w:r>
            <w:r w:rsidR="00F16E4D">
              <w:rPr>
                <w:rFonts w:ascii="Times New Roman" w:hAnsi="Times New Roman"/>
                <w:bCs/>
                <w:sz w:val="24"/>
              </w:rPr>
              <w:t xml:space="preserve"> </w:t>
            </w:r>
            <w:r w:rsidRPr="00F16E4D">
              <w:rPr>
                <w:rFonts w:ascii="Times New Roman" w:hAnsi="Times New Roman"/>
                <w:bCs/>
                <w:sz w:val="24"/>
              </w:rPr>
              <w:t>producing</w:t>
            </w:r>
            <w:r w:rsidR="00F16E4D">
              <w:rPr>
                <w:rFonts w:ascii="Times New Roman" w:hAnsi="Times New Roman"/>
                <w:bCs/>
                <w:sz w:val="24"/>
              </w:rPr>
              <w:t xml:space="preserve"> </w:t>
            </w:r>
            <w:r w:rsidRPr="00F16E4D">
              <w:rPr>
                <w:rFonts w:ascii="Times New Roman" w:hAnsi="Times New Roman"/>
                <w:bCs/>
                <w:sz w:val="24"/>
              </w:rPr>
              <w:t>real estate”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sidRPr="72FDE0D4">
              <w:rPr>
                <w:rFonts w:ascii="Times New Roman" w:hAnsi="Times New Roman"/>
                <w:sz w:val="24"/>
              </w:rPr>
              <w:t>005</w:t>
            </w:r>
            <w:r w:rsidR="00F16E4D">
              <w:rPr>
                <w:rFonts w:ascii="Times New Roman" w:hAnsi="Times New Roman"/>
                <w:sz w:val="24"/>
              </w:rPr>
              <w:t>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sidRPr="00B7761D">
              <w:rPr>
                <w:rFonts w:ascii="Times New Roman" w:hAnsi="Times New Roman"/>
                <w:b/>
                <w:sz w:val="24"/>
                <w:u w:val="single"/>
              </w:rPr>
              <w:t>Purchased receivables</w:t>
            </w:r>
          </w:p>
          <w:p w14:paraId="40628222" w14:textId="77777777" w:rsidR="009D6580" w:rsidRPr="00E47484" w:rsidRDefault="009D6580" w:rsidP="00822842">
            <w:pPr>
              <w:rPr>
                <w:rFonts w:ascii="Times New Roman" w:hAnsi="Times New Roman"/>
                <w:b/>
                <w:sz w:val="24"/>
                <w:u w:val="single"/>
              </w:rPr>
            </w:pP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w:t>
            </w:r>
            <w:r>
              <w:rPr>
                <w:rFonts w:ascii="Times New Roman" w:hAnsi="Times New Roman"/>
                <w:bCs/>
                <w:sz w:val="24"/>
              </w:rPr>
              <w:t>c</w:t>
            </w:r>
            <w:r w:rsidRPr="002A677E">
              <w:rPr>
                <w:rFonts w:ascii="Times New Roman" w:hAnsi="Times New Roman"/>
                <w:bCs/>
                <w:sz w:val="24"/>
              </w:rPr>
              <w:t>)</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Other</w:t>
            </w:r>
          </w:p>
          <w:p w14:paraId="75A3CB20" w14:textId="69737D7D" w:rsidR="00F16E4D" w:rsidRPr="002A677E" w:rsidRDefault="00F16E4D" w:rsidP="00822842">
            <w:pPr>
              <w:rPr>
                <w:rFonts w:ascii="Times New Roman" w:hAnsi="Times New Roman"/>
                <w:b/>
                <w:sz w:val="24"/>
                <w:u w:val="single"/>
              </w:rPr>
            </w:pPr>
            <w:r w:rsidRPr="72FDE0D4">
              <w:rPr>
                <w:rFonts w:ascii="Times New Roman" w:hAnsi="Times New Roman"/>
                <w:sz w:val="24"/>
                <w:lang w:eastAsia="de-DE"/>
              </w:rPr>
              <w:lastRenderedPageBreak/>
              <w:t xml:space="preserve">Article 147(2), point </w:t>
            </w:r>
            <w:r>
              <w:rPr>
                <w:rFonts w:ascii="Times New Roman" w:hAnsi="Times New Roman"/>
                <w:sz w:val="24"/>
                <w:lang w:eastAsia="de-DE"/>
              </w:rPr>
              <w:t>I</w:t>
            </w:r>
            <w:r w:rsidRPr="72FDE0D4">
              <w:rPr>
                <w:rFonts w:ascii="Times New Roman" w:hAnsi="Times New Roman"/>
                <w:sz w:val="24"/>
                <w:lang w:eastAsia="de-DE"/>
              </w:rPr>
              <w:t xml:space="preserve">(i), </w:t>
            </w:r>
            <w:r w:rsidRPr="72FDE0D4">
              <w:rPr>
                <w:rFonts w:ascii="Times New Roman" w:hAnsi="Times New Roman"/>
                <w:sz w:val="24"/>
                <w:lang w:val="en-US"/>
              </w:rPr>
              <w:t>of Regulation (EU) No 575/2013</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0060</w:t>
            </w:r>
          </w:p>
        </w:tc>
        <w:tc>
          <w:tcPr>
            <w:tcW w:w="8640" w:type="dxa"/>
          </w:tcPr>
          <w:p w14:paraId="084F36E4"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Retail</w:t>
            </w:r>
          </w:p>
          <w:p w14:paraId="61F98691" w14:textId="77777777" w:rsidR="009D6580" w:rsidRPr="002A677E" w:rsidRDefault="009D6580" w:rsidP="00822842">
            <w:pPr>
              <w:rPr>
                <w:rFonts w:ascii="Times New Roman" w:hAnsi="Times New Roman"/>
                <w:sz w:val="24"/>
              </w:rPr>
            </w:pPr>
            <w:r w:rsidRPr="002A677E">
              <w:rPr>
                <w:rFonts w:ascii="Times New Roman" w:hAnsi="Times New Roman"/>
                <w:sz w:val="24"/>
                <w:lang w:eastAsia="de-DE"/>
              </w:rPr>
              <w:t xml:space="preserve">All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val="en-US"/>
              </w:rPr>
              <w:t>.</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Retail – Secured by immovable property</w:t>
            </w:r>
          </w:p>
          <w:p w14:paraId="35B1F6E7" w14:textId="4962CAD8" w:rsidR="00FD0F61" w:rsidRDefault="00FD0F61" w:rsidP="00822842">
            <w:pPr>
              <w:pStyle w:val="ListParagraph"/>
              <w:ind w:left="0"/>
              <w:rPr>
                <w:rFonts w:ascii="Times New Roman" w:hAnsi="Times New Roman"/>
                <w:sz w:val="24"/>
                <w:lang w:val="en-US"/>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val="en-US"/>
              </w:rPr>
              <w:t>.</w:t>
            </w:r>
          </w:p>
          <w:p w14:paraId="0CD06107" w14:textId="22291817" w:rsidR="009D6580" w:rsidRPr="002A677E" w:rsidRDefault="00FD0F61" w:rsidP="00822842">
            <w:pPr>
              <w:pStyle w:val="ListParagraph"/>
              <w:ind w:left="0"/>
              <w:rPr>
                <w:rFonts w:ascii="Times New Roman" w:hAnsi="Times New Roman"/>
                <w:sz w:val="24"/>
                <w:lang w:eastAsia="de-DE"/>
              </w:rPr>
            </w:pPr>
            <w:r>
              <w:rPr>
                <w:rFonts w:ascii="Times New Roman" w:hAnsi="Times New Roman"/>
                <w:sz w:val="24"/>
                <w:lang w:eastAsia="de-DE"/>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SME</w:t>
            </w:r>
          </w:p>
          <w:p w14:paraId="67BFF2AB" w14:textId="02FB7D89" w:rsidR="009D6580" w:rsidRPr="002A677E" w:rsidRDefault="00FD0F61" w:rsidP="00822842">
            <w:pPr>
              <w:pStyle w:val="ListParagraph"/>
              <w:ind w:left="0"/>
              <w:rPr>
                <w:rFonts w:ascii="Times New Roman" w:hAnsi="Times New Roman"/>
                <w:sz w:val="24"/>
                <w:lang w:eastAsia="de-DE"/>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r w:rsidR="009D6580" w:rsidRPr="002A677E">
              <w:rPr>
                <w:rFonts w:ascii="Times New Roman" w:hAnsi="Times New Roman"/>
                <w:sz w:val="24"/>
                <w:lang w:eastAsia="de-DE"/>
              </w:rPr>
              <w:t xml:space="preserve">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sidRPr="002A677E">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E47484">
              <w:rPr>
                <w:rFonts w:ascii="Times New Roman" w:hAnsi="Times New Roman"/>
                <w:b/>
                <w:sz w:val="24"/>
                <w:u w:val="single"/>
              </w:rPr>
              <w:t>non-SME</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lang w:val="en-US"/>
              </w:rPr>
            </w:pPr>
            <w:r>
              <w:rPr>
                <w:rFonts w:ascii="Times New Roman" w:hAnsi="Times New Roman"/>
                <w:sz w:val="24"/>
                <w:lang w:eastAsia="de-DE"/>
              </w:rPr>
              <w:t xml:space="preserve">Retail exposures as defined in </w:t>
            </w:r>
            <w:r w:rsidRPr="002A677E">
              <w:rPr>
                <w:rFonts w:ascii="Times New Roman" w:hAnsi="Times New Roman"/>
                <w:sz w:val="24"/>
                <w:lang w:eastAsia="de-DE"/>
              </w:rPr>
              <w:t>Article 147(2)</w:t>
            </w:r>
            <w:r>
              <w:rPr>
                <w:rFonts w:ascii="Times New Roman" w:hAnsi="Times New Roman"/>
                <w:sz w:val="24"/>
                <w:lang w:eastAsia="de-DE"/>
              </w:rPr>
              <w:t xml:space="preserve">, point (d) </w:t>
            </w:r>
            <w:r w:rsidRPr="001235ED">
              <w:rPr>
                <w:rFonts w:ascii="Times New Roman" w:hAnsi="Times New Roman"/>
                <w:sz w:val="24"/>
                <w:lang w:val="en-US"/>
              </w:rPr>
              <w:t>of Regulation (EU) No 575/2013</w:t>
            </w:r>
            <w:r>
              <w:rPr>
                <w:rFonts w:ascii="Times New Roman" w:hAnsi="Times New Roman"/>
                <w:sz w:val="24"/>
                <w:lang w:eastAsia="de-DE"/>
              </w:rPr>
              <w:t>, reported under B.6.1 to B.6.4, which are secured by immovable property as defined in</w:t>
            </w:r>
            <w:r w:rsidRPr="002A677E">
              <w:rPr>
                <w:rFonts w:ascii="Times New Roman" w:hAnsi="Times New Roman"/>
                <w:sz w:val="24"/>
                <w:lang w:eastAsia="de-DE"/>
              </w:rPr>
              <w:t xml:space="preserve"> Article </w:t>
            </w:r>
            <w:r>
              <w:rPr>
                <w:rFonts w:ascii="Times New Roman" w:hAnsi="Times New Roman"/>
                <w:sz w:val="24"/>
                <w:lang w:eastAsia="de-DE"/>
              </w:rPr>
              <w:t>4 (1), point (75f p</w:t>
            </w:r>
            <w:r w:rsidRPr="002A677E">
              <w:rPr>
                <w:rFonts w:ascii="Times New Roman" w:hAnsi="Times New Roman"/>
                <w:sz w:val="24"/>
                <w:lang w:eastAsia="de-DE"/>
              </w:rPr>
              <w:t>oint (d)</w:t>
            </w:r>
            <w:r>
              <w:rPr>
                <w:rFonts w:ascii="Times New Roman" w:hAnsi="Times New Roman"/>
                <w:sz w:val="24"/>
                <w:lang w:eastAsia="de-DE"/>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w:t>
            </w:r>
            <w:r w:rsidRPr="00EF2302">
              <w:rPr>
                <w:rFonts w:ascii="Times New Roman" w:hAnsi="Times New Roman"/>
                <w:sz w:val="24"/>
                <w:lang w:eastAsia="de-DE"/>
              </w:rPr>
              <w:t xml:space="preserve">Article 5 (8) </w:t>
            </w:r>
            <w:r w:rsidRPr="00EF2302">
              <w:rPr>
                <w:rFonts w:ascii="Times New Roman" w:hAnsi="Times New Roman"/>
                <w:sz w:val="24"/>
                <w:lang w:val="en-US"/>
              </w:rPr>
              <w:t>of Regulation (EU) No 575/2013</w:t>
            </w:r>
            <w:r>
              <w:rPr>
                <w:rFonts w:ascii="Times New Roman" w:hAnsi="Times New Roman"/>
                <w:sz w:val="24"/>
                <w:lang w:val="en-US"/>
              </w:rPr>
              <w:t>.</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sidRPr="002A677E">
              <w:rPr>
                <w:rFonts w:ascii="Times New Roman" w:hAnsi="Times New Roman"/>
                <w:b/>
                <w:sz w:val="24"/>
                <w:u w:val="single"/>
              </w:rPr>
              <w:t xml:space="preserve">Secured by </w:t>
            </w:r>
            <w:r>
              <w:rPr>
                <w:rFonts w:ascii="Times New Roman" w:hAnsi="Times New Roman"/>
                <w:b/>
                <w:sz w:val="24"/>
                <w:u w:val="single"/>
              </w:rPr>
              <w:t>residential real estate</w:t>
            </w:r>
          </w:p>
          <w:p w14:paraId="3B8B837D" w14:textId="77777777" w:rsidR="00910F63" w:rsidRPr="00910F63" w:rsidRDefault="00910F63" w:rsidP="00910F63">
            <w:pPr>
              <w:rPr>
                <w:rFonts w:ascii="Times New Roman" w:hAnsi="Times New Roman"/>
                <w:bCs/>
                <w:sz w:val="24"/>
              </w:rPr>
            </w:pPr>
            <w:r w:rsidRPr="00910F63">
              <w:rPr>
                <w:rFonts w:ascii="Times New Roman" w:hAnsi="Times New Roman"/>
                <w:bCs/>
                <w:sz w:val="24"/>
              </w:rPr>
              <w:t>Retail exposures as referred to in Article 147(2), point (d) (ii), of Regulation (EU) No 575/2013.</w:t>
            </w:r>
          </w:p>
          <w:p w14:paraId="7240267A" w14:textId="77777777" w:rsidR="00910F63" w:rsidRPr="002A677E" w:rsidRDefault="00910F63" w:rsidP="007400C4">
            <w:pPr>
              <w:rPr>
                <w:rFonts w:ascii="Times New Roman" w:hAnsi="Times New Roman"/>
                <w:b/>
                <w:sz w:val="24"/>
                <w:u w:val="single"/>
              </w:rPr>
            </w:pPr>
            <w:r w:rsidRPr="00910F63">
              <w:rPr>
                <w:rFonts w:ascii="Times New Roman" w:hAnsi="Times New Roman"/>
                <w:bCs/>
                <w:sz w:val="24"/>
              </w:rPr>
              <w:t>Retail exposures secured by residential real estate will be considered any retail exposures secured by residential real estate recognised as collateral, regardless of the ratio of the value of collateral to the exposure or of the purpose of the loan.</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Qualifying revolving</w:t>
            </w:r>
          </w:p>
          <w:p w14:paraId="363209C3" w14:textId="77777777"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w:t>
            </w:r>
            <w:r w:rsidRPr="002A677E">
              <w:rPr>
                <w:rFonts w:ascii="Times New Roman" w:hAnsi="Times New Roman"/>
                <w:bCs/>
                <w:sz w:val="24"/>
              </w:rPr>
              <w:t xml:space="preserve"> </w:t>
            </w:r>
            <w:r w:rsidRPr="002A677E">
              <w:rPr>
                <w:rFonts w:ascii="Times New Roman" w:hAnsi="Times New Roman"/>
                <w:sz w:val="24"/>
                <w:lang w:eastAsia="de-DE"/>
              </w:rPr>
              <w:t xml:space="preserve">in conjunction with Article 154(4) </w:t>
            </w:r>
            <w:r w:rsidRPr="001235ED">
              <w:rPr>
                <w:rFonts w:ascii="Times New Roman" w:hAnsi="Times New Roman"/>
                <w:sz w:val="24"/>
                <w:lang w:val="en-US"/>
              </w:rPr>
              <w:t>of Regulation (EU) No 575/2013</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sidRPr="00B7761D">
              <w:rPr>
                <w:rFonts w:ascii="Times New Roman" w:hAnsi="Times New Roman"/>
                <w:b/>
                <w:sz w:val="24"/>
                <w:u w:val="single"/>
              </w:rPr>
              <w:t>Purchased receivables</w:t>
            </w:r>
          </w:p>
          <w:p w14:paraId="7C92CD05" w14:textId="77777777" w:rsidR="009D6580" w:rsidRPr="00B7761D" w:rsidRDefault="009D6580" w:rsidP="00822842">
            <w:pPr>
              <w:rPr>
                <w:rFonts w:cs="Calibri"/>
                <w:sz w:val="18"/>
                <w:szCs w:val="18"/>
              </w:rPr>
            </w:pPr>
            <w:r w:rsidRPr="002A677E">
              <w:rPr>
                <w:rFonts w:ascii="Times New Roman" w:hAnsi="Times New Roman"/>
                <w:sz w:val="24"/>
                <w:lang w:eastAsia="de-DE"/>
              </w:rPr>
              <w:t xml:space="preserve">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(iii)</w:t>
            </w:r>
            <w:r w:rsidRPr="002A677E">
              <w:rPr>
                <w:rFonts w:ascii="Times New Roman" w:hAnsi="Times New Roman"/>
                <w:bCs/>
                <w:sz w:val="24"/>
              </w:rPr>
              <w:t xml:space="preserve"> </w:t>
            </w:r>
            <w:r w:rsidRPr="001235ED">
              <w:rPr>
                <w:rFonts w:ascii="Times New Roman" w:hAnsi="Times New Roman"/>
                <w:sz w:val="24"/>
                <w:lang w:val="en-US"/>
              </w:rPr>
              <w:t>of Regulation (EU) No 575/2013</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Other Retail</w:t>
            </w:r>
          </w:p>
          <w:p w14:paraId="6BB335AD" w14:textId="5184DC86"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sidR="005E7811">
              <w:rPr>
                <w:rFonts w:ascii="Times New Roman" w:hAnsi="Times New Roman"/>
                <w:bCs/>
                <w:sz w:val="24"/>
              </w:rPr>
              <w:t xml:space="preserve"> (iv)</w:t>
            </w:r>
            <w:r>
              <w:rPr>
                <w:rFonts w:ascii="Times New Roman" w:hAnsi="Times New Roman"/>
                <w:bCs/>
                <w:sz w:val="24"/>
              </w:rPr>
              <w:t>,</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eastAsia="de-DE"/>
              </w:rPr>
              <w:t>.</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SME</w:t>
            </w:r>
          </w:p>
          <w:p w14:paraId="28CE96BD" w14:textId="7A3420F8" w:rsidR="009D6580" w:rsidRPr="002A677E" w:rsidRDefault="009D6580" w:rsidP="00822842">
            <w:pPr>
              <w:pStyle w:val="ListParagraph"/>
              <w:ind w:left="0"/>
              <w:rPr>
                <w:rFonts w:ascii="Times New Roman" w:hAnsi="Times New Roman"/>
                <w:sz w:val="24"/>
                <w:lang w:eastAsia="de-DE"/>
              </w:rPr>
            </w:pPr>
            <w:r w:rsidRPr="002A677E">
              <w:rPr>
                <w:rFonts w:ascii="Times New Roman" w:hAnsi="Times New Roman"/>
                <w:sz w:val="24"/>
                <w:lang w:eastAsia="de-DE"/>
              </w:rPr>
              <w:lastRenderedPageBreak/>
              <w:t>Other retail exposures</w:t>
            </w:r>
            <w:r w:rsidR="005E7811">
              <w:rPr>
                <w:rFonts w:ascii="Times New Roman" w:hAnsi="Times New Roman"/>
                <w:sz w:val="24"/>
                <w:lang w:eastAsia="de-DE"/>
              </w:rPr>
              <w:t xml:space="preserve"> </w:t>
            </w:r>
            <w:r w:rsidR="005E7811" w:rsidRPr="002A677E">
              <w:rPr>
                <w:rFonts w:ascii="Times New Roman" w:hAnsi="Times New Roman"/>
                <w:sz w:val="24"/>
                <w:lang w:eastAsia="de-DE"/>
              </w:rPr>
              <w:t xml:space="preserve">as referred to in </w:t>
            </w:r>
            <w:r w:rsidR="005E7811" w:rsidRPr="002A677E">
              <w:rPr>
                <w:rFonts w:ascii="Times New Roman" w:hAnsi="Times New Roman"/>
                <w:sz w:val="24"/>
              </w:rPr>
              <w:t>Article 147(2)</w:t>
            </w:r>
            <w:r w:rsidR="005E7811">
              <w:rPr>
                <w:rFonts w:ascii="Times New Roman" w:hAnsi="Times New Roman"/>
                <w:sz w:val="24"/>
              </w:rPr>
              <w:t>, p</w:t>
            </w:r>
            <w:r w:rsidR="005E7811" w:rsidRPr="002A677E">
              <w:rPr>
                <w:rFonts w:ascii="Times New Roman" w:hAnsi="Times New Roman"/>
                <w:bCs/>
                <w:sz w:val="24"/>
              </w:rPr>
              <w:t>oint (d)</w:t>
            </w:r>
            <w:r w:rsidR="005E7811">
              <w:rPr>
                <w:rFonts w:ascii="Times New Roman" w:hAnsi="Times New Roman"/>
                <w:bCs/>
                <w:sz w:val="24"/>
              </w:rPr>
              <w:t xml:space="preserve"> (iv),</w:t>
            </w:r>
            <w:r w:rsidR="005E7811" w:rsidRPr="002A677E">
              <w:rPr>
                <w:rFonts w:ascii="Times New Roman" w:hAnsi="Times New Roman"/>
                <w:bCs/>
                <w:sz w:val="24"/>
              </w:rPr>
              <w:t xml:space="preserve"> </w:t>
            </w:r>
            <w:r w:rsidR="005E7811" w:rsidRPr="001235ED">
              <w:rPr>
                <w:rFonts w:ascii="Times New Roman" w:hAnsi="Times New Roman"/>
                <w:sz w:val="24"/>
                <w:lang w:val="en-US"/>
              </w:rPr>
              <w:t>of Regulation (EU) No 575/2013</w:t>
            </w:r>
            <w:r w:rsidR="00837F98">
              <w:rPr>
                <w:rFonts w:ascii="Times New Roman" w:hAnsi="Times New Roman"/>
                <w:sz w:val="24"/>
                <w:lang w:eastAsia="de-DE"/>
              </w:rPr>
              <w:t xml:space="preserve">, in conjunction with </w:t>
            </w:r>
            <w:r>
              <w:rPr>
                <w:rFonts w:ascii="Times New Roman" w:hAnsi="Times New Roman"/>
                <w:sz w:val="24"/>
                <w:lang w:eastAsia="de-DE"/>
              </w:rPr>
              <w:t xml:space="preserve">Article 5 (8) </w:t>
            </w:r>
            <w:r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 xml:space="preserve">Of Which: </w:t>
            </w:r>
            <w:r w:rsidR="009D6580" w:rsidRPr="002A677E">
              <w:rPr>
                <w:rFonts w:ascii="Times New Roman" w:hAnsi="Times New Roman"/>
                <w:b/>
                <w:sz w:val="24"/>
                <w:u w:val="single"/>
              </w:rPr>
              <w:t>non-SME</w:t>
            </w:r>
          </w:p>
          <w:p w14:paraId="51D486B6" w14:textId="251D2008" w:rsidR="009D6580" w:rsidRPr="002A677E" w:rsidRDefault="00837F98" w:rsidP="00822842">
            <w:pPr>
              <w:rPr>
                <w:rFonts w:ascii="Times New Roman" w:hAnsi="Times New Roman"/>
                <w:sz w:val="24"/>
              </w:rPr>
            </w:pPr>
            <w:r w:rsidRPr="002A677E">
              <w:rPr>
                <w:rFonts w:ascii="Times New Roman" w:hAnsi="Times New Roman"/>
                <w:sz w:val="24"/>
                <w:lang w:eastAsia="de-DE"/>
              </w:rPr>
              <w:t>Other retail exposures</w:t>
            </w:r>
            <w:r>
              <w:rPr>
                <w:rFonts w:ascii="Times New Roman" w:hAnsi="Times New Roman"/>
                <w:sz w:val="24"/>
                <w:lang w:eastAsia="de-DE"/>
              </w:rPr>
              <w:t xml:space="preserve"> </w:t>
            </w:r>
            <w:r w:rsidRPr="002A677E">
              <w:rPr>
                <w:rFonts w:ascii="Times New Roman" w:hAnsi="Times New Roman"/>
                <w:sz w:val="24"/>
                <w:lang w:eastAsia="de-DE"/>
              </w:rPr>
              <w:t xml:space="preserve">as referred to in </w:t>
            </w:r>
            <w:r w:rsidRPr="002A677E">
              <w:rPr>
                <w:rFonts w:ascii="Times New Roman" w:hAnsi="Times New Roman"/>
                <w:sz w:val="24"/>
              </w:rPr>
              <w:t>Article 147(2)</w:t>
            </w:r>
            <w:r>
              <w:rPr>
                <w:rFonts w:ascii="Times New Roman" w:hAnsi="Times New Roman"/>
                <w:sz w:val="24"/>
              </w:rPr>
              <w:t>, p</w:t>
            </w:r>
            <w:r w:rsidRPr="002A677E">
              <w:rPr>
                <w:rFonts w:ascii="Times New Roman" w:hAnsi="Times New Roman"/>
                <w:bCs/>
                <w:sz w:val="24"/>
              </w:rPr>
              <w:t>oint (d)</w:t>
            </w:r>
            <w:r>
              <w:rPr>
                <w:rFonts w:ascii="Times New Roman" w:hAnsi="Times New Roman"/>
                <w:bCs/>
                <w:sz w:val="24"/>
              </w:rPr>
              <w:t xml:space="preserve"> (iv),</w:t>
            </w:r>
            <w:r w:rsidRPr="002A677E">
              <w:rPr>
                <w:rFonts w:ascii="Times New Roman" w:hAnsi="Times New Roman"/>
                <w:bCs/>
                <w:sz w:val="24"/>
              </w:rPr>
              <w:t xml:space="preserve"> </w:t>
            </w:r>
            <w:r w:rsidRPr="001235ED">
              <w:rPr>
                <w:rFonts w:ascii="Times New Roman" w:hAnsi="Times New Roman"/>
                <w:sz w:val="24"/>
                <w:lang w:val="en-US"/>
              </w:rPr>
              <w:t>of Regulation (EU) No 575/2013</w:t>
            </w:r>
            <w:r>
              <w:rPr>
                <w:rFonts w:ascii="Times New Roman" w:hAnsi="Times New Roman"/>
                <w:sz w:val="24"/>
                <w:lang w:eastAsia="de-DE"/>
              </w:rPr>
              <w:t xml:space="preserve">, not in conjunction with Article 5 (8) </w:t>
            </w:r>
            <w:r w:rsidRPr="001235ED">
              <w:rPr>
                <w:rFonts w:ascii="Times New Roman" w:hAnsi="Times New Roman"/>
                <w:sz w:val="24"/>
                <w:lang w:val="en-US"/>
              </w:rPr>
              <w:t>of Regulation (EU) No 575/2013</w:t>
            </w:r>
            <w:r w:rsidRPr="002A677E">
              <w:rPr>
                <w:rFonts w:ascii="Times New Roman" w:hAnsi="Times New Roman"/>
                <w:sz w:val="24"/>
                <w:lang w:eastAsia="de-DE"/>
              </w:rPr>
              <w:t>.</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237C58D" w14:textId="4E266C1C" w:rsidR="009D6580" w:rsidRDefault="009D6580" w:rsidP="00822842">
            <w:pPr>
              <w:rPr>
                <w:rFonts w:ascii="Times New Roman" w:hAnsi="Times New Roman"/>
                <w:b/>
                <w:sz w:val="24"/>
                <w:u w:val="single"/>
              </w:rPr>
            </w:pPr>
            <w:r w:rsidRPr="002A677E">
              <w:rPr>
                <w:rFonts w:ascii="Times New Roman" w:hAnsi="Times New Roman"/>
                <w:sz w:val="24"/>
              </w:rPr>
              <w:t xml:space="preserve">Article </w:t>
            </w:r>
            <w:r w:rsidRPr="2BEE1747">
              <w:rPr>
                <w:rFonts w:ascii="Times New Roman" w:hAnsi="Times New Roman"/>
                <w:sz w:val="24"/>
                <w:lang w:eastAsia="de-DE"/>
              </w:rPr>
              <w:t>147(2),</w:t>
            </w:r>
            <w:r>
              <w:rPr>
                <w:rFonts w:ascii="Times New Roman" w:hAnsi="Times New Roman"/>
                <w:sz w:val="24"/>
              </w:rPr>
              <w:t xml:space="preserve"> p</w:t>
            </w:r>
            <w:r w:rsidRPr="002A677E">
              <w:rPr>
                <w:rFonts w:ascii="Times New Roman" w:hAnsi="Times New Roman"/>
                <w:sz w:val="24"/>
              </w:rPr>
              <w:t>oint (</w:t>
            </w:r>
            <w:r w:rsidRPr="2BEE1747">
              <w:rPr>
                <w:rFonts w:ascii="Times New Roman" w:hAnsi="Times New Roman"/>
                <w:sz w:val="24"/>
                <w:lang w:eastAsia="de-DE"/>
              </w:rPr>
              <w:t>e1</w:t>
            </w:r>
            <w:r>
              <w:rPr>
                <w:rFonts w:ascii="Times New Roman" w:hAnsi="Times New Roman"/>
                <w:sz w:val="24"/>
                <w:lang w:eastAsia="de-DE"/>
              </w:rPr>
              <w:t>)</w:t>
            </w:r>
            <w:r>
              <w:rPr>
                <w:lang w:eastAsia="de-DE"/>
              </w:rPr>
              <w:t xml:space="preserve"> </w:t>
            </w:r>
            <w:r w:rsidRPr="001235ED">
              <w:rPr>
                <w:rFonts w:ascii="Times New Roman" w:hAnsi="Times New Roman"/>
                <w:sz w:val="24"/>
                <w:lang w:val="en-US"/>
              </w:rPr>
              <w:t>of Regulation (EU) No 575/2013</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3481CEEB"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w:t>
            </w:r>
            <w:r>
              <w:rPr>
                <w:rStyle w:val="InstructionsTabelleberschrift"/>
                <w:rFonts w:ascii="Times New Roman" w:hAnsi="Times New Roman"/>
                <w:b w:val="0"/>
                <w:sz w:val="24"/>
                <w:u w:val="none"/>
              </w:rPr>
              <w:t>190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37B63BC9"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00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18A39C60" w14:textId="77777777" w:rsidR="009D6580" w:rsidRDefault="009D6580" w:rsidP="00822842">
            <w:pPr>
              <w:rPr>
                <w:rFonts w:ascii="Times New Roman" w:hAnsi="Times New Roman"/>
                <w:b/>
                <w:sz w:val="24"/>
                <w:u w:val="single"/>
              </w:rPr>
            </w:pPr>
            <w:r w:rsidRPr="002A677E">
              <w:rPr>
                <w:rStyle w:val="InstructionsTabelleberschrift"/>
                <w:rFonts w:ascii="Times New Roman" w:hAnsi="Times New Roman"/>
                <w:b w:val="0"/>
                <w:sz w:val="24"/>
                <w:u w:val="none"/>
              </w:rPr>
              <w:t>Same definition as for row 02</w:t>
            </w:r>
            <w:r>
              <w:rPr>
                <w:rStyle w:val="InstructionsTabelleberschrift"/>
                <w:rFonts w:ascii="Times New Roman" w:hAnsi="Times New Roman"/>
                <w:b w:val="0"/>
                <w:sz w:val="24"/>
                <w:u w:val="none"/>
              </w:rPr>
              <w:t>10</w:t>
            </w:r>
            <w:r w:rsidRPr="002A677E">
              <w:rPr>
                <w:rStyle w:val="InstructionsTabelleberschrift"/>
                <w:rFonts w:ascii="Times New Roman" w:hAnsi="Times New Roman"/>
                <w:b w:val="0"/>
                <w:sz w:val="24"/>
                <w:u w:val="none"/>
              </w:rPr>
              <w:t xml:space="preserve"> of CR </w:t>
            </w:r>
            <w:r>
              <w:rPr>
                <w:rStyle w:val="InstructionsTabelleberschrift"/>
                <w:rFonts w:ascii="Times New Roman" w:hAnsi="Times New Roman"/>
                <w:b w:val="0"/>
                <w:sz w:val="24"/>
                <w:u w:val="none"/>
              </w:rPr>
              <w:t>IRB</w:t>
            </w:r>
            <w:r w:rsidRPr="002A677E">
              <w:rPr>
                <w:rStyle w:val="InstructionsTabelleberschrift"/>
                <w:rFonts w:ascii="Times New Roman" w:hAnsi="Times New Roman"/>
                <w:b w:val="0"/>
                <w:sz w:val="24"/>
                <w:u w:val="none"/>
              </w:rPr>
              <w:t xml:space="preserve"> template</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Equity</w:t>
            </w:r>
          </w:p>
          <w:p w14:paraId="1A033F11" w14:textId="77777777" w:rsidR="009D6580" w:rsidRPr="002A677E" w:rsidRDefault="009D6580" w:rsidP="00822842">
            <w:pPr>
              <w:rPr>
                <w:rFonts w:ascii="Times New Roman" w:hAnsi="Times New Roman"/>
                <w:b/>
                <w:sz w:val="24"/>
                <w:u w:val="single"/>
              </w:rPr>
            </w:pPr>
            <w:r w:rsidRPr="002A677E">
              <w:rPr>
                <w:rFonts w:ascii="Times New Roman" w:hAnsi="Times New Roman"/>
                <w:sz w:val="24"/>
                <w:lang w:eastAsia="de-DE"/>
              </w:rPr>
              <w:t>Equity exposures as referred to in Article 147(2)</w:t>
            </w:r>
            <w:r>
              <w:rPr>
                <w:rFonts w:ascii="Times New Roman" w:hAnsi="Times New Roman"/>
                <w:sz w:val="24"/>
                <w:lang w:eastAsia="de-DE"/>
              </w:rPr>
              <w:t>, p</w:t>
            </w:r>
            <w:r w:rsidRPr="002A677E">
              <w:rPr>
                <w:rFonts w:ascii="Times New Roman" w:hAnsi="Times New Roman"/>
                <w:sz w:val="24"/>
                <w:lang w:eastAsia="de-DE"/>
              </w:rPr>
              <w:t>oint (e)</w:t>
            </w:r>
            <w:r>
              <w:rPr>
                <w:rFonts w:ascii="Times New Roman" w:hAnsi="Times New Roman"/>
                <w:sz w:val="24"/>
                <w:lang w:eastAsia="de-DE"/>
              </w:rPr>
              <w:t>,</w:t>
            </w:r>
            <w:r w:rsidRPr="002A677E">
              <w:rPr>
                <w:rFonts w:ascii="Times New Roman" w:hAnsi="Times New Roman"/>
                <w:sz w:val="24"/>
                <w:lang w:eastAsia="de-DE"/>
              </w:rPr>
              <w:t xml:space="preserve"> </w:t>
            </w:r>
            <w:r w:rsidRPr="001235ED">
              <w:rPr>
                <w:rFonts w:ascii="Times New Roman" w:hAnsi="Times New Roman"/>
                <w:sz w:val="24"/>
                <w:lang w:val="en-US"/>
              </w:rPr>
              <w:t>of Regulation (EU) No 575/2013</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sidRPr="002A677E">
              <w:rPr>
                <w:rFonts w:ascii="Times New Roman" w:hAnsi="Times New Roman"/>
                <w:b/>
                <w:sz w:val="24"/>
                <w:u w:val="single"/>
              </w:rPr>
              <w:t>Total exposures</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0" w:name="_Toc360188366"/>
      <w:bookmarkStart w:id="11" w:name="_Toc473560917"/>
      <w:bookmarkStart w:id="12" w:name="_Toc151714421"/>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09.04 – Breakdown of credit exposures relevant for the calculation of the countercyclical buffer by country and institution-specific countercyclical buffer rate</w:t>
      </w:r>
      <w:r w:rsidRPr="002A677E" w:rsidDel="00D82B60">
        <w:rPr>
          <w:rFonts w:ascii="Times New Roman" w:hAnsi="Times New Roman" w:cs="Times New Roman"/>
          <w:sz w:val="24"/>
          <w:lang w:val="en-GB"/>
        </w:rPr>
        <w:t xml:space="preserve"> </w:t>
      </w:r>
      <w:bookmarkEnd w:id="10"/>
      <w:r w:rsidRPr="002A677E">
        <w:rPr>
          <w:rFonts w:ascii="Times New Roman" w:hAnsi="Times New Roman" w:cs="Times New Roman"/>
          <w:sz w:val="24"/>
          <w:lang w:val="en-GB"/>
        </w:rPr>
        <w:t>(CCB)</w:t>
      </w:r>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3" w:name="_Toc360188367"/>
      <w:bookmarkStart w:id="14" w:name="_Toc473560918"/>
      <w:bookmarkStart w:id="15" w:name="_Toc151714422"/>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88</w:t>
      </w:r>
      <w:r>
        <w:fldChar w:fldCharType="end"/>
      </w:r>
      <w:r w:rsidRPr="002A677E">
        <w:t>.</w:t>
      </w:r>
      <w:r w:rsidRPr="002A677E">
        <w:tab/>
        <w:t>This template aims at receiving more information regarding the elements of the institution-specific countercyclical capital buffer. The information required refers to the own funds requirements determined in accordance with</w:t>
      </w:r>
      <w:r>
        <w:t xml:space="preserve"> </w:t>
      </w:r>
      <w:r w:rsidRPr="002A677E">
        <w:t xml:space="preserve">Part Three, Title II and Title IV </w:t>
      </w:r>
      <w:r w:rsidRPr="001235ED">
        <w:rPr>
          <w:lang w:val="en-US"/>
        </w:rPr>
        <w:t>of Regulation (EU) No 575/2013</w:t>
      </w:r>
      <w:r w:rsidRPr="002A677E">
        <w:t xml:space="preserve"> and the geographical location for credit exposures, securitisation exposures and trading book exposures relevant for the calculation of the institution-specific countercyclical capital buffer (CCB) in accordance with Article 140 of Directive 2013/36/EU (relevant credit exposures).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89</w:t>
      </w:r>
      <w:r>
        <w:fldChar w:fldCharType="end"/>
      </w:r>
      <w:r w:rsidRPr="002A677E">
        <w:t>.</w:t>
      </w:r>
      <w:r w:rsidRPr="002A677E">
        <w:tab/>
        <w:t xml:space="preserve">Information in template C 09.04 shall be reported for the ‘Total’ of relevant credit exposures across all jurisdictions where those exposures are located and individually for each of the jurisdictions in which relevant credit exposures are located. The total figures as well as the information of each jurisdiction shall be reported in a separate dimension.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rPr>
          <w:noProof/>
        </w:rPr>
        <w:t>90</w:t>
      </w:r>
      <w:r>
        <w:fldChar w:fldCharType="end"/>
      </w:r>
      <w:r w:rsidRPr="002A677E">
        <w:t>.</w:t>
      </w:r>
      <w:r w:rsidRPr="002A677E">
        <w:tab/>
        <w:t>The threshold set in Article 5(5) of this Implementing Regulation shall not apply for the reporting of this breakdown.</w:t>
      </w:r>
    </w:p>
    <w:bookmarkStart w:id="16" w:name="_Hlk151650982"/>
    <w:p w14:paraId="710781F7" w14:textId="77777777" w:rsidR="009D6580" w:rsidRPr="002A677E" w:rsidRDefault="009D6580" w:rsidP="009D6580">
      <w:pPr>
        <w:pStyle w:val="InstructionsText2"/>
        <w:numPr>
          <w:ilvl w:val="0"/>
          <w:numId w:val="0"/>
        </w:numPr>
        <w:ind w:left="993"/>
      </w:pPr>
      <w:r>
        <w:lastRenderedPageBreak/>
        <w:fldChar w:fldCharType="begin"/>
      </w:r>
      <w:r>
        <w:instrText>seq paragraphs</w:instrText>
      </w:r>
      <w:r>
        <w:fldChar w:fldCharType="separate"/>
      </w:r>
      <w:r>
        <w:rPr>
          <w:noProof/>
        </w:rPr>
        <w:t>91</w:t>
      </w:r>
      <w:r>
        <w:fldChar w:fldCharType="end"/>
      </w:r>
      <w:r w:rsidRPr="002A677E">
        <w:t>.</w:t>
      </w:r>
      <w:r w:rsidRPr="002A677E">
        <w:tab/>
        <w:t>In order to determine the geographical location, the exposures shall be allocated on an immediate obligor basis as provided for in Commission Delegated Regulation (EU) No 1152/2014</w:t>
      </w:r>
      <w:r w:rsidRPr="002A677E">
        <w:footnoteReference w:id="1"/>
      </w:r>
      <w:r w:rsidRPr="002A677E">
        <w:t>. Therefore, CRM techniques shall not change the allocation of an exposure to its geographical location for the purpose of reporting information set out in this template.</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lang w:val="en-GB"/>
        </w:rPr>
      </w:pPr>
      <w:bookmarkStart w:id="17" w:name="_Toc360188368"/>
      <w:bookmarkStart w:id="18" w:name="_Toc473560919"/>
      <w:bookmarkStart w:id="19" w:name="_Toc151714423"/>
      <w:bookmarkEnd w:id="16"/>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4EDF6439" w14:textId="77777777" w:rsidR="009D6580" w:rsidRPr="002A677E" w:rsidRDefault="009D6580" w:rsidP="00822842">
            <w:pPr>
              <w:rPr>
                <w:rFonts w:ascii="Times New Roman" w:hAnsi="Times New Roman"/>
                <w:b/>
                <w:sz w:val="24"/>
                <w:u w:val="single"/>
              </w:rPr>
            </w:pPr>
            <w:r w:rsidRPr="002A677E">
              <w:rPr>
                <w:rFonts w:ascii="Times New Roman" w:hAnsi="Times New Roman"/>
                <w:bCs/>
                <w:sz w:val="24"/>
                <w:lang w:eastAsia="de-DE"/>
              </w:rPr>
              <w:t>The value of the relevant credit exposures and their associated own-funds requirements determined in accordance with the instructions for the respective row.</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sidRPr="002A677E">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394356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This information shall only be reported for the country of residence of the institution (the jurisdiction corresponding to its home Member State) and the ‘Total’ of all countries. </w:t>
            </w:r>
          </w:p>
          <w:p w14:paraId="6761B5E4"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sidRPr="002A677E">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516A26FA" w14:textId="77777777" w:rsidR="009D6580" w:rsidRPr="002A677E" w:rsidRDefault="009D6580" w:rsidP="00822842">
            <w:pPr>
              <w:rPr>
                <w:rFonts w:ascii="Times New Roman" w:hAnsi="Times New Roman"/>
                <w:b/>
                <w:sz w:val="24"/>
                <w:u w:val="singl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sidRPr="002A677E">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Standardised approach</w:t>
            </w:r>
          </w:p>
          <w:p w14:paraId="0EA1DD75"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Exposure value calculated in accordance with Article 111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72B986ED"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sidRPr="002A677E">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Exposure value under the IRB approach</w:t>
            </w:r>
          </w:p>
          <w:p w14:paraId="3F80BC3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 xml:space="preserve">Exposure value calculated in accordance with Article 166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xml:space="preserve"> </w:t>
            </w:r>
            <w:r w:rsidRPr="002A677E">
              <w:rPr>
                <w:rFonts w:ascii="Times New Roman" w:hAnsi="Times New Roman"/>
                <w:sz w:val="24"/>
              </w:rPr>
              <w:t>point (a)</w:t>
            </w:r>
            <w:r>
              <w:rPr>
                <w:rFonts w:ascii="Times New Roman" w:hAnsi="Times New Roman"/>
                <w:sz w:val="24"/>
              </w:rPr>
              <w:t>,</w:t>
            </w:r>
            <w:r w:rsidRPr="002A677E">
              <w:rPr>
                <w:rFonts w:ascii="Times New Roman" w:hAnsi="Times New Roman"/>
                <w:sz w:val="24"/>
              </w:rPr>
              <w:t xml:space="preserve"> of Directive 2013/36/EU. </w:t>
            </w:r>
          </w:p>
          <w:p w14:paraId="48C130F1"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exposure value of securitisation positions in the banking book shall be excluded from this row and reported in row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0030-0040</w:t>
            </w:r>
          </w:p>
        </w:tc>
        <w:tc>
          <w:tcPr>
            <w:tcW w:w="8131" w:type="dxa"/>
          </w:tcPr>
          <w:p w14:paraId="369D85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54050F9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sidRPr="002A677E">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Sum of long and short positions of trading book exposures for Standardised approach</w:t>
            </w:r>
          </w:p>
          <w:p w14:paraId="5F803AC4"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in accordance with Article 327 </w:t>
            </w:r>
            <w:r w:rsidRPr="001235ED">
              <w:rPr>
                <w:rFonts w:ascii="Times New Roman" w:hAnsi="Times New Roman"/>
                <w:sz w:val="24"/>
                <w:lang w:val="en-US"/>
              </w:rPr>
              <w:t>of Regulation (EU) No 575/2013</w:t>
            </w:r>
            <w:r w:rsidRPr="002A677E">
              <w:rPr>
                <w:rFonts w:ascii="Times New Roman" w:hAnsi="Times New Roman"/>
                <w:sz w:val="24"/>
              </w:rPr>
              <w:t xml:space="preserve"> of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 2</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debt instruments other than securitisation;</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securitisation positions in the trading book;</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correlation trading portfolios;</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t>exposures to equity securities;</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Pr="002A677E">
              <w:rPr>
                <w:rFonts w:ascii="Times New Roman" w:hAnsi="Times New Roman"/>
                <w:sz w:val="24"/>
              </w:rPr>
              <w:t xml:space="preserve">exposures to CIUs where capital requirements are calculated in accordance with Article 348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sidRPr="002A677E">
              <w:rPr>
                <w:rFonts w:ascii="Times New Roman" w:hAnsi="Times New Roman"/>
                <w:sz w:val="24"/>
              </w:rPr>
              <w:t>0040</w:t>
            </w:r>
          </w:p>
        </w:tc>
        <w:tc>
          <w:tcPr>
            <w:tcW w:w="8131" w:type="dxa"/>
          </w:tcPr>
          <w:p w14:paraId="7989891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models</w:t>
            </w:r>
          </w:p>
          <w:p w14:paraId="2C5D070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subject to own funds requirements under Part Three, Title IV, Chapters 2 and 5 </w:t>
            </w:r>
            <w:r w:rsidRPr="001235ED">
              <w:rPr>
                <w:rFonts w:ascii="Times New Roman" w:hAnsi="Times New Roman"/>
                <w:sz w:val="24"/>
                <w:lang w:val="en-US"/>
              </w:rPr>
              <w:t>of Regulation (EU) No 575/2013</w:t>
            </w:r>
            <w:r w:rsidRPr="002A677E">
              <w:rPr>
                <w:rFonts w:ascii="Times New Roman" w:hAnsi="Times New Roman"/>
                <w:sz w:val="24"/>
              </w:rPr>
              <w:t>, the sum of the following shall be reported:</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Pr="002A677E">
              <w:rPr>
                <w:rFonts w:ascii="Times New Roman" w:hAnsi="Times New Roman"/>
                <w:sz w:val="24"/>
              </w:rPr>
              <w:t>Fair value of non-derivative positions,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determined in accordance with Article 104 </w:t>
            </w:r>
            <w:r w:rsidRPr="001235ED">
              <w:rPr>
                <w:rFonts w:ascii="Times New Roman" w:hAnsi="Times New Roman"/>
                <w:sz w:val="24"/>
                <w:lang w:val="en-US"/>
              </w:rPr>
              <w:t>of Regulation (EU) No 575/2013</w:t>
            </w:r>
            <w:r w:rsidRPr="002A677E">
              <w:rPr>
                <w:rFonts w:ascii="Times New Roman" w:hAnsi="Times New Roman"/>
                <w:sz w:val="24"/>
              </w:rPr>
              <w:t>.</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Pr="002A677E">
              <w:rPr>
                <w:rFonts w:ascii="Times New Roman" w:hAnsi="Times New Roman"/>
                <w:sz w:val="24"/>
              </w:rPr>
              <w:t>Notional value of derivatives, that represent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sidRPr="002A677E">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4B3C8407" w14:textId="77777777" w:rsidR="009D6580" w:rsidRPr="002A677E" w:rsidRDefault="009D6580" w:rsidP="00822842">
            <w:pPr>
              <w:rPr>
                <w:rFonts w:ascii="Times New Roman" w:hAnsi="Times New Roman"/>
                <w:sz w:val="24"/>
              </w:rPr>
            </w:pPr>
            <w:r w:rsidRPr="002A677E">
              <w:rPr>
                <w:rFonts w:ascii="Times New Roman" w:hAnsi="Times New Roman"/>
                <w:sz w:val="24"/>
              </w:rPr>
              <w:t xml:space="preserve">Exposure value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sidRPr="002A677E">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sidRPr="002A677E">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78C2961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sum of rows 0080, 0090 and 0100.</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sidRPr="002A677E">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Credit risk </w:t>
            </w:r>
          </w:p>
          <w:p w14:paraId="4126D1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Chapters 1 to 4 and Chapter 6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w:t>
            </w:r>
            <w:r w:rsidRPr="002A677E">
              <w:rPr>
                <w:rFonts w:ascii="Times New Roman" w:hAnsi="Times New Roman"/>
                <w:sz w:val="24"/>
              </w:rPr>
              <w:lastRenderedPageBreak/>
              <w:t>exposures as referred to in Article 140(4)</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in the country in question.</w:t>
            </w:r>
          </w:p>
          <w:p w14:paraId="094DA9D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 requirements for securitisation positions in the banking book shall be excluded from this row and reported in row 0100.</w:t>
            </w:r>
          </w:p>
          <w:p w14:paraId="037A149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xml:space="preserve">% of the risk-weighted exposure amount determined in accordance with Part Three, Title II, Chapters 1 to 4 and Chapter 6 </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0090</w:t>
            </w:r>
          </w:p>
        </w:tc>
        <w:tc>
          <w:tcPr>
            <w:tcW w:w="8131" w:type="dxa"/>
          </w:tcPr>
          <w:p w14:paraId="4922C90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Market risk </w:t>
            </w:r>
          </w:p>
          <w:p w14:paraId="5686B88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Own funds requirements calculated in accordance with Part Three, Title IV, Chapter 2</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for specific risk, or in accordance with of of Part Three, Title IV, Chapter 5</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for incremental default and migration risk for relevant credit exposures as referred to in Article 140(4)</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 in the country in question. </w:t>
            </w:r>
          </w:p>
          <w:p w14:paraId="09611817" w14:textId="77777777" w:rsidR="009D6580" w:rsidRPr="002A677E" w:rsidRDefault="009D6580" w:rsidP="00822842">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shall include, among others, the own fund requirements for securitisation positions calculated in accordance with Part Three, Title IV, Chapter 2 </w:t>
            </w:r>
            <w:r w:rsidRPr="001235ED">
              <w:rPr>
                <w:rFonts w:ascii="Times New Roman" w:hAnsi="Times New Roman"/>
                <w:sz w:val="24"/>
                <w:lang w:val="en-US"/>
              </w:rPr>
              <w:t>of Regulation (EU) No 575/2013</w:t>
            </w:r>
            <w:r w:rsidRPr="002A677E">
              <w:rPr>
                <w:rFonts w:ascii="Times New Roman" w:hAnsi="Times New Roman"/>
                <w:sz w:val="24"/>
              </w:rPr>
              <w:t xml:space="preserve"> and the own funds requirements for exposures to Collective Investment Undertakings determined in accordance with Article 348 of that Regulation.</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sidRPr="002A677E">
              <w:rPr>
                <w:rFonts w:ascii="Times New Roman" w:hAnsi="Times New Roman"/>
                <w:sz w:val="24"/>
              </w:rPr>
              <w:t>0100</w:t>
            </w:r>
          </w:p>
        </w:tc>
        <w:tc>
          <w:tcPr>
            <w:tcW w:w="8131" w:type="dxa"/>
          </w:tcPr>
          <w:p w14:paraId="45D3AC3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relevant credit exposures – Securitisation positions in the banking book</w:t>
            </w:r>
          </w:p>
          <w:p w14:paraId="6483412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Own funds requirements calculated in accordance with Part Three, Title II, Chapter 5 </w:t>
            </w:r>
            <w:r w:rsidRPr="001235ED">
              <w:rPr>
                <w:rFonts w:ascii="Times New Roman" w:hAnsi="Times New Roman"/>
                <w:sz w:val="24"/>
                <w:lang w:val="en-US"/>
              </w:rPr>
              <w:t>of Regulation (EU) No 575/2013</w:t>
            </w:r>
            <w:r w:rsidRPr="002A677E">
              <w:rPr>
                <w:rFonts w:ascii="Times New Roman" w:hAnsi="Times New Roman"/>
                <w:sz w:val="24"/>
              </w:rPr>
              <w:t xml:space="preserve"> for relevant credit exposures as referred to in Article 140(4)</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of Directive 2013/36/EU in the country in question.</w:t>
            </w:r>
          </w:p>
          <w:p w14:paraId="1A6665D5"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The own-funds requirements are 8</w:t>
            </w:r>
            <w:r>
              <w:rPr>
                <w:rFonts w:ascii="Times New Roman" w:hAnsi="Times New Roman"/>
                <w:sz w:val="24"/>
              </w:rPr>
              <w:t xml:space="preserve"> </w:t>
            </w:r>
            <w:r w:rsidRPr="002A677E">
              <w:rPr>
                <w:rFonts w:ascii="Times New Roman" w:hAnsi="Times New Roman"/>
                <w:sz w:val="24"/>
              </w:rPr>
              <w:t>% of the risk-weighted exposure amount calculated in accordance with Part Three, Title II, Chapter 5</w:t>
            </w:r>
            <w:r w:rsidRPr="001235ED">
              <w:rPr>
                <w:rFonts w:ascii="Times New Roman" w:hAnsi="Times New Roman"/>
                <w:sz w:val="24"/>
                <w:lang w:val="en-US"/>
              </w:rPr>
              <w:t>of Regulation (EU) No 575/2013</w:t>
            </w:r>
            <w:r w:rsidRPr="002A677E">
              <w:rPr>
                <w:rFonts w:ascii="Times New Roman" w:hAnsi="Times New Roman"/>
                <w:sz w:val="24"/>
              </w:rPr>
              <w:t>.</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sidRPr="002A677E">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3D7B8904" w14:textId="77777777" w:rsidR="009D6580" w:rsidRPr="002A677E" w:rsidRDefault="009D6580" w:rsidP="00822842">
            <w:pPr>
              <w:rPr>
                <w:rFonts w:ascii="Times New Roman" w:hAnsi="Times New Roman"/>
                <w:sz w:val="24"/>
              </w:rPr>
            </w:pPr>
            <w:r w:rsidRPr="002A677E">
              <w:rPr>
                <w:rFonts w:ascii="Times New Roman" w:hAnsi="Times New Roman"/>
                <w:sz w:val="24"/>
              </w:rPr>
              <w:t>The weight applied to the countercyclical buffer rate in each country shall be calculated as a ratio of own fund requirements, determined as follows:</w:t>
            </w:r>
          </w:p>
          <w:p w14:paraId="47443D03" w14:textId="77777777" w:rsidR="009D6580" w:rsidRPr="002A677E" w:rsidRDefault="009D6580" w:rsidP="00822842">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 xml:space="preserve">Numerator: The total own funds requirements that relate to the relevant credit exposures in the country in question [r0070; c0010; country sheet ], </w:t>
            </w:r>
          </w:p>
          <w:p w14:paraId="1FE57EC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Denominator: The total own funds requirements that relate to all credit exposures relevant for the calculation of the countercyclical buffer as referred to in Article 140(4) of Directive 2013/36/EU [r0070; c0010; ’Total’].</w:t>
            </w:r>
          </w:p>
          <w:p w14:paraId="423D2DDF"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sidRPr="002A677E">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sidRPr="002A677E">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256AAB4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Countercyclical capital buffer rate set for the country in question by the Designated Authority of that country in accordance with Articles 136, 137, 139, Article 140(2)</w:t>
            </w:r>
            <w:r>
              <w:rPr>
                <w:rFonts w:ascii="Times New Roman" w:hAnsi="Times New Roman"/>
                <w:sz w:val="24"/>
              </w:rPr>
              <w:t>, p</w:t>
            </w:r>
            <w:r w:rsidRPr="002A677E">
              <w:rPr>
                <w:rFonts w:ascii="Times New Roman" w:hAnsi="Times New Roman"/>
                <w:sz w:val="24"/>
              </w:rPr>
              <w:t>oints (a) and (c)</w:t>
            </w:r>
            <w:r>
              <w:rPr>
                <w:rFonts w:ascii="Times New Roman" w:hAnsi="Times New Roman"/>
                <w:sz w:val="24"/>
              </w:rPr>
              <w:t>,</w:t>
            </w:r>
            <w:r w:rsidRPr="002A677E">
              <w:rPr>
                <w:rFonts w:ascii="Times New Roman" w:hAnsi="Times New Roman"/>
                <w:sz w:val="24"/>
              </w:rPr>
              <w:t xml:space="preserve"> and Article 140(3)</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Directive 2013/36/EU.</w:t>
            </w:r>
          </w:p>
          <w:p w14:paraId="08387A1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This row shall be left empty when no countercyclical buffer rate was set for the country in question by the Designated Authority of that country.</w:t>
            </w:r>
          </w:p>
          <w:p w14:paraId="79AF7A0C"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5BEA0E1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shall not be reported for the ‘Total’ of all countries.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0130</w:t>
            </w:r>
          </w:p>
        </w:tc>
        <w:tc>
          <w:tcPr>
            <w:tcW w:w="8131" w:type="dxa"/>
          </w:tcPr>
          <w:p w14:paraId="1301D1B3"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applicable for the country of the institution</w:t>
            </w:r>
          </w:p>
          <w:p w14:paraId="47D66D49"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Countercyclical capital buffer rate applicable for the country in question which was set by the Designated Authority of the country of residence of the institution, in accordance with Articles 137, 138, 139 and Article 140(2)</w:t>
            </w:r>
            <w:r>
              <w:rPr>
                <w:rFonts w:ascii="Times New Roman" w:hAnsi="Times New Roman"/>
                <w:sz w:val="24"/>
              </w:rPr>
              <w:t>, p</w:t>
            </w:r>
            <w:r w:rsidRPr="002A677E">
              <w:rPr>
                <w:rFonts w:ascii="Times New Roman" w:hAnsi="Times New Roman"/>
                <w:sz w:val="24"/>
              </w:rPr>
              <w:t>oint (b) and Article 140(3)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Directive 2013/36/EU. Countercyclical capital buffer rates that are not yet applicable at the reporting reference date shall not be reported.</w:t>
            </w:r>
          </w:p>
          <w:p w14:paraId="082B5846"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Countercyclical capital buffer rate applicable in the country of the institution shall not be reported for the ‘Total’ of all countries.</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sidRPr="002A677E">
              <w:rPr>
                <w:rFonts w:ascii="Times New Roman" w:hAnsi="Times New Roman"/>
                <w:sz w:val="24"/>
              </w:rPr>
              <w:t>0140</w:t>
            </w:r>
          </w:p>
        </w:tc>
        <w:tc>
          <w:tcPr>
            <w:tcW w:w="8131" w:type="dxa"/>
          </w:tcPr>
          <w:p w14:paraId="315BAE64"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253E0547"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calculated in accordance with Article 140(1) of Directive 2013/36/EU. </w:t>
            </w:r>
          </w:p>
          <w:p w14:paraId="575D2B31"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The institution-specific countercyclical capital buffer rate shall be calculated as the weighted average of the countercyclical buffer rates that apply in the jurisdictions where the relevant credit exposures of the institution are located or are applied for the purposes of Article 140 by virtue of Article 139</w:t>
            </w:r>
            <w:r>
              <w:rPr>
                <w:rFonts w:ascii="Times New Roman" w:hAnsi="Times New Roman"/>
                <w:sz w:val="24"/>
              </w:rPr>
              <w:t>, p</w:t>
            </w:r>
            <w:r w:rsidRPr="002A677E">
              <w:rPr>
                <w:rFonts w:ascii="Times New Roman" w:hAnsi="Times New Roman"/>
                <w:sz w:val="24"/>
              </w:rPr>
              <w:t>aragraphs 2 or 3 of Directive 2013/36/EU. The relevant countercyclical buffer rate shall reported in [r0120; c0020; country sheet], or [r0130; c0020; country sheet], as applicable.</w:t>
            </w:r>
          </w:p>
          <w:p w14:paraId="2C4ECBB2" w14:textId="77777777" w:rsidR="009D6580" w:rsidRPr="002A677E" w:rsidRDefault="009D6580" w:rsidP="00822842">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shall be the share of own funds requirements in total own funds requirements, and shall be reported in [r0110; c0020; country sheet]. </w:t>
            </w:r>
          </w:p>
          <w:p w14:paraId="65E93DC9"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Information on the institution-specific countercyclical capital buffer rate shall only be reported for the ‘Total’ of all countries and not for each country separately.</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sidRPr="002A677E">
              <w:rPr>
                <w:rFonts w:ascii="Times New Roman" w:hAnsi="Times New Roman"/>
                <w:sz w:val="24"/>
              </w:rPr>
              <w:t>0150 - 0160</w:t>
            </w:r>
          </w:p>
        </w:tc>
        <w:tc>
          <w:tcPr>
            <w:tcW w:w="8131" w:type="dxa"/>
          </w:tcPr>
          <w:p w14:paraId="13A71A3D"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b/>
                <w:bCs/>
                <w:sz w:val="24"/>
                <w:u w:val="single"/>
                <w:lang w:eastAsia="de-DE"/>
              </w:rPr>
              <w:t>Use of the 2</w:t>
            </w:r>
            <w:r>
              <w:rPr>
                <w:rFonts w:ascii="Times New Roman" w:hAnsi="Times New Roman"/>
                <w:b/>
                <w:bCs/>
                <w:sz w:val="24"/>
                <w:u w:val="single"/>
                <w:lang w:eastAsia="de-DE"/>
              </w:rPr>
              <w:t xml:space="preserve"> </w:t>
            </w:r>
            <w:r w:rsidRPr="002A677E">
              <w:rPr>
                <w:rFonts w:ascii="Times New Roman" w:hAnsi="Times New Roman"/>
                <w:b/>
                <w:bCs/>
                <w:sz w:val="24"/>
                <w:u w:val="single"/>
                <w:lang w:eastAsia="de-DE"/>
              </w:rPr>
              <w:t>% threshold</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sidRPr="002A677E">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Pr="002A677E">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2(5)</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Commission Delegated Regulation (EU) No 1152/2014, foreign general credit risk exposures, the aggregate of which does not exceed 2</w:t>
            </w:r>
            <w:r>
              <w:rPr>
                <w:rFonts w:ascii="Times New Roman" w:hAnsi="Times New Roman"/>
                <w:sz w:val="24"/>
              </w:rPr>
              <w:t xml:space="preserve"> </w:t>
            </w:r>
            <w:r w:rsidRPr="002A677E">
              <w:rPr>
                <w:rFonts w:ascii="Times New Roman" w:hAnsi="Times New Roman"/>
                <w:sz w:val="24"/>
              </w:rPr>
              <w:t>% of the aggregate of the general credit, trading book and securitisation exposures of that institution, may be allocated to the institutions’ home member state. The aggregate of the general credit, trading book and securitisation exposures shall be calculated by excluding the general credit exposures located in accordance with Article 2(5)</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and Article 2(4) of Commission Delegated Regulation (EU) No 1152/2014.</w:t>
            </w:r>
          </w:p>
          <w:p w14:paraId="53DCDD60"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lastRenderedPageBreak/>
              <w:t>If the institution makes use of this derogation, it shall indicate ‘y’ in the template for the jurisdiction corresponding to its home Member State and for the ‘Total’ of all countries.</w:t>
            </w:r>
          </w:p>
          <w:p w14:paraId="5B2597B2"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sidRPr="002A677E">
              <w:rPr>
                <w:rFonts w:ascii="Times New Roman" w:hAnsi="Times New Roman"/>
                <w:sz w:val="24"/>
              </w:rPr>
              <w:lastRenderedPageBreak/>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13ED02AA" w14:textId="77777777" w:rsidR="009D6580" w:rsidRPr="002A677E" w:rsidRDefault="009D6580" w:rsidP="0082284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 1152/2014, institutions may allocate trading book exposures to their home Member State where the total trading book exposures do not exceed 2</w:t>
            </w:r>
            <w:r>
              <w:rPr>
                <w:rFonts w:ascii="Times New Roman" w:hAnsi="Times New Roman"/>
                <w:sz w:val="24"/>
              </w:rPr>
              <w:t xml:space="preserve"> </w:t>
            </w:r>
            <w:r w:rsidRPr="002A677E">
              <w:rPr>
                <w:rFonts w:ascii="Times New Roman" w:hAnsi="Times New Roman"/>
                <w:sz w:val="24"/>
              </w:rPr>
              <w:t>% of their total general credit, trading book and securitisation exposures.</w:t>
            </w:r>
          </w:p>
          <w:p w14:paraId="068BDCF9" w14:textId="77777777" w:rsidR="009D6580" w:rsidRPr="002A677E" w:rsidRDefault="009D6580" w:rsidP="00822842">
            <w:pPr>
              <w:rPr>
                <w:rFonts w:ascii="Times New Roman" w:hAnsi="Times New Roman"/>
                <w:sz w:val="24"/>
              </w:rPr>
            </w:pPr>
            <w:r w:rsidRPr="002A677E">
              <w:rPr>
                <w:rFonts w:ascii="Times New Roman" w:hAnsi="Times New Roman"/>
                <w:sz w:val="24"/>
              </w:rPr>
              <w:t>If the institution makes use of this derogation, it shall indicate ‘y’ in the template for the jurisdiction corresponding to its home Member State and for the ‘Total’ of all countries.</w:t>
            </w:r>
          </w:p>
          <w:p w14:paraId="3EA8EC30" w14:textId="77777777" w:rsidR="009D6580" w:rsidRPr="002A677E" w:rsidRDefault="009D6580" w:rsidP="0082284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r>
        <w:rPr>
          <w:rFonts w:ascii="Times New Roman" w:hAnsi="Times New Roman"/>
          <w:iCs/>
          <w:color w:val="444444"/>
          <w:sz w:val="20"/>
          <w:szCs w:val="20"/>
        </w:rPr>
        <w:t>, p</w:t>
      </w:r>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val="en-US"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en-US"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D6580"/>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val="en-GB"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BB2B00-1746-4D5D-9EBF-673BF608061A}"/>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3827</Words>
  <Characters>22237</Characters>
  <Application>Microsoft Office Word</Application>
  <DocSecurity>0</DocSecurity>
  <Lines>427</Lines>
  <Paragraphs>138</Paragraphs>
  <ScaleCrop>false</ScaleCrop>
  <Company/>
  <LinksUpToDate>false</LinksUpToDate>
  <CharactersWithSpaces>25926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2024-07-04T16:47:00Z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