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C856B2" w:rsidRDefault="000F261B" w:rsidP="000F261B">
      <w:pPr>
        <w:pStyle w:val="Pagedecouverture"/>
        <w:rPr>
          <w:noProof/>
          <w:lang w:val="en-IE"/>
        </w:rPr>
      </w:pPr>
      <w:r>
        <w:rPr>
          <w:noProof/>
          <w:lang w:val="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4179AABC-4989-467E-8CE0-DB1EC9762010" style="width:455.25pt;height:414pt">
            <v:imagedata r:id="rId11" o:title=""/>
          </v:shape>
        </w:pict>
      </w:r>
    </w:p>
    <w:p w:rsidR="00185C9B" w:rsidRPr="00C856B2" w:rsidRDefault="00185C9B">
      <w:pPr>
        <w:rPr>
          <w:noProof/>
          <w:szCs w:val="24"/>
          <w:lang w:val="en-IE"/>
        </w:rPr>
        <w:sectPr w:rsidR="00185C9B" w:rsidRPr="00C856B2" w:rsidSect="000F261B">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C856B2" w:rsidRDefault="006C173C" w:rsidP="006C173C">
      <w:pPr>
        <w:pStyle w:val="Typedudocument"/>
        <w:rPr>
          <w:noProof/>
          <w:lang w:val="en-IE"/>
        </w:rPr>
      </w:pPr>
      <w:bookmarkStart w:id="0" w:name="_GoBack"/>
      <w:bookmarkEnd w:id="0"/>
      <w:r w:rsidRPr="00C856B2">
        <w:rPr>
          <w:noProof/>
        </w:rPr>
        <w:lastRenderedPageBreak/>
        <w:t>COMMISSION IMPLEMENTING REGULATION (EU) …/...</w:t>
      </w:r>
    </w:p>
    <w:p w:rsidR="00185C9B" w:rsidRPr="00C856B2" w:rsidRDefault="00986EB6" w:rsidP="006C173C">
      <w:pPr>
        <w:pStyle w:val="Datedadoption"/>
        <w:rPr>
          <w:noProof/>
          <w:lang w:val="en-IE"/>
        </w:rPr>
      </w:pPr>
      <w:r>
        <w:rPr>
          <w:noProof/>
        </w:rPr>
        <w:t>of 29.11.2024</w:t>
      </w:r>
    </w:p>
    <w:p w:rsidR="00185C9B" w:rsidRPr="00C856B2" w:rsidRDefault="006C173C" w:rsidP="006C173C">
      <w:pPr>
        <w:pStyle w:val="Titreobjet"/>
        <w:rPr>
          <w:noProof/>
          <w:lang w:val="en-IE"/>
        </w:rPr>
      </w:pPr>
      <w:r w:rsidRPr="00C856B2">
        <w:rPr>
          <w:noProof/>
        </w:rPr>
        <w:t>laying down implementing technical standards for the application of Regulation (EU) No 575/2013 of the European Parliament and of the Council with regard to supervisory reporting of institutions and repealing Commission Implementing Regulation (EU) 2021/451</w:t>
      </w:r>
    </w:p>
    <w:p w:rsidR="00185C9B" w:rsidRPr="00C856B2" w:rsidRDefault="006C173C" w:rsidP="006C173C">
      <w:pPr>
        <w:pStyle w:val="IntrtEEE"/>
        <w:rPr>
          <w:noProof/>
          <w:lang w:val="en-IE"/>
        </w:rPr>
      </w:pPr>
      <w:r w:rsidRPr="00C856B2">
        <w:rPr>
          <w:noProof/>
        </w:rPr>
        <w:t>(Text with EEA relevance)</w:t>
      </w:r>
    </w:p>
    <w:p w:rsidR="00185C9B" w:rsidRPr="00C856B2" w:rsidRDefault="00185C9B" w:rsidP="004E1EF9">
      <w:pPr>
        <w:pStyle w:val="Institutionquiagit"/>
        <w:rPr>
          <w:noProof/>
          <w:szCs w:val="24"/>
          <w:lang w:val="en-IE"/>
        </w:rPr>
      </w:pPr>
      <w:r w:rsidRPr="00C856B2">
        <w:rPr>
          <w:noProof/>
          <w:szCs w:val="24"/>
          <w:lang w:val="en-IE"/>
        </w:rPr>
        <w:t>THE EUROPEAN COMMISSION,</w:t>
      </w:r>
    </w:p>
    <w:p w:rsidR="00185C9B" w:rsidRPr="00C856B2" w:rsidRDefault="00185C9B" w:rsidP="004E1EF9">
      <w:pPr>
        <w:rPr>
          <w:noProof/>
          <w:szCs w:val="24"/>
          <w:lang w:val="en-IE"/>
        </w:rPr>
      </w:pPr>
      <w:r w:rsidRPr="00C856B2">
        <w:rPr>
          <w:noProof/>
          <w:color w:val="000000"/>
          <w:szCs w:val="24"/>
          <w:lang w:val="en-IE"/>
        </w:rPr>
        <w:t>Having regard to the Treaty on the Functioning of the European Union</w:t>
      </w:r>
      <w:r w:rsidRPr="00C856B2">
        <w:rPr>
          <w:noProof/>
          <w:szCs w:val="24"/>
          <w:lang w:val="en-IE"/>
        </w:rPr>
        <w:t>,</w:t>
      </w:r>
    </w:p>
    <w:p w:rsidR="00716EA9" w:rsidRPr="00C856B2" w:rsidRDefault="00716EA9" w:rsidP="00716EA9">
      <w:pPr>
        <w:rPr>
          <w:noProof/>
          <w:szCs w:val="24"/>
          <w:lang w:val="en-IE"/>
        </w:rPr>
      </w:pPr>
      <w:r w:rsidRPr="00C856B2">
        <w:rPr>
          <w:noProof/>
          <w:szCs w:val="24"/>
          <w:lang w:val="en-IE"/>
        </w:rPr>
        <w:t>Having regard to Regulation (EU) No 575/2013 of the European Parliament and of the Council of 26 June 2013 on prudential requirements for credit institutions and amending Regulation (EU) No 648/2012</w:t>
      </w:r>
      <w:r w:rsidRPr="00C856B2">
        <w:rPr>
          <w:rStyle w:val="FootnoteReference"/>
          <w:noProof/>
          <w:szCs w:val="24"/>
          <w:lang w:val="en-IE"/>
        </w:rPr>
        <w:footnoteReference w:id="2"/>
      </w:r>
      <w:r w:rsidRPr="00C856B2">
        <w:rPr>
          <w:noProof/>
          <w:szCs w:val="24"/>
          <w:lang w:val="en-IE"/>
        </w:rPr>
        <w:t xml:space="preserve"> and in particular Article 415(3), third subparagraph, Article</w:t>
      </w:r>
      <w:r w:rsidR="005E56B3" w:rsidRPr="00C856B2">
        <w:rPr>
          <w:noProof/>
          <w:szCs w:val="24"/>
          <w:lang w:val="en-IE"/>
        </w:rPr>
        <w:t> </w:t>
      </w:r>
      <w:r w:rsidRPr="00C856B2">
        <w:rPr>
          <w:noProof/>
          <w:szCs w:val="24"/>
          <w:lang w:val="en-IE"/>
        </w:rPr>
        <w:t>415(3a), third subparagraph, Article 430(7), third subparagraph, and Article 430(9), fifth subparagraph thereof,</w:t>
      </w:r>
    </w:p>
    <w:p w:rsidR="00716EA9" w:rsidRPr="00C856B2" w:rsidRDefault="00716EA9" w:rsidP="00716EA9">
      <w:pPr>
        <w:rPr>
          <w:noProof/>
          <w:szCs w:val="24"/>
          <w:lang w:val="en-IE"/>
        </w:rPr>
      </w:pPr>
      <w:r w:rsidRPr="00C856B2">
        <w:rPr>
          <w:noProof/>
          <w:szCs w:val="24"/>
          <w:lang w:val="en-IE"/>
        </w:rPr>
        <w:t>Whereas:</w:t>
      </w:r>
    </w:p>
    <w:p w:rsidR="00716EA9" w:rsidRPr="00C856B2" w:rsidRDefault="004118AF" w:rsidP="004118AF">
      <w:pPr>
        <w:pStyle w:val="ManualConsidrant"/>
        <w:rPr>
          <w:noProof/>
          <w:lang w:val="en-IE"/>
        </w:rPr>
      </w:pPr>
      <w:r w:rsidRPr="004118AF">
        <w:rPr>
          <w:noProof/>
        </w:rPr>
        <w:t>(1)</w:t>
      </w:r>
      <w:r w:rsidRPr="004118AF">
        <w:rPr>
          <w:noProof/>
        </w:rPr>
        <w:tab/>
      </w:r>
      <w:r w:rsidR="00716EA9" w:rsidRPr="00C856B2">
        <w:rPr>
          <w:noProof/>
          <w:lang w:val="en-IE"/>
        </w:rPr>
        <w:t>Commission Implementing Regulation (EU) 2021/451</w:t>
      </w:r>
      <w:r w:rsidR="00716EA9" w:rsidRPr="00C856B2">
        <w:rPr>
          <w:rStyle w:val="FootnoteReference"/>
          <w:noProof/>
          <w:szCs w:val="24"/>
          <w:lang w:val="en-IE"/>
        </w:rPr>
        <w:footnoteReference w:id="3"/>
      </w:r>
      <w:r w:rsidR="00716EA9" w:rsidRPr="00C856B2">
        <w:rPr>
          <w:noProof/>
          <w:lang w:val="en-IE"/>
        </w:rPr>
        <w:t xml:space="preserve"> lays down, on the basis of Article</w:t>
      </w:r>
      <w:r w:rsidR="00570D76" w:rsidRPr="00C856B2">
        <w:rPr>
          <w:noProof/>
          <w:lang w:val="en-IE"/>
        </w:rPr>
        <w:t>s</w:t>
      </w:r>
      <w:r w:rsidR="00716EA9" w:rsidRPr="00C856B2">
        <w:rPr>
          <w:noProof/>
          <w:lang w:val="en-IE"/>
        </w:rPr>
        <w:t xml:space="preserve"> 415 and 430 of Regulation (EU) No 575/2013, a coherent reporting framework</w:t>
      </w:r>
      <w:r w:rsidR="00CA2BB2" w:rsidRPr="00C856B2">
        <w:rPr>
          <w:noProof/>
          <w:lang w:val="en-IE"/>
        </w:rPr>
        <w:t>,</w:t>
      </w:r>
      <w:r w:rsidR="00716EA9" w:rsidRPr="00C856B2">
        <w:rPr>
          <w:noProof/>
          <w:lang w:val="en-IE"/>
        </w:rPr>
        <w:t xml:space="preserve"> including </w:t>
      </w:r>
      <w:r w:rsidR="00B94BED" w:rsidRPr="00C856B2">
        <w:rPr>
          <w:noProof/>
          <w:lang w:val="en-IE"/>
        </w:rPr>
        <w:t xml:space="preserve">requirements concerning the provision of </w:t>
      </w:r>
      <w:r w:rsidR="00716EA9" w:rsidRPr="00C856B2">
        <w:rPr>
          <w:noProof/>
          <w:lang w:val="en-IE"/>
        </w:rPr>
        <w:t xml:space="preserve">information on own funds and own funds requirements, financial information </w:t>
      </w:r>
      <w:r w:rsidR="00145258" w:rsidRPr="00C856B2">
        <w:rPr>
          <w:noProof/>
          <w:lang w:val="en-IE"/>
        </w:rPr>
        <w:t>t</w:t>
      </w:r>
      <w:r w:rsidR="00D311FE" w:rsidRPr="00C856B2">
        <w:rPr>
          <w:noProof/>
          <w:lang w:val="en-IE"/>
        </w:rPr>
        <w:t>hat needs to be provided in line with</w:t>
      </w:r>
      <w:r w:rsidR="00716EA9" w:rsidRPr="00C856B2">
        <w:rPr>
          <w:noProof/>
          <w:lang w:val="en-IE"/>
        </w:rPr>
        <w:t xml:space="preserve"> </w:t>
      </w:r>
      <w:r w:rsidR="003147CF" w:rsidRPr="00C856B2">
        <w:rPr>
          <w:noProof/>
          <w:lang w:val="en-IE"/>
        </w:rPr>
        <w:t>International Financial Reporting Standards (</w:t>
      </w:r>
      <w:r w:rsidR="00716EA9" w:rsidRPr="00C856B2">
        <w:rPr>
          <w:noProof/>
          <w:lang w:val="en-IE"/>
        </w:rPr>
        <w:t>IFRS</w:t>
      </w:r>
      <w:r w:rsidR="003147CF" w:rsidRPr="00C856B2">
        <w:rPr>
          <w:noProof/>
          <w:lang w:val="en-IE"/>
        </w:rPr>
        <w:t>)</w:t>
      </w:r>
      <w:r w:rsidR="00716EA9" w:rsidRPr="00C856B2">
        <w:rPr>
          <w:noProof/>
          <w:lang w:val="en-IE"/>
        </w:rPr>
        <w:t xml:space="preserve"> and </w:t>
      </w:r>
      <w:r w:rsidR="00FD1889" w:rsidRPr="00C856B2">
        <w:rPr>
          <w:noProof/>
          <w:lang w:val="en-IE"/>
        </w:rPr>
        <w:t>generally accepted accounting principles (</w:t>
      </w:r>
      <w:r w:rsidR="00716EA9" w:rsidRPr="00C856B2">
        <w:rPr>
          <w:noProof/>
          <w:lang w:val="en-IE"/>
        </w:rPr>
        <w:t>GAAP</w:t>
      </w:r>
      <w:r w:rsidR="00FD1889" w:rsidRPr="00C856B2">
        <w:rPr>
          <w:noProof/>
          <w:lang w:val="en-IE"/>
        </w:rPr>
        <w:t>)</w:t>
      </w:r>
      <w:r w:rsidR="00716EA9" w:rsidRPr="00C856B2">
        <w:rPr>
          <w:noProof/>
          <w:lang w:val="en-IE"/>
        </w:rPr>
        <w:t xml:space="preserve">, on losses stemming from lending collateralised by immovable property, on large exposures, on the leverage ratio, on stable funding, on additional liquidity monitoring metrics, on asset encumbrance, information </w:t>
      </w:r>
      <w:r w:rsidR="00145258" w:rsidRPr="00C856B2">
        <w:rPr>
          <w:noProof/>
          <w:lang w:val="en-IE"/>
        </w:rPr>
        <w:t>to identify</w:t>
      </w:r>
      <w:r w:rsidR="00716EA9" w:rsidRPr="00C856B2">
        <w:rPr>
          <w:noProof/>
          <w:lang w:val="en-IE"/>
        </w:rPr>
        <w:t xml:space="preserve"> </w:t>
      </w:r>
      <w:r w:rsidR="006A25A8" w:rsidRPr="00C856B2">
        <w:rPr>
          <w:noProof/>
          <w:lang w:val="en-IE"/>
        </w:rPr>
        <w:t>g</w:t>
      </w:r>
      <w:r w:rsidR="009C2316" w:rsidRPr="00C856B2">
        <w:rPr>
          <w:noProof/>
          <w:lang w:val="en-IE"/>
        </w:rPr>
        <w:t>lobal systemically important institutions (</w:t>
      </w:r>
      <w:r w:rsidR="00716EA9" w:rsidRPr="00C856B2">
        <w:rPr>
          <w:noProof/>
          <w:lang w:val="en-IE"/>
        </w:rPr>
        <w:t>G-SIIs</w:t>
      </w:r>
      <w:r w:rsidR="009C2316" w:rsidRPr="00C856B2">
        <w:rPr>
          <w:noProof/>
          <w:lang w:val="en-IE"/>
        </w:rPr>
        <w:t>)</w:t>
      </w:r>
      <w:r w:rsidR="00716EA9" w:rsidRPr="00C856B2">
        <w:rPr>
          <w:noProof/>
          <w:lang w:val="en-IE"/>
        </w:rPr>
        <w:t xml:space="preserve"> and assigning G-SII buffer rates, </w:t>
      </w:r>
      <w:r w:rsidR="00D43487" w:rsidRPr="00C856B2">
        <w:rPr>
          <w:noProof/>
          <w:lang w:val="en-IE"/>
        </w:rPr>
        <w:t xml:space="preserve">and </w:t>
      </w:r>
      <w:r w:rsidR="00716EA9" w:rsidRPr="00C856B2">
        <w:rPr>
          <w:noProof/>
          <w:lang w:val="en-IE"/>
        </w:rPr>
        <w:t xml:space="preserve">information on interest rate risk in the banking book. Implementing Regulation (EU) 2021/451 has been amended several times following the amendments </w:t>
      </w:r>
      <w:r w:rsidR="00145258" w:rsidRPr="00C856B2">
        <w:rPr>
          <w:noProof/>
          <w:lang w:val="en-IE"/>
        </w:rPr>
        <w:t>to</w:t>
      </w:r>
      <w:r w:rsidR="00716EA9" w:rsidRPr="00C856B2">
        <w:rPr>
          <w:noProof/>
          <w:lang w:val="en-IE"/>
        </w:rPr>
        <w:t xml:space="preserve"> Regulation (EU) No</w:t>
      </w:r>
      <w:r w:rsidR="00145258" w:rsidRPr="00C856B2">
        <w:rPr>
          <w:noProof/>
          <w:lang w:val="en-US"/>
        </w:rPr>
        <w:t> </w:t>
      </w:r>
      <w:r w:rsidR="00716EA9" w:rsidRPr="00C856B2">
        <w:rPr>
          <w:noProof/>
          <w:lang w:val="en-IE"/>
        </w:rPr>
        <w:t xml:space="preserve">575/2013 </w:t>
      </w:r>
      <w:r w:rsidR="00145258" w:rsidRPr="00C856B2">
        <w:rPr>
          <w:noProof/>
          <w:lang w:val="en-IE"/>
        </w:rPr>
        <w:t>th</w:t>
      </w:r>
      <w:r w:rsidR="00145258" w:rsidRPr="00C856B2">
        <w:rPr>
          <w:noProof/>
          <w:lang w:val="en-US"/>
        </w:rPr>
        <w:t xml:space="preserve">at were </w:t>
      </w:r>
      <w:r w:rsidR="00716EA9" w:rsidRPr="00C856B2">
        <w:rPr>
          <w:noProof/>
          <w:lang w:val="en-IE"/>
        </w:rPr>
        <w:t>adopted to introduce, further develop, or adapt prudential elements.</w:t>
      </w:r>
    </w:p>
    <w:p w:rsidR="00716EA9" w:rsidRPr="00C856B2" w:rsidRDefault="004118AF" w:rsidP="004118AF">
      <w:pPr>
        <w:pStyle w:val="ManualConsidrant"/>
        <w:rPr>
          <w:noProof/>
          <w:lang w:val="en-IE"/>
        </w:rPr>
      </w:pPr>
      <w:r w:rsidRPr="004118AF">
        <w:rPr>
          <w:noProof/>
        </w:rPr>
        <w:t>(2)</w:t>
      </w:r>
      <w:r w:rsidRPr="004118AF">
        <w:rPr>
          <w:noProof/>
        </w:rPr>
        <w:tab/>
      </w:r>
      <w:r w:rsidR="00716EA9" w:rsidRPr="00C856B2">
        <w:rPr>
          <w:noProof/>
          <w:lang w:val="en-IE"/>
        </w:rPr>
        <w:t xml:space="preserve">Regulation (EU) No 575/2013 </w:t>
      </w:r>
      <w:r w:rsidR="00AE44DA" w:rsidRPr="00C856B2">
        <w:rPr>
          <w:noProof/>
          <w:lang w:val="en-IE"/>
        </w:rPr>
        <w:t>was</w:t>
      </w:r>
      <w:r w:rsidR="00716EA9" w:rsidRPr="00C856B2">
        <w:rPr>
          <w:noProof/>
          <w:lang w:val="en-IE"/>
        </w:rPr>
        <w:t xml:space="preserve"> amended by Regulation (EU) 2024/1623 of the European Parliament and of the Council</w:t>
      </w:r>
      <w:r w:rsidR="00716EA9" w:rsidRPr="00C856B2">
        <w:rPr>
          <w:rStyle w:val="FootnoteReference"/>
          <w:noProof/>
          <w:szCs w:val="24"/>
          <w:lang w:val="en-IE"/>
        </w:rPr>
        <w:footnoteReference w:id="4"/>
      </w:r>
      <w:r w:rsidR="00716EA9" w:rsidRPr="00C856B2">
        <w:rPr>
          <w:noProof/>
          <w:lang w:val="en-IE"/>
        </w:rPr>
        <w:t xml:space="preserve"> </w:t>
      </w:r>
      <w:r w:rsidR="00AE44DA" w:rsidRPr="00C856B2">
        <w:rPr>
          <w:noProof/>
          <w:lang w:val="en-IE"/>
        </w:rPr>
        <w:t xml:space="preserve">to </w:t>
      </w:r>
      <w:r w:rsidR="00716EA9" w:rsidRPr="00C856B2">
        <w:rPr>
          <w:noProof/>
          <w:lang w:val="en-IE"/>
        </w:rPr>
        <w:t xml:space="preserve">implement the final set of international standards of the Basel Committee on Banking Supervision (Basel III). </w:t>
      </w:r>
      <w:r w:rsidR="00107851" w:rsidRPr="00C856B2">
        <w:rPr>
          <w:noProof/>
          <w:lang w:val="en-IE"/>
        </w:rPr>
        <w:t xml:space="preserve">Those </w:t>
      </w:r>
      <w:r w:rsidR="00D31320" w:rsidRPr="00C856B2">
        <w:rPr>
          <w:noProof/>
          <w:lang w:val="en-IE"/>
        </w:rPr>
        <w:t xml:space="preserve">amendments should be reflected in </w:t>
      </w:r>
      <w:r w:rsidR="00716EA9" w:rsidRPr="00C856B2">
        <w:rPr>
          <w:noProof/>
          <w:lang w:val="en-IE"/>
        </w:rPr>
        <w:t xml:space="preserve">the reporting framework </w:t>
      </w:r>
      <w:r w:rsidR="00145258" w:rsidRPr="00C856B2">
        <w:rPr>
          <w:noProof/>
          <w:lang w:val="en-IE"/>
        </w:rPr>
        <w:t xml:space="preserve">which is </w:t>
      </w:r>
      <w:r w:rsidR="00A639F3" w:rsidRPr="00C856B2">
        <w:rPr>
          <w:noProof/>
          <w:lang w:val="en-IE"/>
        </w:rPr>
        <w:t xml:space="preserve">currently </w:t>
      </w:r>
      <w:r w:rsidR="00716EA9" w:rsidRPr="00C856B2">
        <w:rPr>
          <w:noProof/>
          <w:lang w:val="en-IE"/>
        </w:rPr>
        <w:t>set out in Implementing Regulation (EU) 2021/451.</w:t>
      </w:r>
    </w:p>
    <w:p w:rsidR="00F470F0" w:rsidRPr="00C856B2" w:rsidRDefault="004118AF" w:rsidP="004118AF">
      <w:pPr>
        <w:pStyle w:val="ManualConsidrant"/>
        <w:rPr>
          <w:noProof/>
          <w:lang w:val="en-IE"/>
        </w:rPr>
      </w:pPr>
      <w:r w:rsidRPr="004118AF">
        <w:rPr>
          <w:noProof/>
        </w:rPr>
        <w:t>(3)</w:t>
      </w:r>
      <w:r w:rsidRPr="004118AF">
        <w:rPr>
          <w:noProof/>
        </w:rPr>
        <w:tab/>
      </w:r>
      <w:r w:rsidR="00716EA9" w:rsidRPr="00C856B2">
        <w:rPr>
          <w:noProof/>
          <w:lang w:val="en-IE"/>
        </w:rPr>
        <w:t xml:space="preserve">Given the </w:t>
      </w:r>
      <w:r w:rsidR="00145258" w:rsidRPr="00C856B2">
        <w:rPr>
          <w:noProof/>
          <w:lang w:val="en-IE"/>
        </w:rPr>
        <w:t>amendments</w:t>
      </w:r>
      <w:r w:rsidR="00716EA9" w:rsidRPr="00C856B2">
        <w:rPr>
          <w:noProof/>
          <w:lang w:val="en-IE"/>
        </w:rPr>
        <w:t xml:space="preserve"> to Regulation (EU) No</w:t>
      </w:r>
      <w:r w:rsidR="007D7D1F" w:rsidRPr="00C856B2">
        <w:rPr>
          <w:noProof/>
          <w:lang w:val="en-IE"/>
        </w:rPr>
        <w:t> </w:t>
      </w:r>
      <w:r w:rsidR="00716EA9" w:rsidRPr="00C856B2">
        <w:rPr>
          <w:noProof/>
          <w:lang w:val="en-IE"/>
        </w:rPr>
        <w:t xml:space="preserve">575/2013, it is necessary </w:t>
      </w:r>
      <w:r w:rsidR="00445F3E" w:rsidRPr="00C856B2">
        <w:rPr>
          <w:noProof/>
          <w:lang w:val="en-IE"/>
        </w:rPr>
        <w:t xml:space="preserve">to </w:t>
      </w:r>
      <w:r w:rsidR="00716EA9" w:rsidRPr="00C856B2">
        <w:rPr>
          <w:noProof/>
          <w:lang w:val="en-IE"/>
        </w:rPr>
        <w:t>revis</w:t>
      </w:r>
      <w:r w:rsidR="00AF5BC0" w:rsidRPr="00C856B2">
        <w:rPr>
          <w:noProof/>
          <w:lang w:val="en-IE"/>
        </w:rPr>
        <w:t>e</w:t>
      </w:r>
      <w:r w:rsidR="00716EA9" w:rsidRPr="00C856B2">
        <w:rPr>
          <w:noProof/>
          <w:lang w:val="en-IE"/>
        </w:rPr>
        <w:t xml:space="preserve"> the </w:t>
      </w:r>
      <w:r w:rsidR="00F60868" w:rsidRPr="00C856B2">
        <w:rPr>
          <w:noProof/>
          <w:lang w:val="en-IE"/>
        </w:rPr>
        <w:t xml:space="preserve">requirements for </w:t>
      </w:r>
      <w:r w:rsidR="00716EA9" w:rsidRPr="00C856B2">
        <w:rPr>
          <w:noProof/>
          <w:lang w:val="en-IE"/>
        </w:rPr>
        <w:t xml:space="preserve">reporting of own funds and own funds requirements (output floor, credit risk and counterparty credit risk, credit valuation adjustments, market risk, operational risk, loss coverage of non-performing exposures and crypto assets), </w:t>
      </w:r>
      <w:r w:rsidR="00F60868" w:rsidRPr="00C856B2">
        <w:rPr>
          <w:noProof/>
          <w:lang w:val="en-IE"/>
        </w:rPr>
        <w:t>for</w:t>
      </w:r>
      <w:r w:rsidR="00716EA9" w:rsidRPr="00C856B2">
        <w:rPr>
          <w:noProof/>
          <w:lang w:val="en-IE"/>
        </w:rPr>
        <w:t xml:space="preserve"> </w:t>
      </w:r>
      <w:r w:rsidR="0085568D" w:rsidRPr="00C856B2">
        <w:rPr>
          <w:noProof/>
          <w:lang w:val="en-IE"/>
        </w:rPr>
        <w:t xml:space="preserve">reporting </w:t>
      </w:r>
      <w:r w:rsidR="00716EA9" w:rsidRPr="00C856B2">
        <w:rPr>
          <w:noProof/>
          <w:lang w:val="en-IE"/>
        </w:rPr>
        <w:t>information on losses stemming from lending collateralised by immovable property</w:t>
      </w:r>
      <w:r w:rsidR="004021EE" w:rsidRPr="00C856B2">
        <w:rPr>
          <w:noProof/>
          <w:lang w:val="en-IE"/>
        </w:rPr>
        <w:t>,</w:t>
      </w:r>
      <w:r w:rsidR="00716EA9" w:rsidRPr="00C856B2">
        <w:rPr>
          <w:noProof/>
          <w:lang w:val="en-IE"/>
        </w:rPr>
        <w:t xml:space="preserve"> and </w:t>
      </w:r>
      <w:r w:rsidR="00F60868" w:rsidRPr="00C856B2">
        <w:rPr>
          <w:noProof/>
          <w:lang w:val="en-IE"/>
        </w:rPr>
        <w:t>for</w:t>
      </w:r>
      <w:r w:rsidR="00716EA9" w:rsidRPr="00C856B2">
        <w:rPr>
          <w:noProof/>
          <w:lang w:val="en-IE"/>
        </w:rPr>
        <w:t xml:space="preserve"> </w:t>
      </w:r>
      <w:r w:rsidR="0085568D" w:rsidRPr="00C856B2">
        <w:rPr>
          <w:noProof/>
          <w:lang w:val="en-IE"/>
        </w:rPr>
        <w:t xml:space="preserve">reporting information on </w:t>
      </w:r>
      <w:r w:rsidR="00716EA9" w:rsidRPr="00C856B2">
        <w:rPr>
          <w:noProof/>
          <w:lang w:val="en-IE"/>
        </w:rPr>
        <w:t>the leverage ratio.</w:t>
      </w:r>
    </w:p>
    <w:p w:rsidR="00716EA9" w:rsidRPr="00C856B2" w:rsidRDefault="004118AF" w:rsidP="004118AF">
      <w:pPr>
        <w:pStyle w:val="ManualConsidrant"/>
        <w:rPr>
          <w:noProof/>
          <w:lang w:val="en-IE"/>
        </w:rPr>
      </w:pPr>
      <w:r w:rsidRPr="004118AF">
        <w:rPr>
          <w:noProof/>
        </w:rPr>
        <w:t>(4)</w:t>
      </w:r>
      <w:r w:rsidRPr="004118AF">
        <w:rPr>
          <w:noProof/>
        </w:rPr>
        <w:tab/>
      </w:r>
      <w:r w:rsidR="00375AD2" w:rsidRPr="00C856B2">
        <w:rPr>
          <w:noProof/>
          <w:lang w:val="en-IE"/>
        </w:rPr>
        <w:t xml:space="preserve">Given the large number of changes </w:t>
      </w:r>
      <w:r w:rsidR="007C118A" w:rsidRPr="00C856B2">
        <w:rPr>
          <w:noProof/>
          <w:lang w:val="en-IE"/>
        </w:rPr>
        <w:t xml:space="preserve">that are required to give effect to </w:t>
      </w:r>
      <w:r w:rsidR="00F61036" w:rsidRPr="00C856B2">
        <w:rPr>
          <w:noProof/>
          <w:lang w:val="en-IE"/>
        </w:rPr>
        <w:t>the</w:t>
      </w:r>
      <w:r w:rsidR="007C118A" w:rsidRPr="00C856B2">
        <w:rPr>
          <w:noProof/>
          <w:lang w:val="en-IE"/>
        </w:rPr>
        <w:t xml:space="preserve"> new </w:t>
      </w:r>
      <w:r w:rsidR="00F61036" w:rsidRPr="00C856B2">
        <w:rPr>
          <w:noProof/>
          <w:lang w:val="en-IE"/>
        </w:rPr>
        <w:t>rules on reporting obligations</w:t>
      </w:r>
      <w:r w:rsidR="007C118A" w:rsidRPr="00C856B2">
        <w:rPr>
          <w:noProof/>
          <w:lang w:val="en-IE"/>
        </w:rPr>
        <w:t xml:space="preserve">, </w:t>
      </w:r>
      <w:r w:rsidR="00E23312" w:rsidRPr="00C856B2">
        <w:rPr>
          <w:noProof/>
          <w:lang w:val="en-IE"/>
        </w:rPr>
        <w:t xml:space="preserve">it is preferable </w:t>
      </w:r>
      <w:r w:rsidR="00716EA9" w:rsidRPr="00C856B2">
        <w:rPr>
          <w:noProof/>
          <w:lang w:val="en-IE"/>
        </w:rPr>
        <w:t xml:space="preserve">to repeal </w:t>
      </w:r>
      <w:r w:rsidR="00E014E1" w:rsidRPr="00C856B2">
        <w:rPr>
          <w:noProof/>
          <w:lang w:val="en-IE"/>
        </w:rPr>
        <w:t xml:space="preserve">and replace </w:t>
      </w:r>
      <w:r w:rsidR="00716EA9" w:rsidRPr="00C856B2">
        <w:rPr>
          <w:noProof/>
          <w:lang w:val="en-IE"/>
        </w:rPr>
        <w:t>Implementing Regulation (EU) 2021/451</w:t>
      </w:r>
      <w:r w:rsidR="00E23312" w:rsidRPr="00C856B2">
        <w:rPr>
          <w:noProof/>
          <w:lang w:val="en-IE"/>
        </w:rPr>
        <w:t xml:space="preserve">, rather than merely amend that Implementing Regulation, as such an amendment would make it extremely cumbersome for the economic operators concerned to find out which </w:t>
      </w:r>
      <w:r w:rsidR="00755173" w:rsidRPr="00C856B2">
        <w:rPr>
          <w:noProof/>
          <w:lang w:val="en-IE"/>
        </w:rPr>
        <w:t xml:space="preserve">reporting </w:t>
      </w:r>
      <w:r w:rsidR="00E23312" w:rsidRPr="00C856B2">
        <w:rPr>
          <w:noProof/>
          <w:lang w:val="en-IE"/>
        </w:rPr>
        <w:t xml:space="preserve">requirements </w:t>
      </w:r>
      <w:r w:rsidR="00755173" w:rsidRPr="00C856B2">
        <w:rPr>
          <w:noProof/>
          <w:lang w:val="en-IE"/>
        </w:rPr>
        <w:t>apply to them</w:t>
      </w:r>
      <w:r w:rsidR="00716EA9" w:rsidRPr="00C856B2">
        <w:rPr>
          <w:noProof/>
          <w:lang w:val="en-IE"/>
        </w:rPr>
        <w:t>.</w:t>
      </w:r>
    </w:p>
    <w:p w:rsidR="00716EA9" w:rsidRPr="00C856B2" w:rsidRDefault="004118AF" w:rsidP="004118AF">
      <w:pPr>
        <w:pStyle w:val="ManualConsidrant"/>
        <w:rPr>
          <w:noProof/>
          <w:lang w:val="en-IE"/>
        </w:rPr>
      </w:pPr>
      <w:r w:rsidRPr="004118AF">
        <w:rPr>
          <w:noProof/>
        </w:rPr>
        <w:t>(5)</w:t>
      </w:r>
      <w:r w:rsidRPr="004118AF">
        <w:rPr>
          <w:noProof/>
        </w:rPr>
        <w:tab/>
      </w:r>
      <w:r w:rsidR="00D311FE" w:rsidRPr="00C856B2">
        <w:rPr>
          <w:noProof/>
          <w:lang w:val="en-IE"/>
        </w:rPr>
        <w:t>T</w:t>
      </w:r>
      <w:r w:rsidR="00716EA9" w:rsidRPr="00C856B2">
        <w:rPr>
          <w:noProof/>
          <w:lang w:val="en-IE"/>
        </w:rPr>
        <w:t xml:space="preserve">he </w:t>
      </w:r>
      <w:r w:rsidR="0004265D" w:rsidRPr="00C856B2">
        <w:rPr>
          <w:noProof/>
          <w:lang w:val="en-IE"/>
        </w:rPr>
        <w:t xml:space="preserve">new </w:t>
      </w:r>
      <w:r w:rsidR="00716EA9" w:rsidRPr="00C856B2">
        <w:rPr>
          <w:noProof/>
          <w:lang w:val="en-IE"/>
        </w:rPr>
        <w:t xml:space="preserve">capital adequacy templates should </w:t>
      </w:r>
      <w:r w:rsidR="0004265D" w:rsidRPr="00C856B2">
        <w:rPr>
          <w:noProof/>
          <w:lang w:val="en-IE"/>
        </w:rPr>
        <w:t xml:space="preserve">provide for the </w:t>
      </w:r>
      <w:r w:rsidR="00716EA9" w:rsidRPr="00C856B2">
        <w:rPr>
          <w:noProof/>
          <w:lang w:val="en-IE"/>
        </w:rPr>
        <w:t xml:space="preserve">reporting </w:t>
      </w:r>
      <w:r w:rsidR="0004265D" w:rsidRPr="00C856B2">
        <w:rPr>
          <w:noProof/>
          <w:lang w:val="en-IE"/>
        </w:rPr>
        <w:t xml:space="preserve">of </w:t>
      </w:r>
      <w:r w:rsidR="00716EA9" w:rsidRPr="00C856B2">
        <w:rPr>
          <w:noProof/>
          <w:lang w:val="en-IE"/>
        </w:rPr>
        <w:t xml:space="preserve">information on the output floor in the own funds requirements and capital ratios, </w:t>
      </w:r>
      <w:r w:rsidR="0004265D" w:rsidRPr="00C856B2">
        <w:rPr>
          <w:noProof/>
          <w:lang w:val="en-IE"/>
        </w:rPr>
        <w:t>and in particular for the reporting of information</w:t>
      </w:r>
      <w:r w:rsidR="00716EA9" w:rsidRPr="00C856B2">
        <w:rPr>
          <w:noProof/>
          <w:lang w:val="en-IE"/>
        </w:rPr>
        <w:t xml:space="preserve"> </w:t>
      </w:r>
      <w:r w:rsidR="0004265D" w:rsidRPr="00C856B2">
        <w:rPr>
          <w:noProof/>
          <w:lang w:val="en-IE"/>
        </w:rPr>
        <w:t xml:space="preserve">on </w:t>
      </w:r>
      <w:r w:rsidR="00716EA9" w:rsidRPr="00C856B2">
        <w:rPr>
          <w:noProof/>
          <w:lang w:val="en-IE"/>
        </w:rPr>
        <w:t xml:space="preserve">the impact of </w:t>
      </w:r>
      <w:r w:rsidR="0004265D" w:rsidRPr="00C856B2">
        <w:rPr>
          <w:noProof/>
          <w:lang w:val="en-IE"/>
        </w:rPr>
        <w:t xml:space="preserve">the </w:t>
      </w:r>
      <w:r w:rsidR="00716EA9" w:rsidRPr="00C856B2">
        <w:rPr>
          <w:noProof/>
          <w:lang w:val="en-IE"/>
        </w:rPr>
        <w:t>transitional provisions for the output floor</w:t>
      </w:r>
      <w:r w:rsidR="00D311FE" w:rsidRPr="00C856B2">
        <w:rPr>
          <w:noProof/>
          <w:lang w:val="en-IE"/>
        </w:rPr>
        <w:t xml:space="preserve"> laid down in Article 465 of Regulation (EU) No 575/2013</w:t>
      </w:r>
      <w:r w:rsidR="00716EA9" w:rsidRPr="00C856B2">
        <w:rPr>
          <w:noProof/>
          <w:lang w:val="en-IE"/>
        </w:rPr>
        <w:t xml:space="preserve">. </w:t>
      </w:r>
      <w:r w:rsidR="009642A4" w:rsidRPr="00C856B2">
        <w:rPr>
          <w:noProof/>
          <w:lang w:val="en-IE"/>
        </w:rPr>
        <w:t>R</w:t>
      </w:r>
      <w:r w:rsidR="00716EA9" w:rsidRPr="00C856B2">
        <w:rPr>
          <w:noProof/>
          <w:lang w:val="en-IE"/>
        </w:rPr>
        <w:t xml:space="preserve">eporting data should </w:t>
      </w:r>
      <w:r w:rsidR="00276E76" w:rsidRPr="00C856B2">
        <w:rPr>
          <w:noProof/>
          <w:lang w:val="en-IE"/>
        </w:rPr>
        <w:t xml:space="preserve">provide for the reporting of information on </w:t>
      </w:r>
      <w:r w:rsidR="00716EA9" w:rsidRPr="00C856B2">
        <w:rPr>
          <w:noProof/>
          <w:lang w:val="en-IE"/>
        </w:rPr>
        <w:t>impact of the output floor and of transitional provisions</w:t>
      </w:r>
      <w:r w:rsidR="009642A4" w:rsidRPr="00C856B2">
        <w:rPr>
          <w:noProof/>
          <w:lang w:val="en-IE"/>
        </w:rPr>
        <w:t xml:space="preserve"> laid down in Article 465 of Regulation (EU) No 575/2013</w:t>
      </w:r>
      <w:r w:rsidR="00716EA9" w:rsidRPr="00C856B2">
        <w:rPr>
          <w:noProof/>
          <w:lang w:val="en-IE"/>
        </w:rPr>
        <w:t xml:space="preserve">. </w:t>
      </w:r>
      <w:r w:rsidR="00276E76" w:rsidRPr="00C856B2">
        <w:rPr>
          <w:noProof/>
          <w:lang w:val="en-IE"/>
        </w:rPr>
        <w:t>T</w:t>
      </w:r>
      <w:r w:rsidR="00716EA9" w:rsidRPr="00C856B2">
        <w:rPr>
          <w:noProof/>
          <w:lang w:val="en-IE"/>
        </w:rPr>
        <w:t xml:space="preserve">he group solvency templates </w:t>
      </w:r>
      <w:r w:rsidR="00276E76" w:rsidRPr="00C856B2">
        <w:rPr>
          <w:noProof/>
          <w:lang w:val="en-IE"/>
        </w:rPr>
        <w:t xml:space="preserve">should contain </w:t>
      </w:r>
      <w:r w:rsidR="00716EA9" w:rsidRPr="00C856B2">
        <w:rPr>
          <w:noProof/>
          <w:lang w:val="en-IE"/>
        </w:rPr>
        <w:t xml:space="preserve">a new column to report </w:t>
      </w:r>
      <w:r w:rsidR="00276E76" w:rsidRPr="00C856B2">
        <w:rPr>
          <w:noProof/>
          <w:lang w:val="en-IE"/>
        </w:rPr>
        <w:t xml:space="preserve">information on </w:t>
      </w:r>
      <w:r w:rsidR="00716EA9" w:rsidRPr="00C856B2">
        <w:rPr>
          <w:noProof/>
          <w:lang w:val="en-IE"/>
        </w:rPr>
        <w:t>the floor adjustment</w:t>
      </w:r>
      <w:r w:rsidR="003168F4" w:rsidRPr="00C856B2">
        <w:rPr>
          <w:noProof/>
          <w:lang w:val="en-IE"/>
        </w:rPr>
        <w:t xml:space="preserve"> for entities subject to own funds requirements</w:t>
      </w:r>
      <w:r w:rsidR="00716EA9" w:rsidRPr="00C856B2">
        <w:rPr>
          <w:noProof/>
          <w:lang w:val="en-IE"/>
        </w:rPr>
        <w:t>.</w:t>
      </w:r>
    </w:p>
    <w:p w:rsidR="00716EA9" w:rsidRPr="00C856B2" w:rsidRDefault="004118AF" w:rsidP="004118AF">
      <w:pPr>
        <w:pStyle w:val="ManualConsidrant"/>
        <w:rPr>
          <w:noProof/>
          <w:lang w:val="en-IE"/>
        </w:rPr>
      </w:pPr>
      <w:r w:rsidRPr="004118AF">
        <w:rPr>
          <w:noProof/>
        </w:rPr>
        <w:t>(6)</w:t>
      </w:r>
      <w:r w:rsidRPr="004118AF">
        <w:rPr>
          <w:noProof/>
        </w:rPr>
        <w:tab/>
      </w:r>
      <w:r w:rsidR="00716EA9" w:rsidRPr="00C856B2">
        <w:rPr>
          <w:noProof/>
          <w:lang w:val="en-IE"/>
        </w:rPr>
        <w:t xml:space="preserve">Credit risk templates for the Standardised </w:t>
      </w:r>
      <w:r w:rsidR="005A4AF3" w:rsidRPr="00C856B2">
        <w:rPr>
          <w:noProof/>
          <w:lang w:val="en-IE"/>
        </w:rPr>
        <w:t>A</w:t>
      </w:r>
      <w:r w:rsidR="00716EA9" w:rsidRPr="00C856B2">
        <w:rPr>
          <w:noProof/>
          <w:lang w:val="en-IE"/>
        </w:rPr>
        <w:t xml:space="preserve">pproach (‘SA’) should reflect </w:t>
      </w:r>
      <w:r w:rsidR="009642A4" w:rsidRPr="00C856B2">
        <w:rPr>
          <w:noProof/>
          <w:lang w:val="en-IE"/>
        </w:rPr>
        <w:t>the amendments to the classification of</w:t>
      </w:r>
      <w:r w:rsidR="00716EA9" w:rsidRPr="00C856B2">
        <w:rPr>
          <w:noProof/>
          <w:lang w:val="en-IE"/>
        </w:rPr>
        <w:t xml:space="preserve"> exposure classes</w:t>
      </w:r>
      <w:r w:rsidR="00276E76" w:rsidRPr="00C856B2">
        <w:rPr>
          <w:noProof/>
          <w:lang w:val="en-IE"/>
        </w:rPr>
        <w:t xml:space="preserve"> and</w:t>
      </w:r>
      <w:r w:rsidR="00716EA9" w:rsidRPr="00C856B2">
        <w:rPr>
          <w:noProof/>
          <w:lang w:val="en-IE"/>
        </w:rPr>
        <w:t xml:space="preserve"> new risk weights</w:t>
      </w:r>
      <w:r w:rsidR="009642A4" w:rsidRPr="00C856B2">
        <w:rPr>
          <w:noProof/>
          <w:lang w:val="en-IE"/>
        </w:rPr>
        <w:t xml:space="preserve">. In addition, they </w:t>
      </w:r>
      <w:r w:rsidR="00276E76" w:rsidRPr="00C856B2">
        <w:rPr>
          <w:noProof/>
          <w:lang w:val="en-IE"/>
        </w:rPr>
        <w:t xml:space="preserve">should reflect </w:t>
      </w:r>
      <w:r w:rsidR="00716EA9" w:rsidRPr="00C856B2">
        <w:rPr>
          <w:noProof/>
          <w:lang w:val="en-IE"/>
        </w:rPr>
        <w:t>the more granular approach applied to exposures secured by mortgages on immovable property</w:t>
      </w:r>
      <w:r w:rsidR="00397F7B" w:rsidRPr="00C856B2">
        <w:rPr>
          <w:noProof/>
          <w:lang w:val="en-IE"/>
        </w:rPr>
        <w:t>,</w:t>
      </w:r>
      <w:r w:rsidR="00716EA9" w:rsidRPr="00C856B2">
        <w:rPr>
          <w:noProof/>
          <w:lang w:val="en-IE"/>
        </w:rPr>
        <w:t xml:space="preserve"> and </w:t>
      </w:r>
      <w:r w:rsidR="00276E76" w:rsidRPr="00C856B2">
        <w:rPr>
          <w:noProof/>
          <w:lang w:val="en-IE"/>
        </w:rPr>
        <w:t xml:space="preserve">should reflect </w:t>
      </w:r>
      <w:r w:rsidR="00716EA9" w:rsidRPr="00C856B2">
        <w:rPr>
          <w:noProof/>
          <w:lang w:val="en-IE"/>
        </w:rPr>
        <w:t>some changes in the calculation of the exposure value of off-balance sheet items</w:t>
      </w:r>
      <w:r w:rsidR="007920CD" w:rsidRPr="00C856B2">
        <w:rPr>
          <w:noProof/>
          <w:lang w:val="en-IE"/>
        </w:rPr>
        <w:t>,</w:t>
      </w:r>
      <w:r w:rsidR="00397F7B" w:rsidRPr="00C856B2">
        <w:rPr>
          <w:noProof/>
          <w:lang w:val="en-IE"/>
        </w:rPr>
        <w:t xml:space="preserve"> </w:t>
      </w:r>
      <w:r w:rsidR="00276E76" w:rsidRPr="00C856B2">
        <w:rPr>
          <w:noProof/>
          <w:lang w:val="en-IE"/>
        </w:rPr>
        <w:t>all of which were</w:t>
      </w:r>
      <w:r w:rsidR="007920CD" w:rsidRPr="00C856B2">
        <w:rPr>
          <w:noProof/>
          <w:lang w:val="en-IE"/>
        </w:rPr>
        <w:t xml:space="preserve"> </w:t>
      </w:r>
      <w:r w:rsidR="00397F7B" w:rsidRPr="00C856B2">
        <w:rPr>
          <w:noProof/>
          <w:lang w:val="en-IE"/>
        </w:rPr>
        <w:t>introduced in Regulation (EU) No 575/2013 by Regulation (EU) 2024/1623</w:t>
      </w:r>
      <w:r w:rsidR="00716EA9" w:rsidRPr="00C856B2">
        <w:rPr>
          <w:noProof/>
          <w:lang w:val="en-IE"/>
        </w:rPr>
        <w:t>.</w:t>
      </w:r>
    </w:p>
    <w:p w:rsidR="00716EA9" w:rsidRPr="00C856B2" w:rsidRDefault="004118AF" w:rsidP="004118AF">
      <w:pPr>
        <w:pStyle w:val="ManualConsidrant"/>
        <w:rPr>
          <w:noProof/>
          <w:lang w:val="en-IE"/>
        </w:rPr>
      </w:pPr>
      <w:r w:rsidRPr="004118AF">
        <w:rPr>
          <w:noProof/>
        </w:rPr>
        <w:t>(7)</w:t>
      </w:r>
      <w:r w:rsidRPr="004118AF">
        <w:rPr>
          <w:noProof/>
        </w:rPr>
        <w:tab/>
      </w:r>
      <w:r w:rsidR="00716EA9" w:rsidRPr="00C856B2">
        <w:rPr>
          <w:noProof/>
          <w:lang w:val="en-IE"/>
        </w:rPr>
        <w:t xml:space="preserve">Credit risk templates for the IRB should reflect </w:t>
      </w:r>
      <w:r w:rsidR="009642A4" w:rsidRPr="00C856B2">
        <w:rPr>
          <w:noProof/>
          <w:lang w:val="en-IE"/>
        </w:rPr>
        <w:t>amendments to the classification of</w:t>
      </w:r>
      <w:r w:rsidR="009642A4" w:rsidRPr="00C856B2" w:rsidDel="009642A4">
        <w:rPr>
          <w:noProof/>
          <w:lang w:val="en-IE"/>
        </w:rPr>
        <w:t xml:space="preserve"> </w:t>
      </w:r>
      <w:r w:rsidR="00716EA9" w:rsidRPr="00C856B2">
        <w:rPr>
          <w:noProof/>
          <w:lang w:val="en-IE"/>
        </w:rPr>
        <w:t>exposure classes, namely to limit the use of Institutions and Large Corporates exposures under Foundation-IRB (‘FIRB‘)</w:t>
      </w:r>
      <w:r w:rsidR="00E145F3" w:rsidRPr="00C856B2">
        <w:rPr>
          <w:noProof/>
          <w:lang w:val="en-IE"/>
        </w:rPr>
        <w:t>,</w:t>
      </w:r>
      <w:r w:rsidR="00716EA9" w:rsidRPr="00C856B2">
        <w:rPr>
          <w:noProof/>
          <w:lang w:val="en-IE"/>
        </w:rPr>
        <w:t xml:space="preserve"> and </w:t>
      </w:r>
      <w:r w:rsidR="0033133E" w:rsidRPr="00C856B2">
        <w:rPr>
          <w:noProof/>
          <w:lang w:val="en-IE"/>
        </w:rPr>
        <w:t xml:space="preserve">should provide for the reporting of information on </w:t>
      </w:r>
      <w:r w:rsidR="00716EA9" w:rsidRPr="00C856B2">
        <w:rPr>
          <w:noProof/>
          <w:lang w:val="en-IE"/>
        </w:rPr>
        <w:t>new exposure classes</w:t>
      </w:r>
      <w:r w:rsidR="00DA3417" w:rsidRPr="00C856B2">
        <w:rPr>
          <w:noProof/>
          <w:lang w:val="en-IE"/>
        </w:rPr>
        <w:t>, including</w:t>
      </w:r>
      <w:r w:rsidR="00716EA9" w:rsidRPr="00C856B2">
        <w:rPr>
          <w:noProof/>
          <w:lang w:val="en-IE"/>
        </w:rPr>
        <w:t xml:space="preserve"> </w:t>
      </w:r>
      <w:r w:rsidR="00AC5E88" w:rsidRPr="00C856B2">
        <w:rPr>
          <w:noProof/>
          <w:lang w:val="en-IE"/>
        </w:rPr>
        <w:t>p</w:t>
      </w:r>
      <w:r w:rsidR="00716EA9" w:rsidRPr="00C856B2">
        <w:rPr>
          <w:noProof/>
          <w:lang w:val="en-IE"/>
        </w:rPr>
        <w:t xml:space="preserve">ublic sector entities (PSEs) and regional governments or local authorities (RGLAs). Finally, the </w:t>
      </w:r>
      <w:r w:rsidR="0033133E" w:rsidRPr="00C856B2">
        <w:rPr>
          <w:noProof/>
          <w:lang w:val="en-IE"/>
        </w:rPr>
        <w:t xml:space="preserve">new </w:t>
      </w:r>
      <w:r w:rsidR="00716EA9" w:rsidRPr="00C856B2">
        <w:rPr>
          <w:noProof/>
          <w:lang w:val="en-IE"/>
        </w:rPr>
        <w:t xml:space="preserve">templates </w:t>
      </w:r>
      <w:r w:rsidR="00CB4B88" w:rsidRPr="00C856B2">
        <w:rPr>
          <w:noProof/>
          <w:lang w:val="en-IE"/>
        </w:rPr>
        <w:t>should provide for</w:t>
      </w:r>
      <w:r w:rsidR="00716EA9" w:rsidRPr="00C856B2">
        <w:rPr>
          <w:noProof/>
          <w:lang w:val="en-IE"/>
        </w:rPr>
        <w:t xml:space="preserve"> the reporting of both standard and own computation credit conversion factors.</w:t>
      </w:r>
    </w:p>
    <w:p w:rsidR="00716EA9" w:rsidRPr="00C856B2" w:rsidRDefault="004118AF" w:rsidP="004118AF">
      <w:pPr>
        <w:pStyle w:val="ManualConsidrant"/>
        <w:rPr>
          <w:noProof/>
          <w:lang w:val="en-IE"/>
        </w:rPr>
      </w:pPr>
      <w:r w:rsidRPr="004118AF">
        <w:rPr>
          <w:noProof/>
        </w:rPr>
        <w:t>(8)</w:t>
      </w:r>
      <w:r w:rsidRPr="004118AF">
        <w:rPr>
          <w:noProof/>
        </w:rPr>
        <w:tab/>
      </w:r>
      <w:r w:rsidR="00716EA9" w:rsidRPr="00C856B2">
        <w:rPr>
          <w:noProof/>
          <w:lang w:val="en-IE"/>
        </w:rPr>
        <w:t xml:space="preserve">The </w:t>
      </w:r>
      <w:r w:rsidR="0033133E" w:rsidRPr="00C856B2">
        <w:rPr>
          <w:noProof/>
          <w:lang w:val="en-IE"/>
        </w:rPr>
        <w:t xml:space="preserve">new templates for the </w:t>
      </w:r>
      <w:r w:rsidR="00716EA9" w:rsidRPr="00C856B2">
        <w:rPr>
          <w:noProof/>
          <w:lang w:val="en-IE"/>
        </w:rPr>
        <w:t xml:space="preserve">reporting of </w:t>
      </w:r>
      <w:r w:rsidR="0033133E" w:rsidRPr="00C856B2">
        <w:rPr>
          <w:noProof/>
          <w:lang w:val="en-IE"/>
        </w:rPr>
        <w:t xml:space="preserve">information on </w:t>
      </w:r>
      <w:r w:rsidR="00716EA9" w:rsidRPr="00C856B2">
        <w:rPr>
          <w:noProof/>
          <w:lang w:val="en-IE"/>
        </w:rPr>
        <w:t xml:space="preserve">non-performing exposures loss coverage should reflect the changes </w:t>
      </w:r>
      <w:r w:rsidR="0033133E" w:rsidRPr="00C856B2">
        <w:rPr>
          <w:noProof/>
          <w:lang w:val="en-IE"/>
        </w:rPr>
        <w:t>to</w:t>
      </w:r>
      <w:r w:rsidR="00716EA9" w:rsidRPr="00C856B2">
        <w:rPr>
          <w:noProof/>
          <w:lang w:val="en-IE"/>
        </w:rPr>
        <w:t xml:space="preserve"> the scope of </w:t>
      </w:r>
      <w:r w:rsidR="006C431D" w:rsidRPr="00C856B2">
        <w:rPr>
          <w:noProof/>
          <w:lang w:val="en-IE"/>
        </w:rPr>
        <w:t xml:space="preserve">the </w:t>
      </w:r>
      <w:r w:rsidR="00716EA9" w:rsidRPr="00C856B2">
        <w:rPr>
          <w:noProof/>
          <w:lang w:val="en-IE"/>
        </w:rPr>
        <w:t xml:space="preserve">exposures </w:t>
      </w:r>
      <w:r w:rsidR="002632D6" w:rsidRPr="00C856B2">
        <w:rPr>
          <w:noProof/>
          <w:lang w:val="en-IE"/>
        </w:rPr>
        <w:t xml:space="preserve">that are </w:t>
      </w:r>
      <w:r w:rsidR="00716EA9" w:rsidRPr="00C856B2">
        <w:rPr>
          <w:noProof/>
          <w:lang w:val="en-IE"/>
        </w:rPr>
        <w:t xml:space="preserve">subject to the </w:t>
      </w:r>
      <w:r w:rsidR="006C431D" w:rsidRPr="00C856B2">
        <w:rPr>
          <w:noProof/>
          <w:lang w:val="en-IE"/>
        </w:rPr>
        <w:t xml:space="preserve">loss coverage </w:t>
      </w:r>
      <w:r w:rsidR="00716EA9" w:rsidRPr="00C856B2">
        <w:rPr>
          <w:noProof/>
          <w:lang w:val="en-IE"/>
        </w:rPr>
        <w:t xml:space="preserve">requirements and changes </w:t>
      </w:r>
      <w:r w:rsidR="00BA7B51" w:rsidRPr="00C856B2">
        <w:rPr>
          <w:noProof/>
          <w:lang w:val="en-IE"/>
        </w:rPr>
        <w:t>to</w:t>
      </w:r>
      <w:r w:rsidR="00716EA9" w:rsidRPr="00C856B2">
        <w:rPr>
          <w:noProof/>
          <w:lang w:val="en-IE"/>
        </w:rPr>
        <w:t xml:space="preserve"> the provisioning calendar.</w:t>
      </w:r>
    </w:p>
    <w:p w:rsidR="00716EA9" w:rsidRPr="00C856B2" w:rsidRDefault="004118AF" w:rsidP="004118AF">
      <w:pPr>
        <w:pStyle w:val="ManualConsidrant"/>
        <w:rPr>
          <w:noProof/>
          <w:lang w:val="en-IE"/>
        </w:rPr>
      </w:pPr>
      <w:r w:rsidRPr="004118AF">
        <w:rPr>
          <w:noProof/>
        </w:rPr>
        <w:t>(9)</w:t>
      </w:r>
      <w:r w:rsidRPr="004118AF">
        <w:rPr>
          <w:noProof/>
        </w:rPr>
        <w:tab/>
      </w:r>
      <w:r w:rsidR="0033133E" w:rsidRPr="00C856B2">
        <w:rPr>
          <w:noProof/>
          <w:lang w:val="en-IE"/>
        </w:rPr>
        <w:t>A new reporting template should provide for t</w:t>
      </w:r>
      <w:r w:rsidR="00716EA9" w:rsidRPr="00C856B2">
        <w:rPr>
          <w:noProof/>
          <w:lang w:val="en-IE"/>
        </w:rPr>
        <w:t xml:space="preserve">he reporting of </w:t>
      </w:r>
      <w:r w:rsidR="0033133E" w:rsidRPr="00C856B2">
        <w:rPr>
          <w:noProof/>
          <w:lang w:val="en-IE"/>
        </w:rPr>
        <w:t xml:space="preserve">information on </w:t>
      </w:r>
      <w:r w:rsidR="00716EA9" w:rsidRPr="00C856B2">
        <w:rPr>
          <w:noProof/>
          <w:lang w:val="en-IE"/>
        </w:rPr>
        <w:t xml:space="preserve">exposures to crypto assets to reflect the total risk exposure amounts for </w:t>
      </w:r>
      <w:r w:rsidR="003F3A18" w:rsidRPr="00C856B2">
        <w:rPr>
          <w:noProof/>
          <w:lang w:val="en-IE"/>
        </w:rPr>
        <w:t>those</w:t>
      </w:r>
      <w:r w:rsidR="00716EA9" w:rsidRPr="00C856B2">
        <w:rPr>
          <w:noProof/>
          <w:lang w:val="en-IE"/>
        </w:rPr>
        <w:t xml:space="preserve"> exposures.</w:t>
      </w:r>
    </w:p>
    <w:p w:rsidR="00716EA9" w:rsidRPr="00C856B2" w:rsidRDefault="004118AF" w:rsidP="004118AF">
      <w:pPr>
        <w:pStyle w:val="ManualConsidrant"/>
        <w:rPr>
          <w:noProof/>
          <w:lang w:val="en-IE"/>
        </w:rPr>
      </w:pPr>
      <w:r w:rsidRPr="004118AF">
        <w:rPr>
          <w:noProof/>
        </w:rPr>
        <w:t>(10)</w:t>
      </w:r>
      <w:r w:rsidRPr="004118AF">
        <w:rPr>
          <w:noProof/>
        </w:rPr>
        <w:tab/>
      </w:r>
      <w:r w:rsidR="00716EA9" w:rsidRPr="00C856B2">
        <w:rPr>
          <w:noProof/>
          <w:lang w:val="en-IE"/>
        </w:rPr>
        <w:t xml:space="preserve">The reporting of aggregate data for each national immovable property market (“IP Losses”) should </w:t>
      </w:r>
      <w:r w:rsidR="003F3A18" w:rsidRPr="00C856B2">
        <w:rPr>
          <w:noProof/>
          <w:lang w:val="en-IE"/>
        </w:rPr>
        <w:t>reflect</w:t>
      </w:r>
      <w:r w:rsidR="00716EA9" w:rsidRPr="00C856B2">
        <w:rPr>
          <w:noProof/>
          <w:lang w:val="en-IE"/>
        </w:rPr>
        <w:t xml:space="preserve"> the </w:t>
      </w:r>
      <w:r w:rsidR="00BA7B51" w:rsidRPr="00C856B2">
        <w:rPr>
          <w:noProof/>
          <w:lang w:val="en-IE"/>
        </w:rPr>
        <w:t xml:space="preserve">new </w:t>
      </w:r>
      <w:r w:rsidR="00716EA9" w:rsidRPr="00C856B2">
        <w:rPr>
          <w:noProof/>
          <w:lang w:val="en-IE"/>
        </w:rPr>
        <w:t xml:space="preserve">specific reporting obligations </w:t>
      </w:r>
      <w:r w:rsidR="00C42B32" w:rsidRPr="00C856B2">
        <w:rPr>
          <w:noProof/>
          <w:lang w:val="en-IE"/>
        </w:rPr>
        <w:t>set out</w:t>
      </w:r>
      <w:r w:rsidR="00716EA9" w:rsidRPr="00C856B2">
        <w:rPr>
          <w:noProof/>
          <w:lang w:val="en-IE"/>
        </w:rPr>
        <w:t xml:space="preserve"> </w:t>
      </w:r>
      <w:r w:rsidR="006F77EF" w:rsidRPr="00C856B2">
        <w:rPr>
          <w:noProof/>
          <w:lang w:val="en-IE"/>
        </w:rPr>
        <w:t>in Article</w:t>
      </w:r>
      <w:r w:rsidR="00BA7B51" w:rsidRPr="00C856B2">
        <w:rPr>
          <w:noProof/>
          <w:lang w:val="en-IE"/>
        </w:rPr>
        <w:t> </w:t>
      </w:r>
      <w:r w:rsidR="006F77EF" w:rsidRPr="00C856B2">
        <w:rPr>
          <w:noProof/>
          <w:lang w:val="en-IE"/>
        </w:rPr>
        <w:t>430a</w:t>
      </w:r>
      <w:r w:rsidR="00402C69" w:rsidRPr="00C856B2">
        <w:rPr>
          <w:noProof/>
          <w:lang w:val="en-IE"/>
        </w:rPr>
        <w:t>(1)</w:t>
      </w:r>
      <w:r w:rsidR="006F77EF" w:rsidRPr="00C856B2">
        <w:rPr>
          <w:noProof/>
          <w:lang w:val="en-IE"/>
        </w:rPr>
        <w:t xml:space="preserve"> </w:t>
      </w:r>
      <w:r w:rsidR="00BA7B51" w:rsidRPr="00C856B2">
        <w:rPr>
          <w:noProof/>
          <w:lang w:val="en-IE"/>
        </w:rPr>
        <w:t>of</w:t>
      </w:r>
      <w:r w:rsidR="006F77EF" w:rsidRPr="00C856B2">
        <w:rPr>
          <w:noProof/>
          <w:lang w:val="en-IE"/>
        </w:rPr>
        <w:t xml:space="preserve"> Regulation (EU) No 575/2013</w:t>
      </w:r>
      <w:r w:rsidR="00716EA9" w:rsidRPr="00C856B2">
        <w:rPr>
          <w:noProof/>
          <w:lang w:val="en-IE"/>
        </w:rPr>
        <w:t>.</w:t>
      </w:r>
    </w:p>
    <w:p w:rsidR="00716EA9" w:rsidRPr="00C856B2" w:rsidRDefault="004118AF" w:rsidP="004118AF">
      <w:pPr>
        <w:pStyle w:val="ManualConsidrant"/>
        <w:rPr>
          <w:noProof/>
          <w:lang w:val="en-IE"/>
        </w:rPr>
      </w:pPr>
      <w:r w:rsidRPr="004118AF">
        <w:rPr>
          <w:noProof/>
        </w:rPr>
        <w:t>(11)</w:t>
      </w:r>
      <w:r w:rsidRPr="004118AF">
        <w:rPr>
          <w:noProof/>
        </w:rPr>
        <w:tab/>
      </w:r>
      <w:r w:rsidR="00716EA9" w:rsidRPr="00C856B2">
        <w:rPr>
          <w:noProof/>
          <w:lang w:val="en-IE"/>
        </w:rPr>
        <w:t>The reporting of credit valuation adjustments (‘CVA’) should reflect the standardised, basic</w:t>
      </w:r>
      <w:r w:rsidR="0075319D" w:rsidRPr="00C856B2">
        <w:rPr>
          <w:noProof/>
          <w:lang w:val="en-IE"/>
        </w:rPr>
        <w:t>,</w:t>
      </w:r>
      <w:r w:rsidR="00716EA9" w:rsidRPr="00C856B2">
        <w:rPr>
          <w:noProof/>
          <w:lang w:val="en-IE"/>
        </w:rPr>
        <w:t xml:space="preserve"> and simplified approaches and </w:t>
      </w:r>
      <w:r w:rsidR="002B5C90" w:rsidRPr="00C856B2">
        <w:rPr>
          <w:noProof/>
          <w:lang w:val="en-IE"/>
        </w:rPr>
        <w:t xml:space="preserve">should </w:t>
      </w:r>
      <w:r w:rsidR="00716EA9" w:rsidRPr="00C856B2">
        <w:rPr>
          <w:noProof/>
          <w:lang w:val="en-IE"/>
        </w:rPr>
        <w:t>capture some specific reporting requirements on CVA risk</w:t>
      </w:r>
      <w:r w:rsidR="006F77EF" w:rsidRPr="00C856B2">
        <w:rPr>
          <w:noProof/>
          <w:lang w:val="en-IE"/>
        </w:rPr>
        <w:t xml:space="preserve">, </w:t>
      </w:r>
      <w:r w:rsidR="002B5C90" w:rsidRPr="00C856B2">
        <w:rPr>
          <w:noProof/>
          <w:lang w:val="en-IE"/>
        </w:rPr>
        <w:t xml:space="preserve">all of </w:t>
      </w:r>
      <w:r w:rsidR="006F77EF" w:rsidRPr="00C856B2">
        <w:rPr>
          <w:noProof/>
          <w:lang w:val="en-IE"/>
        </w:rPr>
        <w:t xml:space="preserve">which were introduced in Title VI </w:t>
      </w:r>
      <w:r w:rsidR="00402C69" w:rsidRPr="00C856B2">
        <w:rPr>
          <w:noProof/>
          <w:lang w:val="en-IE"/>
        </w:rPr>
        <w:t>of</w:t>
      </w:r>
      <w:r w:rsidR="006F77EF" w:rsidRPr="00C856B2">
        <w:rPr>
          <w:noProof/>
          <w:lang w:val="en-IE"/>
        </w:rPr>
        <w:t xml:space="preserve"> Regulation (EU) No 575/2013</w:t>
      </w:r>
      <w:r w:rsidR="00716EA9" w:rsidRPr="00C856B2">
        <w:rPr>
          <w:noProof/>
          <w:lang w:val="en-IE"/>
        </w:rPr>
        <w:t>.</w:t>
      </w:r>
    </w:p>
    <w:p w:rsidR="00716EA9" w:rsidRPr="00C856B2" w:rsidRDefault="004118AF" w:rsidP="004118AF">
      <w:pPr>
        <w:pStyle w:val="ManualConsidrant"/>
        <w:rPr>
          <w:noProof/>
          <w:lang w:val="en-IE"/>
        </w:rPr>
      </w:pPr>
      <w:r w:rsidRPr="004118AF">
        <w:rPr>
          <w:noProof/>
        </w:rPr>
        <w:t>(12)</w:t>
      </w:r>
      <w:r w:rsidRPr="004118AF">
        <w:rPr>
          <w:noProof/>
        </w:rPr>
        <w:tab/>
      </w:r>
      <w:r w:rsidR="00716EA9" w:rsidRPr="00C856B2">
        <w:rPr>
          <w:noProof/>
          <w:lang w:val="en-IE"/>
        </w:rPr>
        <w:t xml:space="preserve">Regulation (EU) 2024/1623 revised the framework for the boundary between the trading and the non-trading book. The reporting </w:t>
      </w:r>
      <w:r w:rsidR="002B5C90" w:rsidRPr="00C856B2">
        <w:rPr>
          <w:noProof/>
          <w:lang w:val="en-IE"/>
        </w:rPr>
        <w:t xml:space="preserve">templates </w:t>
      </w:r>
      <w:r w:rsidR="00716EA9" w:rsidRPr="00C856B2">
        <w:rPr>
          <w:noProof/>
          <w:lang w:val="en-IE"/>
        </w:rPr>
        <w:t xml:space="preserve">should </w:t>
      </w:r>
      <w:r w:rsidR="001745EE" w:rsidRPr="00C856B2">
        <w:rPr>
          <w:noProof/>
          <w:lang w:val="en-IE"/>
        </w:rPr>
        <w:t>therefore</w:t>
      </w:r>
      <w:r w:rsidR="00716EA9" w:rsidRPr="00C856B2">
        <w:rPr>
          <w:noProof/>
          <w:lang w:val="en-IE"/>
        </w:rPr>
        <w:t xml:space="preserve"> </w:t>
      </w:r>
      <w:r w:rsidR="001013A3" w:rsidRPr="00C856B2">
        <w:rPr>
          <w:noProof/>
          <w:lang w:val="en-IE"/>
        </w:rPr>
        <w:t>also</w:t>
      </w:r>
      <w:r w:rsidR="002B5C90" w:rsidRPr="00C856B2">
        <w:rPr>
          <w:noProof/>
          <w:lang w:val="en-IE"/>
        </w:rPr>
        <w:t xml:space="preserve"> provide for the reporting of</w:t>
      </w:r>
      <w:r w:rsidR="00716EA9" w:rsidRPr="00C856B2">
        <w:rPr>
          <w:noProof/>
          <w:lang w:val="en-IE"/>
        </w:rPr>
        <w:t xml:space="preserve"> information on the composition of the trading book with regard to </w:t>
      </w:r>
      <w:r w:rsidR="009522F9" w:rsidRPr="00C856B2">
        <w:rPr>
          <w:noProof/>
          <w:lang w:val="en-IE"/>
        </w:rPr>
        <w:t xml:space="preserve">new </w:t>
      </w:r>
      <w:r w:rsidR="00E76FD3" w:rsidRPr="00C856B2">
        <w:rPr>
          <w:noProof/>
          <w:lang w:val="en-IE"/>
        </w:rPr>
        <w:t>criteria</w:t>
      </w:r>
      <w:r w:rsidR="00716EA9" w:rsidRPr="00C856B2">
        <w:rPr>
          <w:noProof/>
          <w:lang w:val="en-IE"/>
        </w:rPr>
        <w:t xml:space="preserve"> s</w:t>
      </w:r>
      <w:r w:rsidR="00E84636" w:rsidRPr="00C856B2">
        <w:rPr>
          <w:noProof/>
          <w:lang w:val="en-IE"/>
        </w:rPr>
        <w:t>et out</w:t>
      </w:r>
      <w:r w:rsidR="00716EA9" w:rsidRPr="00C856B2">
        <w:rPr>
          <w:noProof/>
          <w:lang w:val="en-IE"/>
        </w:rPr>
        <w:t xml:space="preserve"> in Article 104 of Regulation (EU) </w:t>
      </w:r>
      <w:r w:rsidR="00615C62" w:rsidRPr="00C856B2">
        <w:rPr>
          <w:noProof/>
          <w:lang w:val="en-IE"/>
        </w:rPr>
        <w:t>No</w:t>
      </w:r>
      <w:r w:rsidR="00296756" w:rsidRPr="00C856B2">
        <w:rPr>
          <w:noProof/>
          <w:lang w:val="en-IE"/>
        </w:rPr>
        <w:t> </w:t>
      </w:r>
      <w:r w:rsidR="00615C62" w:rsidRPr="00C856B2">
        <w:rPr>
          <w:noProof/>
          <w:lang w:val="en-IE"/>
        </w:rPr>
        <w:t>575/2013</w:t>
      </w:r>
      <w:r w:rsidR="00716EA9" w:rsidRPr="00C856B2">
        <w:rPr>
          <w:noProof/>
          <w:lang w:val="en-IE"/>
        </w:rPr>
        <w:t xml:space="preserve">. </w:t>
      </w:r>
    </w:p>
    <w:p w:rsidR="00716EA9" w:rsidRPr="00C856B2" w:rsidRDefault="004118AF" w:rsidP="004118AF">
      <w:pPr>
        <w:pStyle w:val="ManualConsidrant"/>
        <w:rPr>
          <w:noProof/>
          <w:lang w:val="en-IE"/>
        </w:rPr>
      </w:pPr>
      <w:r w:rsidRPr="004118AF">
        <w:rPr>
          <w:noProof/>
        </w:rPr>
        <w:t>(13)</w:t>
      </w:r>
      <w:r w:rsidRPr="004118AF">
        <w:rPr>
          <w:noProof/>
        </w:rPr>
        <w:tab/>
      </w:r>
      <w:r w:rsidR="007051E2" w:rsidRPr="00C856B2">
        <w:rPr>
          <w:noProof/>
          <w:lang w:val="en-IE"/>
        </w:rPr>
        <w:t xml:space="preserve">It is necessary </w:t>
      </w:r>
      <w:r w:rsidR="00716EA9" w:rsidRPr="00C856B2">
        <w:rPr>
          <w:noProof/>
          <w:lang w:val="en-IE"/>
        </w:rPr>
        <w:t xml:space="preserve">to </w:t>
      </w:r>
      <w:r w:rsidR="00947753" w:rsidRPr="00C856B2">
        <w:rPr>
          <w:noProof/>
          <w:lang w:val="en-IE"/>
        </w:rPr>
        <w:t>align</w:t>
      </w:r>
      <w:r w:rsidR="00716EA9" w:rsidRPr="00C856B2">
        <w:rPr>
          <w:noProof/>
          <w:lang w:val="en-IE"/>
        </w:rPr>
        <w:t xml:space="preserve"> </w:t>
      </w:r>
      <w:r w:rsidR="000969E7" w:rsidRPr="00C856B2">
        <w:rPr>
          <w:noProof/>
          <w:lang w:val="en-IE"/>
        </w:rPr>
        <w:t>the</w:t>
      </w:r>
      <w:r w:rsidR="00F62E88" w:rsidRPr="00C856B2">
        <w:rPr>
          <w:noProof/>
          <w:lang w:val="en-IE"/>
        </w:rPr>
        <w:t xml:space="preserve"> reporting</w:t>
      </w:r>
      <w:r w:rsidR="000969E7" w:rsidRPr="00C856B2">
        <w:rPr>
          <w:noProof/>
          <w:lang w:val="en-IE"/>
        </w:rPr>
        <w:t xml:space="preserve"> reference</w:t>
      </w:r>
      <w:r w:rsidR="00F62E88" w:rsidRPr="00C856B2">
        <w:rPr>
          <w:noProof/>
          <w:lang w:val="en-IE"/>
        </w:rPr>
        <w:t xml:space="preserve"> </w:t>
      </w:r>
      <w:r w:rsidR="000969E7" w:rsidRPr="00C856B2">
        <w:rPr>
          <w:noProof/>
          <w:lang w:val="en-IE"/>
        </w:rPr>
        <w:t>dates concerning</w:t>
      </w:r>
      <w:r w:rsidR="00F62E88" w:rsidRPr="00C856B2">
        <w:rPr>
          <w:noProof/>
          <w:lang w:val="en-IE"/>
        </w:rPr>
        <w:t xml:space="preserve"> own funds</w:t>
      </w:r>
      <w:r w:rsidR="000969E7" w:rsidRPr="00C856B2">
        <w:rPr>
          <w:noProof/>
          <w:lang w:val="en-IE"/>
        </w:rPr>
        <w:t xml:space="preserve">, </w:t>
      </w:r>
      <w:r w:rsidR="00F62E88" w:rsidRPr="00C856B2">
        <w:rPr>
          <w:noProof/>
          <w:lang w:val="en-IE"/>
        </w:rPr>
        <w:t>own funds requirements</w:t>
      </w:r>
      <w:r w:rsidR="00947753" w:rsidRPr="00C856B2">
        <w:rPr>
          <w:noProof/>
          <w:lang w:val="en-IE"/>
        </w:rPr>
        <w:t>,</w:t>
      </w:r>
      <w:r w:rsidR="006C2BF7" w:rsidRPr="00C856B2">
        <w:rPr>
          <w:noProof/>
          <w:lang w:val="en-IE"/>
        </w:rPr>
        <w:t xml:space="preserve"> and</w:t>
      </w:r>
      <w:r w:rsidR="00F62E88" w:rsidRPr="00C856B2">
        <w:rPr>
          <w:noProof/>
          <w:lang w:val="en-IE"/>
        </w:rPr>
        <w:t xml:space="preserve"> additional reporting requirements on individual and consolidated basis,</w:t>
      </w:r>
      <w:r w:rsidR="00716EA9" w:rsidRPr="00C856B2">
        <w:rPr>
          <w:noProof/>
          <w:lang w:val="en-IE"/>
        </w:rPr>
        <w:t xml:space="preserve"> to the financial year-end dates.</w:t>
      </w:r>
    </w:p>
    <w:p w:rsidR="00716EA9" w:rsidRPr="00C856B2" w:rsidRDefault="004118AF" w:rsidP="004118AF">
      <w:pPr>
        <w:pStyle w:val="ManualConsidrant"/>
        <w:rPr>
          <w:noProof/>
          <w:lang w:val="en-IE"/>
        </w:rPr>
      </w:pPr>
      <w:r w:rsidRPr="004118AF">
        <w:rPr>
          <w:noProof/>
        </w:rPr>
        <w:t>(14)</w:t>
      </w:r>
      <w:r w:rsidRPr="004118AF">
        <w:rPr>
          <w:noProof/>
        </w:rPr>
        <w:tab/>
      </w:r>
      <w:r w:rsidR="009522F9" w:rsidRPr="00C856B2">
        <w:rPr>
          <w:noProof/>
          <w:lang w:val="en-IE"/>
        </w:rPr>
        <w:t xml:space="preserve">To enable institutions to set up the reporting systems necessary to comply with the reporting obligations, </w:t>
      </w:r>
      <w:r w:rsidR="00716EA9" w:rsidRPr="00C856B2">
        <w:rPr>
          <w:noProof/>
          <w:lang w:val="en-IE"/>
        </w:rPr>
        <w:t xml:space="preserve">entities that engage in activities of a credit institution for the first time </w:t>
      </w:r>
      <w:r w:rsidR="009522F9" w:rsidRPr="00C856B2">
        <w:rPr>
          <w:noProof/>
          <w:lang w:val="en-IE"/>
        </w:rPr>
        <w:t xml:space="preserve">should be given </w:t>
      </w:r>
      <w:r w:rsidR="00716EA9" w:rsidRPr="00C856B2">
        <w:rPr>
          <w:noProof/>
          <w:lang w:val="en-IE"/>
        </w:rPr>
        <w:t>more time to submit the templates</w:t>
      </w:r>
      <w:r w:rsidR="009642A4" w:rsidRPr="00C856B2">
        <w:rPr>
          <w:noProof/>
          <w:lang w:val="en-IE"/>
        </w:rPr>
        <w:t xml:space="preserve">. </w:t>
      </w:r>
    </w:p>
    <w:p w:rsidR="002823A7" w:rsidRPr="00C856B2" w:rsidRDefault="004118AF" w:rsidP="004118AF">
      <w:pPr>
        <w:pStyle w:val="ManualConsidrant"/>
        <w:rPr>
          <w:noProof/>
          <w:szCs w:val="24"/>
          <w:lang w:val="en-IE"/>
        </w:rPr>
      </w:pPr>
      <w:r w:rsidRPr="004118AF">
        <w:rPr>
          <w:noProof/>
        </w:rPr>
        <w:t>(15)</w:t>
      </w:r>
      <w:r w:rsidRPr="004118AF">
        <w:rPr>
          <w:noProof/>
        </w:rPr>
        <w:tab/>
      </w:r>
      <w:r w:rsidR="002823A7" w:rsidRPr="00C856B2">
        <w:rPr>
          <w:noProof/>
        </w:rPr>
        <w:t>Regulation (EU) 2024/1623 amended Article 43</w:t>
      </w:r>
      <w:r w:rsidR="00090CF8" w:rsidRPr="00C856B2">
        <w:rPr>
          <w:noProof/>
        </w:rPr>
        <w:t>0(7), first sub</w:t>
      </w:r>
      <w:r w:rsidR="002823A7" w:rsidRPr="00C856B2">
        <w:rPr>
          <w:noProof/>
        </w:rPr>
        <w:t>paragraph</w:t>
      </w:r>
      <w:r w:rsidR="00644824" w:rsidRPr="00C856B2">
        <w:rPr>
          <w:noProof/>
        </w:rPr>
        <w:t>,</w:t>
      </w:r>
      <w:r w:rsidR="002823A7" w:rsidRPr="00C856B2">
        <w:rPr>
          <w:noProof/>
        </w:rPr>
        <w:t xml:space="preserve"> of Regulation (EU) No 575/2013 and introduced a requirement for </w:t>
      </w:r>
      <w:r w:rsidR="00C37160" w:rsidRPr="00C856B2">
        <w:rPr>
          <w:noProof/>
        </w:rPr>
        <w:t xml:space="preserve">the </w:t>
      </w:r>
      <w:r w:rsidR="002823A7" w:rsidRPr="00C856B2">
        <w:rPr>
          <w:noProof/>
        </w:rPr>
        <w:t xml:space="preserve">EBA to develop IT solutions, including </w:t>
      </w:r>
      <w:r w:rsidR="00090CF8" w:rsidRPr="00C856B2">
        <w:rPr>
          <w:noProof/>
        </w:rPr>
        <w:t xml:space="preserve">reporting templates and </w:t>
      </w:r>
      <w:r w:rsidR="002823A7" w:rsidRPr="00C856B2">
        <w:rPr>
          <w:noProof/>
        </w:rPr>
        <w:t xml:space="preserve">instructions, to be used by institutions </w:t>
      </w:r>
      <w:r w:rsidR="00090CF8" w:rsidRPr="00C856B2">
        <w:rPr>
          <w:noProof/>
        </w:rPr>
        <w:t>for complying with the reporting obligations laid down in paragraphs 1 to 4 of that Article</w:t>
      </w:r>
      <w:r w:rsidR="002823A7" w:rsidRPr="00C856B2">
        <w:rPr>
          <w:noProof/>
        </w:rPr>
        <w:t xml:space="preserve">. Accordingly, the data points and the information that institutions have to </w:t>
      </w:r>
      <w:r w:rsidR="00090CF8" w:rsidRPr="00C856B2">
        <w:rPr>
          <w:noProof/>
        </w:rPr>
        <w:t xml:space="preserve">report and that </w:t>
      </w:r>
      <w:r w:rsidR="00C37160" w:rsidRPr="00C856B2">
        <w:rPr>
          <w:noProof/>
        </w:rPr>
        <w:t xml:space="preserve">the </w:t>
      </w:r>
      <w:r w:rsidR="00090CF8" w:rsidRPr="00C856B2">
        <w:rPr>
          <w:noProof/>
        </w:rPr>
        <w:t>EBA should include in the IT solutions</w:t>
      </w:r>
      <w:r w:rsidR="00644824" w:rsidRPr="00C856B2">
        <w:rPr>
          <w:noProof/>
        </w:rPr>
        <w:t xml:space="preserve"> concerned</w:t>
      </w:r>
      <w:r w:rsidR="00C37160" w:rsidRPr="00C856B2">
        <w:rPr>
          <w:noProof/>
        </w:rPr>
        <w:t xml:space="preserve"> should be specified with sufficient clarity</w:t>
      </w:r>
      <w:r w:rsidR="002823A7" w:rsidRPr="00C856B2">
        <w:rPr>
          <w:noProof/>
        </w:rPr>
        <w:t xml:space="preserve">. </w:t>
      </w:r>
      <w:r w:rsidR="00090CF8" w:rsidRPr="00C856B2">
        <w:rPr>
          <w:noProof/>
        </w:rPr>
        <w:t xml:space="preserve">In order to allow </w:t>
      </w:r>
      <w:r w:rsidR="00170836" w:rsidRPr="00C856B2">
        <w:rPr>
          <w:noProof/>
        </w:rPr>
        <w:t xml:space="preserve">the </w:t>
      </w:r>
      <w:r w:rsidR="002823A7" w:rsidRPr="00C856B2">
        <w:rPr>
          <w:noProof/>
        </w:rPr>
        <w:t>EBA to develop appropriate IT solutions</w:t>
      </w:r>
      <w:r w:rsidR="00090CF8" w:rsidRPr="00C856B2">
        <w:rPr>
          <w:noProof/>
        </w:rPr>
        <w:t xml:space="preserve">, </w:t>
      </w:r>
      <w:r w:rsidR="003D2BEA" w:rsidRPr="00C856B2">
        <w:rPr>
          <w:noProof/>
        </w:rPr>
        <w:t xml:space="preserve">those uniform reporting formats should not be binding as concerns their structure and their representation, as </w:t>
      </w:r>
      <w:r w:rsidR="001B3873" w:rsidRPr="00C856B2">
        <w:rPr>
          <w:noProof/>
        </w:rPr>
        <w:t xml:space="preserve">the </w:t>
      </w:r>
      <w:r w:rsidR="002823A7" w:rsidRPr="00C856B2">
        <w:rPr>
          <w:noProof/>
        </w:rPr>
        <w:t xml:space="preserve">EBA </w:t>
      </w:r>
      <w:r w:rsidR="005C55AA" w:rsidRPr="00C856B2">
        <w:rPr>
          <w:noProof/>
        </w:rPr>
        <w:t xml:space="preserve">should not be bound to replicate </w:t>
      </w:r>
      <w:r w:rsidR="002823A7" w:rsidRPr="00C856B2">
        <w:rPr>
          <w:noProof/>
        </w:rPr>
        <w:t xml:space="preserve">the graphical representation and tabular structure </w:t>
      </w:r>
      <w:r w:rsidR="00FF7BAD" w:rsidRPr="00C856B2">
        <w:rPr>
          <w:noProof/>
        </w:rPr>
        <w:t>laid down in the annex</w:t>
      </w:r>
      <w:r w:rsidR="002823A7" w:rsidRPr="00C856B2">
        <w:rPr>
          <w:noProof/>
        </w:rPr>
        <w:t>.</w:t>
      </w:r>
      <w:r w:rsidR="003D2BEA" w:rsidRPr="00C856B2">
        <w:rPr>
          <w:noProof/>
        </w:rPr>
        <w:t xml:space="preserve"> In particular, the EBA should be able to depart from the graphical representation and tabular structure of the reporting templates as long as all the data points and information required are included in the IT solution. </w:t>
      </w:r>
    </w:p>
    <w:p w:rsidR="00716EA9" w:rsidRPr="00C856B2" w:rsidRDefault="004118AF" w:rsidP="004118AF">
      <w:pPr>
        <w:pStyle w:val="ManualConsidrant"/>
        <w:rPr>
          <w:noProof/>
          <w:lang w:val="en-IE"/>
        </w:rPr>
      </w:pPr>
      <w:r w:rsidRPr="004118AF">
        <w:rPr>
          <w:noProof/>
        </w:rPr>
        <w:t>(16)</w:t>
      </w:r>
      <w:r w:rsidRPr="004118AF">
        <w:rPr>
          <w:noProof/>
        </w:rPr>
        <w:tab/>
      </w:r>
      <w:r w:rsidR="00716EA9" w:rsidRPr="00C856B2">
        <w:rPr>
          <w:noProof/>
          <w:lang w:val="en-IE"/>
        </w:rPr>
        <w:t xml:space="preserve">To provide institutions with sufficient time to </w:t>
      </w:r>
      <w:r w:rsidR="00402C69" w:rsidRPr="00C856B2">
        <w:rPr>
          <w:noProof/>
          <w:lang w:val="en-IE"/>
        </w:rPr>
        <w:t xml:space="preserve">adapt their own internal system and to comply with the revised </w:t>
      </w:r>
      <w:r w:rsidR="00B2424E" w:rsidRPr="00C856B2">
        <w:rPr>
          <w:noProof/>
          <w:lang w:val="en-IE"/>
        </w:rPr>
        <w:t>reporting requirements</w:t>
      </w:r>
      <w:r w:rsidR="00716EA9" w:rsidRPr="00C856B2">
        <w:rPr>
          <w:noProof/>
          <w:lang w:val="en-IE"/>
        </w:rPr>
        <w:t xml:space="preserve">, </w:t>
      </w:r>
      <w:r w:rsidR="00275640" w:rsidRPr="00C856B2">
        <w:rPr>
          <w:noProof/>
          <w:lang w:val="en-IE"/>
        </w:rPr>
        <w:t>it is necessary to lay down</w:t>
      </w:r>
      <w:r w:rsidR="00716EA9" w:rsidRPr="00C856B2">
        <w:rPr>
          <w:noProof/>
          <w:lang w:val="en-IE"/>
        </w:rPr>
        <w:t xml:space="preserve"> transitional provisions </w:t>
      </w:r>
      <w:r w:rsidR="00402C69" w:rsidRPr="00C856B2">
        <w:rPr>
          <w:noProof/>
          <w:lang w:val="en-IE"/>
        </w:rPr>
        <w:t xml:space="preserve">that </w:t>
      </w:r>
      <w:r w:rsidR="00644824" w:rsidRPr="00C856B2">
        <w:rPr>
          <w:noProof/>
          <w:lang w:val="en-IE"/>
        </w:rPr>
        <w:t xml:space="preserve">defer </w:t>
      </w:r>
      <w:r w:rsidR="0061653D" w:rsidRPr="00C856B2">
        <w:rPr>
          <w:noProof/>
          <w:lang w:val="en-IE"/>
        </w:rPr>
        <w:t>the remittance date</w:t>
      </w:r>
      <w:r w:rsidR="00AA5484" w:rsidRPr="00C856B2">
        <w:rPr>
          <w:noProof/>
          <w:lang w:val="en-IE"/>
        </w:rPr>
        <w:t xml:space="preserve"> of the first quarterly reporting obligation</w:t>
      </w:r>
      <w:r w:rsidR="00402C69" w:rsidRPr="00C856B2">
        <w:rPr>
          <w:noProof/>
          <w:lang w:val="en-IE"/>
        </w:rPr>
        <w:t xml:space="preserve">. </w:t>
      </w:r>
    </w:p>
    <w:p w:rsidR="008A53EE" w:rsidRPr="00C856B2" w:rsidRDefault="004118AF" w:rsidP="004118AF">
      <w:pPr>
        <w:pStyle w:val="ManualConsidrant"/>
        <w:rPr>
          <w:noProof/>
          <w:lang w:val="en-IE"/>
        </w:rPr>
      </w:pPr>
      <w:r w:rsidRPr="004118AF">
        <w:rPr>
          <w:noProof/>
        </w:rPr>
        <w:t>(17)</w:t>
      </w:r>
      <w:r w:rsidRPr="004118AF">
        <w:rPr>
          <w:noProof/>
        </w:rPr>
        <w:tab/>
      </w:r>
      <w:r w:rsidR="008A53EE" w:rsidRPr="00C856B2">
        <w:rPr>
          <w:noProof/>
          <w:lang w:val="en-IE"/>
        </w:rPr>
        <w:t>To align the timeline of the reporting requirement relating to the composition of the trading book to the timeline of application of the market risk requirements laid down in Part Three, Title IV, Chapters 1a and 1b</w:t>
      </w:r>
      <w:r w:rsidR="00C34339" w:rsidRPr="00C856B2">
        <w:rPr>
          <w:noProof/>
          <w:lang w:val="en-IE"/>
        </w:rPr>
        <w:t>,</w:t>
      </w:r>
      <w:r w:rsidR="008A53EE" w:rsidRPr="00C856B2">
        <w:rPr>
          <w:noProof/>
          <w:lang w:val="en-IE"/>
        </w:rPr>
        <w:t xml:space="preserve"> of Regulation (EU) No 575/2013, </w:t>
      </w:r>
      <w:r w:rsidR="00F02779" w:rsidRPr="00C856B2">
        <w:rPr>
          <w:noProof/>
          <w:lang w:val="en-IE"/>
        </w:rPr>
        <w:t xml:space="preserve">it is necessary to lay down </w:t>
      </w:r>
      <w:r w:rsidR="008A53EE" w:rsidRPr="00C856B2">
        <w:rPr>
          <w:noProof/>
          <w:lang w:val="en-IE"/>
        </w:rPr>
        <w:t>a transitional provision to allow for a later first reference date of that reporting requirement.</w:t>
      </w:r>
    </w:p>
    <w:p w:rsidR="006427FA" w:rsidRPr="00C856B2" w:rsidRDefault="004118AF" w:rsidP="004118AF">
      <w:pPr>
        <w:pStyle w:val="ManualConsidrant"/>
        <w:rPr>
          <w:noProof/>
          <w:lang w:val="en-IE"/>
        </w:rPr>
      </w:pPr>
      <w:r w:rsidRPr="004118AF">
        <w:rPr>
          <w:noProof/>
        </w:rPr>
        <w:t>(18)</w:t>
      </w:r>
      <w:r w:rsidRPr="004118AF">
        <w:rPr>
          <w:noProof/>
        </w:rPr>
        <w:tab/>
      </w:r>
      <w:r w:rsidR="006427FA" w:rsidRPr="00C856B2">
        <w:rPr>
          <w:noProof/>
          <w:lang w:val="en-IE"/>
        </w:rPr>
        <w:t>The provisions in this Regulation are closely linked, since they deal with institutions’ reporting requirements. To ensure coherence between those provisions, and to facilitate a comprehensive view and compact access to them by persons subject to those obligations, it is appropriate to include all related implementing technical standards required by Regulation (EU) No 575/2013 in a single Regulation.</w:t>
      </w:r>
    </w:p>
    <w:p w:rsidR="00716EA9" w:rsidRPr="00C856B2" w:rsidRDefault="004118AF" w:rsidP="004118AF">
      <w:pPr>
        <w:pStyle w:val="ManualConsidrant"/>
        <w:rPr>
          <w:noProof/>
          <w:lang w:val="en-IE"/>
        </w:rPr>
      </w:pPr>
      <w:r w:rsidRPr="004118AF">
        <w:rPr>
          <w:noProof/>
        </w:rPr>
        <w:t>(19)</w:t>
      </w:r>
      <w:r w:rsidRPr="004118AF">
        <w:rPr>
          <w:noProof/>
        </w:rPr>
        <w:tab/>
      </w:r>
      <w:r w:rsidR="00716EA9" w:rsidRPr="00C856B2">
        <w:rPr>
          <w:noProof/>
          <w:lang w:val="en-IE"/>
        </w:rPr>
        <w:t xml:space="preserve">This Regulation is based on the draft implementing technical standards submitted to the Commission by the European Banking Authority. </w:t>
      </w:r>
    </w:p>
    <w:p w:rsidR="00716EA9" w:rsidRPr="00C856B2" w:rsidRDefault="004118AF" w:rsidP="004118AF">
      <w:pPr>
        <w:pStyle w:val="ManualConsidrant"/>
        <w:rPr>
          <w:noProof/>
          <w:lang w:val="en-IE"/>
        </w:rPr>
      </w:pPr>
      <w:r w:rsidRPr="004118AF">
        <w:rPr>
          <w:noProof/>
        </w:rPr>
        <w:t>(20)</w:t>
      </w:r>
      <w:r w:rsidRPr="004118AF">
        <w:rPr>
          <w:noProof/>
        </w:rPr>
        <w:tab/>
      </w:r>
      <w:r w:rsidR="00716EA9" w:rsidRPr="00C856B2">
        <w:rPr>
          <w:noProof/>
          <w:lang w:val="en-IE"/>
        </w:rPr>
        <w:t>The E</w:t>
      </w:r>
      <w:r w:rsidR="008E613C" w:rsidRPr="00C856B2">
        <w:rPr>
          <w:noProof/>
          <w:lang w:val="en-IE"/>
        </w:rPr>
        <w:t xml:space="preserve">uropean </w:t>
      </w:r>
      <w:r w:rsidR="00716EA9" w:rsidRPr="00C856B2">
        <w:rPr>
          <w:noProof/>
          <w:lang w:val="en-IE"/>
        </w:rPr>
        <w:t>B</w:t>
      </w:r>
      <w:r w:rsidR="008E613C" w:rsidRPr="00C856B2">
        <w:rPr>
          <w:noProof/>
          <w:lang w:val="en-IE"/>
        </w:rPr>
        <w:t xml:space="preserve">anking </w:t>
      </w:r>
      <w:r w:rsidR="00716EA9" w:rsidRPr="00C856B2">
        <w:rPr>
          <w:noProof/>
          <w:lang w:val="en-IE"/>
        </w:rPr>
        <w:t>A</w:t>
      </w:r>
      <w:r w:rsidR="008E613C" w:rsidRPr="00C856B2">
        <w:rPr>
          <w:noProof/>
          <w:lang w:val="en-IE"/>
        </w:rPr>
        <w:t>uthority</w:t>
      </w:r>
      <w:r w:rsidR="00716EA9" w:rsidRPr="00C856B2">
        <w:rPr>
          <w:noProof/>
          <w:lang w:val="en-IE"/>
        </w:rPr>
        <w:t xml:space="preserve"> has conducted open public consultations on the draft implementing technical standards on which this Regulation is based, analysed the potential related costs and benefits, and requested the advice of the Banking Stakeholder Group established in accordance with Article 37 of Regulation (EU) No</w:t>
      </w:r>
      <w:r w:rsidR="008E613C" w:rsidRPr="00C856B2">
        <w:rPr>
          <w:noProof/>
          <w:lang w:val="en-IE"/>
        </w:rPr>
        <w:t> </w:t>
      </w:r>
      <w:r w:rsidR="00716EA9" w:rsidRPr="00C856B2">
        <w:rPr>
          <w:noProof/>
          <w:lang w:val="en-IE"/>
        </w:rPr>
        <w:t>1093/2010 of the European Parliament and of the Council</w:t>
      </w:r>
      <w:r w:rsidR="00716EA9" w:rsidRPr="00C856B2">
        <w:rPr>
          <w:rStyle w:val="FootnoteReference"/>
          <w:noProof/>
          <w:szCs w:val="24"/>
          <w:lang w:val="en-IE"/>
        </w:rPr>
        <w:footnoteReference w:id="5"/>
      </w:r>
      <w:r w:rsidR="00716EA9" w:rsidRPr="00C856B2">
        <w:rPr>
          <w:noProof/>
          <w:lang w:val="en-IE"/>
        </w:rPr>
        <w:t>.</w:t>
      </w:r>
    </w:p>
    <w:p w:rsidR="003D2BEA" w:rsidRPr="00C856B2" w:rsidRDefault="004118AF" w:rsidP="004118AF">
      <w:pPr>
        <w:pStyle w:val="ManualConsidrant"/>
        <w:rPr>
          <w:noProof/>
          <w:lang w:val="en-IE"/>
        </w:rPr>
      </w:pPr>
      <w:r w:rsidRPr="004118AF">
        <w:rPr>
          <w:noProof/>
        </w:rPr>
        <w:t>(21)</w:t>
      </w:r>
      <w:r w:rsidRPr="004118AF">
        <w:rPr>
          <w:noProof/>
        </w:rPr>
        <w:tab/>
      </w:r>
      <w:r w:rsidR="00716EA9" w:rsidRPr="00C856B2">
        <w:rPr>
          <w:noProof/>
          <w:lang w:val="en-IE"/>
        </w:rPr>
        <w:t>To provide institutions with sufficient time to prepare for reporting in accordance with this Regulation</w:t>
      </w:r>
      <w:r w:rsidR="003D2BEA" w:rsidRPr="00C856B2">
        <w:rPr>
          <w:noProof/>
          <w:lang w:val="en-IE"/>
        </w:rPr>
        <w:t xml:space="preserve"> </w:t>
      </w:r>
      <w:r w:rsidR="001A374D" w:rsidRPr="00C856B2">
        <w:rPr>
          <w:noProof/>
          <w:lang w:val="en-IE"/>
        </w:rPr>
        <w:t>and in accordance with Article 430</w:t>
      </w:r>
      <w:r w:rsidR="00AA5484" w:rsidRPr="00C856B2">
        <w:rPr>
          <w:noProof/>
          <w:lang w:val="en-IE"/>
        </w:rPr>
        <w:t>(7)</w:t>
      </w:r>
      <w:r w:rsidR="001A374D" w:rsidRPr="00C856B2">
        <w:rPr>
          <w:noProof/>
          <w:lang w:val="en-IE"/>
        </w:rPr>
        <w:t xml:space="preserve"> </w:t>
      </w:r>
      <w:r w:rsidR="00AA5484" w:rsidRPr="00C856B2">
        <w:rPr>
          <w:noProof/>
          <w:lang w:val="en-IE"/>
        </w:rPr>
        <w:t xml:space="preserve">of </w:t>
      </w:r>
      <w:r w:rsidR="001A374D" w:rsidRPr="00C856B2">
        <w:rPr>
          <w:noProof/>
          <w:lang w:val="en-IE"/>
        </w:rPr>
        <w:t xml:space="preserve">Regulation </w:t>
      </w:r>
      <w:r w:rsidR="00AA5484" w:rsidRPr="00C856B2">
        <w:rPr>
          <w:noProof/>
          <w:lang w:val="en-IE"/>
        </w:rPr>
        <w:t xml:space="preserve">(EU) No </w:t>
      </w:r>
      <w:r w:rsidR="001A374D" w:rsidRPr="00C856B2">
        <w:rPr>
          <w:noProof/>
          <w:lang w:val="en-IE"/>
        </w:rPr>
        <w:t xml:space="preserve">575/2013 the first date of application should be set </w:t>
      </w:r>
      <w:r w:rsidR="00AA5484" w:rsidRPr="00C856B2">
        <w:rPr>
          <w:noProof/>
          <w:lang w:val="en-IE"/>
        </w:rPr>
        <w:t>six</w:t>
      </w:r>
      <w:r w:rsidR="001A374D" w:rsidRPr="00C856B2">
        <w:rPr>
          <w:noProof/>
          <w:lang w:val="en-IE"/>
        </w:rPr>
        <w:t xml:space="preserve"> </w:t>
      </w:r>
      <w:r w:rsidR="00E02779" w:rsidRPr="00C856B2">
        <w:rPr>
          <w:noProof/>
          <w:lang w:val="en-IE"/>
        </w:rPr>
        <w:t>months</w:t>
      </w:r>
      <w:r w:rsidR="001A374D" w:rsidRPr="00C856B2">
        <w:rPr>
          <w:noProof/>
          <w:lang w:val="en-IE"/>
        </w:rPr>
        <w:t xml:space="preserve"> after the date of entry into force</w:t>
      </w:r>
      <w:r w:rsidR="003D2BEA" w:rsidRPr="00C856B2">
        <w:rPr>
          <w:noProof/>
          <w:lang w:val="en-IE"/>
        </w:rPr>
        <w:t>;</w:t>
      </w:r>
    </w:p>
    <w:p w:rsidR="00716EA9" w:rsidRPr="00C856B2" w:rsidRDefault="004118AF" w:rsidP="004118AF">
      <w:pPr>
        <w:pStyle w:val="ManualConsidrant"/>
        <w:rPr>
          <w:noProof/>
          <w:lang w:val="en-IE"/>
        </w:rPr>
      </w:pPr>
      <w:r w:rsidRPr="004118AF">
        <w:rPr>
          <w:noProof/>
        </w:rPr>
        <w:t>(22)</w:t>
      </w:r>
      <w:r w:rsidRPr="004118AF">
        <w:rPr>
          <w:noProof/>
        </w:rPr>
        <w:tab/>
      </w:r>
      <w:r w:rsidR="003D2BEA" w:rsidRPr="00C856B2">
        <w:rPr>
          <w:noProof/>
          <w:lang w:val="en-IE"/>
        </w:rPr>
        <w:t xml:space="preserve">In order to have the revised reporting framework in place as soon as possible, this Regulation should enter into force on the day following the date of its publication in </w:t>
      </w:r>
      <w:r w:rsidR="003D2BEA" w:rsidRPr="00C856B2">
        <w:rPr>
          <w:i/>
          <w:iCs/>
          <w:noProof/>
          <w:lang w:val="en-IE"/>
        </w:rPr>
        <w:t>the Official Journal of the European Union</w:t>
      </w:r>
    </w:p>
    <w:p w:rsidR="00185C9B" w:rsidRPr="00C856B2" w:rsidRDefault="00185C9B" w:rsidP="004E1EF9">
      <w:pPr>
        <w:pStyle w:val="Formuledadoption"/>
        <w:rPr>
          <w:noProof/>
          <w:szCs w:val="24"/>
          <w:lang w:val="en-IE"/>
        </w:rPr>
      </w:pPr>
      <w:r w:rsidRPr="00C856B2">
        <w:rPr>
          <w:noProof/>
          <w:szCs w:val="24"/>
          <w:lang w:val="en-IE"/>
        </w:rPr>
        <w:t>HAS ADOPTED THIS REGULATION:</w:t>
      </w:r>
    </w:p>
    <w:p w:rsidR="00185C9B" w:rsidRPr="00C856B2" w:rsidRDefault="00185C9B" w:rsidP="00134C2F">
      <w:pPr>
        <w:pStyle w:val="Titrearticle"/>
        <w:spacing w:after="0"/>
        <w:rPr>
          <w:noProof/>
          <w:szCs w:val="24"/>
          <w:lang w:val="en-IE"/>
        </w:rPr>
      </w:pPr>
      <w:r w:rsidRPr="00C856B2">
        <w:rPr>
          <w:noProof/>
          <w:szCs w:val="24"/>
          <w:lang w:val="en-IE"/>
        </w:rPr>
        <w:t>Article 1</w:t>
      </w:r>
    </w:p>
    <w:p w:rsidR="00716EA9" w:rsidRPr="00C856B2" w:rsidRDefault="00716EA9" w:rsidP="00134C2F">
      <w:pPr>
        <w:pStyle w:val="Titrearticle"/>
        <w:spacing w:before="0"/>
        <w:rPr>
          <w:b/>
          <w:bCs/>
          <w:i w:val="0"/>
          <w:iCs/>
          <w:noProof/>
          <w:szCs w:val="24"/>
          <w:lang w:val="en-IE"/>
        </w:rPr>
      </w:pPr>
      <w:r w:rsidRPr="00C856B2">
        <w:rPr>
          <w:b/>
          <w:bCs/>
          <w:i w:val="0"/>
          <w:iCs/>
          <w:noProof/>
          <w:szCs w:val="24"/>
          <w:lang w:val="en-IE"/>
        </w:rPr>
        <w:t>S</w:t>
      </w:r>
      <w:r w:rsidR="003D2BEA" w:rsidRPr="00C856B2">
        <w:rPr>
          <w:b/>
          <w:bCs/>
          <w:i w:val="0"/>
          <w:iCs/>
          <w:noProof/>
          <w:szCs w:val="24"/>
          <w:lang w:val="en-IE"/>
        </w:rPr>
        <w:t>ubmission of the information</w:t>
      </w:r>
    </w:p>
    <w:p w:rsidR="00716EA9" w:rsidRPr="00C856B2" w:rsidRDefault="00716EA9" w:rsidP="00C856B2">
      <w:pPr>
        <w:rPr>
          <w:noProof/>
          <w:lang w:val="en-IE"/>
        </w:rPr>
      </w:pPr>
      <w:r w:rsidRPr="00C856B2">
        <w:rPr>
          <w:noProof/>
          <w:lang w:val="en-IE"/>
        </w:rPr>
        <w:t>This Regulation lays down uniform reporting formats, the frequency and dates of reporting for the reporting by institutions to their competent authorities in accordance with Article 415, paragraphs 3 and 3a, of Regulation (EU) No 575/2013, and Article 430, paragraphs 1 to 4, 7 and 9</w:t>
      </w:r>
      <w:r w:rsidRPr="00C856B2">
        <w:rPr>
          <w:noProof/>
          <w:color w:val="000000" w:themeColor="text1"/>
          <w:lang w:val="en-IE"/>
        </w:rPr>
        <w:t xml:space="preserve"> </w:t>
      </w:r>
      <w:r w:rsidRPr="00C856B2">
        <w:rPr>
          <w:noProof/>
          <w:lang w:val="en-IE"/>
        </w:rPr>
        <w:t>of that Regulation.</w:t>
      </w:r>
    </w:p>
    <w:p w:rsidR="00716EA9" w:rsidRPr="00C856B2" w:rsidRDefault="00716EA9" w:rsidP="00716EA9">
      <w:pPr>
        <w:pStyle w:val="Titrearticle"/>
        <w:rPr>
          <w:noProof/>
          <w:szCs w:val="24"/>
          <w:lang w:val="en-IE"/>
        </w:rPr>
      </w:pPr>
      <w:r w:rsidRPr="00C856B2">
        <w:rPr>
          <w:noProof/>
          <w:szCs w:val="24"/>
          <w:lang w:val="en-IE"/>
        </w:rPr>
        <w:t xml:space="preserve">Article </w:t>
      </w:r>
      <w:r w:rsidR="003D2BEA" w:rsidRPr="00C856B2">
        <w:rPr>
          <w:noProof/>
          <w:szCs w:val="24"/>
          <w:lang w:val="en-IE"/>
        </w:rPr>
        <w:t>2</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reference dates</w:t>
      </w:r>
    </w:p>
    <w:p w:rsidR="00716EA9" w:rsidRPr="00C856B2" w:rsidRDefault="004118AF" w:rsidP="004118AF">
      <w:pPr>
        <w:pStyle w:val="ManualNumPar1"/>
        <w:rPr>
          <w:noProof/>
          <w:lang w:val="en-IE"/>
        </w:rPr>
      </w:pPr>
      <w:r w:rsidRPr="004118AF">
        <w:rPr>
          <w:noProof/>
        </w:rPr>
        <w:t>1.</w:t>
      </w:r>
      <w:r w:rsidRPr="004118AF">
        <w:rPr>
          <w:noProof/>
        </w:rPr>
        <w:tab/>
      </w:r>
      <w:r w:rsidR="00716EA9" w:rsidRPr="00C856B2">
        <w:rPr>
          <w:noProof/>
          <w:lang w:val="en-IE"/>
        </w:rPr>
        <w:t>Institutions shall submit</w:t>
      </w:r>
      <w:r w:rsidR="00644824" w:rsidRPr="00C856B2">
        <w:rPr>
          <w:noProof/>
          <w:lang w:val="en-IE"/>
        </w:rPr>
        <w:t xml:space="preserve"> the</w:t>
      </w:r>
      <w:r w:rsidR="00716EA9" w:rsidRPr="00C856B2">
        <w:rPr>
          <w:noProof/>
          <w:lang w:val="en-IE"/>
        </w:rPr>
        <w:t xml:space="preserve"> information</w:t>
      </w:r>
      <w:r w:rsidR="00A8524F" w:rsidRPr="00C856B2">
        <w:rPr>
          <w:noProof/>
          <w:lang w:val="en-IE"/>
        </w:rPr>
        <w:t xml:space="preserve"> </w:t>
      </w:r>
      <w:r w:rsidR="00644824" w:rsidRPr="00C856B2">
        <w:rPr>
          <w:noProof/>
          <w:lang w:val="en-IE"/>
        </w:rPr>
        <w:t>referred to</w:t>
      </w:r>
      <w:r w:rsidR="00A8524F" w:rsidRPr="00C856B2">
        <w:rPr>
          <w:noProof/>
          <w:lang w:val="en-IE"/>
        </w:rPr>
        <w:t xml:space="preserve"> in Annex I</w:t>
      </w:r>
      <w:r w:rsidR="00716EA9" w:rsidRPr="00C856B2">
        <w:rPr>
          <w:noProof/>
          <w:lang w:val="en-IE"/>
        </w:rPr>
        <w:t xml:space="preserve"> to competent authorities as </w:t>
      </w:r>
      <w:r w:rsidR="005E59CA" w:rsidRPr="00C856B2">
        <w:rPr>
          <w:noProof/>
          <w:lang w:val="en-IE"/>
        </w:rPr>
        <w:t>that</w:t>
      </w:r>
      <w:r w:rsidR="00716EA9" w:rsidRPr="00C856B2">
        <w:rPr>
          <w:noProof/>
          <w:lang w:val="en-IE"/>
        </w:rPr>
        <w:t xml:space="preserve"> information stands on the following reporting reference dates:</w:t>
      </w:r>
    </w:p>
    <w:p w:rsidR="00716EA9" w:rsidRPr="00C856B2" w:rsidRDefault="004118AF" w:rsidP="004118AF">
      <w:pPr>
        <w:pStyle w:val="Point1"/>
        <w:rPr>
          <w:noProof/>
          <w:lang w:val="en-IE" w:eastAsia="fr-BE"/>
        </w:rPr>
      </w:pPr>
      <w:r w:rsidRPr="004118AF">
        <w:rPr>
          <w:noProof/>
        </w:rPr>
        <w:t>(a)</w:t>
      </w:r>
      <w:r w:rsidRPr="004118AF">
        <w:rPr>
          <w:noProof/>
        </w:rPr>
        <w:tab/>
      </w:r>
      <w:r w:rsidR="00716EA9" w:rsidRPr="00C856B2">
        <w:rPr>
          <w:noProof/>
          <w:lang w:val="en-IE" w:eastAsia="fr-BE"/>
        </w:rPr>
        <w:t>monthly reporting: on the last day of each month;</w:t>
      </w:r>
    </w:p>
    <w:p w:rsidR="00716EA9" w:rsidRPr="00C856B2" w:rsidRDefault="004118AF" w:rsidP="004118AF">
      <w:pPr>
        <w:pStyle w:val="Point1"/>
        <w:rPr>
          <w:noProof/>
          <w:lang w:val="en-IE" w:eastAsia="fr-BE"/>
        </w:rPr>
      </w:pPr>
      <w:r w:rsidRPr="004118AF">
        <w:rPr>
          <w:noProof/>
        </w:rPr>
        <w:t>(b)</w:t>
      </w:r>
      <w:r w:rsidRPr="004118AF">
        <w:rPr>
          <w:noProof/>
        </w:rPr>
        <w:tab/>
      </w:r>
      <w:r w:rsidR="00716EA9" w:rsidRPr="00C856B2">
        <w:rPr>
          <w:noProof/>
          <w:lang w:val="en-IE" w:eastAsia="fr-BE"/>
        </w:rPr>
        <w:t>quarterly reporting: 31 March, 30 June, 30 September and 31 December;</w:t>
      </w:r>
    </w:p>
    <w:p w:rsidR="00716EA9" w:rsidRPr="00C856B2" w:rsidRDefault="004118AF" w:rsidP="004118AF">
      <w:pPr>
        <w:pStyle w:val="Point1"/>
        <w:rPr>
          <w:noProof/>
          <w:lang w:val="en-IE" w:eastAsia="fr-BE"/>
        </w:rPr>
      </w:pPr>
      <w:r w:rsidRPr="004118AF">
        <w:rPr>
          <w:noProof/>
        </w:rPr>
        <w:t>(c)</w:t>
      </w:r>
      <w:r w:rsidRPr="004118AF">
        <w:rPr>
          <w:noProof/>
        </w:rPr>
        <w:tab/>
      </w:r>
      <w:r w:rsidR="00716EA9" w:rsidRPr="00C856B2">
        <w:rPr>
          <w:noProof/>
          <w:lang w:val="en-IE" w:eastAsia="fr-BE"/>
        </w:rPr>
        <w:t>semi-annual reporting: 30 June and 31 December;</w:t>
      </w:r>
    </w:p>
    <w:p w:rsidR="00716EA9" w:rsidRPr="00C856B2" w:rsidRDefault="004118AF" w:rsidP="004118AF">
      <w:pPr>
        <w:pStyle w:val="Point1"/>
        <w:rPr>
          <w:noProof/>
          <w:lang w:val="en-IE" w:eastAsia="fr-BE"/>
        </w:rPr>
      </w:pPr>
      <w:r w:rsidRPr="004118AF">
        <w:rPr>
          <w:noProof/>
        </w:rPr>
        <w:t>(d)</w:t>
      </w:r>
      <w:r w:rsidRPr="004118AF">
        <w:rPr>
          <w:noProof/>
        </w:rPr>
        <w:tab/>
      </w:r>
      <w:r w:rsidR="00716EA9" w:rsidRPr="00C856B2">
        <w:rPr>
          <w:noProof/>
          <w:lang w:val="en-IE" w:eastAsia="fr-BE"/>
        </w:rPr>
        <w:t>annual reporting: 31 December.</w:t>
      </w:r>
    </w:p>
    <w:p w:rsidR="00716EA9" w:rsidRPr="00C856B2" w:rsidRDefault="004118AF" w:rsidP="004118AF">
      <w:pPr>
        <w:pStyle w:val="ManualNumPar1"/>
        <w:rPr>
          <w:noProof/>
          <w:lang w:val="en-IE"/>
        </w:rPr>
      </w:pPr>
      <w:r w:rsidRPr="004118AF">
        <w:rPr>
          <w:noProof/>
        </w:rPr>
        <w:t>2.</w:t>
      </w:r>
      <w:r w:rsidRPr="004118AF">
        <w:rPr>
          <w:noProof/>
        </w:rPr>
        <w:tab/>
      </w:r>
      <w:r w:rsidR="00A50DF2" w:rsidRPr="00C856B2">
        <w:rPr>
          <w:rFonts w:eastAsia="Times New Roman"/>
          <w:noProof/>
          <w:lang w:val="en-IE" w:eastAsia="fr-BE"/>
        </w:rPr>
        <w:t>Institutions shall report</w:t>
      </w:r>
      <w:r w:rsidR="00A8524F" w:rsidRPr="00C856B2">
        <w:rPr>
          <w:rFonts w:eastAsia="Times New Roman"/>
          <w:noProof/>
          <w:lang w:val="en-IE" w:eastAsia="fr-BE"/>
        </w:rPr>
        <w:t xml:space="preserve"> </w:t>
      </w:r>
      <w:r w:rsidR="00C32BE3" w:rsidRPr="00C856B2">
        <w:rPr>
          <w:rFonts w:eastAsia="Times New Roman"/>
          <w:noProof/>
          <w:lang w:val="en-IE" w:eastAsia="fr-BE"/>
        </w:rPr>
        <w:t xml:space="preserve">the </w:t>
      </w:r>
      <w:r w:rsidR="00A50DF2" w:rsidRPr="00C856B2">
        <w:rPr>
          <w:rFonts w:eastAsia="Times New Roman"/>
          <w:noProof/>
          <w:lang w:val="en-IE" w:eastAsia="fr-BE"/>
        </w:rPr>
        <w:t>f</w:t>
      </w:r>
      <w:r w:rsidR="00716EA9" w:rsidRPr="00C856B2">
        <w:rPr>
          <w:rFonts w:eastAsia="Times New Roman"/>
          <w:noProof/>
          <w:lang w:val="en-IE" w:eastAsia="fr-BE"/>
        </w:rPr>
        <w:t>inancial information</w:t>
      </w:r>
      <w:r w:rsidR="00716EA9" w:rsidRPr="00C856B2">
        <w:rPr>
          <w:noProof/>
          <w:lang w:val="en-IE"/>
        </w:rPr>
        <w:t xml:space="preserve"> </w:t>
      </w:r>
      <w:r w:rsidR="00C32BE3" w:rsidRPr="00C856B2">
        <w:rPr>
          <w:noProof/>
          <w:lang w:val="en-IE"/>
        </w:rPr>
        <w:t>referred to in</w:t>
      </w:r>
      <w:r w:rsidR="00A8524F" w:rsidRPr="00C856B2">
        <w:rPr>
          <w:rFonts w:eastAsia="Times New Roman"/>
          <w:noProof/>
          <w:lang w:val="en-IE" w:eastAsia="fr-BE"/>
        </w:rPr>
        <w:t xml:space="preserve"> Annex I </w:t>
      </w:r>
      <w:r w:rsidR="00716EA9" w:rsidRPr="00C856B2">
        <w:rPr>
          <w:noProof/>
          <w:lang w:val="en-IE"/>
        </w:rPr>
        <w:t xml:space="preserve">in accordance with </w:t>
      </w:r>
      <w:r w:rsidR="00C32BE3" w:rsidRPr="00C856B2">
        <w:rPr>
          <w:noProof/>
          <w:lang w:val="en-IE"/>
        </w:rPr>
        <w:t xml:space="preserve">the </w:t>
      </w:r>
      <w:r w:rsidR="00716EA9" w:rsidRPr="00C856B2">
        <w:rPr>
          <w:rFonts w:eastAsia="Times New Roman"/>
          <w:noProof/>
          <w:lang w:val="en-IE" w:eastAsia="fr-BE"/>
        </w:rPr>
        <w:t>IFRS and with national accounting frameworks</w:t>
      </w:r>
      <w:r w:rsidR="00716EA9" w:rsidRPr="00C856B2">
        <w:rPr>
          <w:noProof/>
          <w:lang w:val="en-IE"/>
        </w:rPr>
        <w:t xml:space="preserve"> and referring to a certain period cumulatively from the first day of the accounting year to the reference date.</w:t>
      </w:r>
    </w:p>
    <w:p w:rsidR="00716EA9" w:rsidRPr="00C856B2" w:rsidRDefault="004118AF" w:rsidP="004118AF">
      <w:pPr>
        <w:pStyle w:val="ManualNumPar1"/>
        <w:rPr>
          <w:noProof/>
          <w:lang w:val="en-IE"/>
        </w:rPr>
      </w:pPr>
      <w:r w:rsidRPr="004118AF">
        <w:rPr>
          <w:noProof/>
        </w:rPr>
        <w:t>3.</w:t>
      </w:r>
      <w:r w:rsidRPr="004118AF">
        <w:rPr>
          <w:noProof/>
        </w:rPr>
        <w:tab/>
      </w:r>
      <w:r w:rsidR="00A50DF2" w:rsidRPr="00C856B2">
        <w:rPr>
          <w:noProof/>
          <w:lang w:val="en-IE"/>
        </w:rPr>
        <w:t>I</w:t>
      </w:r>
      <w:r w:rsidR="00716EA9" w:rsidRPr="00C856B2">
        <w:rPr>
          <w:noProof/>
          <w:lang w:val="en-IE"/>
        </w:rPr>
        <w:t>nstitutions</w:t>
      </w:r>
      <w:r w:rsidR="00A50DF2" w:rsidRPr="00C856B2">
        <w:rPr>
          <w:noProof/>
          <w:lang w:val="en-IE"/>
        </w:rPr>
        <w:t xml:space="preserve"> that</w:t>
      </w:r>
      <w:r w:rsidR="00716EA9" w:rsidRPr="00C856B2">
        <w:rPr>
          <w:noProof/>
          <w:lang w:val="en-IE"/>
        </w:rPr>
        <w:t xml:space="preserve"> are permitted by national law to report their financial information based on their accounting year-end</w:t>
      </w:r>
      <w:r w:rsidR="004411FE" w:rsidRPr="00C856B2">
        <w:rPr>
          <w:noProof/>
          <w:lang w:val="en-IE"/>
        </w:rPr>
        <w:t xml:space="preserve"> and where that accounting year</w:t>
      </w:r>
      <w:r w:rsidR="004E34A8" w:rsidRPr="00C856B2">
        <w:rPr>
          <w:noProof/>
          <w:lang w:val="en-IE"/>
        </w:rPr>
        <w:t>-</w:t>
      </w:r>
      <w:r w:rsidR="004411FE" w:rsidRPr="00C856B2">
        <w:rPr>
          <w:noProof/>
          <w:lang w:val="en-IE"/>
        </w:rPr>
        <w:t>end</w:t>
      </w:r>
      <w:r w:rsidR="00716EA9" w:rsidRPr="00C856B2">
        <w:rPr>
          <w:noProof/>
          <w:lang w:val="en-IE"/>
        </w:rPr>
        <w:t xml:space="preserve"> deviates from the calendar year, </w:t>
      </w:r>
      <w:r w:rsidR="004411FE" w:rsidRPr="00C856B2">
        <w:rPr>
          <w:noProof/>
          <w:lang w:val="en-IE"/>
        </w:rPr>
        <w:t xml:space="preserve">may adjust </w:t>
      </w:r>
      <w:r w:rsidR="00716EA9" w:rsidRPr="00C856B2">
        <w:rPr>
          <w:noProof/>
          <w:lang w:val="en-IE"/>
        </w:rPr>
        <w:t>reporting reference dates</w:t>
      </w:r>
      <w:r w:rsidR="004411FE" w:rsidRPr="00C856B2">
        <w:rPr>
          <w:noProof/>
          <w:lang w:val="en-IE"/>
        </w:rPr>
        <w:t xml:space="preserve"> to bring those</w:t>
      </w:r>
      <w:r w:rsidR="00C32879" w:rsidRPr="00C856B2">
        <w:rPr>
          <w:noProof/>
          <w:lang w:val="en-IE"/>
        </w:rPr>
        <w:t xml:space="preserve"> dates in line with </w:t>
      </w:r>
      <w:r w:rsidR="00A8524F" w:rsidRPr="00C856B2">
        <w:rPr>
          <w:noProof/>
          <w:lang w:val="en-IE"/>
        </w:rPr>
        <w:t>the accounting year-end</w:t>
      </w:r>
      <w:r w:rsidR="00716EA9" w:rsidRPr="00C856B2">
        <w:rPr>
          <w:noProof/>
          <w:lang w:val="en-IE"/>
        </w:rPr>
        <w:t xml:space="preserve">, so that </w:t>
      </w:r>
      <w:r w:rsidR="00A8524F" w:rsidRPr="00C856B2">
        <w:rPr>
          <w:noProof/>
          <w:lang w:val="en-IE"/>
        </w:rPr>
        <w:t xml:space="preserve">the </w:t>
      </w:r>
      <w:r w:rsidR="00716EA9" w:rsidRPr="00C856B2">
        <w:rPr>
          <w:noProof/>
          <w:lang w:val="en-IE"/>
        </w:rPr>
        <w:t>financial information</w:t>
      </w:r>
      <w:r w:rsidR="00716EA9" w:rsidRPr="00C856B2">
        <w:rPr>
          <w:rFonts w:eastAsia="Times New Roman"/>
          <w:noProof/>
          <w:lang w:val="en-IE" w:eastAsia="fr-BE"/>
        </w:rPr>
        <w:t xml:space="preserve">, </w:t>
      </w:r>
      <w:r w:rsidR="00A8524F" w:rsidRPr="00C856B2">
        <w:rPr>
          <w:rFonts w:eastAsia="Times New Roman"/>
          <w:noProof/>
          <w:lang w:val="en-IE" w:eastAsia="fr-BE"/>
        </w:rPr>
        <w:t xml:space="preserve">the </w:t>
      </w:r>
      <w:r w:rsidR="00716EA9" w:rsidRPr="00C856B2">
        <w:rPr>
          <w:rFonts w:eastAsia="Times New Roman"/>
          <w:noProof/>
          <w:lang w:val="en-IE" w:eastAsia="fr-BE"/>
        </w:rPr>
        <w:t>information reported in accordance with Article 8</w:t>
      </w:r>
      <w:r w:rsidR="00E152DE" w:rsidRPr="00C856B2">
        <w:rPr>
          <w:rFonts w:eastAsia="Times New Roman"/>
          <w:noProof/>
          <w:lang w:val="en-IE" w:eastAsia="fr-BE"/>
        </w:rPr>
        <w:t>,</w:t>
      </w:r>
      <w:r w:rsidR="00716EA9" w:rsidRPr="00C856B2">
        <w:rPr>
          <w:noProof/>
          <w:lang w:val="en-IE"/>
        </w:rPr>
        <w:t xml:space="preserve"> and </w:t>
      </w:r>
      <w:r w:rsidR="00A8524F" w:rsidRPr="00C856B2">
        <w:rPr>
          <w:noProof/>
          <w:lang w:val="en-IE"/>
        </w:rPr>
        <w:t xml:space="preserve">the </w:t>
      </w:r>
      <w:r w:rsidR="00716EA9" w:rsidRPr="00C856B2">
        <w:rPr>
          <w:noProof/>
          <w:lang w:val="en-IE"/>
        </w:rPr>
        <w:t xml:space="preserve">information for the </w:t>
      </w:r>
      <w:r w:rsidR="00C32879" w:rsidRPr="00C856B2">
        <w:rPr>
          <w:noProof/>
          <w:lang w:val="en-IE"/>
        </w:rPr>
        <w:t>identification of</w:t>
      </w:r>
      <w:r w:rsidR="00716EA9" w:rsidRPr="00C856B2">
        <w:rPr>
          <w:noProof/>
          <w:lang w:val="en-IE"/>
        </w:rPr>
        <w:t xml:space="preserve"> global systemically important institutions (G-SIIs) and</w:t>
      </w:r>
      <w:r w:rsidR="00A8524F" w:rsidRPr="00C856B2">
        <w:rPr>
          <w:noProof/>
          <w:lang w:val="en-IE"/>
        </w:rPr>
        <w:t xml:space="preserve"> </w:t>
      </w:r>
      <w:r w:rsidR="00651059" w:rsidRPr="00C856B2">
        <w:rPr>
          <w:noProof/>
          <w:lang w:val="en-IE"/>
        </w:rPr>
        <w:t xml:space="preserve">the assignment </w:t>
      </w:r>
      <w:r w:rsidR="00A8524F" w:rsidRPr="00C856B2">
        <w:rPr>
          <w:noProof/>
          <w:lang w:val="en-IE"/>
        </w:rPr>
        <w:t xml:space="preserve">of </w:t>
      </w:r>
      <w:r w:rsidR="00716EA9" w:rsidRPr="00C856B2">
        <w:rPr>
          <w:noProof/>
          <w:lang w:val="en-IE"/>
        </w:rPr>
        <w:t xml:space="preserve">G-SII buffer rates is </w:t>
      </w:r>
      <w:r w:rsidR="00E152DE" w:rsidRPr="00C856B2">
        <w:rPr>
          <w:noProof/>
          <w:lang w:val="en-IE"/>
        </w:rPr>
        <w:t xml:space="preserve">reported </w:t>
      </w:r>
      <w:r w:rsidR="00716EA9" w:rsidRPr="00C856B2">
        <w:rPr>
          <w:noProof/>
          <w:lang w:val="en-IE"/>
        </w:rPr>
        <w:t xml:space="preserve">every </w:t>
      </w:r>
      <w:r w:rsidR="00D637BD" w:rsidRPr="00C856B2">
        <w:rPr>
          <w:noProof/>
          <w:lang w:val="en-IE"/>
        </w:rPr>
        <w:t>3</w:t>
      </w:r>
      <w:r w:rsidR="00716EA9" w:rsidRPr="00C856B2">
        <w:rPr>
          <w:noProof/>
          <w:lang w:val="en-IE"/>
        </w:rPr>
        <w:t xml:space="preserve">, </w:t>
      </w:r>
      <w:r w:rsidR="00D637BD" w:rsidRPr="00C856B2">
        <w:rPr>
          <w:noProof/>
          <w:lang w:val="en-IE"/>
        </w:rPr>
        <w:t>6</w:t>
      </w:r>
      <w:r w:rsidR="00716EA9" w:rsidRPr="00C856B2">
        <w:rPr>
          <w:noProof/>
          <w:lang w:val="en-IE"/>
        </w:rPr>
        <w:t xml:space="preserve"> or </w:t>
      </w:r>
      <w:r w:rsidR="00D637BD" w:rsidRPr="00C856B2">
        <w:rPr>
          <w:noProof/>
          <w:lang w:val="en-IE"/>
        </w:rPr>
        <w:t>12</w:t>
      </w:r>
      <w:r w:rsidR="00716EA9" w:rsidRPr="00C856B2">
        <w:rPr>
          <w:rFonts w:eastAsia="Times New Roman"/>
          <w:noProof/>
          <w:lang w:val="en-IE" w:eastAsia="fr-BE"/>
        </w:rPr>
        <w:t xml:space="preserve"> </w:t>
      </w:r>
      <w:r w:rsidR="00716EA9" w:rsidRPr="00C856B2">
        <w:rPr>
          <w:noProof/>
          <w:lang w:val="en-IE"/>
        </w:rPr>
        <w:t>months from their accounting year-end, respectively.</w:t>
      </w:r>
    </w:p>
    <w:p w:rsidR="00716EA9" w:rsidRPr="00C856B2" w:rsidRDefault="00716EA9" w:rsidP="00716EA9">
      <w:pPr>
        <w:pStyle w:val="Titrearticle"/>
        <w:rPr>
          <w:noProof/>
          <w:szCs w:val="24"/>
          <w:lang w:val="en-IE"/>
        </w:rPr>
      </w:pPr>
      <w:r w:rsidRPr="00C856B2">
        <w:rPr>
          <w:noProof/>
          <w:szCs w:val="24"/>
          <w:lang w:val="en-IE"/>
        </w:rPr>
        <w:t xml:space="preserve">Article </w:t>
      </w:r>
      <w:r w:rsidR="003D2BEA" w:rsidRPr="00C856B2">
        <w:rPr>
          <w:noProof/>
          <w:szCs w:val="24"/>
          <w:lang w:val="en-IE"/>
        </w:rPr>
        <w:t>3</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remittance dates</w:t>
      </w:r>
    </w:p>
    <w:p w:rsidR="00716EA9" w:rsidRPr="00C856B2" w:rsidRDefault="004118AF" w:rsidP="004118AF">
      <w:pPr>
        <w:pStyle w:val="ManualNumPar1"/>
        <w:rPr>
          <w:noProof/>
          <w:lang w:val="en-IE"/>
        </w:rPr>
      </w:pPr>
      <w:r w:rsidRPr="004118AF">
        <w:rPr>
          <w:noProof/>
        </w:rPr>
        <w:t>1.</w:t>
      </w:r>
      <w:r w:rsidRPr="004118AF">
        <w:rPr>
          <w:noProof/>
        </w:rPr>
        <w:tab/>
      </w:r>
      <w:r w:rsidR="00716EA9" w:rsidRPr="00C856B2">
        <w:rPr>
          <w:noProof/>
          <w:lang w:val="en-IE"/>
        </w:rPr>
        <w:t>Institutions shall submit</w:t>
      </w:r>
      <w:r w:rsidR="003F44DA" w:rsidRPr="00C856B2">
        <w:rPr>
          <w:noProof/>
          <w:lang w:val="en-IE"/>
        </w:rPr>
        <w:t xml:space="preserve"> the</w:t>
      </w:r>
      <w:r w:rsidR="00716EA9" w:rsidRPr="00C856B2">
        <w:rPr>
          <w:noProof/>
          <w:lang w:val="en-IE"/>
        </w:rPr>
        <w:t xml:space="preserve"> information </w:t>
      </w:r>
      <w:r w:rsidR="003F44DA" w:rsidRPr="00C856B2">
        <w:rPr>
          <w:noProof/>
          <w:lang w:val="en-IE"/>
        </w:rPr>
        <w:t xml:space="preserve">referred to in Annex I </w:t>
      </w:r>
      <w:r w:rsidR="00716EA9" w:rsidRPr="00C856B2">
        <w:rPr>
          <w:noProof/>
          <w:lang w:val="en-IE"/>
        </w:rPr>
        <w:t xml:space="preserve">to </w:t>
      </w:r>
      <w:r w:rsidR="003F44DA" w:rsidRPr="00C856B2">
        <w:rPr>
          <w:noProof/>
          <w:lang w:val="en-IE"/>
        </w:rPr>
        <w:t xml:space="preserve">the </w:t>
      </w:r>
      <w:r w:rsidR="00716EA9" w:rsidRPr="00C856B2">
        <w:rPr>
          <w:noProof/>
          <w:lang w:val="en-IE"/>
        </w:rPr>
        <w:t>competent authorities by close of business on the following remittance dates:</w:t>
      </w:r>
    </w:p>
    <w:p w:rsidR="00716EA9" w:rsidRPr="00C856B2" w:rsidRDefault="004118AF" w:rsidP="004118AF">
      <w:pPr>
        <w:pStyle w:val="Point1"/>
        <w:rPr>
          <w:noProof/>
          <w:lang w:val="en-IE" w:eastAsia="fr-BE"/>
        </w:rPr>
      </w:pPr>
      <w:r w:rsidRPr="004118AF">
        <w:rPr>
          <w:noProof/>
        </w:rPr>
        <w:t>(a)</w:t>
      </w:r>
      <w:r w:rsidRPr="004118AF">
        <w:rPr>
          <w:noProof/>
        </w:rPr>
        <w:tab/>
      </w:r>
      <w:r w:rsidR="00716EA9" w:rsidRPr="00C856B2">
        <w:rPr>
          <w:noProof/>
          <w:lang w:val="en-IE" w:eastAsia="fr-BE"/>
        </w:rPr>
        <w:t>monthly reporting: 15th calendar day after the reporting reference date;</w:t>
      </w:r>
    </w:p>
    <w:p w:rsidR="00716EA9" w:rsidRPr="00C856B2" w:rsidRDefault="004118AF" w:rsidP="004118AF">
      <w:pPr>
        <w:pStyle w:val="Point1"/>
        <w:rPr>
          <w:noProof/>
          <w:lang w:val="en-IE" w:eastAsia="fr-BE"/>
        </w:rPr>
      </w:pPr>
      <w:r w:rsidRPr="004118AF">
        <w:rPr>
          <w:noProof/>
        </w:rPr>
        <w:t>(b)</w:t>
      </w:r>
      <w:r w:rsidRPr="004118AF">
        <w:rPr>
          <w:noProof/>
        </w:rPr>
        <w:tab/>
      </w:r>
      <w:r w:rsidR="00716EA9" w:rsidRPr="00C856B2">
        <w:rPr>
          <w:noProof/>
          <w:lang w:val="en-IE" w:eastAsia="fr-BE"/>
        </w:rPr>
        <w:t>quarterly reporting: 12 May, 11 August, 11 November and 11 February;</w:t>
      </w:r>
    </w:p>
    <w:p w:rsidR="00716EA9" w:rsidRPr="00C856B2" w:rsidRDefault="004118AF" w:rsidP="004118AF">
      <w:pPr>
        <w:pStyle w:val="Point1"/>
        <w:rPr>
          <w:noProof/>
          <w:lang w:val="en-IE" w:eastAsia="fr-BE"/>
        </w:rPr>
      </w:pPr>
      <w:r w:rsidRPr="004118AF">
        <w:rPr>
          <w:noProof/>
        </w:rPr>
        <w:t>(c)</w:t>
      </w:r>
      <w:r w:rsidRPr="004118AF">
        <w:rPr>
          <w:noProof/>
        </w:rPr>
        <w:tab/>
      </w:r>
      <w:r w:rsidR="00716EA9" w:rsidRPr="00C856B2">
        <w:rPr>
          <w:noProof/>
          <w:lang w:val="en-IE" w:eastAsia="fr-BE"/>
        </w:rPr>
        <w:t>semi-annual reporting: 11 August and 11 February;</w:t>
      </w:r>
    </w:p>
    <w:p w:rsidR="00716EA9" w:rsidRPr="00C856B2" w:rsidRDefault="004118AF" w:rsidP="004118AF">
      <w:pPr>
        <w:pStyle w:val="Point1"/>
        <w:rPr>
          <w:noProof/>
          <w:lang w:val="en-IE" w:eastAsia="fr-BE"/>
        </w:rPr>
      </w:pPr>
      <w:r w:rsidRPr="004118AF">
        <w:rPr>
          <w:noProof/>
        </w:rPr>
        <w:t>(d)</w:t>
      </w:r>
      <w:r w:rsidRPr="004118AF">
        <w:rPr>
          <w:noProof/>
        </w:rPr>
        <w:tab/>
      </w:r>
      <w:r w:rsidR="00716EA9" w:rsidRPr="00C856B2">
        <w:rPr>
          <w:noProof/>
          <w:lang w:val="en-IE" w:eastAsia="fr-BE"/>
        </w:rPr>
        <w:t>annual reporting: 11 February.</w:t>
      </w:r>
      <w:r w:rsidR="006A25A8" w:rsidRPr="00C856B2">
        <w:rPr>
          <w:noProof/>
          <w:lang w:val="en-IE" w:eastAsia="fr-BE"/>
        </w:rPr>
        <w:t xml:space="preserve"> </w:t>
      </w:r>
    </w:p>
    <w:p w:rsidR="00716EA9" w:rsidRPr="00C856B2" w:rsidRDefault="004118AF" w:rsidP="004118AF">
      <w:pPr>
        <w:pStyle w:val="ManualNumPar1"/>
        <w:rPr>
          <w:noProof/>
          <w:lang w:val="en-IE"/>
        </w:rPr>
      </w:pPr>
      <w:r w:rsidRPr="004118AF">
        <w:rPr>
          <w:noProof/>
        </w:rPr>
        <w:t>2.</w:t>
      </w:r>
      <w:r w:rsidRPr="004118AF">
        <w:rPr>
          <w:noProof/>
        </w:rPr>
        <w:tab/>
      </w:r>
      <w:r w:rsidR="00D637BD" w:rsidRPr="00C856B2">
        <w:rPr>
          <w:noProof/>
          <w:lang w:val="en-IE"/>
        </w:rPr>
        <w:t>Where</w:t>
      </w:r>
      <w:r w:rsidR="00716EA9" w:rsidRPr="00C856B2">
        <w:rPr>
          <w:noProof/>
          <w:lang w:val="en-IE"/>
        </w:rPr>
        <w:t xml:space="preserve"> the remittance day is a public holiday in the Member State of the competent authority to which the report is to be provided, or a Saturday or a Sunday, </w:t>
      </w:r>
      <w:r w:rsidR="00831B75" w:rsidRPr="00C856B2">
        <w:rPr>
          <w:noProof/>
          <w:lang w:val="en-IE"/>
        </w:rPr>
        <w:t xml:space="preserve">the institutions concerned shall submit </w:t>
      </w:r>
      <w:r w:rsidR="00716EA9" w:rsidRPr="00C856B2">
        <w:rPr>
          <w:noProof/>
          <w:lang w:val="en-IE"/>
        </w:rPr>
        <w:t>data on the following working day.</w:t>
      </w:r>
    </w:p>
    <w:p w:rsidR="00716EA9" w:rsidRPr="00C856B2" w:rsidRDefault="004118AF" w:rsidP="004118AF">
      <w:pPr>
        <w:pStyle w:val="ManualNumPar1"/>
        <w:rPr>
          <w:noProof/>
          <w:lang w:val="en-IE"/>
        </w:rPr>
      </w:pPr>
      <w:r w:rsidRPr="004118AF">
        <w:rPr>
          <w:noProof/>
        </w:rPr>
        <w:t>3.</w:t>
      </w:r>
      <w:r w:rsidRPr="004118AF">
        <w:rPr>
          <w:noProof/>
        </w:rPr>
        <w:tab/>
      </w:r>
      <w:r w:rsidR="00923761" w:rsidRPr="00C856B2">
        <w:rPr>
          <w:noProof/>
          <w:lang w:val="en-IE"/>
        </w:rPr>
        <w:t>I</w:t>
      </w:r>
      <w:r w:rsidR="00716EA9" w:rsidRPr="00C856B2">
        <w:rPr>
          <w:noProof/>
          <w:lang w:val="en-IE"/>
        </w:rPr>
        <w:t xml:space="preserve">nstitutions </w:t>
      </w:r>
      <w:r w:rsidR="00923761" w:rsidRPr="00C856B2">
        <w:rPr>
          <w:noProof/>
          <w:lang w:val="en-IE"/>
        </w:rPr>
        <w:t xml:space="preserve">that </w:t>
      </w:r>
      <w:r w:rsidR="00716EA9" w:rsidRPr="00C856B2">
        <w:rPr>
          <w:noProof/>
          <w:lang w:val="en-IE"/>
        </w:rPr>
        <w:t>report the financial information</w:t>
      </w:r>
      <w:r w:rsidR="00E41055" w:rsidRPr="00C856B2">
        <w:rPr>
          <w:noProof/>
          <w:lang w:val="en-IE"/>
        </w:rPr>
        <w:t xml:space="preserve"> </w:t>
      </w:r>
      <w:r w:rsidR="003F44DA" w:rsidRPr="00C856B2">
        <w:rPr>
          <w:noProof/>
          <w:lang w:val="en-IE"/>
        </w:rPr>
        <w:t>referred to</w:t>
      </w:r>
      <w:r w:rsidR="00E41055" w:rsidRPr="00C856B2">
        <w:rPr>
          <w:noProof/>
          <w:lang w:val="en-IE"/>
        </w:rPr>
        <w:t xml:space="preserve"> in Annex I</w:t>
      </w:r>
      <w:r w:rsidR="00923761" w:rsidRPr="00C856B2">
        <w:rPr>
          <w:noProof/>
          <w:lang w:val="en-IE"/>
        </w:rPr>
        <w:t>,</w:t>
      </w:r>
      <w:r w:rsidR="00716EA9" w:rsidRPr="00C856B2">
        <w:rPr>
          <w:rFonts w:eastAsia="Times New Roman"/>
          <w:noProof/>
          <w:lang w:val="en-IE" w:eastAsia="fr-BE"/>
        </w:rPr>
        <w:t xml:space="preserve"> or </w:t>
      </w:r>
      <w:r w:rsidR="003F44DA" w:rsidRPr="00C856B2">
        <w:rPr>
          <w:rFonts w:eastAsia="Times New Roman"/>
          <w:noProof/>
          <w:lang w:val="en-IE" w:eastAsia="fr-BE"/>
        </w:rPr>
        <w:t xml:space="preserve">the </w:t>
      </w:r>
      <w:r w:rsidR="00716EA9" w:rsidRPr="00C856B2">
        <w:rPr>
          <w:rFonts w:eastAsia="Times New Roman"/>
          <w:noProof/>
          <w:lang w:val="en-IE" w:eastAsia="fr-BE"/>
        </w:rPr>
        <w:t xml:space="preserve">information reported in accordance with Article </w:t>
      </w:r>
      <w:r w:rsidR="00425E7F" w:rsidRPr="00C856B2">
        <w:rPr>
          <w:rFonts w:eastAsia="Times New Roman"/>
          <w:noProof/>
          <w:lang w:val="en-IE" w:eastAsia="fr-BE"/>
        </w:rPr>
        <w:t>8</w:t>
      </w:r>
      <w:r w:rsidR="00923761" w:rsidRPr="00C856B2">
        <w:rPr>
          <w:rFonts w:eastAsia="Times New Roman"/>
          <w:noProof/>
          <w:lang w:val="en-IE" w:eastAsia="fr-BE"/>
        </w:rPr>
        <w:t>,</w:t>
      </w:r>
      <w:r w:rsidR="00716EA9" w:rsidRPr="00C856B2">
        <w:rPr>
          <w:noProof/>
          <w:lang w:val="en-IE"/>
        </w:rPr>
        <w:t xml:space="preserve"> or information for the </w:t>
      </w:r>
      <w:r w:rsidR="00923761" w:rsidRPr="00C856B2">
        <w:rPr>
          <w:noProof/>
          <w:lang w:val="en-IE"/>
        </w:rPr>
        <w:t xml:space="preserve">identification </w:t>
      </w:r>
      <w:r w:rsidR="00716EA9" w:rsidRPr="00C856B2">
        <w:rPr>
          <w:noProof/>
          <w:lang w:val="en-IE"/>
        </w:rPr>
        <w:t xml:space="preserve">of G-SIIs and </w:t>
      </w:r>
      <w:r w:rsidR="00E41055" w:rsidRPr="00C856B2">
        <w:rPr>
          <w:noProof/>
          <w:lang w:val="en-IE"/>
        </w:rPr>
        <w:t xml:space="preserve">assignment of </w:t>
      </w:r>
      <w:r w:rsidR="00716EA9" w:rsidRPr="00C856B2">
        <w:rPr>
          <w:noProof/>
          <w:lang w:val="en-IE"/>
        </w:rPr>
        <w:t xml:space="preserve">G-SII buffer rates using adjusted reporting reference dates based on their accounting year-end as set out in Article </w:t>
      </w:r>
      <w:r w:rsidR="003D2BEA" w:rsidRPr="00C856B2">
        <w:rPr>
          <w:noProof/>
          <w:lang w:val="en-IE"/>
        </w:rPr>
        <w:t>2</w:t>
      </w:r>
      <w:r w:rsidR="00716EA9" w:rsidRPr="00C856B2">
        <w:rPr>
          <w:noProof/>
          <w:lang w:val="en-IE"/>
        </w:rPr>
        <w:t xml:space="preserve">(3), </w:t>
      </w:r>
      <w:r w:rsidR="00EE0099" w:rsidRPr="00C856B2">
        <w:rPr>
          <w:noProof/>
          <w:lang w:val="en-IE"/>
        </w:rPr>
        <w:t xml:space="preserve">may adjust </w:t>
      </w:r>
      <w:r w:rsidR="00716EA9" w:rsidRPr="00C856B2">
        <w:rPr>
          <w:noProof/>
          <w:lang w:val="en-IE"/>
        </w:rPr>
        <w:t>the remittance dates so that the same remittance period from the adjusted reporting reference date is maintained.</w:t>
      </w:r>
    </w:p>
    <w:p w:rsidR="00716EA9" w:rsidRPr="00C856B2" w:rsidRDefault="004118AF" w:rsidP="004118AF">
      <w:pPr>
        <w:pStyle w:val="ManualNumPar1"/>
        <w:rPr>
          <w:noProof/>
          <w:lang w:val="en-IE"/>
        </w:rPr>
      </w:pPr>
      <w:r w:rsidRPr="004118AF">
        <w:rPr>
          <w:noProof/>
        </w:rPr>
        <w:t>4.</w:t>
      </w:r>
      <w:r w:rsidRPr="004118AF">
        <w:rPr>
          <w:noProof/>
        </w:rPr>
        <w:tab/>
      </w:r>
      <w:r w:rsidR="00716EA9" w:rsidRPr="00C856B2">
        <w:rPr>
          <w:noProof/>
          <w:lang w:val="en-IE"/>
        </w:rPr>
        <w:t xml:space="preserve">Institutions may submit unaudited figures. Where audited figures deviate from submitted unaudited figures, </w:t>
      </w:r>
      <w:r w:rsidR="00EE0099" w:rsidRPr="00C856B2">
        <w:rPr>
          <w:noProof/>
          <w:lang w:val="en-IE"/>
        </w:rPr>
        <w:t xml:space="preserve">institutions shall submit </w:t>
      </w:r>
      <w:r w:rsidR="00716EA9" w:rsidRPr="00C856B2">
        <w:rPr>
          <w:noProof/>
          <w:lang w:val="en-IE"/>
        </w:rPr>
        <w:t>the revised, audited figures</w:t>
      </w:r>
      <w:r w:rsidR="00EE0099" w:rsidRPr="00C856B2">
        <w:rPr>
          <w:noProof/>
          <w:lang w:val="en-IE"/>
        </w:rPr>
        <w:t xml:space="preserve"> </w:t>
      </w:r>
      <w:r w:rsidR="00716EA9" w:rsidRPr="00C856B2">
        <w:rPr>
          <w:noProof/>
          <w:lang w:val="en-IE"/>
        </w:rPr>
        <w:t>without undue delay. Unaudited figures are figures that have not received an external auditor’s opinion whereas audited figures are figures audited by an external auditor expressing an audit opinion.</w:t>
      </w:r>
    </w:p>
    <w:p w:rsidR="00716EA9" w:rsidRPr="00C856B2" w:rsidRDefault="004118AF" w:rsidP="004118AF">
      <w:pPr>
        <w:pStyle w:val="ManualNumPar1"/>
        <w:rPr>
          <w:noProof/>
          <w:lang w:val="en-IE"/>
        </w:rPr>
      </w:pPr>
      <w:r w:rsidRPr="004118AF">
        <w:rPr>
          <w:noProof/>
        </w:rPr>
        <w:t>5.</w:t>
      </w:r>
      <w:r w:rsidRPr="004118AF">
        <w:rPr>
          <w:noProof/>
        </w:rPr>
        <w:tab/>
      </w:r>
      <w:r w:rsidR="00F22954" w:rsidRPr="00C856B2">
        <w:rPr>
          <w:noProof/>
          <w:lang w:val="en-IE"/>
        </w:rPr>
        <w:t>Institution</w:t>
      </w:r>
      <w:r w:rsidR="00BA287E" w:rsidRPr="00C856B2">
        <w:rPr>
          <w:noProof/>
          <w:lang w:val="en-IE"/>
        </w:rPr>
        <w:t>s</w:t>
      </w:r>
      <w:r w:rsidR="00F22954" w:rsidRPr="00C856B2">
        <w:rPr>
          <w:noProof/>
          <w:lang w:val="en-IE"/>
        </w:rPr>
        <w:t xml:space="preserve"> shall submit to the competent authorities o</w:t>
      </w:r>
      <w:r w:rsidR="00716EA9" w:rsidRPr="00C856B2">
        <w:rPr>
          <w:noProof/>
          <w:lang w:val="en-IE"/>
        </w:rPr>
        <w:t xml:space="preserve">ther corrections to the submitted reports </w:t>
      </w:r>
      <w:r w:rsidR="00325BE5" w:rsidRPr="00C856B2">
        <w:rPr>
          <w:noProof/>
          <w:lang w:val="en-IE"/>
        </w:rPr>
        <w:t>than the corrections referred to in paragraph 4</w:t>
      </w:r>
      <w:r w:rsidR="00716EA9" w:rsidRPr="00C856B2">
        <w:rPr>
          <w:noProof/>
          <w:lang w:val="en-IE"/>
        </w:rPr>
        <w:t xml:space="preserve"> without undue delay.</w:t>
      </w:r>
    </w:p>
    <w:p w:rsidR="00716EA9" w:rsidRPr="00C856B2" w:rsidRDefault="00716EA9" w:rsidP="00716EA9">
      <w:pPr>
        <w:pStyle w:val="Titrearticle"/>
        <w:rPr>
          <w:noProof/>
          <w:szCs w:val="24"/>
          <w:lang w:val="en-IE"/>
        </w:rPr>
      </w:pPr>
      <w:r w:rsidRPr="00C856B2">
        <w:rPr>
          <w:noProof/>
          <w:szCs w:val="24"/>
          <w:lang w:val="en-IE"/>
        </w:rPr>
        <w:t xml:space="preserve">Article </w:t>
      </w:r>
      <w:r w:rsidR="003D2BEA" w:rsidRPr="00C856B2">
        <w:rPr>
          <w:noProof/>
          <w:szCs w:val="24"/>
          <w:lang w:val="en-IE"/>
        </w:rPr>
        <w:t>4</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thresholds – entry and exit criteria</w:t>
      </w:r>
    </w:p>
    <w:p w:rsidR="00716EA9" w:rsidRPr="00C856B2" w:rsidRDefault="004118AF" w:rsidP="004118AF">
      <w:pPr>
        <w:pStyle w:val="ManualNumPar1"/>
        <w:rPr>
          <w:noProof/>
          <w:lang w:val="en-IE"/>
        </w:rPr>
      </w:pPr>
      <w:r w:rsidRPr="004118AF">
        <w:rPr>
          <w:noProof/>
        </w:rPr>
        <w:t>1.</w:t>
      </w:r>
      <w:r w:rsidRPr="004118AF">
        <w:rPr>
          <w:noProof/>
        </w:rPr>
        <w:tab/>
      </w:r>
      <w:r w:rsidR="003F44DA" w:rsidRPr="00C856B2">
        <w:rPr>
          <w:noProof/>
          <w:lang w:val="en-IE"/>
        </w:rPr>
        <w:t>Small and non-complex i</w:t>
      </w:r>
      <w:r w:rsidR="001F6905" w:rsidRPr="00C856B2">
        <w:rPr>
          <w:noProof/>
          <w:lang w:val="en-IE"/>
        </w:rPr>
        <w:t>nstitutions</w:t>
      </w:r>
      <w:r w:rsidR="00716EA9" w:rsidRPr="00C856B2">
        <w:rPr>
          <w:noProof/>
          <w:lang w:val="en-IE"/>
        </w:rPr>
        <w:t xml:space="preserve"> shall start reporting</w:t>
      </w:r>
      <w:r w:rsidR="003F44DA" w:rsidRPr="00C856B2">
        <w:rPr>
          <w:noProof/>
          <w:lang w:val="en-IE"/>
        </w:rPr>
        <w:t xml:space="preserve"> the</w:t>
      </w:r>
      <w:r w:rsidR="00716EA9" w:rsidRPr="00C856B2">
        <w:rPr>
          <w:noProof/>
          <w:lang w:val="en-IE"/>
        </w:rPr>
        <w:t xml:space="preserve"> information </w:t>
      </w:r>
      <w:r w:rsidR="003F44DA" w:rsidRPr="00C856B2">
        <w:rPr>
          <w:noProof/>
          <w:lang w:val="en-IE"/>
        </w:rPr>
        <w:t>referred to</w:t>
      </w:r>
      <w:r w:rsidR="0055701A" w:rsidRPr="00C856B2">
        <w:rPr>
          <w:noProof/>
          <w:lang w:val="en-IE"/>
        </w:rPr>
        <w:t xml:space="preserve"> in Annex I </w:t>
      </w:r>
      <w:r w:rsidR="00716EA9" w:rsidRPr="00C856B2">
        <w:rPr>
          <w:noProof/>
          <w:lang w:val="en-IE"/>
        </w:rPr>
        <w:t xml:space="preserve">on the first reporting reference date </w:t>
      </w:r>
      <w:r w:rsidR="00DA76F0" w:rsidRPr="00C856B2">
        <w:rPr>
          <w:noProof/>
          <w:lang w:val="en-IE"/>
        </w:rPr>
        <w:t xml:space="preserve">following the date on which </w:t>
      </w:r>
      <w:r w:rsidR="001F6905" w:rsidRPr="00C856B2">
        <w:rPr>
          <w:noProof/>
          <w:lang w:val="en-IE"/>
        </w:rPr>
        <w:t xml:space="preserve">those institutions have met the criteria laid down in Article 4(1), point (145), of Regulation (EU) </w:t>
      </w:r>
      <w:r w:rsidR="008B158E" w:rsidRPr="00C856B2">
        <w:rPr>
          <w:noProof/>
          <w:lang w:val="en-IE"/>
        </w:rPr>
        <w:t xml:space="preserve">No </w:t>
      </w:r>
      <w:r w:rsidR="001F6905" w:rsidRPr="00C856B2">
        <w:rPr>
          <w:noProof/>
          <w:lang w:val="en-IE"/>
        </w:rPr>
        <w:t>575/2013</w:t>
      </w:r>
      <w:r w:rsidR="00716EA9" w:rsidRPr="00C856B2">
        <w:rPr>
          <w:noProof/>
          <w:lang w:val="en-IE"/>
        </w:rPr>
        <w:t xml:space="preserve">. </w:t>
      </w:r>
      <w:r w:rsidR="00CC206D" w:rsidRPr="00C856B2">
        <w:rPr>
          <w:noProof/>
          <w:lang w:val="en-IE"/>
        </w:rPr>
        <w:t>I</w:t>
      </w:r>
      <w:r w:rsidR="001F6905" w:rsidRPr="00C856B2">
        <w:rPr>
          <w:noProof/>
          <w:lang w:val="en-IE"/>
        </w:rPr>
        <w:t>nstitution</w:t>
      </w:r>
      <w:r w:rsidR="003F44DA" w:rsidRPr="00C856B2">
        <w:rPr>
          <w:noProof/>
          <w:lang w:val="en-IE"/>
        </w:rPr>
        <w:t>s</w:t>
      </w:r>
      <w:r w:rsidR="001F6905" w:rsidRPr="00C856B2">
        <w:rPr>
          <w:noProof/>
          <w:lang w:val="en-IE"/>
        </w:rPr>
        <w:t xml:space="preserve"> that</w:t>
      </w:r>
      <w:r w:rsidR="00716EA9" w:rsidRPr="00C856B2">
        <w:rPr>
          <w:noProof/>
          <w:lang w:val="en-IE"/>
        </w:rPr>
        <w:t xml:space="preserve"> no longer meet those </w:t>
      </w:r>
      <w:r w:rsidR="001F6905" w:rsidRPr="00C856B2">
        <w:rPr>
          <w:noProof/>
          <w:lang w:val="en-IE"/>
        </w:rPr>
        <w:t>criteria</w:t>
      </w:r>
      <w:r w:rsidR="00716EA9" w:rsidRPr="00C856B2">
        <w:rPr>
          <w:noProof/>
          <w:lang w:val="en-IE"/>
        </w:rPr>
        <w:t xml:space="preserve"> shall stop reporting th</w:t>
      </w:r>
      <w:r w:rsidR="003F44DA" w:rsidRPr="00C856B2">
        <w:rPr>
          <w:noProof/>
          <w:lang w:val="en-IE"/>
        </w:rPr>
        <w:t>at</w:t>
      </w:r>
      <w:r w:rsidR="00716EA9" w:rsidRPr="00C856B2">
        <w:rPr>
          <w:noProof/>
          <w:lang w:val="en-IE"/>
        </w:rPr>
        <w:t xml:space="preserve"> information</w:t>
      </w:r>
      <w:r w:rsidR="0055701A" w:rsidRPr="00C856B2">
        <w:rPr>
          <w:noProof/>
          <w:lang w:val="en-IE"/>
        </w:rPr>
        <w:t xml:space="preserve"> </w:t>
      </w:r>
      <w:r w:rsidR="00716EA9" w:rsidRPr="00C856B2">
        <w:rPr>
          <w:noProof/>
          <w:lang w:val="en-IE"/>
        </w:rPr>
        <w:t xml:space="preserve">on the first reporting reference date </w:t>
      </w:r>
      <w:r w:rsidR="00CC206D" w:rsidRPr="00C856B2">
        <w:rPr>
          <w:noProof/>
          <w:lang w:val="en-IE"/>
        </w:rPr>
        <w:t>following the date on which they no longer meet those criteria</w:t>
      </w:r>
      <w:r w:rsidR="00716EA9" w:rsidRPr="00C856B2">
        <w:rPr>
          <w:noProof/>
          <w:lang w:val="en-IE"/>
        </w:rPr>
        <w:t>.</w:t>
      </w:r>
    </w:p>
    <w:p w:rsidR="00716EA9" w:rsidRPr="00C856B2" w:rsidRDefault="004118AF" w:rsidP="004118AF">
      <w:pPr>
        <w:pStyle w:val="ManualNumPar1"/>
        <w:rPr>
          <w:noProof/>
          <w:lang w:val="en-IE"/>
        </w:rPr>
      </w:pPr>
      <w:r w:rsidRPr="004118AF">
        <w:rPr>
          <w:noProof/>
        </w:rPr>
        <w:t>2.</w:t>
      </w:r>
      <w:r w:rsidRPr="004118AF">
        <w:rPr>
          <w:noProof/>
        </w:rPr>
        <w:tab/>
      </w:r>
      <w:r w:rsidR="003F44DA" w:rsidRPr="00C856B2">
        <w:rPr>
          <w:noProof/>
          <w:lang w:val="en-IE"/>
        </w:rPr>
        <w:t>Large i</w:t>
      </w:r>
      <w:r w:rsidR="00716EA9" w:rsidRPr="00C856B2">
        <w:rPr>
          <w:noProof/>
          <w:lang w:val="en-IE"/>
        </w:rPr>
        <w:t>nstitutions shall start reporting</w:t>
      </w:r>
      <w:r w:rsidR="003F44DA" w:rsidRPr="00C856B2">
        <w:rPr>
          <w:noProof/>
          <w:lang w:val="en-IE"/>
        </w:rPr>
        <w:t xml:space="preserve"> the</w:t>
      </w:r>
      <w:r w:rsidR="00716EA9" w:rsidRPr="00C856B2">
        <w:rPr>
          <w:noProof/>
          <w:lang w:val="en-IE"/>
        </w:rPr>
        <w:t xml:space="preserve"> information </w:t>
      </w:r>
      <w:r w:rsidR="003F44DA" w:rsidRPr="00C856B2">
        <w:rPr>
          <w:noProof/>
          <w:lang w:val="en-IE"/>
        </w:rPr>
        <w:t>referred to</w:t>
      </w:r>
      <w:r w:rsidR="0055701A" w:rsidRPr="00C856B2">
        <w:rPr>
          <w:noProof/>
          <w:lang w:val="en-IE"/>
        </w:rPr>
        <w:t xml:space="preserve"> in Annex</w:t>
      </w:r>
      <w:r w:rsidR="003F44DA" w:rsidRPr="00C856B2">
        <w:rPr>
          <w:noProof/>
          <w:lang w:val="en-IE"/>
        </w:rPr>
        <w:t> </w:t>
      </w:r>
      <w:r w:rsidR="0055701A" w:rsidRPr="00C856B2">
        <w:rPr>
          <w:noProof/>
          <w:lang w:val="en-IE"/>
        </w:rPr>
        <w:t>I</w:t>
      </w:r>
      <w:r w:rsidR="00716EA9" w:rsidRPr="00C856B2">
        <w:rPr>
          <w:noProof/>
          <w:lang w:val="en-IE"/>
        </w:rPr>
        <w:t xml:space="preserve"> on the first reporting reference date </w:t>
      </w:r>
      <w:r w:rsidR="00CC206D" w:rsidRPr="00C856B2">
        <w:rPr>
          <w:noProof/>
          <w:lang w:val="en-IE"/>
        </w:rPr>
        <w:t xml:space="preserve">following the date on which </w:t>
      </w:r>
      <w:r w:rsidR="001F6905" w:rsidRPr="00C856B2">
        <w:rPr>
          <w:noProof/>
          <w:lang w:val="en-IE"/>
        </w:rPr>
        <w:t>institutions have met the criteria laid down in Article 4(1), point </w:t>
      </w:r>
      <w:r w:rsidR="00E10AFE" w:rsidRPr="00C856B2">
        <w:rPr>
          <w:noProof/>
          <w:lang w:val="en-IE"/>
        </w:rPr>
        <w:t>(</w:t>
      </w:r>
      <w:r w:rsidR="001F6905" w:rsidRPr="00C856B2">
        <w:rPr>
          <w:noProof/>
          <w:lang w:val="en-IE"/>
        </w:rPr>
        <w:t>146</w:t>
      </w:r>
      <w:r w:rsidR="00E10AFE" w:rsidRPr="00C856B2">
        <w:rPr>
          <w:noProof/>
          <w:lang w:val="en-IE"/>
        </w:rPr>
        <w:t xml:space="preserve">) of Regulation (EU) </w:t>
      </w:r>
      <w:r w:rsidR="0097132F" w:rsidRPr="00C856B2">
        <w:rPr>
          <w:noProof/>
          <w:lang w:val="en-IE"/>
        </w:rPr>
        <w:t>No</w:t>
      </w:r>
      <w:r w:rsidR="006E52DB" w:rsidRPr="00C856B2">
        <w:rPr>
          <w:noProof/>
          <w:lang w:val="en-IE"/>
        </w:rPr>
        <w:t> </w:t>
      </w:r>
      <w:r w:rsidR="00E10AFE" w:rsidRPr="00C856B2">
        <w:rPr>
          <w:noProof/>
          <w:lang w:val="en-IE"/>
        </w:rPr>
        <w:t>575/2013</w:t>
      </w:r>
      <w:r w:rsidR="00716EA9" w:rsidRPr="00C856B2">
        <w:rPr>
          <w:noProof/>
          <w:lang w:val="en-IE"/>
        </w:rPr>
        <w:t xml:space="preserve">. </w:t>
      </w:r>
      <w:r w:rsidR="00CC206D" w:rsidRPr="00C856B2">
        <w:rPr>
          <w:noProof/>
          <w:lang w:val="en-IE"/>
        </w:rPr>
        <w:t>I</w:t>
      </w:r>
      <w:r w:rsidR="00E10AFE" w:rsidRPr="00C856B2">
        <w:rPr>
          <w:noProof/>
          <w:lang w:val="en-IE"/>
        </w:rPr>
        <w:t>nstitutions that</w:t>
      </w:r>
      <w:r w:rsidR="00716EA9" w:rsidRPr="00C856B2">
        <w:rPr>
          <w:noProof/>
          <w:lang w:val="en-IE"/>
        </w:rPr>
        <w:t xml:space="preserve"> no longer meet those </w:t>
      </w:r>
      <w:r w:rsidR="00642A74" w:rsidRPr="00C856B2">
        <w:rPr>
          <w:noProof/>
          <w:lang w:val="en-IE"/>
        </w:rPr>
        <w:t>criteria</w:t>
      </w:r>
      <w:r w:rsidR="00716EA9" w:rsidRPr="00C856B2">
        <w:rPr>
          <w:noProof/>
          <w:lang w:val="en-IE"/>
        </w:rPr>
        <w:t xml:space="preserve"> shall stop reporting th</w:t>
      </w:r>
      <w:r w:rsidR="006E52DB" w:rsidRPr="00C856B2">
        <w:rPr>
          <w:noProof/>
          <w:lang w:val="en-IE"/>
        </w:rPr>
        <w:t>at</w:t>
      </w:r>
      <w:r w:rsidR="00716EA9" w:rsidRPr="00C856B2">
        <w:rPr>
          <w:noProof/>
          <w:lang w:val="en-IE"/>
        </w:rPr>
        <w:t xml:space="preserve"> information</w:t>
      </w:r>
      <w:r w:rsidR="0055701A" w:rsidRPr="00C856B2">
        <w:rPr>
          <w:noProof/>
          <w:lang w:val="en-IE"/>
        </w:rPr>
        <w:t xml:space="preserve"> subject </w:t>
      </w:r>
      <w:r w:rsidR="00716EA9" w:rsidRPr="00C856B2">
        <w:rPr>
          <w:noProof/>
          <w:lang w:val="en-IE"/>
        </w:rPr>
        <w:t xml:space="preserve">on the first reporting reference date </w:t>
      </w:r>
      <w:r w:rsidR="00CC206D" w:rsidRPr="00C856B2">
        <w:rPr>
          <w:noProof/>
          <w:lang w:val="en-IE"/>
        </w:rPr>
        <w:t>on which they no longer meet those criteria</w:t>
      </w:r>
      <w:r w:rsidR="00716EA9" w:rsidRPr="00C856B2">
        <w:rPr>
          <w:noProof/>
          <w:lang w:val="en-IE"/>
        </w:rPr>
        <w:t>.</w:t>
      </w:r>
    </w:p>
    <w:p w:rsidR="00716EA9" w:rsidRPr="00C856B2" w:rsidRDefault="004118AF" w:rsidP="004118AF">
      <w:pPr>
        <w:pStyle w:val="ManualNumPar1"/>
        <w:rPr>
          <w:noProof/>
          <w:lang w:val="en-IE"/>
        </w:rPr>
      </w:pPr>
      <w:r w:rsidRPr="004118AF">
        <w:rPr>
          <w:noProof/>
        </w:rPr>
        <w:t>3.</w:t>
      </w:r>
      <w:r w:rsidRPr="004118AF">
        <w:rPr>
          <w:noProof/>
        </w:rPr>
        <w:tab/>
      </w:r>
      <w:r w:rsidR="00716EA9" w:rsidRPr="00C856B2">
        <w:rPr>
          <w:noProof/>
          <w:lang w:val="en-IE"/>
        </w:rPr>
        <w:t xml:space="preserve">Institutions shall start reporting </w:t>
      </w:r>
      <w:r w:rsidR="006E52DB" w:rsidRPr="00C856B2">
        <w:rPr>
          <w:noProof/>
          <w:lang w:val="en-IE"/>
        </w:rPr>
        <w:t xml:space="preserve">the </w:t>
      </w:r>
      <w:r w:rsidR="00716EA9" w:rsidRPr="00C856B2">
        <w:rPr>
          <w:noProof/>
          <w:lang w:val="en-IE"/>
        </w:rPr>
        <w:t xml:space="preserve">information </w:t>
      </w:r>
      <w:r w:rsidR="006E52DB" w:rsidRPr="00C856B2">
        <w:rPr>
          <w:noProof/>
          <w:lang w:val="en-IE"/>
        </w:rPr>
        <w:t>referred to in Annex I</w:t>
      </w:r>
      <w:r w:rsidR="00364BC6" w:rsidRPr="00C856B2">
        <w:rPr>
          <w:noProof/>
          <w:lang w:val="en-IE"/>
        </w:rPr>
        <w:t xml:space="preserve"> </w:t>
      </w:r>
      <w:r w:rsidR="00716EA9" w:rsidRPr="00C856B2">
        <w:rPr>
          <w:noProof/>
          <w:lang w:val="en-IE"/>
        </w:rPr>
        <w:t>subject to the thresholds set out in</w:t>
      </w:r>
      <w:r w:rsidR="00E2046B" w:rsidRPr="00C856B2">
        <w:rPr>
          <w:noProof/>
          <w:lang w:val="en-IE"/>
        </w:rPr>
        <w:t xml:space="preserve"> Article 5(2) and (3), </w:t>
      </w:r>
      <w:r w:rsidR="00797855" w:rsidRPr="00C856B2">
        <w:rPr>
          <w:noProof/>
          <w:lang w:val="en-IE"/>
        </w:rPr>
        <w:t xml:space="preserve">Article </w:t>
      </w:r>
      <w:r w:rsidR="00E2046B" w:rsidRPr="00C856B2">
        <w:rPr>
          <w:noProof/>
          <w:lang w:val="en-IE"/>
        </w:rPr>
        <w:t>6(2)</w:t>
      </w:r>
      <w:r w:rsidR="00514E02">
        <w:rPr>
          <w:noProof/>
          <w:lang w:val="en-IE"/>
        </w:rPr>
        <w:t xml:space="preserve"> and (3)</w:t>
      </w:r>
      <w:r w:rsidR="00E2046B" w:rsidRPr="00C856B2">
        <w:rPr>
          <w:noProof/>
          <w:lang w:val="en-IE"/>
        </w:rPr>
        <w:t xml:space="preserve">, </w:t>
      </w:r>
      <w:r w:rsidR="00797855" w:rsidRPr="00C856B2">
        <w:rPr>
          <w:noProof/>
          <w:lang w:val="en-IE"/>
        </w:rPr>
        <w:t xml:space="preserve">Articles </w:t>
      </w:r>
      <w:r w:rsidR="00E2046B" w:rsidRPr="00C856B2">
        <w:rPr>
          <w:noProof/>
          <w:lang w:val="en-IE"/>
        </w:rPr>
        <w:t>11</w:t>
      </w:r>
      <w:r w:rsidR="00797855" w:rsidRPr="00C856B2">
        <w:rPr>
          <w:noProof/>
          <w:lang w:val="en-IE"/>
        </w:rPr>
        <w:t xml:space="preserve"> and</w:t>
      </w:r>
      <w:r w:rsidR="00E2046B" w:rsidRPr="00C856B2">
        <w:rPr>
          <w:noProof/>
          <w:lang w:val="en-IE"/>
        </w:rPr>
        <w:t xml:space="preserve"> 12, </w:t>
      </w:r>
      <w:r w:rsidR="00797855" w:rsidRPr="00C856B2">
        <w:rPr>
          <w:noProof/>
          <w:lang w:val="en-IE"/>
        </w:rPr>
        <w:t xml:space="preserve">Article </w:t>
      </w:r>
      <w:r w:rsidR="00E2046B" w:rsidRPr="00C856B2">
        <w:rPr>
          <w:noProof/>
          <w:lang w:val="en-IE"/>
        </w:rPr>
        <w:t>15(2) to (5),</w:t>
      </w:r>
      <w:r w:rsidR="00797855" w:rsidRPr="00C856B2">
        <w:rPr>
          <w:noProof/>
          <w:lang w:val="en-IE"/>
        </w:rPr>
        <w:t xml:space="preserve"> and Articles</w:t>
      </w:r>
      <w:r w:rsidR="00E2046B" w:rsidRPr="00C856B2">
        <w:rPr>
          <w:noProof/>
          <w:lang w:val="en-IE"/>
        </w:rPr>
        <w:t xml:space="preserve"> 17</w:t>
      </w:r>
      <w:r w:rsidR="00797855" w:rsidRPr="00C856B2">
        <w:rPr>
          <w:noProof/>
          <w:lang w:val="en-IE"/>
        </w:rPr>
        <w:t xml:space="preserve"> to</w:t>
      </w:r>
      <w:r w:rsidR="00E2046B" w:rsidRPr="00C856B2">
        <w:rPr>
          <w:noProof/>
          <w:lang w:val="en-IE"/>
        </w:rPr>
        <w:t xml:space="preserve"> 20</w:t>
      </w:r>
      <w:r w:rsidR="00716EA9" w:rsidRPr="00C856B2">
        <w:rPr>
          <w:noProof/>
          <w:lang w:val="en-IE"/>
        </w:rPr>
        <w:t xml:space="preserve"> </w:t>
      </w:r>
      <w:r w:rsidR="00E2046B" w:rsidRPr="00C856B2">
        <w:rPr>
          <w:noProof/>
          <w:lang w:val="en-IE"/>
        </w:rPr>
        <w:t xml:space="preserve">of </w:t>
      </w:r>
      <w:r w:rsidR="00716EA9" w:rsidRPr="00C856B2">
        <w:rPr>
          <w:noProof/>
          <w:lang w:val="en-IE"/>
        </w:rPr>
        <w:t>this Regulation on the</w:t>
      </w:r>
      <w:r w:rsidR="00383690" w:rsidRPr="00C856B2">
        <w:rPr>
          <w:noProof/>
          <w:lang w:val="en-IE"/>
        </w:rPr>
        <w:t xml:space="preserve"> </w:t>
      </w:r>
      <w:r w:rsidR="00716EA9" w:rsidRPr="00C856B2">
        <w:rPr>
          <w:noProof/>
          <w:lang w:val="en-IE"/>
        </w:rPr>
        <w:t>reporting reference date</w:t>
      </w:r>
      <w:r w:rsidR="00383690" w:rsidRPr="00C856B2">
        <w:rPr>
          <w:noProof/>
          <w:lang w:val="en-IE"/>
        </w:rPr>
        <w:t xml:space="preserve"> following the </w:t>
      </w:r>
      <w:r w:rsidR="00EA6265" w:rsidRPr="00C856B2">
        <w:rPr>
          <w:noProof/>
          <w:lang w:val="en-IE"/>
        </w:rPr>
        <w:t>date on which</w:t>
      </w:r>
      <w:r w:rsidR="00716EA9" w:rsidRPr="00C856B2">
        <w:rPr>
          <w:noProof/>
          <w:lang w:val="en-IE"/>
        </w:rPr>
        <w:t xml:space="preserve"> those thresholds have been exceeded on two consecutive reporting reference dates. Institutions may stop reporting information subject to the thresholds set out in </w:t>
      </w:r>
      <w:r w:rsidR="00E2046B" w:rsidRPr="00C856B2">
        <w:rPr>
          <w:noProof/>
          <w:lang w:val="en-IE"/>
        </w:rPr>
        <w:t>those Articles</w:t>
      </w:r>
      <w:r w:rsidR="00716EA9" w:rsidRPr="00C856B2">
        <w:rPr>
          <w:noProof/>
          <w:lang w:val="en-IE"/>
        </w:rPr>
        <w:t xml:space="preserve"> on the reporting reference date </w:t>
      </w:r>
      <w:r w:rsidR="00445295" w:rsidRPr="00C856B2">
        <w:rPr>
          <w:noProof/>
          <w:lang w:val="en-IE"/>
        </w:rPr>
        <w:t xml:space="preserve">following the date on which </w:t>
      </w:r>
      <w:r w:rsidR="00716EA9" w:rsidRPr="00C856B2">
        <w:rPr>
          <w:noProof/>
          <w:lang w:val="en-IE"/>
        </w:rPr>
        <w:t>they have fallen below the relevant thresholds on three consecutive reporting reference dates.</w:t>
      </w:r>
    </w:p>
    <w:p w:rsidR="00716EA9" w:rsidRPr="00C856B2" w:rsidRDefault="004118AF" w:rsidP="004118AF">
      <w:pPr>
        <w:pStyle w:val="ManualNumPar1"/>
        <w:rPr>
          <w:noProof/>
          <w:lang w:val="en-IE" w:eastAsia="fr-BE"/>
        </w:rPr>
      </w:pPr>
      <w:r w:rsidRPr="004118AF">
        <w:rPr>
          <w:noProof/>
        </w:rPr>
        <w:t>4.</w:t>
      </w:r>
      <w:r w:rsidRPr="004118AF">
        <w:rPr>
          <w:noProof/>
        </w:rPr>
        <w:tab/>
      </w:r>
      <w:r w:rsidR="00716EA9" w:rsidRPr="00C856B2">
        <w:rPr>
          <w:noProof/>
          <w:lang w:val="en-IE" w:eastAsia="fr-BE"/>
        </w:rPr>
        <w:t>By way of derogation from paragraph 3, institutions shall start reporting where they meet any of the following conditions in</w:t>
      </w:r>
      <w:r w:rsidR="00F67E1D" w:rsidRPr="00C856B2">
        <w:rPr>
          <w:noProof/>
          <w:lang w:val="en-IE" w:eastAsia="fr-BE"/>
        </w:rPr>
        <w:t xml:space="preserve"> the</w:t>
      </w:r>
      <w:r w:rsidR="00716EA9" w:rsidRPr="00C856B2">
        <w:rPr>
          <w:noProof/>
          <w:lang w:val="en-IE" w:eastAsia="fr-BE"/>
        </w:rPr>
        <w:t xml:space="preserve"> </w:t>
      </w:r>
      <w:r w:rsidR="008D53CD" w:rsidRPr="00C856B2">
        <w:rPr>
          <w:noProof/>
          <w:lang w:val="en-IE" w:eastAsia="fr-BE"/>
        </w:rPr>
        <w:t>6</w:t>
      </w:r>
      <w:r w:rsidR="00716EA9" w:rsidRPr="00C856B2">
        <w:rPr>
          <w:noProof/>
          <w:lang w:val="en-IE" w:eastAsia="fr-BE"/>
        </w:rPr>
        <w:t xml:space="preserve"> months preceding the reference date: </w:t>
      </w:r>
    </w:p>
    <w:p w:rsidR="00716EA9" w:rsidRPr="00C856B2" w:rsidRDefault="004118AF" w:rsidP="004118AF">
      <w:pPr>
        <w:pStyle w:val="Point1"/>
        <w:rPr>
          <w:noProof/>
          <w:color w:val="000000"/>
          <w:lang w:val="en-IE" w:eastAsia="fr-BE"/>
        </w:rPr>
      </w:pPr>
      <w:r w:rsidRPr="004118AF">
        <w:rPr>
          <w:noProof/>
        </w:rPr>
        <w:t>(a)</w:t>
      </w:r>
      <w:r w:rsidRPr="004118AF">
        <w:rPr>
          <w:noProof/>
        </w:rPr>
        <w:tab/>
      </w:r>
      <w:r w:rsidR="00716EA9" w:rsidRPr="00C856B2">
        <w:rPr>
          <w:noProof/>
          <w:lang w:val="en-IE" w:eastAsia="fr-BE"/>
        </w:rPr>
        <w:t>th</w:t>
      </w:r>
      <w:r w:rsidR="00E70327" w:rsidRPr="00C856B2">
        <w:rPr>
          <w:noProof/>
          <w:lang w:val="en-IE" w:eastAsia="fr-BE"/>
        </w:rPr>
        <w:t>e institution concerned</w:t>
      </w:r>
      <w:r w:rsidR="00716EA9" w:rsidRPr="00C856B2">
        <w:rPr>
          <w:noProof/>
          <w:lang w:val="en-IE" w:eastAsia="fr-BE"/>
        </w:rPr>
        <w:t xml:space="preserve"> ha</w:t>
      </w:r>
      <w:r w:rsidR="00E70327" w:rsidRPr="00C856B2">
        <w:rPr>
          <w:noProof/>
          <w:lang w:val="en-IE" w:eastAsia="fr-BE"/>
        </w:rPr>
        <w:t>s</w:t>
      </w:r>
      <w:r w:rsidR="00716EA9" w:rsidRPr="00C856B2">
        <w:rPr>
          <w:noProof/>
          <w:lang w:val="en-IE" w:eastAsia="fr-BE"/>
        </w:rPr>
        <w:t xml:space="preserve"> </w:t>
      </w:r>
      <w:r w:rsidR="00C62414" w:rsidRPr="00C856B2">
        <w:rPr>
          <w:noProof/>
          <w:lang w:val="en-IE" w:eastAsia="fr-BE"/>
        </w:rPr>
        <w:t>been authorised</w:t>
      </w:r>
      <w:r w:rsidR="00716EA9" w:rsidRPr="00C856B2">
        <w:rPr>
          <w:noProof/>
          <w:lang w:val="en-IE" w:eastAsia="fr-BE"/>
        </w:rPr>
        <w:t xml:space="preserve"> to commence </w:t>
      </w:r>
      <w:r w:rsidR="00E70327" w:rsidRPr="00C856B2">
        <w:rPr>
          <w:noProof/>
          <w:lang w:val="en-IE" w:eastAsia="fr-BE"/>
        </w:rPr>
        <w:t>its</w:t>
      </w:r>
      <w:r w:rsidR="00716EA9" w:rsidRPr="00C856B2">
        <w:rPr>
          <w:noProof/>
          <w:lang w:val="en-IE" w:eastAsia="fr-BE"/>
        </w:rPr>
        <w:t xml:space="preserve"> activities as a credit institution pursuant to Article 8 of Directive 2013/36/EU</w:t>
      </w:r>
      <w:r w:rsidR="008D53CD" w:rsidRPr="00C856B2">
        <w:rPr>
          <w:noProof/>
          <w:lang w:val="en-IE"/>
        </w:rPr>
        <w:t xml:space="preserve"> </w:t>
      </w:r>
      <w:r w:rsidR="008D53CD" w:rsidRPr="00C856B2">
        <w:rPr>
          <w:noProof/>
          <w:lang w:val="en-IE" w:eastAsia="fr-BE"/>
        </w:rPr>
        <w:t>of the European Parliament and of the Council</w:t>
      </w:r>
      <w:r w:rsidR="00716EA9" w:rsidRPr="00C856B2">
        <w:rPr>
          <w:rStyle w:val="FootnoteReference"/>
          <w:rFonts w:eastAsia="Times New Roman"/>
          <w:bCs/>
          <w:noProof/>
          <w:szCs w:val="24"/>
          <w:lang w:val="en-IE" w:eastAsia="fr-BE"/>
        </w:rPr>
        <w:footnoteReference w:id="6"/>
      </w:r>
      <w:r w:rsidR="00716EA9" w:rsidRPr="00C856B2">
        <w:rPr>
          <w:noProof/>
          <w:lang w:val="en-IE" w:eastAsia="fr-BE"/>
        </w:rPr>
        <w:t>;</w:t>
      </w:r>
    </w:p>
    <w:p w:rsidR="00716EA9" w:rsidRPr="00C856B2" w:rsidRDefault="004118AF" w:rsidP="004118AF">
      <w:pPr>
        <w:pStyle w:val="Point1"/>
        <w:rPr>
          <w:noProof/>
          <w:color w:val="000000"/>
          <w:lang w:val="en-IE" w:eastAsia="fr-BE"/>
        </w:rPr>
      </w:pPr>
      <w:r w:rsidRPr="004118AF">
        <w:rPr>
          <w:noProof/>
        </w:rPr>
        <w:t>(b)</w:t>
      </w:r>
      <w:r w:rsidRPr="004118AF">
        <w:rPr>
          <w:noProof/>
        </w:rPr>
        <w:tab/>
      </w:r>
      <w:r w:rsidR="00716EA9" w:rsidRPr="00C856B2">
        <w:rPr>
          <w:noProof/>
          <w:lang w:val="en-IE" w:eastAsia="fr-BE"/>
        </w:rPr>
        <w:t>the</w:t>
      </w:r>
      <w:r w:rsidR="007E489F" w:rsidRPr="00C856B2">
        <w:rPr>
          <w:noProof/>
          <w:lang w:val="en-IE" w:eastAsia="fr-BE"/>
        </w:rPr>
        <w:t xml:space="preserve"> institution is an </w:t>
      </w:r>
      <w:r w:rsidR="00716EA9" w:rsidRPr="00C856B2">
        <w:rPr>
          <w:noProof/>
          <w:lang w:val="en-IE" w:eastAsia="fr-BE"/>
        </w:rPr>
        <w:t xml:space="preserve">investment firm that </w:t>
      </w:r>
      <w:r w:rsidR="00AF4E50" w:rsidRPr="00C856B2">
        <w:rPr>
          <w:noProof/>
          <w:lang w:val="en-IE" w:eastAsia="fr-BE"/>
        </w:rPr>
        <w:t>is</w:t>
      </w:r>
      <w:r w:rsidR="00716EA9" w:rsidRPr="00C856B2">
        <w:rPr>
          <w:noProof/>
          <w:lang w:val="en-IE" w:eastAsia="fr-BE"/>
        </w:rPr>
        <w:t xml:space="preserve"> subject to Regulation (EU) No 575/2013 by virtue of exceeding the threshold set out in Article 4(1), point </w:t>
      </w:r>
      <w:r w:rsidR="00A9455A" w:rsidRPr="00C856B2">
        <w:rPr>
          <w:noProof/>
          <w:lang w:val="en-IE" w:eastAsia="fr-BE"/>
        </w:rPr>
        <w:t>(1)</w:t>
      </w:r>
      <w:r w:rsidR="00716EA9" w:rsidRPr="00C856B2">
        <w:rPr>
          <w:noProof/>
          <w:lang w:val="en-IE" w:eastAsia="fr-BE"/>
        </w:rPr>
        <w:t>(b)</w:t>
      </w:r>
      <w:r w:rsidR="00D10EE2" w:rsidRPr="00C856B2">
        <w:rPr>
          <w:noProof/>
          <w:lang w:val="en-IE" w:eastAsia="fr-BE"/>
        </w:rPr>
        <w:t>,</w:t>
      </w:r>
      <w:r w:rsidR="00716EA9" w:rsidRPr="00C856B2">
        <w:rPr>
          <w:noProof/>
          <w:lang w:val="en-IE" w:eastAsia="fr-BE"/>
        </w:rPr>
        <w:t xml:space="preserve"> of that Regulation or by virtue of a decision of the competent authority in accordance with Article 5 of Directive (EU) 2019/2034</w:t>
      </w:r>
      <w:r w:rsidR="00A9455A" w:rsidRPr="00C856B2">
        <w:rPr>
          <w:noProof/>
          <w:lang w:val="en-IE"/>
        </w:rPr>
        <w:t xml:space="preserve"> </w:t>
      </w:r>
      <w:r w:rsidR="00A9455A" w:rsidRPr="00C856B2">
        <w:rPr>
          <w:noProof/>
          <w:lang w:val="en-IE" w:eastAsia="fr-BE"/>
        </w:rPr>
        <w:t>of the European Parliament and of the Council</w:t>
      </w:r>
      <w:r w:rsidR="00716EA9" w:rsidRPr="00C856B2">
        <w:rPr>
          <w:rStyle w:val="FootnoteReference"/>
          <w:rFonts w:eastAsia="Times New Roman"/>
          <w:bCs/>
          <w:noProof/>
          <w:szCs w:val="24"/>
          <w:lang w:val="en-IE" w:eastAsia="fr-BE"/>
        </w:rPr>
        <w:footnoteReference w:id="7"/>
      </w:r>
      <w:r w:rsidR="00716EA9" w:rsidRPr="00C856B2">
        <w:rPr>
          <w:noProof/>
          <w:lang w:val="en-IE" w:eastAsia="fr-BE"/>
        </w:rPr>
        <w:t>;</w:t>
      </w:r>
    </w:p>
    <w:p w:rsidR="00716EA9" w:rsidRPr="00C856B2" w:rsidRDefault="004118AF" w:rsidP="004118AF">
      <w:pPr>
        <w:pStyle w:val="Point1"/>
        <w:rPr>
          <w:noProof/>
          <w:color w:val="000000"/>
          <w:lang w:val="en-IE" w:eastAsia="fr-BE"/>
        </w:rPr>
      </w:pPr>
      <w:r w:rsidRPr="004118AF">
        <w:rPr>
          <w:noProof/>
        </w:rPr>
        <w:t>(c)</w:t>
      </w:r>
      <w:r w:rsidRPr="004118AF">
        <w:rPr>
          <w:noProof/>
        </w:rPr>
        <w:tab/>
      </w:r>
      <w:r w:rsidR="00716EA9" w:rsidRPr="00C856B2">
        <w:rPr>
          <w:noProof/>
          <w:lang w:val="en-IE" w:eastAsia="fr-BE"/>
        </w:rPr>
        <w:t>the</w:t>
      </w:r>
      <w:r w:rsidR="006B55F5" w:rsidRPr="00C856B2">
        <w:rPr>
          <w:noProof/>
          <w:lang w:val="en-IE" w:eastAsia="fr-BE"/>
        </w:rPr>
        <w:t xml:space="preserve"> institution is an</w:t>
      </w:r>
      <w:r w:rsidR="00716EA9" w:rsidRPr="00C856B2">
        <w:rPr>
          <w:noProof/>
          <w:lang w:val="en-IE" w:eastAsia="fr-BE"/>
        </w:rPr>
        <w:t xml:space="preserve"> entit</w:t>
      </w:r>
      <w:r w:rsidR="006B55F5" w:rsidRPr="00C856B2">
        <w:rPr>
          <w:noProof/>
          <w:lang w:val="en-IE" w:eastAsia="fr-BE"/>
        </w:rPr>
        <w:t>y</w:t>
      </w:r>
      <w:r w:rsidR="00716EA9" w:rsidRPr="00C856B2">
        <w:rPr>
          <w:noProof/>
          <w:lang w:val="en-IE" w:eastAsia="fr-BE"/>
        </w:rPr>
        <w:t xml:space="preserve"> </w:t>
      </w:r>
      <w:r w:rsidR="006B55F5" w:rsidRPr="00C856B2">
        <w:rPr>
          <w:noProof/>
          <w:lang w:val="en-IE" w:eastAsia="fr-BE"/>
        </w:rPr>
        <w:t xml:space="preserve">that </w:t>
      </w:r>
      <w:r w:rsidR="00716EA9" w:rsidRPr="00C856B2">
        <w:rPr>
          <w:noProof/>
          <w:lang w:val="en-IE" w:eastAsia="fr-BE"/>
        </w:rPr>
        <w:t>result</w:t>
      </w:r>
      <w:r w:rsidR="006B55F5" w:rsidRPr="00C856B2">
        <w:rPr>
          <w:noProof/>
          <w:lang w:val="en-IE" w:eastAsia="fr-BE"/>
        </w:rPr>
        <w:t>s</w:t>
      </w:r>
      <w:r w:rsidR="00716EA9" w:rsidRPr="00C856B2">
        <w:rPr>
          <w:noProof/>
          <w:lang w:val="en-IE" w:eastAsia="fr-BE"/>
        </w:rPr>
        <w:t xml:space="preserve"> from either the merger of at least two institutions or the split of an institution into at least two institutions.</w:t>
      </w:r>
    </w:p>
    <w:p w:rsidR="00716EA9" w:rsidRPr="00C856B2" w:rsidRDefault="004118AF" w:rsidP="004118AF">
      <w:pPr>
        <w:pStyle w:val="ManualNumPar1"/>
        <w:rPr>
          <w:noProof/>
          <w:lang w:val="en-IE" w:eastAsia="fr-BE"/>
        </w:rPr>
      </w:pPr>
      <w:r w:rsidRPr="004118AF">
        <w:rPr>
          <w:noProof/>
        </w:rPr>
        <w:t>5.</w:t>
      </w:r>
      <w:r w:rsidRPr="004118AF">
        <w:rPr>
          <w:noProof/>
        </w:rPr>
        <w:tab/>
      </w:r>
      <w:r w:rsidR="00716EA9" w:rsidRPr="00C856B2">
        <w:rPr>
          <w:noProof/>
          <w:lang w:val="en-IE" w:eastAsia="fr-BE"/>
        </w:rPr>
        <w:t xml:space="preserve">For the institutions referred to in paragraph 4, the following shall apply in relation to their reporting </w:t>
      </w:r>
      <w:r w:rsidR="008D5A0B" w:rsidRPr="00C856B2">
        <w:rPr>
          <w:noProof/>
          <w:lang w:val="en-IE" w:eastAsia="fr-BE"/>
        </w:rPr>
        <w:t xml:space="preserve">that is </w:t>
      </w:r>
      <w:r w:rsidR="00716EA9" w:rsidRPr="00C856B2">
        <w:rPr>
          <w:noProof/>
          <w:lang w:val="en-IE" w:eastAsia="fr-BE"/>
        </w:rPr>
        <w:t xml:space="preserve">subject to the thresholds set out in </w:t>
      </w:r>
      <w:r w:rsidR="005F0C68" w:rsidRPr="00C856B2">
        <w:rPr>
          <w:noProof/>
          <w:lang w:val="en-IE" w:eastAsia="fr-BE"/>
        </w:rPr>
        <w:t>Article 4</w:t>
      </w:r>
      <w:r w:rsidR="00716EA9" w:rsidRPr="00C856B2">
        <w:rPr>
          <w:noProof/>
          <w:lang w:val="en-IE" w:eastAsia="fr-BE"/>
        </w:rPr>
        <w:t xml:space="preserve"> for the first two reference dates:</w:t>
      </w:r>
    </w:p>
    <w:p w:rsidR="00716EA9" w:rsidRPr="00C856B2" w:rsidRDefault="004118AF" w:rsidP="004118AF">
      <w:pPr>
        <w:pStyle w:val="Point1"/>
        <w:rPr>
          <w:noProof/>
          <w:lang w:val="en-IE" w:eastAsia="fr-BE"/>
        </w:rPr>
      </w:pPr>
      <w:r w:rsidRPr="004118AF">
        <w:rPr>
          <w:noProof/>
        </w:rPr>
        <w:t>(a)</w:t>
      </w:r>
      <w:r w:rsidRPr="004118AF">
        <w:rPr>
          <w:noProof/>
        </w:rPr>
        <w:tab/>
      </w:r>
      <w:r w:rsidR="0050785B" w:rsidRPr="00C856B2">
        <w:rPr>
          <w:noProof/>
          <w:lang w:val="en-IE" w:eastAsia="fr-BE"/>
        </w:rPr>
        <w:t>institutions</w:t>
      </w:r>
      <w:r w:rsidR="00716EA9" w:rsidRPr="00C856B2">
        <w:rPr>
          <w:noProof/>
          <w:lang w:val="en-IE" w:eastAsia="fr-BE"/>
        </w:rPr>
        <w:t xml:space="preserve"> </w:t>
      </w:r>
      <w:r w:rsidR="0050785B" w:rsidRPr="00C856B2">
        <w:rPr>
          <w:noProof/>
          <w:lang w:val="en-IE" w:eastAsia="fr-BE"/>
        </w:rPr>
        <w:t xml:space="preserve">that </w:t>
      </w:r>
      <w:r w:rsidR="00716EA9" w:rsidRPr="00C856B2">
        <w:rPr>
          <w:noProof/>
          <w:lang w:val="en-IE" w:eastAsia="fr-BE"/>
        </w:rPr>
        <w:t>exceed the relevant threshold already on the first reference date shall report the information that is subject to that threshold both for the first and for the second reference dates;</w:t>
      </w:r>
    </w:p>
    <w:p w:rsidR="00716EA9" w:rsidRPr="00C856B2" w:rsidRDefault="004118AF" w:rsidP="004118AF">
      <w:pPr>
        <w:pStyle w:val="Point1"/>
        <w:rPr>
          <w:noProof/>
          <w:lang w:val="en-IE" w:eastAsia="fr-BE"/>
        </w:rPr>
      </w:pPr>
      <w:r w:rsidRPr="004118AF">
        <w:rPr>
          <w:noProof/>
        </w:rPr>
        <w:t>(b)</w:t>
      </w:r>
      <w:r w:rsidRPr="004118AF">
        <w:rPr>
          <w:noProof/>
        </w:rPr>
        <w:tab/>
      </w:r>
      <w:r w:rsidR="0050785B" w:rsidRPr="00C856B2">
        <w:rPr>
          <w:noProof/>
          <w:lang w:val="en-IE" w:eastAsia="fr-BE"/>
        </w:rPr>
        <w:t>institutions that</w:t>
      </w:r>
      <w:r w:rsidR="00716EA9" w:rsidRPr="00C856B2">
        <w:rPr>
          <w:noProof/>
          <w:lang w:val="en-IE" w:eastAsia="fr-BE"/>
        </w:rPr>
        <w:t xml:space="preserve"> exceed the relevant threshold only on the second reference date, institutions shall report the information that is subject to that threshold on the second reference date.</w:t>
      </w:r>
    </w:p>
    <w:p w:rsidR="00716EA9" w:rsidRPr="00C856B2" w:rsidRDefault="00716EA9" w:rsidP="00C856B2">
      <w:pPr>
        <w:pStyle w:val="Text1"/>
        <w:rPr>
          <w:noProof/>
          <w:lang w:val="en-IE" w:eastAsia="fr-BE"/>
        </w:rPr>
      </w:pPr>
      <w:r w:rsidRPr="00C856B2">
        <w:rPr>
          <w:noProof/>
          <w:lang w:val="en-IE" w:eastAsia="fr-BE"/>
        </w:rPr>
        <w:t xml:space="preserve">Institutions </w:t>
      </w:r>
      <w:r w:rsidR="00AD0C2E" w:rsidRPr="00C856B2">
        <w:rPr>
          <w:noProof/>
          <w:lang w:val="en-IE" w:eastAsia="fr-BE"/>
        </w:rPr>
        <w:t xml:space="preserve">that have fallen below the relevant thresholds referred to in points (a) and (b) on three consecutive reporting reference dates </w:t>
      </w:r>
      <w:r w:rsidRPr="00C856B2">
        <w:rPr>
          <w:noProof/>
          <w:lang w:val="en-IE" w:eastAsia="fr-BE"/>
        </w:rPr>
        <w:t>may stop reporting information</w:t>
      </w:r>
      <w:r w:rsidR="005F0C68" w:rsidRPr="00C856B2">
        <w:rPr>
          <w:noProof/>
          <w:lang w:val="en-IE" w:eastAsia="fr-BE"/>
        </w:rPr>
        <w:t xml:space="preserve"> subject to the threshold</w:t>
      </w:r>
      <w:r w:rsidRPr="00C856B2">
        <w:rPr>
          <w:noProof/>
          <w:lang w:val="en-IE" w:eastAsia="fr-BE"/>
        </w:rPr>
        <w:t xml:space="preserve"> on the next reporting reference date.</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5</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on own funds and own funds requirements on an individual basis – quarterly reporting</w:t>
      </w:r>
    </w:p>
    <w:p w:rsidR="00716EA9" w:rsidRPr="00C856B2" w:rsidRDefault="004118AF" w:rsidP="004118AF">
      <w:pPr>
        <w:pStyle w:val="ManualNumPar1"/>
        <w:rPr>
          <w:noProof/>
          <w:lang w:val="en-IE"/>
        </w:rPr>
      </w:pPr>
      <w:r w:rsidRPr="004118AF">
        <w:rPr>
          <w:noProof/>
        </w:rPr>
        <w:t>1.</w:t>
      </w:r>
      <w:r w:rsidRPr="004118AF">
        <w:rPr>
          <w:noProof/>
        </w:rPr>
        <w:tab/>
      </w:r>
      <w:r w:rsidR="00BF6649" w:rsidRPr="00C856B2">
        <w:rPr>
          <w:noProof/>
          <w:lang w:val="en-IE"/>
        </w:rPr>
        <w:t>Institutions that report</w:t>
      </w:r>
      <w:r w:rsidR="00716EA9" w:rsidRPr="00C856B2">
        <w:rPr>
          <w:noProof/>
          <w:lang w:val="en-IE"/>
        </w:rPr>
        <w:t xml:space="preserve"> information on own funds and on own funds requirements </w:t>
      </w:r>
      <w:r w:rsidR="006D06B5" w:rsidRPr="00C856B2">
        <w:rPr>
          <w:noProof/>
          <w:lang w:val="en-IE"/>
        </w:rPr>
        <w:t>as required by</w:t>
      </w:r>
      <w:r w:rsidR="00716EA9" w:rsidRPr="00C856B2">
        <w:rPr>
          <w:noProof/>
          <w:lang w:val="en-IE"/>
        </w:rPr>
        <w:t xml:space="preserve"> Article 430(1), point (a), of Regulation (EU) No 575/2013 on an individual basis shall submit </w:t>
      </w:r>
      <w:r w:rsidR="001E42D2" w:rsidRPr="00C856B2">
        <w:rPr>
          <w:noProof/>
          <w:lang w:val="en-IE"/>
        </w:rPr>
        <w:t xml:space="preserve">that </w:t>
      </w:r>
      <w:r w:rsidR="00716EA9" w:rsidRPr="00C856B2">
        <w:rPr>
          <w:noProof/>
          <w:lang w:val="en-IE"/>
        </w:rPr>
        <w:t xml:space="preserve">information as specified in </w:t>
      </w:r>
      <w:r w:rsidR="00AB6D3F" w:rsidRPr="00C856B2">
        <w:rPr>
          <w:noProof/>
          <w:lang w:val="en-IE"/>
        </w:rPr>
        <w:t>S</w:t>
      </w:r>
      <w:r w:rsidR="001E42D2" w:rsidRPr="00C856B2">
        <w:rPr>
          <w:noProof/>
          <w:lang w:val="en-IE"/>
        </w:rPr>
        <w:t>ection 1 -</w:t>
      </w:r>
      <w:r w:rsidR="00716EA9" w:rsidRPr="00C856B2">
        <w:rPr>
          <w:noProof/>
          <w:lang w:val="en-IE"/>
        </w:rPr>
        <w:t xml:space="preserve"> ‘Reporting on own funds and own funds requirements’ </w:t>
      </w:r>
      <w:r w:rsidR="00FB1067" w:rsidRPr="00C856B2">
        <w:rPr>
          <w:noProof/>
          <w:lang w:val="en-IE"/>
        </w:rPr>
        <w:t>of Annex I</w:t>
      </w:r>
      <w:r w:rsidR="00AB6D3F" w:rsidRPr="00C856B2">
        <w:rPr>
          <w:noProof/>
          <w:lang w:val="en-IE"/>
        </w:rPr>
        <w:t xml:space="preserve"> to this Regulation</w:t>
      </w:r>
      <w:r w:rsidR="00FB1067" w:rsidRPr="00C856B2">
        <w:rPr>
          <w:noProof/>
          <w:lang w:val="en-IE"/>
        </w:rPr>
        <w:t xml:space="preserve"> </w:t>
      </w:r>
      <w:r w:rsidR="00716EA9" w:rsidRPr="00C856B2">
        <w:rPr>
          <w:noProof/>
          <w:lang w:val="en-IE"/>
        </w:rPr>
        <w:t>with a quarterly frequency.</w:t>
      </w:r>
    </w:p>
    <w:p w:rsidR="00290C23" w:rsidRPr="00C856B2" w:rsidRDefault="004118AF" w:rsidP="004118AF">
      <w:pPr>
        <w:pStyle w:val="ManualNumPar1"/>
        <w:rPr>
          <w:noProof/>
          <w:lang w:val="en-IE" w:eastAsia="en-GB" w:bidi="en-GB"/>
        </w:rPr>
      </w:pPr>
      <w:r w:rsidRPr="004118AF">
        <w:rPr>
          <w:noProof/>
        </w:rPr>
        <w:t>2.</w:t>
      </w:r>
      <w:r w:rsidRPr="004118AF">
        <w:rPr>
          <w:noProof/>
        </w:rPr>
        <w:tab/>
      </w:r>
      <w:r w:rsidR="00290C23" w:rsidRPr="00C856B2">
        <w:rPr>
          <w:noProof/>
          <w:lang w:val="en-IE" w:eastAsia="en-GB" w:bidi="en-GB"/>
        </w:rPr>
        <w:t xml:space="preserve">Institutions shall submit </w:t>
      </w:r>
      <w:r w:rsidR="00797855" w:rsidRPr="00C856B2">
        <w:rPr>
          <w:noProof/>
          <w:lang w:val="en-IE" w:eastAsia="en-GB" w:bidi="en-GB"/>
        </w:rPr>
        <w:t xml:space="preserve">the </w:t>
      </w:r>
      <w:r w:rsidR="00290C23" w:rsidRPr="00C856B2">
        <w:rPr>
          <w:noProof/>
          <w:lang w:val="en-IE" w:eastAsia="en-GB" w:bidi="en-GB"/>
        </w:rPr>
        <w:t xml:space="preserve">information specified in templates </w:t>
      </w:r>
      <w:r w:rsidR="00AD36D8" w:rsidRPr="00C856B2">
        <w:rPr>
          <w:noProof/>
          <w:lang w:val="en-IE" w:eastAsia="en-GB" w:bidi="en-GB"/>
        </w:rPr>
        <w:t>C0</w:t>
      </w:r>
      <w:r w:rsidR="00290C23" w:rsidRPr="00C856B2">
        <w:rPr>
          <w:noProof/>
          <w:lang w:val="en-IE" w:eastAsia="en-GB" w:bidi="en-GB"/>
        </w:rPr>
        <w:t>9.</w:t>
      </w:r>
      <w:r w:rsidR="00AD36D8" w:rsidRPr="00C856B2">
        <w:rPr>
          <w:noProof/>
          <w:lang w:val="en-IE" w:eastAsia="en-GB" w:bidi="en-GB"/>
        </w:rPr>
        <w:t>0</w:t>
      </w:r>
      <w:r w:rsidR="00290C23" w:rsidRPr="00C856B2">
        <w:rPr>
          <w:noProof/>
          <w:lang w:val="en-IE" w:eastAsia="en-GB" w:bidi="en-GB"/>
        </w:rPr>
        <w:t xml:space="preserve">1 and </w:t>
      </w:r>
      <w:r w:rsidR="00AD36D8" w:rsidRPr="00C856B2">
        <w:rPr>
          <w:noProof/>
          <w:lang w:val="en-IE" w:eastAsia="en-GB" w:bidi="en-GB"/>
        </w:rPr>
        <w:t>C 0</w:t>
      </w:r>
      <w:r w:rsidR="00290C23" w:rsidRPr="00C856B2">
        <w:rPr>
          <w:noProof/>
          <w:lang w:val="en-IE" w:eastAsia="en-GB" w:bidi="en-GB"/>
        </w:rPr>
        <w:t>9.</w:t>
      </w:r>
      <w:r w:rsidR="00AD36D8" w:rsidRPr="00C856B2">
        <w:rPr>
          <w:noProof/>
          <w:lang w:val="en-IE" w:eastAsia="en-GB" w:bidi="en-GB"/>
        </w:rPr>
        <w:t>0</w:t>
      </w:r>
      <w:r w:rsidR="00290C23" w:rsidRPr="00C856B2">
        <w:rPr>
          <w:noProof/>
          <w:lang w:val="en-IE" w:eastAsia="en-GB" w:bidi="en-GB"/>
        </w:rPr>
        <w:t>2, and in particular</w:t>
      </w:r>
      <w:r w:rsidR="00797855" w:rsidRPr="00C856B2">
        <w:rPr>
          <w:noProof/>
          <w:lang w:val="en-IE" w:eastAsia="en-GB" w:bidi="en-GB"/>
        </w:rPr>
        <w:t xml:space="preserve"> the</w:t>
      </w:r>
      <w:r w:rsidR="00290C23" w:rsidRPr="00C856B2">
        <w:rPr>
          <w:noProof/>
          <w:lang w:val="en-IE" w:eastAsia="en-GB" w:bidi="en-GB"/>
        </w:rPr>
        <w:t xml:space="preserve"> information on the geographical distribution of exposures by country, where non-domestic original exposures in all non-domestic countries in all exposure classes, as reported in accordance with template </w:t>
      </w:r>
      <w:r w:rsidR="00AD36D8" w:rsidRPr="00C856B2">
        <w:rPr>
          <w:noProof/>
          <w:lang w:val="en-IE" w:eastAsia="en-GB" w:bidi="en-GB"/>
        </w:rPr>
        <w:t>C 0</w:t>
      </w:r>
      <w:r w:rsidR="00290C23" w:rsidRPr="00C856B2">
        <w:rPr>
          <w:noProof/>
          <w:lang w:val="en-IE" w:eastAsia="en-GB" w:bidi="en-GB"/>
        </w:rPr>
        <w:t>4</w:t>
      </w:r>
      <w:r w:rsidR="00AD36D8" w:rsidRPr="00C856B2">
        <w:rPr>
          <w:noProof/>
          <w:lang w:val="en-IE" w:eastAsia="en-GB" w:bidi="en-GB"/>
        </w:rPr>
        <w:t>.00</w:t>
      </w:r>
      <w:r w:rsidR="00290C23" w:rsidRPr="00C856B2">
        <w:rPr>
          <w:noProof/>
          <w:lang w:val="en-IE" w:eastAsia="en-GB" w:bidi="en-GB"/>
        </w:rPr>
        <w:t xml:space="preserve">, row 0850, are equal to or higher than 10 % of total domestic and non-domestic original exposures as reported in accordance with template </w:t>
      </w:r>
      <w:r w:rsidR="00AD36D8" w:rsidRPr="00C856B2">
        <w:rPr>
          <w:noProof/>
          <w:lang w:val="en-IE" w:eastAsia="en-GB" w:bidi="en-GB"/>
        </w:rPr>
        <w:t>C</w:t>
      </w:r>
      <w:r w:rsidR="00797855" w:rsidRPr="00C856B2">
        <w:rPr>
          <w:noProof/>
          <w:lang w:val="en-IE" w:eastAsia="en-GB" w:bidi="en-GB"/>
        </w:rPr>
        <w:t> </w:t>
      </w:r>
      <w:r w:rsidR="00AD36D8" w:rsidRPr="00C856B2">
        <w:rPr>
          <w:noProof/>
          <w:lang w:val="en-IE" w:eastAsia="en-GB" w:bidi="en-GB"/>
        </w:rPr>
        <w:t>0</w:t>
      </w:r>
      <w:r w:rsidR="00290C23" w:rsidRPr="00C856B2">
        <w:rPr>
          <w:noProof/>
          <w:lang w:val="en-IE" w:eastAsia="en-GB" w:bidi="en-GB"/>
        </w:rPr>
        <w:t>4</w:t>
      </w:r>
      <w:r w:rsidR="00AD36D8" w:rsidRPr="00C856B2">
        <w:rPr>
          <w:noProof/>
          <w:lang w:val="en-IE" w:eastAsia="en-GB" w:bidi="en-GB"/>
        </w:rPr>
        <w:t>.00</w:t>
      </w:r>
      <w:r w:rsidR="00290C23" w:rsidRPr="00C856B2">
        <w:rPr>
          <w:noProof/>
          <w:lang w:val="en-IE" w:eastAsia="en-GB" w:bidi="en-GB"/>
        </w:rPr>
        <w:t>, row 0860. Exposures shall be deemed to be domestic where they are exposures to counterparties located in the Member State where the institution is established.</w:t>
      </w:r>
    </w:p>
    <w:p w:rsidR="00290C23" w:rsidRPr="00C856B2" w:rsidRDefault="004118AF" w:rsidP="004118AF">
      <w:pPr>
        <w:pStyle w:val="ManualNumPar1"/>
        <w:rPr>
          <w:noProof/>
          <w:lang w:val="en-IE" w:eastAsia="en-GB" w:bidi="en-GB"/>
        </w:rPr>
      </w:pPr>
      <w:r w:rsidRPr="004118AF">
        <w:rPr>
          <w:noProof/>
        </w:rPr>
        <w:t>3.</w:t>
      </w:r>
      <w:r w:rsidRPr="004118AF">
        <w:rPr>
          <w:noProof/>
        </w:rPr>
        <w:tab/>
      </w:r>
      <w:r w:rsidR="00290C23" w:rsidRPr="00C856B2">
        <w:rPr>
          <w:noProof/>
          <w:lang w:val="en-IE" w:eastAsia="en-GB" w:bidi="en-GB"/>
        </w:rPr>
        <w:t>Institutions that apply the core approach in accordance with Commission Delegated Regulation (EU) 2016/101</w:t>
      </w:r>
      <w:r w:rsidR="00797855" w:rsidRPr="00C856B2">
        <w:rPr>
          <w:rStyle w:val="FootnoteReference"/>
          <w:rFonts w:eastAsia="Times New Roman"/>
          <w:noProof/>
          <w:lang w:val="en-IE" w:eastAsia="en-GB" w:bidi="en-GB"/>
        </w:rPr>
        <w:footnoteReference w:id="8"/>
      </w:r>
      <w:r w:rsidR="00290C23" w:rsidRPr="00C856B2">
        <w:rPr>
          <w:noProof/>
          <w:lang w:val="en-IE" w:eastAsia="en-GB" w:bidi="en-GB"/>
        </w:rPr>
        <w:t xml:space="preserve"> and which exceed the threshold referred to in Article 4(1) of that Regulation shall report the information specified in templates </w:t>
      </w:r>
      <w:r w:rsidR="00AD36D8" w:rsidRPr="00C856B2">
        <w:rPr>
          <w:noProof/>
          <w:lang w:val="en-IE" w:eastAsia="en-GB" w:bidi="en-GB"/>
        </w:rPr>
        <w:t xml:space="preserve">C </w:t>
      </w:r>
      <w:r w:rsidR="00290C23" w:rsidRPr="00C856B2">
        <w:rPr>
          <w:noProof/>
          <w:lang w:val="en-IE" w:eastAsia="en-GB" w:bidi="en-GB"/>
        </w:rPr>
        <w:t>32.</w:t>
      </w:r>
      <w:r w:rsidR="00AD36D8" w:rsidRPr="00C856B2">
        <w:rPr>
          <w:noProof/>
          <w:lang w:val="en-IE" w:eastAsia="en-GB" w:bidi="en-GB"/>
        </w:rPr>
        <w:t>0</w:t>
      </w:r>
      <w:r w:rsidR="00290C23" w:rsidRPr="00C856B2">
        <w:rPr>
          <w:noProof/>
          <w:lang w:val="en-IE" w:eastAsia="en-GB" w:bidi="en-GB"/>
        </w:rPr>
        <w:t xml:space="preserve">3 and </w:t>
      </w:r>
      <w:r w:rsidR="00AD36D8" w:rsidRPr="00C856B2">
        <w:rPr>
          <w:noProof/>
          <w:lang w:val="en-IE" w:eastAsia="en-GB" w:bidi="en-GB"/>
        </w:rPr>
        <w:t xml:space="preserve">C </w:t>
      </w:r>
      <w:r w:rsidR="00290C23" w:rsidRPr="00C856B2">
        <w:rPr>
          <w:noProof/>
          <w:lang w:val="en-IE" w:eastAsia="en-GB" w:bidi="en-GB"/>
        </w:rPr>
        <w:t>32.</w:t>
      </w:r>
      <w:r w:rsidR="00AD36D8" w:rsidRPr="00C856B2">
        <w:rPr>
          <w:noProof/>
          <w:lang w:val="en-IE" w:eastAsia="en-GB" w:bidi="en-GB"/>
        </w:rPr>
        <w:t>0</w:t>
      </w:r>
      <w:r w:rsidR="00290C23" w:rsidRPr="00C856B2">
        <w:rPr>
          <w:noProof/>
          <w:lang w:val="en-IE" w:eastAsia="en-GB" w:bidi="en-GB"/>
        </w:rPr>
        <w:t>4.</w:t>
      </w:r>
    </w:p>
    <w:p w:rsidR="00716EA9" w:rsidRPr="00C856B2" w:rsidRDefault="004118AF" w:rsidP="004118AF">
      <w:pPr>
        <w:pStyle w:val="ManualNumPar1"/>
        <w:rPr>
          <w:rFonts w:eastAsia="Times New Roman"/>
          <w:noProof/>
          <w:lang w:val="en-IE" w:eastAsia="en-GB" w:bidi="en-GB"/>
        </w:rPr>
      </w:pPr>
      <w:r w:rsidRPr="004118AF">
        <w:rPr>
          <w:noProof/>
        </w:rPr>
        <w:t>4.</w:t>
      </w:r>
      <w:r w:rsidRPr="004118AF">
        <w:rPr>
          <w:noProof/>
        </w:rPr>
        <w:tab/>
      </w:r>
      <w:r w:rsidR="00AB6D3F" w:rsidRPr="00C856B2">
        <w:rPr>
          <w:noProof/>
          <w:lang w:val="en-IE"/>
        </w:rPr>
        <w:t>F</w:t>
      </w:r>
      <w:r w:rsidR="00716EA9" w:rsidRPr="00C856B2">
        <w:rPr>
          <w:noProof/>
          <w:lang w:val="en-IE"/>
        </w:rPr>
        <w:t xml:space="preserve">or the </w:t>
      </w:r>
      <w:r w:rsidR="00AB6D3F" w:rsidRPr="00C856B2">
        <w:rPr>
          <w:noProof/>
          <w:lang w:val="en-IE"/>
        </w:rPr>
        <w:t>calculation of</w:t>
      </w:r>
      <w:r w:rsidR="00716EA9" w:rsidRPr="00C856B2">
        <w:rPr>
          <w:noProof/>
          <w:lang w:val="en-IE"/>
        </w:rPr>
        <w:t xml:space="preserve"> the own funds requirements referred to in Article 92(4), points (b)(i) and (c), and Article 92(5), points</w:t>
      </w:r>
      <w:r w:rsidR="00AB6D3F" w:rsidRPr="00C856B2">
        <w:rPr>
          <w:noProof/>
          <w:lang w:val="en-IE"/>
        </w:rPr>
        <w:t> </w:t>
      </w:r>
      <w:r w:rsidR="00716EA9" w:rsidRPr="00C856B2">
        <w:rPr>
          <w:noProof/>
          <w:lang w:val="en-IE"/>
        </w:rPr>
        <w:t>(b) and (c), of Regulation</w:t>
      </w:r>
      <w:r w:rsidR="00290C23" w:rsidRPr="00C856B2">
        <w:rPr>
          <w:noProof/>
          <w:lang w:val="en-IE"/>
        </w:rPr>
        <w:t xml:space="preserve"> </w:t>
      </w:r>
      <w:r w:rsidR="00290C23" w:rsidRPr="00C856B2">
        <w:rPr>
          <w:noProof/>
          <w:color w:val="000000"/>
          <w:szCs w:val="24"/>
          <w:lang w:val="en-IE"/>
        </w:rPr>
        <w:t>(EU) No 575/2013</w:t>
      </w:r>
      <w:r w:rsidR="00716EA9" w:rsidRPr="00C856B2">
        <w:rPr>
          <w:noProof/>
          <w:lang w:val="en-IE"/>
        </w:rPr>
        <w:t>, institutions shall</w:t>
      </w:r>
      <w:r w:rsidR="00AB6D3F" w:rsidRPr="00C856B2">
        <w:rPr>
          <w:noProof/>
          <w:lang w:val="en-IE"/>
        </w:rPr>
        <w:t>, until 31 December 2025,</w:t>
      </w:r>
      <w:r w:rsidR="00716EA9" w:rsidRPr="00C856B2">
        <w:rPr>
          <w:noProof/>
          <w:lang w:val="en-IE"/>
        </w:rPr>
        <w:t xml:space="preserve"> submit the information </w:t>
      </w:r>
      <w:r w:rsidR="00290C23" w:rsidRPr="00C856B2">
        <w:rPr>
          <w:noProof/>
          <w:lang w:val="en-IE"/>
        </w:rPr>
        <w:t xml:space="preserve">on own funds requirements relating to market risk </w:t>
      </w:r>
      <w:r w:rsidR="00716EA9" w:rsidRPr="00C856B2">
        <w:rPr>
          <w:noProof/>
          <w:lang w:val="en-IE"/>
        </w:rPr>
        <w:t>in accordance with Article 5(12) of Implementing Regulation (EU) 2021/451.</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6</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on own funds and own funds requirements on an individual basis – semi-annual reporting</w:t>
      </w:r>
    </w:p>
    <w:p w:rsidR="00716EA9" w:rsidRDefault="004118AF" w:rsidP="004118AF">
      <w:pPr>
        <w:pStyle w:val="ManualNumPar1"/>
        <w:rPr>
          <w:noProof/>
          <w:lang w:val="en-IE"/>
        </w:rPr>
      </w:pPr>
      <w:r w:rsidRPr="004118AF">
        <w:rPr>
          <w:noProof/>
        </w:rPr>
        <w:t>1.</w:t>
      </w:r>
      <w:r w:rsidRPr="004118AF">
        <w:rPr>
          <w:noProof/>
        </w:rPr>
        <w:tab/>
      </w:r>
      <w:r w:rsidR="00266139" w:rsidRPr="00C856B2">
        <w:rPr>
          <w:noProof/>
          <w:lang w:val="en-IE"/>
        </w:rPr>
        <w:t>Institutions that</w:t>
      </w:r>
      <w:r w:rsidR="00716EA9" w:rsidRPr="00C856B2">
        <w:rPr>
          <w:noProof/>
          <w:lang w:val="en-IE"/>
        </w:rPr>
        <w:t xml:space="preserve"> </w:t>
      </w:r>
      <w:r w:rsidR="00266139" w:rsidRPr="00C856B2">
        <w:rPr>
          <w:noProof/>
          <w:lang w:val="en-IE"/>
        </w:rPr>
        <w:t xml:space="preserve">report </w:t>
      </w:r>
      <w:r w:rsidR="00716EA9" w:rsidRPr="00C856B2">
        <w:rPr>
          <w:noProof/>
          <w:lang w:val="en-IE"/>
        </w:rPr>
        <w:t xml:space="preserve">information on own funds and on own funds requirements </w:t>
      </w:r>
      <w:r w:rsidR="00991863" w:rsidRPr="00C856B2">
        <w:rPr>
          <w:noProof/>
          <w:lang w:val="en-IE"/>
        </w:rPr>
        <w:t>as required by</w:t>
      </w:r>
      <w:r w:rsidR="00716EA9" w:rsidRPr="00C856B2">
        <w:rPr>
          <w:noProof/>
          <w:lang w:val="en-IE"/>
        </w:rPr>
        <w:t xml:space="preserve"> Article 430(1), point (a), of Regulation (EU) No 575/2013 on an individual basis shall submit </w:t>
      </w:r>
      <w:r w:rsidR="00FB1067" w:rsidRPr="00C856B2">
        <w:rPr>
          <w:noProof/>
          <w:lang w:val="en-IE"/>
        </w:rPr>
        <w:t xml:space="preserve">that </w:t>
      </w:r>
      <w:r w:rsidR="00716EA9" w:rsidRPr="00C856B2">
        <w:rPr>
          <w:noProof/>
          <w:lang w:val="en-IE"/>
        </w:rPr>
        <w:t xml:space="preserve">information as specified in </w:t>
      </w:r>
      <w:r w:rsidR="003306BD" w:rsidRPr="00C856B2">
        <w:rPr>
          <w:noProof/>
          <w:lang w:val="en-IE"/>
        </w:rPr>
        <w:t>S</w:t>
      </w:r>
      <w:r w:rsidR="00FB1067" w:rsidRPr="00C856B2">
        <w:rPr>
          <w:noProof/>
          <w:lang w:val="en-IE"/>
        </w:rPr>
        <w:t>ection 1 -</w:t>
      </w:r>
      <w:r w:rsidR="00716EA9" w:rsidRPr="00C856B2">
        <w:rPr>
          <w:noProof/>
          <w:lang w:val="en-IE"/>
        </w:rPr>
        <w:t xml:space="preserve"> ‘Reporting on own funds and own funds requirements’ </w:t>
      </w:r>
      <w:r w:rsidR="00FB1067" w:rsidRPr="00C856B2">
        <w:rPr>
          <w:noProof/>
          <w:lang w:val="en-IE"/>
        </w:rPr>
        <w:t>of the Annex I</w:t>
      </w:r>
      <w:r w:rsidR="00845534" w:rsidRPr="00C856B2">
        <w:rPr>
          <w:noProof/>
          <w:lang w:val="en-IE"/>
        </w:rPr>
        <w:t xml:space="preserve"> with a semi-annual frequency</w:t>
      </w:r>
      <w:r w:rsidR="00716EA9" w:rsidRPr="00C856B2">
        <w:rPr>
          <w:noProof/>
          <w:lang w:val="en-IE"/>
        </w:rPr>
        <w:t>.</w:t>
      </w:r>
    </w:p>
    <w:p w:rsidR="00ED139D" w:rsidRPr="00ED139D" w:rsidRDefault="004118AF" w:rsidP="004118AF">
      <w:pPr>
        <w:pStyle w:val="ManualNumPar1"/>
        <w:rPr>
          <w:noProof/>
          <w:lang w:val="en-IE"/>
        </w:rPr>
      </w:pPr>
      <w:r w:rsidRPr="004118AF">
        <w:rPr>
          <w:noProof/>
        </w:rPr>
        <w:t>2.</w:t>
      </w:r>
      <w:r w:rsidRPr="004118AF">
        <w:rPr>
          <w:noProof/>
        </w:rPr>
        <w:tab/>
      </w:r>
      <w:r w:rsidR="00ED139D" w:rsidRPr="00ED139D">
        <w:rPr>
          <w:noProof/>
          <w:lang w:val="en-IE"/>
        </w:rPr>
        <w:t xml:space="preserve">Institutions shall submit information on all securitisation exposures </w:t>
      </w:r>
      <w:r w:rsidR="00ED139D">
        <w:rPr>
          <w:noProof/>
          <w:lang w:val="en-IE"/>
        </w:rPr>
        <w:t>as specified in</w:t>
      </w:r>
      <w:r w:rsidR="00ED139D" w:rsidRPr="00C856B2">
        <w:rPr>
          <w:noProof/>
          <w:lang w:val="en-IE"/>
        </w:rPr>
        <w:t xml:space="preserve"> Section 1 - ‘Reporting on own funds and own funds requirements’ of the Annex I</w:t>
      </w:r>
      <w:r w:rsidR="00ED139D">
        <w:rPr>
          <w:noProof/>
          <w:lang w:val="en-IE"/>
        </w:rPr>
        <w:t>,</w:t>
      </w:r>
      <w:r w:rsidR="00ED139D" w:rsidRPr="00C856B2">
        <w:rPr>
          <w:noProof/>
          <w:lang w:val="en-IE"/>
        </w:rPr>
        <w:t xml:space="preserve"> </w:t>
      </w:r>
      <w:r w:rsidR="00ED139D" w:rsidRPr="00ED139D">
        <w:rPr>
          <w:noProof/>
          <w:lang w:val="en-IE"/>
        </w:rPr>
        <w:t xml:space="preserve">templates </w:t>
      </w:r>
      <w:r w:rsidR="00ED139D">
        <w:rPr>
          <w:noProof/>
          <w:lang w:val="en-IE"/>
        </w:rPr>
        <w:t xml:space="preserve">C </w:t>
      </w:r>
      <w:r w:rsidR="00ED139D" w:rsidRPr="00ED139D">
        <w:rPr>
          <w:noProof/>
          <w:lang w:val="en-IE"/>
        </w:rPr>
        <w:t>14</w:t>
      </w:r>
      <w:r w:rsidR="008D4069">
        <w:rPr>
          <w:noProof/>
          <w:lang w:val="en-IE"/>
        </w:rPr>
        <w:t>.00</w:t>
      </w:r>
      <w:r w:rsidR="00ED139D" w:rsidRPr="00ED139D">
        <w:rPr>
          <w:noProof/>
          <w:lang w:val="en-IE"/>
        </w:rPr>
        <w:t xml:space="preserve"> and </w:t>
      </w:r>
      <w:r w:rsidR="00ED139D">
        <w:rPr>
          <w:noProof/>
          <w:lang w:val="en-IE"/>
        </w:rPr>
        <w:t xml:space="preserve">C </w:t>
      </w:r>
      <w:r w:rsidR="00ED139D" w:rsidRPr="00ED139D">
        <w:rPr>
          <w:noProof/>
          <w:lang w:val="en-IE"/>
        </w:rPr>
        <w:t>14.01; except where they are part of a group in the same country in which they are subject to own funds requirements.</w:t>
      </w:r>
    </w:p>
    <w:p w:rsidR="003808D8" w:rsidRPr="00C856B2" w:rsidRDefault="004118AF" w:rsidP="004118AF">
      <w:pPr>
        <w:pStyle w:val="ManualNumPar1"/>
        <w:rPr>
          <w:noProof/>
          <w:lang w:val="en-IE"/>
        </w:rPr>
      </w:pPr>
      <w:r w:rsidRPr="004118AF">
        <w:rPr>
          <w:noProof/>
        </w:rPr>
        <w:t>3.</w:t>
      </w:r>
      <w:r w:rsidRPr="004118AF">
        <w:rPr>
          <w:noProof/>
        </w:rPr>
        <w:tab/>
      </w:r>
      <w:r w:rsidR="003808D8" w:rsidRPr="00C856B2">
        <w:rPr>
          <w:noProof/>
          <w:lang w:val="en-IE"/>
        </w:rPr>
        <w:t>Institutions shall submit information on sovereign exposures as follows:</w:t>
      </w:r>
    </w:p>
    <w:p w:rsidR="003808D8" w:rsidRPr="00C856B2" w:rsidRDefault="004118AF" w:rsidP="004118AF">
      <w:pPr>
        <w:pStyle w:val="Point1"/>
        <w:rPr>
          <w:noProof/>
          <w:lang w:val="en-IE"/>
        </w:rPr>
      </w:pPr>
      <w:r w:rsidRPr="004118AF">
        <w:rPr>
          <w:noProof/>
        </w:rPr>
        <w:t>(a)</w:t>
      </w:r>
      <w:r w:rsidRPr="004118AF">
        <w:rPr>
          <w:noProof/>
        </w:rPr>
        <w:tab/>
      </w:r>
      <w:r w:rsidR="003808D8" w:rsidRPr="00C856B2">
        <w:rPr>
          <w:noProof/>
          <w:lang w:val="en-IE"/>
        </w:rPr>
        <w:t>where the aggregate carrying amount of financial assets from the counterparty sector ‘General governments’ is equal to or higher than 1 % of the sum of total carrying amount for ‘Debt securities’ and ‘Loans and advances’</w:t>
      </w:r>
      <w:r w:rsidR="00797855" w:rsidRPr="00C856B2">
        <w:rPr>
          <w:noProof/>
          <w:lang w:val="en-IE"/>
        </w:rPr>
        <w:t>,</w:t>
      </w:r>
      <w:r w:rsidR="003808D8" w:rsidRPr="00C856B2">
        <w:rPr>
          <w:noProof/>
          <w:lang w:val="en-IE"/>
        </w:rPr>
        <w:t xml:space="preserve"> institutions shall submit the information as specified in template</w:t>
      </w:r>
      <w:r w:rsidR="00AD36D8" w:rsidRPr="00C856B2">
        <w:rPr>
          <w:noProof/>
          <w:lang w:val="en-IE"/>
        </w:rPr>
        <w:t xml:space="preserve"> C</w:t>
      </w:r>
      <w:r w:rsidR="003808D8" w:rsidRPr="00C856B2">
        <w:rPr>
          <w:noProof/>
          <w:lang w:val="en-IE"/>
        </w:rPr>
        <w:t xml:space="preserve"> 33</w:t>
      </w:r>
      <w:r w:rsidR="00AD36D8" w:rsidRPr="00C856B2">
        <w:rPr>
          <w:noProof/>
          <w:lang w:val="en-IE"/>
        </w:rPr>
        <w:t>.00</w:t>
      </w:r>
      <w:r w:rsidR="003808D8" w:rsidRPr="00C856B2">
        <w:rPr>
          <w:noProof/>
          <w:lang w:val="en-IE"/>
        </w:rPr>
        <w:t>;</w:t>
      </w:r>
    </w:p>
    <w:p w:rsidR="003808D8" w:rsidRPr="00C856B2" w:rsidRDefault="004118AF" w:rsidP="004118AF">
      <w:pPr>
        <w:pStyle w:val="Point1"/>
        <w:rPr>
          <w:noProof/>
          <w:lang w:val="en-IE"/>
        </w:rPr>
      </w:pPr>
      <w:r w:rsidRPr="004118AF">
        <w:rPr>
          <w:noProof/>
        </w:rPr>
        <w:t>(b)</w:t>
      </w:r>
      <w:r w:rsidRPr="004118AF">
        <w:rPr>
          <w:noProof/>
        </w:rPr>
        <w:tab/>
      </w:r>
      <w:r w:rsidR="003808D8" w:rsidRPr="00C856B2">
        <w:rPr>
          <w:noProof/>
          <w:lang w:val="en-IE"/>
        </w:rPr>
        <w:t xml:space="preserve">where the value reported for domestic exposures of non-derivative financial assets as </w:t>
      </w:r>
      <w:r w:rsidR="00797855" w:rsidRPr="00C856B2">
        <w:rPr>
          <w:noProof/>
          <w:lang w:val="en-IE"/>
        </w:rPr>
        <w:t>specified</w:t>
      </w:r>
      <w:r w:rsidR="003808D8" w:rsidRPr="00C856B2">
        <w:rPr>
          <w:noProof/>
          <w:lang w:val="en-IE"/>
        </w:rPr>
        <w:t xml:space="preserve"> in row 0010, column 0010 in template </w:t>
      </w:r>
      <w:r w:rsidR="00AD36D8" w:rsidRPr="00C856B2">
        <w:rPr>
          <w:noProof/>
          <w:lang w:val="en-IE"/>
        </w:rPr>
        <w:t xml:space="preserve">C </w:t>
      </w:r>
      <w:r w:rsidR="003808D8" w:rsidRPr="00C856B2">
        <w:rPr>
          <w:noProof/>
          <w:lang w:val="en-IE"/>
        </w:rPr>
        <w:t>33</w:t>
      </w:r>
      <w:r w:rsidR="00AD36D8" w:rsidRPr="00C856B2">
        <w:rPr>
          <w:noProof/>
          <w:lang w:val="en-IE"/>
        </w:rPr>
        <w:t>.00</w:t>
      </w:r>
      <w:r w:rsidR="003808D8" w:rsidRPr="00C856B2">
        <w:rPr>
          <w:noProof/>
          <w:lang w:val="en-IE"/>
        </w:rPr>
        <w:t xml:space="preserve"> is less than 90 % of the value reported for domestic and non-domestic exposures for the same data point, institutions that meet the condition referred to in point (a) shall submit the information as specified in template </w:t>
      </w:r>
      <w:r w:rsidR="00AD36D8" w:rsidRPr="00C856B2">
        <w:rPr>
          <w:noProof/>
          <w:lang w:val="en-IE"/>
        </w:rPr>
        <w:t xml:space="preserve">C </w:t>
      </w:r>
      <w:r w:rsidR="003808D8" w:rsidRPr="00C856B2">
        <w:rPr>
          <w:noProof/>
          <w:lang w:val="en-IE"/>
        </w:rPr>
        <w:t>33</w:t>
      </w:r>
      <w:r w:rsidR="00AD36D8" w:rsidRPr="00C856B2">
        <w:rPr>
          <w:noProof/>
          <w:lang w:val="en-IE"/>
        </w:rPr>
        <w:t>.00</w:t>
      </w:r>
      <w:r w:rsidR="003808D8" w:rsidRPr="00C856B2">
        <w:rPr>
          <w:noProof/>
          <w:lang w:val="en-IE"/>
        </w:rPr>
        <w:t>, with a full country breakdown;</w:t>
      </w:r>
    </w:p>
    <w:p w:rsidR="003808D8" w:rsidRPr="00C856B2" w:rsidRDefault="004118AF" w:rsidP="004118AF">
      <w:pPr>
        <w:pStyle w:val="Point1"/>
        <w:rPr>
          <w:noProof/>
          <w:lang w:val="en-IE"/>
        </w:rPr>
      </w:pPr>
      <w:r w:rsidRPr="004118AF">
        <w:rPr>
          <w:noProof/>
        </w:rPr>
        <w:t>(c)</w:t>
      </w:r>
      <w:r w:rsidRPr="004118AF">
        <w:rPr>
          <w:noProof/>
        </w:rPr>
        <w:tab/>
      </w:r>
      <w:r w:rsidR="003808D8" w:rsidRPr="00C856B2">
        <w:rPr>
          <w:noProof/>
          <w:lang w:val="en-IE"/>
        </w:rPr>
        <w:t xml:space="preserve">institutions that meet the conditions referred to in point (a) and do not meet the condition referred in point (b) shall submit the information specified in template </w:t>
      </w:r>
      <w:r w:rsidR="00AD36D8" w:rsidRPr="00C856B2">
        <w:rPr>
          <w:noProof/>
          <w:lang w:val="en-IE"/>
        </w:rPr>
        <w:t xml:space="preserve">C </w:t>
      </w:r>
      <w:r w:rsidR="003808D8" w:rsidRPr="00C856B2">
        <w:rPr>
          <w:noProof/>
          <w:lang w:val="en-IE"/>
        </w:rPr>
        <w:t>33</w:t>
      </w:r>
      <w:r w:rsidR="00AD36D8" w:rsidRPr="00C856B2">
        <w:rPr>
          <w:noProof/>
          <w:lang w:val="en-IE"/>
        </w:rPr>
        <w:t>.00</w:t>
      </w:r>
      <w:r w:rsidR="003808D8" w:rsidRPr="00C856B2">
        <w:rPr>
          <w:noProof/>
          <w:lang w:val="en-IE"/>
        </w:rPr>
        <w:t>, with exposures aggregated at:</w:t>
      </w:r>
    </w:p>
    <w:p w:rsidR="003808D8" w:rsidRPr="00C856B2" w:rsidRDefault="003808D8" w:rsidP="00C856B2">
      <w:pPr>
        <w:pStyle w:val="Point2"/>
        <w:rPr>
          <w:noProof/>
          <w:lang w:val="en-IE"/>
        </w:rPr>
      </w:pPr>
      <w:r w:rsidRPr="00C856B2">
        <w:rPr>
          <w:noProof/>
          <w:lang w:val="en-IE"/>
        </w:rPr>
        <w:t>(i)</w:t>
      </w:r>
      <w:r w:rsidRPr="00C856B2">
        <w:rPr>
          <w:noProof/>
          <w:lang w:val="en-IE"/>
        </w:rPr>
        <w:tab/>
        <w:t>total level; and</w:t>
      </w:r>
    </w:p>
    <w:p w:rsidR="003808D8" w:rsidRPr="00C856B2" w:rsidRDefault="003808D8" w:rsidP="00C856B2">
      <w:pPr>
        <w:pStyle w:val="Point2"/>
        <w:rPr>
          <w:noProof/>
          <w:lang w:val="en-IE"/>
        </w:rPr>
      </w:pPr>
      <w:r w:rsidRPr="00C856B2">
        <w:rPr>
          <w:noProof/>
          <w:lang w:val="en-IE"/>
        </w:rPr>
        <w:t>(ii)</w:t>
      </w:r>
      <w:r w:rsidRPr="00C856B2">
        <w:rPr>
          <w:noProof/>
          <w:lang w:val="en-IE"/>
        </w:rPr>
        <w:tab/>
        <w:t>domestic level.</w:t>
      </w:r>
    </w:p>
    <w:p w:rsidR="003808D8" w:rsidRPr="00C856B2" w:rsidRDefault="004118AF" w:rsidP="004118AF">
      <w:pPr>
        <w:pStyle w:val="ManualNumPar1"/>
        <w:rPr>
          <w:noProof/>
          <w:lang w:val="en-IE"/>
        </w:rPr>
      </w:pPr>
      <w:r w:rsidRPr="004118AF">
        <w:rPr>
          <w:noProof/>
        </w:rPr>
        <w:t>4.</w:t>
      </w:r>
      <w:r w:rsidRPr="004118AF">
        <w:rPr>
          <w:noProof/>
        </w:rPr>
        <w:tab/>
      </w:r>
      <w:r w:rsidR="003808D8" w:rsidRPr="00C856B2">
        <w:rPr>
          <w:noProof/>
          <w:lang w:val="en-IE"/>
        </w:rPr>
        <w:t>Institutions shall submit information on material losses relating to operational risk</w:t>
      </w:r>
      <w:r w:rsidR="00797855" w:rsidRPr="00C856B2">
        <w:rPr>
          <w:noProof/>
          <w:lang w:val="en-IE"/>
        </w:rPr>
        <w:t xml:space="preserve"> </w:t>
      </w:r>
      <w:r w:rsidR="003808D8" w:rsidRPr="00C856B2">
        <w:rPr>
          <w:noProof/>
          <w:lang w:val="en-IE"/>
        </w:rPr>
        <w:t>as follows:</w:t>
      </w:r>
    </w:p>
    <w:p w:rsidR="003808D8" w:rsidRPr="00C856B2" w:rsidRDefault="004118AF" w:rsidP="004118AF">
      <w:pPr>
        <w:pStyle w:val="Point1"/>
        <w:rPr>
          <w:noProof/>
          <w:lang w:val="en-IE"/>
        </w:rPr>
      </w:pPr>
      <w:r w:rsidRPr="004118AF">
        <w:rPr>
          <w:noProof/>
        </w:rPr>
        <w:t>(a)</w:t>
      </w:r>
      <w:r w:rsidRPr="004118AF">
        <w:rPr>
          <w:noProof/>
        </w:rPr>
        <w:tab/>
      </w:r>
      <w:r w:rsidR="003808D8" w:rsidRPr="00C856B2">
        <w:rPr>
          <w:noProof/>
          <w:lang w:val="en-IE"/>
        </w:rPr>
        <w:t xml:space="preserve">institutions that calculate in December 2024 own funds requirements relating to operational risk in accordance with Part Three, Title III, Chapter 4, of Regulation (EU) No 575/2013 shall continue to report that information as specified in templates </w:t>
      </w:r>
      <w:r w:rsidR="00DC16FD" w:rsidRPr="00C856B2">
        <w:rPr>
          <w:noProof/>
          <w:lang w:val="en-IE"/>
        </w:rPr>
        <w:t xml:space="preserve">C </w:t>
      </w:r>
      <w:r w:rsidR="003808D8" w:rsidRPr="00C856B2">
        <w:rPr>
          <w:noProof/>
          <w:lang w:val="en-IE"/>
        </w:rPr>
        <w:t xml:space="preserve">17.01 and </w:t>
      </w:r>
      <w:r w:rsidR="00DC16FD" w:rsidRPr="00C856B2">
        <w:rPr>
          <w:noProof/>
          <w:lang w:val="en-IE"/>
        </w:rPr>
        <w:t xml:space="preserve">C </w:t>
      </w:r>
      <w:r w:rsidR="003808D8" w:rsidRPr="00C856B2">
        <w:rPr>
          <w:noProof/>
          <w:lang w:val="en-IE"/>
        </w:rPr>
        <w:t>17.02;</w:t>
      </w:r>
    </w:p>
    <w:p w:rsidR="003808D8" w:rsidRPr="00C856B2" w:rsidRDefault="004118AF" w:rsidP="004118AF">
      <w:pPr>
        <w:pStyle w:val="Point1"/>
        <w:rPr>
          <w:noProof/>
          <w:lang w:val="en-IE"/>
        </w:rPr>
      </w:pPr>
      <w:r w:rsidRPr="004118AF">
        <w:rPr>
          <w:noProof/>
        </w:rPr>
        <w:t>(b)</w:t>
      </w:r>
      <w:r w:rsidRPr="004118AF">
        <w:rPr>
          <w:noProof/>
        </w:rPr>
        <w:tab/>
      </w:r>
      <w:r w:rsidR="003808D8" w:rsidRPr="00C856B2">
        <w:rPr>
          <w:noProof/>
          <w:lang w:val="en-IE"/>
        </w:rPr>
        <w:t xml:space="preserve">large institutions that calculate in December 2024 own funds requirements relating to operational risk in accordance with Part Three, Title III, Chapter 3, of Regulation (EU) No 575/2013 shall continue to report that information as specified in templates </w:t>
      </w:r>
      <w:r w:rsidR="00DC16FD" w:rsidRPr="00C856B2">
        <w:rPr>
          <w:noProof/>
          <w:lang w:val="en-IE"/>
        </w:rPr>
        <w:t xml:space="preserve">C </w:t>
      </w:r>
      <w:r w:rsidR="003808D8" w:rsidRPr="00C856B2">
        <w:rPr>
          <w:noProof/>
          <w:lang w:val="en-IE"/>
        </w:rPr>
        <w:t xml:space="preserve">17.01 and </w:t>
      </w:r>
      <w:r w:rsidR="00DC16FD" w:rsidRPr="00C856B2">
        <w:rPr>
          <w:noProof/>
          <w:lang w:val="en-IE"/>
        </w:rPr>
        <w:t xml:space="preserve">C </w:t>
      </w:r>
      <w:r w:rsidR="003808D8" w:rsidRPr="00C856B2">
        <w:rPr>
          <w:noProof/>
          <w:lang w:val="en-IE"/>
        </w:rPr>
        <w:t>17.02;</w:t>
      </w:r>
    </w:p>
    <w:p w:rsidR="003808D8" w:rsidRPr="00C856B2" w:rsidRDefault="004118AF" w:rsidP="004118AF">
      <w:pPr>
        <w:pStyle w:val="Point1"/>
        <w:rPr>
          <w:noProof/>
          <w:lang w:val="en-IE"/>
        </w:rPr>
      </w:pPr>
      <w:r w:rsidRPr="004118AF">
        <w:rPr>
          <w:noProof/>
        </w:rPr>
        <w:t>(c)</w:t>
      </w:r>
      <w:r w:rsidRPr="004118AF">
        <w:rPr>
          <w:noProof/>
        </w:rPr>
        <w:tab/>
      </w:r>
      <w:r w:rsidR="003808D8" w:rsidRPr="00C856B2">
        <w:rPr>
          <w:noProof/>
          <w:lang w:val="en-IE"/>
        </w:rPr>
        <w:t>institutions other than large institutions that calculate in December 2024 own funds requirements relating to operational risk in accordance with Part Three, Title III, Chapter 3, of Regulation (EU) No 575/2013 shall continue to report the following information:</w:t>
      </w:r>
    </w:p>
    <w:p w:rsidR="003808D8" w:rsidRPr="00C856B2" w:rsidRDefault="003808D8" w:rsidP="00C856B2">
      <w:pPr>
        <w:pStyle w:val="Point2"/>
        <w:rPr>
          <w:noProof/>
          <w:lang w:val="en-IE"/>
        </w:rPr>
      </w:pPr>
      <w:r w:rsidRPr="00C856B2">
        <w:rPr>
          <w:noProof/>
          <w:lang w:val="en-IE"/>
        </w:rPr>
        <w:t>(i)</w:t>
      </w:r>
      <w:r w:rsidR="00797855" w:rsidRPr="00C856B2">
        <w:rPr>
          <w:noProof/>
          <w:lang w:val="en-IE"/>
        </w:rPr>
        <w:tab/>
      </w:r>
      <w:r w:rsidRPr="00C856B2">
        <w:rPr>
          <w:noProof/>
          <w:lang w:val="en-IE"/>
        </w:rPr>
        <w:t xml:space="preserve">the information specified in template </w:t>
      </w:r>
      <w:r w:rsidR="00DC16FD" w:rsidRPr="00C856B2">
        <w:rPr>
          <w:noProof/>
          <w:lang w:val="en-IE"/>
        </w:rPr>
        <w:t xml:space="preserve">C </w:t>
      </w:r>
      <w:r w:rsidRPr="00C856B2">
        <w:rPr>
          <w:noProof/>
          <w:lang w:val="en-IE"/>
        </w:rPr>
        <w:t>17.01, column 0080 for the following rows:</w:t>
      </w:r>
    </w:p>
    <w:p w:rsidR="003808D8" w:rsidRPr="00C856B2" w:rsidRDefault="004118AF" w:rsidP="004118AF">
      <w:pPr>
        <w:pStyle w:val="Point3"/>
        <w:rPr>
          <w:noProof/>
          <w:lang w:val="en-IE"/>
        </w:rPr>
      </w:pPr>
      <w:r w:rsidRPr="004118AF">
        <w:rPr>
          <w:noProof/>
        </w:rPr>
        <w:t>(1)</w:t>
      </w:r>
      <w:r w:rsidRPr="004118AF">
        <w:rPr>
          <w:noProof/>
        </w:rPr>
        <w:tab/>
      </w:r>
      <w:r w:rsidR="003808D8" w:rsidRPr="00C856B2">
        <w:rPr>
          <w:noProof/>
          <w:lang w:val="en-IE"/>
        </w:rPr>
        <w:t>number of events (new events) (row 0910)</w:t>
      </w:r>
      <w:r w:rsidR="00797855" w:rsidRPr="00C856B2">
        <w:rPr>
          <w:noProof/>
          <w:lang w:val="en-IE"/>
        </w:rPr>
        <w:t>;</w:t>
      </w:r>
    </w:p>
    <w:p w:rsidR="003808D8" w:rsidRPr="00C856B2" w:rsidRDefault="004118AF" w:rsidP="004118AF">
      <w:pPr>
        <w:pStyle w:val="Point3"/>
        <w:rPr>
          <w:noProof/>
          <w:lang w:val="en-IE"/>
        </w:rPr>
      </w:pPr>
      <w:r w:rsidRPr="004118AF">
        <w:rPr>
          <w:noProof/>
        </w:rPr>
        <w:t>(2)</w:t>
      </w:r>
      <w:r w:rsidRPr="004118AF">
        <w:rPr>
          <w:noProof/>
        </w:rPr>
        <w:tab/>
      </w:r>
      <w:r w:rsidR="003808D8" w:rsidRPr="00C856B2">
        <w:rPr>
          <w:noProof/>
          <w:lang w:val="en-IE"/>
        </w:rPr>
        <w:t>gross loss amount (new events) (row 0920)</w:t>
      </w:r>
      <w:r w:rsidR="00797855" w:rsidRPr="00C856B2">
        <w:rPr>
          <w:noProof/>
          <w:lang w:val="en-IE"/>
        </w:rPr>
        <w:t>;</w:t>
      </w:r>
    </w:p>
    <w:p w:rsidR="003808D8" w:rsidRPr="00C856B2" w:rsidRDefault="004118AF" w:rsidP="004118AF">
      <w:pPr>
        <w:pStyle w:val="Point3"/>
        <w:rPr>
          <w:noProof/>
          <w:lang w:val="en-IE"/>
        </w:rPr>
      </w:pPr>
      <w:r w:rsidRPr="004118AF">
        <w:rPr>
          <w:noProof/>
        </w:rPr>
        <w:t>(3)</w:t>
      </w:r>
      <w:r w:rsidRPr="004118AF">
        <w:rPr>
          <w:noProof/>
        </w:rPr>
        <w:tab/>
      </w:r>
      <w:r w:rsidR="003808D8" w:rsidRPr="00C856B2">
        <w:rPr>
          <w:noProof/>
          <w:lang w:val="en-IE"/>
        </w:rPr>
        <w:t>number of events subject to loss adjustments (row 0930)</w:t>
      </w:r>
      <w:r w:rsidR="00797855" w:rsidRPr="00C856B2">
        <w:rPr>
          <w:noProof/>
          <w:lang w:val="en-IE"/>
        </w:rPr>
        <w:t>;</w:t>
      </w:r>
    </w:p>
    <w:p w:rsidR="003808D8" w:rsidRPr="00C856B2" w:rsidRDefault="004118AF" w:rsidP="004118AF">
      <w:pPr>
        <w:pStyle w:val="Point3"/>
        <w:rPr>
          <w:noProof/>
          <w:lang w:val="en-IE"/>
        </w:rPr>
      </w:pPr>
      <w:r w:rsidRPr="004118AF">
        <w:rPr>
          <w:noProof/>
        </w:rPr>
        <w:t>(4)</w:t>
      </w:r>
      <w:r w:rsidRPr="004118AF">
        <w:rPr>
          <w:noProof/>
        </w:rPr>
        <w:tab/>
      </w:r>
      <w:r w:rsidR="003808D8" w:rsidRPr="00C856B2">
        <w:rPr>
          <w:noProof/>
          <w:lang w:val="en-IE"/>
        </w:rPr>
        <w:t>loss adjustments relating to previous reporting periods (row 0940)</w:t>
      </w:r>
      <w:r w:rsidR="00797855" w:rsidRPr="00C856B2">
        <w:rPr>
          <w:noProof/>
          <w:lang w:val="en-IE"/>
        </w:rPr>
        <w:t>;</w:t>
      </w:r>
    </w:p>
    <w:p w:rsidR="003808D8" w:rsidRPr="00C856B2" w:rsidRDefault="004118AF" w:rsidP="004118AF">
      <w:pPr>
        <w:pStyle w:val="Point3"/>
        <w:rPr>
          <w:noProof/>
          <w:lang w:val="en-IE"/>
        </w:rPr>
      </w:pPr>
      <w:r w:rsidRPr="004118AF">
        <w:rPr>
          <w:noProof/>
        </w:rPr>
        <w:t>(5)</w:t>
      </w:r>
      <w:r w:rsidRPr="004118AF">
        <w:rPr>
          <w:noProof/>
        </w:rPr>
        <w:tab/>
      </w:r>
      <w:r w:rsidR="003808D8" w:rsidRPr="00C856B2">
        <w:rPr>
          <w:noProof/>
          <w:lang w:val="en-IE"/>
        </w:rPr>
        <w:t>maximum single loss (row 0950)</w:t>
      </w:r>
      <w:r w:rsidR="00797855" w:rsidRPr="00C856B2">
        <w:rPr>
          <w:noProof/>
          <w:lang w:val="en-IE"/>
        </w:rPr>
        <w:t>;</w:t>
      </w:r>
    </w:p>
    <w:p w:rsidR="003808D8" w:rsidRPr="00C856B2" w:rsidRDefault="004118AF" w:rsidP="004118AF">
      <w:pPr>
        <w:pStyle w:val="Point3"/>
        <w:rPr>
          <w:noProof/>
          <w:lang w:val="en-IE"/>
        </w:rPr>
      </w:pPr>
      <w:r w:rsidRPr="004118AF">
        <w:rPr>
          <w:noProof/>
        </w:rPr>
        <w:t>(6)</w:t>
      </w:r>
      <w:r w:rsidRPr="004118AF">
        <w:rPr>
          <w:noProof/>
        </w:rPr>
        <w:tab/>
      </w:r>
      <w:r w:rsidR="003808D8" w:rsidRPr="00C856B2">
        <w:rPr>
          <w:noProof/>
          <w:lang w:val="en-IE"/>
        </w:rPr>
        <w:t>sum of the five largest losses (row 0960)</w:t>
      </w:r>
      <w:r w:rsidR="00797855" w:rsidRPr="00C856B2">
        <w:rPr>
          <w:noProof/>
          <w:lang w:val="en-IE"/>
        </w:rPr>
        <w:t>;</w:t>
      </w:r>
    </w:p>
    <w:p w:rsidR="003808D8" w:rsidRPr="00C856B2" w:rsidRDefault="004118AF" w:rsidP="004118AF">
      <w:pPr>
        <w:pStyle w:val="Point3"/>
        <w:rPr>
          <w:noProof/>
          <w:lang w:val="en-IE"/>
        </w:rPr>
      </w:pPr>
      <w:r w:rsidRPr="004118AF">
        <w:rPr>
          <w:noProof/>
        </w:rPr>
        <w:t>(7)</w:t>
      </w:r>
      <w:r w:rsidRPr="004118AF">
        <w:rPr>
          <w:noProof/>
        </w:rPr>
        <w:tab/>
      </w:r>
      <w:r w:rsidR="003808D8" w:rsidRPr="00C856B2">
        <w:rPr>
          <w:noProof/>
          <w:lang w:val="en-IE"/>
        </w:rPr>
        <w:t>total direct loss recovery (except insurance and other risk transfer mechanisms) (row 0970)</w:t>
      </w:r>
      <w:r w:rsidR="00797855" w:rsidRPr="00C856B2">
        <w:rPr>
          <w:noProof/>
          <w:lang w:val="en-IE"/>
        </w:rPr>
        <w:t>;</w:t>
      </w:r>
    </w:p>
    <w:p w:rsidR="003808D8" w:rsidRPr="00C856B2" w:rsidRDefault="004118AF" w:rsidP="004118AF">
      <w:pPr>
        <w:pStyle w:val="Point3"/>
        <w:rPr>
          <w:noProof/>
          <w:lang w:val="en-IE"/>
        </w:rPr>
      </w:pPr>
      <w:r w:rsidRPr="004118AF">
        <w:rPr>
          <w:noProof/>
        </w:rPr>
        <w:t>(8)</w:t>
      </w:r>
      <w:r w:rsidRPr="004118AF">
        <w:rPr>
          <w:noProof/>
        </w:rPr>
        <w:tab/>
      </w:r>
      <w:r w:rsidR="003808D8" w:rsidRPr="00C856B2">
        <w:rPr>
          <w:noProof/>
          <w:lang w:val="en-IE"/>
        </w:rPr>
        <w:t>total recoveries from insurance and other risk transfer mechanisms (row 0980);</w:t>
      </w:r>
    </w:p>
    <w:p w:rsidR="003808D8" w:rsidRPr="00C856B2" w:rsidRDefault="003808D8" w:rsidP="00C856B2">
      <w:pPr>
        <w:pStyle w:val="Point2"/>
        <w:rPr>
          <w:noProof/>
          <w:lang w:val="en-IE"/>
        </w:rPr>
      </w:pPr>
      <w:r w:rsidRPr="00C856B2">
        <w:rPr>
          <w:noProof/>
          <w:lang w:val="en-IE"/>
        </w:rPr>
        <w:t>(ii)</w:t>
      </w:r>
      <w:r w:rsidRPr="00C856B2">
        <w:rPr>
          <w:noProof/>
          <w:lang w:val="en-IE"/>
        </w:rPr>
        <w:tab/>
        <w:t xml:space="preserve">the information specified in template </w:t>
      </w:r>
      <w:r w:rsidR="00DC16FD" w:rsidRPr="00C856B2">
        <w:rPr>
          <w:noProof/>
          <w:lang w:val="en-IE"/>
        </w:rPr>
        <w:t xml:space="preserve">C </w:t>
      </w:r>
      <w:r w:rsidRPr="00C856B2">
        <w:rPr>
          <w:noProof/>
          <w:lang w:val="en-IE"/>
        </w:rPr>
        <w:t>17.02</w:t>
      </w:r>
      <w:r w:rsidR="00797855" w:rsidRPr="00C856B2">
        <w:rPr>
          <w:noProof/>
          <w:lang w:val="en-IE"/>
        </w:rPr>
        <w:t>;</w:t>
      </w:r>
    </w:p>
    <w:p w:rsidR="003808D8" w:rsidRPr="00C856B2" w:rsidRDefault="004118AF" w:rsidP="004118AF">
      <w:pPr>
        <w:pStyle w:val="Point1"/>
        <w:rPr>
          <w:noProof/>
          <w:lang w:val="en-IE"/>
        </w:rPr>
      </w:pPr>
      <w:r w:rsidRPr="004118AF">
        <w:rPr>
          <w:noProof/>
        </w:rPr>
        <w:t>(d)</w:t>
      </w:r>
      <w:r w:rsidRPr="004118AF">
        <w:rPr>
          <w:noProof/>
        </w:rPr>
        <w:tab/>
      </w:r>
      <w:r w:rsidR="003808D8" w:rsidRPr="00C856B2">
        <w:rPr>
          <w:noProof/>
          <w:lang w:val="en-IE"/>
        </w:rPr>
        <w:t xml:space="preserve">institutions </w:t>
      </w:r>
      <w:r w:rsidR="00797855" w:rsidRPr="00C856B2">
        <w:rPr>
          <w:noProof/>
          <w:lang w:val="en-IE"/>
        </w:rPr>
        <w:t xml:space="preserve">as </w:t>
      </w:r>
      <w:r w:rsidR="003808D8" w:rsidRPr="00C856B2">
        <w:rPr>
          <w:noProof/>
          <w:lang w:val="en-IE"/>
        </w:rPr>
        <w:t xml:space="preserve">referred to in point (c) may report the complete set of information specified in templates </w:t>
      </w:r>
      <w:r w:rsidR="00DC16FD" w:rsidRPr="00C856B2">
        <w:rPr>
          <w:noProof/>
          <w:lang w:val="en-IE"/>
        </w:rPr>
        <w:t xml:space="preserve">C </w:t>
      </w:r>
      <w:r w:rsidR="003808D8" w:rsidRPr="00C856B2">
        <w:rPr>
          <w:noProof/>
          <w:lang w:val="en-IE"/>
        </w:rPr>
        <w:t xml:space="preserve">17.01 and </w:t>
      </w:r>
      <w:r w:rsidR="00DC16FD" w:rsidRPr="00C856B2">
        <w:rPr>
          <w:noProof/>
          <w:lang w:val="en-IE"/>
        </w:rPr>
        <w:t xml:space="preserve">C </w:t>
      </w:r>
      <w:r w:rsidR="003808D8" w:rsidRPr="00C856B2">
        <w:rPr>
          <w:noProof/>
          <w:lang w:val="en-IE"/>
        </w:rPr>
        <w:t xml:space="preserve">17.02; </w:t>
      </w:r>
    </w:p>
    <w:p w:rsidR="003808D8" w:rsidRPr="00C856B2" w:rsidRDefault="004118AF" w:rsidP="004118AF">
      <w:pPr>
        <w:pStyle w:val="Point1"/>
        <w:rPr>
          <w:noProof/>
          <w:lang w:val="en-IE"/>
        </w:rPr>
      </w:pPr>
      <w:r w:rsidRPr="004118AF">
        <w:rPr>
          <w:noProof/>
        </w:rPr>
        <w:t>(e)</w:t>
      </w:r>
      <w:r w:rsidRPr="004118AF">
        <w:rPr>
          <w:noProof/>
        </w:rPr>
        <w:tab/>
      </w:r>
      <w:r w:rsidR="003808D8" w:rsidRPr="00C856B2">
        <w:rPr>
          <w:noProof/>
          <w:lang w:val="en-IE"/>
        </w:rPr>
        <w:t xml:space="preserve">large institutions that calculate in December 2024 own funds requirements relating to operational risk in accordance with Part Three, Title III, Chapter 2, of Regulation (EU) No 575/2013 shall continue to report the information as specified in templates </w:t>
      </w:r>
      <w:r w:rsidR="00DC16FD" w:rsidRPr="00C856B2">
        <w:rPr>
          <w:noProof/>
          <w:lang w:val="en-IE"/>
        </w:rPr>
        <w:t xml:space="preserve">C </w:t>
      </w:r>
      <w:r w:rsidR="003808D8" w:rsidRPr="00C856B2">
        <w:rPr>
          <w:noProof/>
          <w:lang w:val="en-IE"/>
        </w:rPr>
        <w:t xml:space="preserve">17.01 and </w:t>
      </w:r>
      <w:r w:rsidR="00DC16FD" w:rsidRPr="00C856B2">
        <w:rPr>
          <w:noProof/>
          <w:lang w:val="en-IE"/>
        </w:rPr>
        <w:t xml:space="preserve">C </w:t>
      </w:r>
      <w:r w:rsidR="003808D8" w:rsidRPr="00C856B2">
        <w:rPr>
          <w:noProof/>
          <w:lang w:val="en-IE"/>
        </w:rPr>
        <w:t>17.02;</w:t>
      </w:r>
    </w:p>
    <w:p w:rsidR="003808D8" w:rsidRPr="00C856B2" w:rsidRDefault="004118AF" w:rsidP="004118AF">
      <w:pPr>
        <w:pStyle w:val="Point1"/>
        <w:rPr>
          <w:noProof/>
          <w:lang w:val="en-IE"/>
        </w:rPr>
      </w:pPr>
      <w:r w:rsidRPr="004118AF">
        <w:rPr>
          <w:noProof/>
        </w:rPr>
        <w:t>(f)</w:t>
      </w:r>
      <w:r w:rsidRPr="004118AF">
        <w:rPr>
          <w:noProof/>
        </w:rPr>
        <w:tab/>
      </w:r>
      <w:r w:rsidR="003808D8" w:rsidRPr="00C856B2">
        <w:rPr>
          <w:noProof/>
          <w:lang w:val="en-IE"/>
        </w:rPr>
        <w:t xml:space="preserve">institutions other than large institutions that calculate in December 2024 own funds requirements relating to operational risk in accordance with Part Three, Title III, Chapter 2, of Regulation (EU) No 575/2013 may continue to report the information as specified in templates </w:t>
      </w:r>
      <w:r w:rsidR="00DC16FD" w:rsidRPr="00C856B2">
        <w:rPr>
          <w:noProof/>
          <w:lang w:val="en-IE"/>
        </w:rPr>
        <w:t xml:space="preserve">C </w:t>
      </w:r>
      <w:r w:rsidR="003808D8" w:rsidRPr="00C856B2">
        <w:rPr>
          <w:noProof/>
          <w:lang w:val="en-IE"/>
        </w:rPr>
        <w:t xml:space="preserve">17.01 and </w:t>
      </w:r>
      <w:r w:rsidR="00DC16FD" w:rsidRPr="00C856B2">
        <w:rPr>
          <w:noProof/>
          <w:lang w:val="en-IE"/>
        </w:rPr>
        <w:t xml:space="preserve">C </w:t>
      </w:r>
      <w:r w:rsidR="003808D8" w:rsidRPr="00C856B2">
        <w:rPr>
          <w:noProof/>
          <w:lang w:val="en-IE"/>
        </w:rPr>
        <w:t>17.02.</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7</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on own funds and own funds requirements on a consolidated basis</w:t>
      </w:r>
    </w:p>
    <w:p w:rsidR="00716EA9" w:rsidRPr="00C856B2" w:rsidRDefault="00716EA9" w:rsidP="00C856B2">
      <w:pPr>
        <w:rPr>
          <w:noProof/>
          <w:lang w:val="en-IE"/>
        </w:rPr>
      </w:pPr>
      <w:r w:rsidRPr="00C856B2">
        <w:rPr>
          <w:noProof/>
          <w:lang w:val="en-IE"/>
        </w:rPr>
        <w:t>I</w:t>
      </w:r>
      <w:r w:rsidR="000B6359" w:rsidRPr="00C856B2">
        <w:rPr>
          <w:noProof/>
          <w:lang w:val="en-IE"/>
        </w:rPr>
        <w:t>nstituti</w:t>
      </w:r>
      <w:r w:rsidR="00D33C53" w:rsidRPr="00C856B2">
        <w:rPr>
          <w:noProof/>
          <w:lang w:val="en-IE"/>
        </w:rPr>
        <w:t>o</w:t>
      </w:r>
      <w:r w:rsidR="000B6359" w:rsidRPr="00C856B2">
        <w:rPr>
          <w:noProof/>
          <w:lang w:val="en-IE"/>
        </w:rPr>
        <w:t xml:space="preserve">ns that </w:t>
      </w:r>
      <w:r w:rsidRPr="00C856B2">
        <w:rPr>
          <w:noProof/>
          <w:lang w:val="en-IE"/>
        </w:rPr>
        <w:t xml:space="preserve">report information on own funds and on own funds requirements </w:t>
      </w:r>
      <w:r w:rsidR="00D33C53" w:rsidRPr="00C856B2">
        <w:rPr>
          <w:noProof/>
          <w:lang w:val="en-IE"/>
        </w:rPr>
        <w:t>as required by</w:t>
      </w:r>
      <w:r w:rsidRPr="00C856B2">
        <w:rPr>
          <w:noProof/>
          <w:lang w:val="en-IE"/>
        </w:rPr>
        <w:t xml:space="preserve"> Article 430(1), point (a), of Regulation (EU) No 575/2013 on a consolidated basis shall submit </w:t>
      </w:r>
      <w:r w:rsidR="00FB1067" w:rsidRPr="00C856B2">
        <w:rPr>
          <w:noProof/>
          <w:lang w:val="en-IE"/>
        </w:rPr>
        <w:t xml:space="preserve">that </w:t>
      </w:r>
      <w:r w:rsidRPr="00C856B2">
        <w:rPr>
          <w:noProof/>
          <w:lang w:val="en-IE"/>
        </w:rPr>
        <w:t xml:space="preserve">information as specified in </w:t>
      </w:r>
      <w:r w:rsidR="003306BD" w:rsidRPr="00C856B2">
        <w:rPr>
          <w:noProof/>
          <w:lang w:val="en-IE"/>
        </w:rPr>
        <w:t>S</w:t>
      </w:r>
      <w:r w:rsidR="00FB1067" w:rsidRPr="00C856B2">
        <w:rPr>
          <w:noProof/>
          <w:lang w:val="en-IE"/>
        </w:rPr>
        <w:t xml:space="preserve">ection </w:t>
      </w:r>
      <w:r w:rsidR="00750D11" w:rsidRPr="00C856B2">
        <w:rPr>
          <w:noProof/>
          <w:lang w:val="en-IE"/>
        </w:rPr>
        <w:t>1</w:t>
      </w:r>
      <w:r w:rsidR="00FB1067" w:rsidRPr="00C856B2">
        <w:rPr>
          <w:noProof/>
          <w:lang w:val="en-IE"/>
        </w:rPr>
        <w:t xml:space="preserve"> -</w:t>
      </w:r>
      <w:r w:rsidRPr="00C856B2">
        <w:rPr>
          <w:noProof/>
          <w:lang w:val="en-IE"/>
        </w:rPr>
        <w:t xml:space="preserve"> ‘Reporting on own funds and own funds requirements’ </w:t>
      </w:r>
      <w:r w:rsidR="00FB1067" w:rsidRPr="00C856B2">
        <w:rPr>
          <w:noProof/>
          <w:lang w:val="en-IE"/>
        </w:rPr>
        <w:t>of Annex I</w:t>
      </w:r>
      <w:r w:rsidRPr="00C856B2">
        <w:rPr>
          <w:noProof/>
          <w:lang w:val="en-IE"/>
        </w:rPr>
        <w:t xml:space="preserve"> </w:t>
      </w:r>
      <w:r w:rsidR="00CD4C29" w:rsidRPr="00C856B2">
        <w:rPr>
          <w:noProof/>
          <w:lang w:val="en-IE"/>
        </w:rPr>
        <w:t xml:space="preserve">to this Regulation </w:t>
      </w:r>
      <w:r w:rsidRPr="00C856B2">
        <w:rPr>
          <w:noProof/>
          <w:lang w:val="en-IE"/>
        </w:rPr>
        <w:t>as follows:</w:t>
      </w:r>
    </w:p>
    <w:p w:rsidR="00716EA9" w:rsidRPr="00C856B2" w:rsidRDefault="004118AF" w:rsidP="004118AF">
      <w:pPr>
        <w:pStyle w:val="Point0"/>
        <w:rPr>
          <w:noProof/>
          <w:color w:val="000000"/>
          <w:lang w:val="en-IE" w:eastAsia="fr-BE"/>
        </w:rPr>
      </w:pPr>
      <w:r w:rsidRPr="004118AF">
        <w:rPr>
          <w:noProof/>
        </w:rPr>
        <w:t>(a)</w:t>
      </w:r>
      <w:r w:rsidRPr="004118AF">
        <w:rPr>
          <w:noProof/>
        </w:rPr>
        <w:tab/>
      </w:r>
      <w:r w:rsidR="00716EA9" w:rsidRPr="00C856B2">
        <w:rPr>
          <w:noProof/>
          <w:lang w:val="en-IE" w:eastAsia="fr-BE"/>
        </w:rPr>
        <w:t xml:space="preserve">the information </w:t>
      </w:r>
      <w:r w:rsidR="00FB1067" w:rsidRPr="00C856B2">
        <w:rPr>
          <w:noProof/>
          <w:lang w:val="en-IE" w:eastAsia="fr-BE"/>
        </w:rPr>
        <w:t>requirement laid down in Annex I</w:t>
      </w:r>
      <w:r w:rsidR="00716EA9" w:rsidRPr="00C856B2">
        <w:rPr>
          <w:noProof/>
          <w:lang w:val="en-IE" w:eastAsia="fr-BE"/>
        </w:rPr>
        <w:t xml:space="preserve"> that further specifies the reporting required pursuant to Articles </w:t>
      </w:r>
      <w:r w:rsidR="003D2BEA" w:rsidRPr="00C856B2">
        <w:rPr>
          <w:noProof/>
          <w:lang w:val="en-IE" w:eastAsia="fr-BE"/>
        </w:rPr>
        <w:t>5</w:t>
      </w:r>
      <w:r w:rsidR="00716EA9" w:rsidRPr="00C856B2">
        <w:rPr>
          <w:noProof/>
          <w:lang w:val="en-IE" w:eastAsia="fr-BE"/>
        </w:rPr>
        <w:t xml:space="preserve"> and </w:t>
      </w:r>
      <w:r w:rsidR="003D2BEA" w:rsidRPr="00C856B2">
        <w:rPr>
          <w:noProof/>
          <w:lang w:val="en-IE" w:eastAsia="fr-BE"/>
        </w:rPr>
        <w:t xml:space="preserve">6 </w:t>
      </w:r>
      <w:r w:rsidR="00716EA9" w:rsidRPr="00C856B2">
        <w:rPr>
          <w:noProof/>
          <w:lang w:val="en-IE" w:eastAsia="fr-BE"/>
        </w:rPr>
        <w:t>of this Regulation with the frequency specified therein;</w:t>
      </w:r>
    </w:p>
    <w:p w:rsidR="00716EA9" w:rsidRPr="00C856B2" w:rsidRDefault="004118AF" w:rsidP="004118AF">
      <w:pPr>
        <w:pStyle w:val="Point0"/>
        <w:rPr>
          <w:noProof/>
          <w:lang w:val="en-IE" w:eastAsia="fr-BE"/>
        </w:rPr>
      </w:pPr>
      <w:r w:rsidRPr="004118AF">
        <w:rPr>
          <w:noProof/>
        </w:rPr>
        <w:t>(b)</w:t>
      </w:r>
      <w:r w:rsidRPr="004118AF">
        <w:rPr>
          <w:noProof/>
        </w:rPr>
        <w:tab/>
      </w:r>
      <w:r w:rsidR="00716EA9" w:rsidRPr="00C856B2">
        <w:rPr>
          <w:noProof/>
          <w:lang w:val="en-IE" w:eastAsia="fr-BE"/>
        </w:rPr>
        <w:t xml:space="preserve">the information </w:t>
      </w:r>
      <w:r w:rsidR="00FB1067" w:rsidRPr="00C856B2">
        <w:rPr>
          <w:noProof/>
          <w:lang w:val="en-IE" w:eastAsia="fr-BE"/>
        </w:rPr>
        <w:t>requirement laid down in Annex I</w:t>
      </w:r>
      <w:r w:rsidR="00716EA9" w:rsidRPr="00C856B2">
        <w:rPr>
          <w:noProof/>
          <w:lang w:val="en-IE" w:eastAsia="fr-BE"/>
        </w:rPr>
        <w:t xml:space="preserve"> that further specifies the reporting relating the group solvency regarding entities included in the scope of consolidation, with a semi-annual frequency.</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8</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on own funds and own funds requirements – additional reporting requirements on individual and consolidated basis</w:t>
      </w:r>
    </w:p>
    <w:p w:rsidR="00AB5213" w:rsidRPr="00C856B2" w:rsidRDefault="004118AF" w:rsidP="004118AF">
      <w:pPr>
        <w:pStyle w:val="ManualNumPar1"/>
        <w:rPr>
          <w:noProof/>
          <w:lang w:val="en-IE"/>
        </w:rPr>
      </w:pPr>
      <w:r w:rsidRPr="004118AF">
        <w:rPr>
          <w:noProof/>
        </w:rPr>
        <w:t>1.</w:t>
      </w:r>
      <w:r w:rsidRPr="004118AF">
        <w:rPr>
          <w:noProof/>
        </w:rPr>
        <w:tab/>
      </w:r>
      <w:r w:rsidR="00716EA9" w:rsidRPr="00C856B2">
        <w:rPr>
          <w:noProof/>
          <w:lang w:val="en-IE"/>
        </w:rPr>
        <w:t xml:space="preserve">Institutions </w:t>
      </w:r>
      <w:r w:rsidR="00022799" w:rsidRPr="00C856B2">
        <w:rPr>
          <w:noProof/>
          <w:lang w:val="en-IE"/>
        </w:rPr>
        <w:t xml:space="preserve">that are </w:t>
      </w:r>
      <w:r w:rsidR="00716EA9" w:rsidRPr="00C856B2">
        <w:rPr>
          <w:noProof/>
          <w:lang w:val="en-IE"/>
        </w:rPr>
        <w:t>to disclose the information referred to in Article 438, points (e) or (h), or Article 452, points (b), (g) or (h), of Regulation (EU) No</w:t>
      </w:r>
      <w:r w:rsidR="00022799" w:rsidRPr="00C856B2">
        <w:rPr>
          <w:noProof/>
          <w:lang w:val="en-IE"/>
        </w:rPr>
        <w:t> </w:t>
      </w:r>
      <w:r w:rsidR="00716EA9" w:rsidRPr="00C856B2">
        <w:rPr>
          <w:noProof/>
          <w:lang w:val="en-IE"/>
        </w:rPr>
        <w:t>575/2013 with the frequency set out in Article 433a or Article 433c</w:t>
      </w:r>
      <w:r w:rsidR="00B46CF9" w:rsidRPr="00C856B2">
        <w:rPr>
          <w:noProof/>
          <w:lang w:val="en-IE"/>
        </w:rPr>
        <w:t xml:space="preserve"> of </w:t>
      </w:r>
      <w:r w:rsidR="00591FD5" w:rsidRPr="00C856B2">
        <w:rPr>
          <w:noProof/>
          <w:lang w:val="en-IE"/>
        </w:rPr>
        <w:t>that Regulation</w:t>
      </w:r>
      <w:r w:rsidR="00716EA9" w:rsidRPr="00C856B2">
        <w:rPr>
          <w:noProof/>
          <w:lang w:val="en-IE"/>
        </w:rPr>
        <w:t>, on an individual basis in accordance with Article 6</w:t>
      </w:r>
      <w:r w:rsidR="00022799" w:rsidRPr="00C856B2">
        <w:rPr>
          <w:noProof/>
          <w:lang w:val="en-IE"/>
        </w:rPr>
        <w:t xml:space="preserve"> of th</w:t>
      </w:r>
      <w:r w:rsidR="004551DB" w:rsidRPr="00C856B2">
        <w:rPr>
          <w:noProof/>
          <w:lang w:val="en-IE"/>
        </w:rPr>
        <w:t>at</w:t>
      </w:r>
      <w:r w:rsidR="00022799" w:rsidRPr="00C856B2">
        <w:rPr>
          <w:noProof/>
          <w:lang w:val="en-IE"/>
        </w:rPr>
        <w:t xml:space="preserve"> Regulation,</w:t>
      </w:r>
      <w:r w:rsidR="00716EA9" w:rsidRPr="00C856B2">
        <w:rPr>
          <w:noProof/>
          <w:lang w:val="en-IE"/>
        </w:rPr>
        <w:t xml:space="preserve"> or on a consolidated basis in accordance with Article 13 of th</w:t>
      </w:r>
      <w:r w:rsidR="004551DB" w:rsidRPr="00C856B2">
        <w:rPr>
          <w:noProof/>
          <w:lang w:val="en-IE"/>
        </w:rPr>
        <w:t>at</w:t>
      </w:r>
      <w:r w:rsidR="00716EA9" w:rsidRPr="00C856B2">
        <w:rPr>
          <w:noProof/>
          <w:lang w:val="en-IE"/>
        </w:rPr>
        <w:t xml:space="preserve"> Regulation, as applicable, shall submit the information as specified in </w:t>
      </w:r>
      <w:r w:rsidR="00845534" w:rsidRPr="00C856B2">
        <w:rPr>
          <w:noProof/>
          <w:lang w:val="en-IE"/>
        </w:rPr>
        <w:t xml:space="preserve">templates C 08.03, C 08.04, C08.05, C 08.05.01, C 08.06, C 08.07 and C 34.11 of </w:t>
      </w:r>
      <w:r w:rsidR="00C7125C" w:rsidRPr="00C856B2">
        <w:rPr>
          <w:noProof/>
          <w:lang w:val="en-IE"/>
        </w:rPr>
        <w:t>S</w:t>
      </w:r>
      <w:r w:rsidR="00845534" w:rsidRPr="00C856B2">
        <w:rPr>
          <w:noProof/>
          <w:lang w:val="en-IE"/>
        </w:rPr>
        <w:t xml:space="preserve">ection 1 </w:t>
      </w:r>
      <w:r w:rsidR="006D5414" w:rsidRPr="00C856B2">
        <w:rPr>
          <w:noProof/>
          <w:lang w:val="en-IE"/>
        </w:rPr>
        <w:t>-</w:t>
      </w:r>
      <w:r w:rsidR="00716EA9" w:rsidRPr="00C856B2">
        <w:rPr>
          <w:noProof/>
          <w:lang w:val="en-IE"/>
        </w:rPr>
        <w:t xml:space="preserve"> ‘Reporting on own funds and own funds requirements ’</w:t>
      </w:r>
      <w:r w:rsidR="006D5414" w:rsidRPr="00C856B2">
        <w:rPr>
          <w:noProof/>
          <w:lang w:val="en-IE"/>
        </w:rPr>
        <w:t xml:space="preserve"> of Annex I</w:t>
      </w:r>
      <w:r w:rsidR="00716EA9" w:rsidRPr="00C856B2">
        <w:rPr>
          <w:noProof/>
          <w:lang w:val="en-IE"/>
        </w:rPr>
        <w:t xml:space="preserve"> </w:t>
      </w:r>
      <w:r w:rsidR="00C7125C" w:rsidRPr="00C856B2">
        <w:rPr>
          <w:noProof/>
          <w:lang w:val="en-IE"/>
        </w:rPr>
        <w:t>to this Regulation</w:t>
      </w:r>
      <w:r w:rsidR="00716EA9" w:rsidRPr="00C856B2">
        <w:rPr>
          <w:noProof/>
          <w:lang w:val="en-IE"/>
        </w:rPr>
        <w:t>.</w:t>
      </w:r>
    </w:p>
    <w:p w:rsidR="00716EA9" w:rsidRPr="00C856B2" w:rsidRDefault="004118AF" w:rsidP="004118AF">
      <w:pPr>
        <w:pStyle w:val="ManualNumPar1"/>
        <w:rPr>
          <w:noProof/>
          <w:lang w:val="en-IE"/>
        </w:rPr>
      </w:pPr>
      <w:r w:rsidRPr="004118AF">
        <w:rPr>
          <w:noProof/>
        </w:rPr>
        <w:t>2.</w:t>
      </w:r>
      <w:r w:rsidRPr="004118AF">
        <w:rPr>
          <w:noProof/>
        </w:rPr>
        <w:tab/>
      </w:r>
      <w:r w:rsidR="00716EA9" w:rsidRPr="00C856B2">
        <w:rPr>
          <w:noProof/>
          <w:lang w:val="en-IE"/>
        </w:rPr>
        <w:t xml:space="preserve">Institutions </w:t>
      </w:r>
      <w:r w:rsidR="0022064C" w:rsidRPr="00C856B2">
        <w:rPr>
          <w:noProof/>
          <w:lang w:val="en-IE"/>
        </w:rPr>
        <w:t>that are</w:t>
      </w:r>
      <w:r w:rsidR="00716EA9" w:rsidRPr="00C856B2">
        <w:rPr>
          <w:noProof/>
          <w:lang w:val="en-IE"/>
        </w:rPr>
        <w:t xml:space="preserve"> to disclose the information referred to in </w:t>
      </w:r>
      <w:r w:rsidR="005A4284" w:rsidRPr="00C856B2">
        <w:rPr>
          <w:noProof/>
          <w:lang w:val="en-IE"/>
        </w:rPr>
        <w:t xml:space="preserve">Article 439, </w:t>
      </w:r>
      <w:r w:rsidR="00716EA9" w:rsidRPr="00C856B2">
        <w:rPr>
          <w:noProof/>
          <w:lang w:val="en-IE"/>
        </w:rPr>
        <w:t>point (l)</w:t>
      </w:r>
      <w:r w:rsidR="005A4284" w:rsidRPr="00C856B2">
        <w:rPr>
          <w:noProof/>
          <w:lang w:val="en-IE"/>
        </w:rPr>
        <w:t>,</w:t>
      </w:r>
      <w:r w:rsidR="00716EA9" w:rsidRPr="00C856B2">
        <w:rPr>
          <w:noProof/>
          <w:lang w:val="en-IE"/>
        </w:rPr>
        <w:t xml:space="preserve"> of Regulation (EU) No 575/2013 with the frequency set out in Article 433a or Article 433c</w:t>
      </w:r>
      <w:r w:rsidR="006A4410" w:rsidRPr="00C856B2">
        <w:rPr>
          <w:noProof/>
          <w:lang w:val="en-IE"/>
        </w:rPr>
        <w:t xml:space="preserve"> of that Regulation</w:t>
      </w:r>
      <w:r w:rsidR="00716EA9" w:rsidRPr="00C856B2">
        <w:rPr>
          <w:noProof/>
          <w:lang w:val="en-IE"/>
        </w:rPr>
        <w:t>, as applicable, on an individual basis in accordance with Article 6</w:t>
      </w:r>
      <w:r w:rsidR="0022064C" w:rsidRPr="00C856B2">
        <w:rPr>
          <w:noProof/>
          <w:lang w:val="en-IE"/>
        </w:rPr>
        <w:t xml:space="preserve"> of th</w:t>
      </w:r>
      <w:r w:rsidR="00E26FB5" w:rsidRPr="00C856B2">
        <w:rPr>
          <w:noProof/>
          <w:lang w:val="en-IE"/>
        </w:rPr>
        <w:t>at</w:t>
      </w:r>
      <w:r w:rsidR="0022064C" w:rsidRPr="00C856B2">
        <w:rPr>
          <w:noProof/>
          <w:lang w:val="en-IE"/>
        </w:rPr>
        <w:t xml:space="preserve"> Regulation</w:t>
      </w:r>
      <w:r w:rsidR="00716EA9" w:rsidRPr="00C856B2">
        <w:rPr>
          <w:noProof/>
          <w:lang w:val="en-IE"/>
        </w:rPr>
        <w:t xml:space="preserve"> or on a consolidated basis in accordance with Article 13 of th</w:t>
      </w:r>
      <w:r w:rsidR="00E26FB5" w:rsidRPr="00C856B2">
        <w:rPr>
          <w:noProof/>
          <w:lang w:val="en-IE"/>
        </w:rPr>
        <w:t>at</w:t>
      </w:r>
      <w:r w:rsidR="00716EA9" w:rsidRPr="00C856B2">
        <w:rPr>
          <w:noProof/>
          <w:lang w:val="en-IE"/>
        </w:rPr>
        <w:t xml:space="preserve"> Regulation, as applicable, shall submit the information as specified in </w:t>
      </w:r>
      <w:r w:rsidR="00845534" w:rsidRPr="00C856B2">
        <w:rPr>
          <w:noProof/>
          <w:lang w:val="en-IE"/>
        </w:rPr>
        <w:t xml:space="preserve">template C 34.07 of section 1 - </w:t>
      </w:r>
      <w:r w:rsidR="00716EA9" w:rsidRPr="00C856B2">
        <w:rPr>
          <w:noProof/>
          <w:lang w:val="en-IE"/>
        </w:rPr>
        <w:t xml:space="preserve">‘Reporting on own funds and own funds’ </w:t>
      </w:r>
      <w:r w:rsidR="006D5414" w:rsidRPr="00C856B2">
        <w:rPr>
          <w:noProof/>
          <w:lang w:val="en-IE"/>
        </w:rPr>
        <w:t>of Annex I</w:t>
      </w:r>
      <w:r w:rsidR="00831BBF" w:rsidRPr="00C856B2">
        <w:rPr>
          <w:noProof/>
          <w:lang w:val="en-IE"/>
        </w:rPr>
        <w:t xml:space="preserve"> </w:t>
      </w:r>
      <w:r w:rsidR="00C7125C" w:rsidRPr="00C856B2">
        <w:rPr>
          <w:noProof/>
          <w:lang w:val="en-IE"/>
        </w:rPr>
        <w:t>to this Regulation</w:t>
      </w:r>
      <w:r w:rsidR="00716EA9" w:rsidRPr="00C856B2">
        <w:rPr>
          <w:noProof/>
          <w:lang w:val="en-IE"/>
        </w:rPr>
        <w:t>.</w:t>
      </w:r>
    </w:p>
    <w:p w:rsidR="00716EA9" w:rsidRPr="00C856B2" w:rsidRDefault="00716EA9" w:rsidP="00E537F5">
      <w:pPr>
        <w:pStyle w:val="Titrearticle"/>
        <w:rPr>
          <w:noProof/>
          <w:szCs w:val="24"/>
          <w:lang w:val="en-IE"/>
        </w:rPr>
      </w:pPr>
      <w:r w:rsidRPr="00C856B2">
        <w:rPr>
          <w:noProof/>
          <w:szCs w:val="24"/>
          <w:lang w:val="en-IE"/>
        </w:rPr>
        <w:t xml:space="preserve">Article </w:t>
      </w:r>
      <w:r w:rsidR="007D28C9" w:rsidRPr="00C856B2">
        <w:rPr>
          <w:noProof/>
          <w:szCs w:val="24"/>
          <w:lang w:val="en-IE"/>
        </w:rPr>
        <w:t>9</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own funds and own funds requirements for investment firms </w:t>
      </w:r>
      <w:r w:rsidR="00205B8F" w:rsidRPr="00C856B2">
        <w:rPr>
          <w:b/>
          <w:bCs/>
          <w:i w:val="0"/>
          <w:iCs/>
          <w:noProof/>
          <w:szCs w:val="24"/>
          <w:lang w:val="en-IE"/>
        </w:rPr>
        <w:t xml:space="preserve">that are </w:t>
      </w:r>
      <w:r w:rsidRPr="00C856B2">
        <w:rPr>
          <w:b/>
          <w:bCs/>
          <w:i w:val="0"/>
          <w:iCs/>
          <w:noProof/>
          <w:szCs w:val="24"/>
          <w:lang w:val="en-IE"/>
        </w:rPr>
        <w:t>subject to Articles 95 and 96 of Regulation (EU) No 575/2013 on an individual basis</w:t>
      </w:r>
    </w:p>
    <w:p w:rsidR="00716EA9" w:rsidRPr="00C856B2" w:rsidRDefault="004118AF" w:rsidP="004118AF">
      <w:pPr>
        <w:pStyle w:val="ManualNumPar1"/>
        <w:rPr>
          <w:noProof/>
          <w:lang w:val="en-IE"/>
        </w:rPr>
      </w:pPr>
      <w:r w:rsidRPr="004118AF">
        <w:rPr>
          <w:noProof/>
        </w:rPr>
        <w:t>1.</w:t>
      </w:r>
      <w:r w:rsidRPr="004118AF">
        <w:rPr>
          <w:noProof/>
        </w:rPr>
        <w:tab/>
      </w:r>
      <w:r w:rsidR="000E2BE4" w:rsidRPr="00C856B2">
        <w:rPr>
          <w:noProof/>
          <w:lang w:val="en-IE"/>
        </w:rPr>
        <w:t>Investment firms that</w:t>
      </w:r>
      <w:r w:rsidR="00274E59" w:rsidRPr="00C856B2">
        <w:rPr>
          <w:noProof/>
          <w:lang w:val="en-IE"/>
        </w:rPr>
        <w:t xml:space="preserve"> are subject to Article 95 of Regulation (EU) No 575/2013 and that</w:t>
      </w:r>
      <w:r w:rsidR="000E2BE4" w:rsidRPr="00C856B2">
        <w:rPr>
          <w:noProof/>
          <w:lang w:val="en-IE"/>
        </w:rPr>
        <w:t xml:space="preserve"> apply the transitional provisions set out in Article 57(3) of Regulation (EU) 2019/2033 </w:t>
      </w:r>
      <w:r w:rsidR="003E6001" w:rsidRPr="00C856B2">
        <w:rPr>
          <w:noProof/>
          <w:lang w:val="en-IE"/>
        </w:rPr>
        <w:t>shall, w</w:t>
      </w:r>
      <w:r w:rsidR="00684635" w:rsidRPr="00C856B2">
        <w:rPr>
          <w:noProof/>
          <w:lang w:val="en-IE"/>
        </w:rPr>
        <w:t>hen</w:t>
      </w:r>
      <w:r w:rsidR="00716EA9" w:rsidRPr="00C856B2">
        <w:rPr>
          <w:noProof/>
          <w:lang w:val="en-IE"/>
        </w:rPr>
        <w:t xml:space="preserve"> </w:t>
      </w:r>
      <w:r w:rsidR="00510D64" w:rsidRPr="00C856B2">
        <w:rPr>
          <w:noProof/>
          <w:lang w:val="en-IE"/>
        </w:rPr>
        <w:t xml:space="preserve">they </w:t>
      </w:r>
      <w:r w:rsidR="00716EA9" w:rsidRPr="00C856B2">
        <w:rPr>
          <w:noProof/>
          <w:lang w:val="en-IE"/>
        </w:rPr>
        <w:t>report information on own funds requirements</w:t>
      </w:r>
      <w:r w:rsidR="00701972" w:rsidRPr="00C856B2">
        <w:rPr>
          <w:noProof/>
          <w:lang w:val="en-IE"/>
        </w:rPr>
        <w:t>,</w:t>
      </w:r>
      <w:r w:rsidR="00716EA9" w:rsidRPr="00C856B2">
        <w:rPr>
          <w:noProof/>
          <w:lang w:val="en-IE"/>
        </w:rPr>
        <w:t xml:space="preserve"> </w:t>
      </w:r>
      <w:r w:rsidR="00701972" w:rsidRPr="00C856B2">
        <w:rPr>
          <w:noProof/>
          <w:lang w:val="en-IE"/>
        </w:rPr>
        <w:t xml:space="preserve">as required by </w:t>
      </w:r>
      <w:r w:rsidR="00716EA9" w:rsidRPr="00C856B2">
        <w:rPr>
          <w:noProof/>
          <w:lang w:val="en-IE"/>
        </w:rPr>
        <w:t>Article 430(1), point (a), of Regulation (EU) No 575/2013</w:t>
      </w:r>
      <w:r w:rsidR="00701972" w:rsidRPr="00C856B2">
        <w:rPr>
          <w:noProof/>
          <w:lang w:val="en-IE"/>
        </w:rPr>
        <w:t>,</w:t>
      </w:r>
      <w:r w:rsidR="00716EA9" w:rsidRPr="00C856B2">
        <w:rPr>
          <w:noProof/>
          <w:lang w:val="en-IE"/>
        </w:rPr>
        <w:t xml:space="preserve"> on an individual basis, with the exception of information on the leverage ratio, submit the information as specified in</w:t>
      </w:r>
      <w:r w:rsidR="00845534" w:rsidRPr="00C856B2">
        <w:rPr>
          <w:noProof/>
          <w:lang w:val="en-IE"/>
        </w:rPr>
        <w:t xml:space="preserve"> the templates C 01.00 to C 05.02 of </w:t>
      </w:r>
      <w:r w:rsidR="00767D3C" w:rsidRPr="00C856B2">
        <w:rPr>
          <w:noProof/>
          <w:lang w:val="en-IE"/>
        </w:rPr>
        <w:t>S</w:t>
      </w:r>
      <w:r w:rsidR="00845534" w:rsidRPr="00C856B2">
        <w:rPr>
          <w:noProof/>
          <w:lang w:val="en-IE"/>
        </w:rPr>
        <w:t>ection 1 -</w:t>
      </w:r>
      <w:r w:rsidR="00716EA9" w:rsidRPr="00C856B2">
        <w:rPr>
          <w:noProof/>
          <w:lang w:val="en-IE"/>
        </w:rPr>
        <w:t xml:space="preserve"> ‘Reporting on own funds and own funds requirements’ </w:t>
      </w:r>
      <w:r w:rsidR="006D5414" w:rsidRPr="00C856B2">
        <w:rPr>
          <w:noProof/>
          <w:lang w:val="en-IE"/>
        </w:rPr>
        <w:t xml:space="preserve">of Annex I </w:t>
      </w:r>
      <w:r w:rsidR="00767D3C" w:rsidRPr="00C856B2">
        <w:rPr>
          <w:noProof/>
          <w:lang w:val="en-IE"/>
        </w:rPr>
        <w:t xml:space="preserve">to this Regulation </w:t>
      </w:r>
      <w:r w:rsidR="00716EA9" w:rsidRPr="00C856B2">
        <w:rPr>
          <w:noProof/>
          <w:lang w:val="en-IE"/>
        </w:rPr>
        <w:t xml:space="preserve">with </w:t>
      </w:r>
      <w:r w:rsidR="00845534" w:rsidRPr="00C856B2">
        <w:rPr>
          <w:noProof/>
          <w:lang w:val="en-IE"/>
        </w:rPr>
        <w:t xml:space="preserve">a quarterly </w:t>
      </w:r>
      <w:r w:rsidR="00716EA9" w:rsidRPr="00C856B2">
        <w:rPr>
          <w:noProof/>
          <w:lang w:val="en-IE"/>
        </w:rPr>
        <w:t>frequency.</w:t>
      </w:r>
    </w:p>
    <w:p w:rsidR="00716EA9" w:rsidRPr="00C856B2" w:rsidRDefault="004118AF" w:rsidP="004118AF">
      <w:pPr>
        <w:pStyle w:val="ManualNumPar1"/>
        <w:rPr>
          <w:noProof/>
          <w:lang w:val="en-IE"/>
        </w:rPr>
      </w:pPr>
      <w:r w:rsidRPr="004118AF">
        <w:rPr>
          <w:noProof/>
        </w:rPr>
        <w:t>2.</w:t>
      </w:r>
      <w:r w:rsidRPr="004118AF">
        <w:rPr>
          <w:noProof/>
        </w:rPr>
        <w:tab/>
      </w:r>
      <w:r w:rsidR="001D71A4" w:rsidRPr="00C856B2">
        <w:rPr>
          <w:noProof/>
          <w:lang w:val="en-IE"/>
        </w:rPr>
        <w:t>Investment firms</w:t>
      </w:r>
      <w:r w:rsidR="00274E59" w:rsidRPr="00C856B2">
        <w:rPr>
          <w:noProof/>
          <w:lang w:val="en-IE"/>
        </w:rPr>
        <w:t xml:space="preserve"> that</w:t>
      </w:r>
      <w:r w:rsidR="001D71A4" w:rsidRPr="00C856B2">
        <w:rPr>
          <w:noProof/>
          <w:lang w:val="en-IE"/>
        </w:rPr>
        <w:t xml:space="preserve"> </w:t>
      </w:r>
      <w:r w:rsidR="00274E59" w:rsidRPr="00C856B2">
        <w:rPr>
          <w:noProof/>
          <w:lang w:val="en-IE"/>
        </w:rPr>
        <w:t xml:space="preserve">are subject to Article 96 of Regulation (EU) No 575/2013 and </w:t>
      </w:r>
      <w:r w:rsidR="001D71A4" w:rsidRPr="00C856B2">
        <w:rPr>
          <w:noProof/>
          <w:lang w:val="en-IE"/>
        </w:rPr>
        <w:t xml:space="preserve">that apply </w:t>
      </w:r>
      <w:r w:rsidR="00D54A2A" w:rsidRPr="00C856B2">
        <w:rPr>
          <w:noProof/>
          <w:lang w:val="en-IE"/>
        </w:rPr>
        <w:t xml:space="preserve">the transitional provisions set out in </w:t>
      </w:r>
      <w:r w:rsidR="001D71A4" w:rsidRPr="00C856B2">
        <w:rPr>
          <w:noProof/>
          <w:lang w:val="en-IE"/>
        </w:rPr>
        <w:t xml:space="preserve">Article 57(3) of Regulation (EU) 2019/2033 </w:t>
      </w:r>
      <w:r w:rsidR="00D54A2A" w:rsidRPr="00C856B2">
        <w:rPr>
          <w:noProof/>
          <w:lang w:val="en-IE"/>
        </w:rPr>
        <w:t>shall, w</w:t>
      </w:r>
      <w:r w:rsidR="00684635" w:rsidRPr="00C856B2">
        <w:rPr>
          <w:noProof/>
          <w:lang w:val="en-IE"/>
        </w:rPr>
        <w:t>hen</w:t>
      </w:r>
      <w:r w:rsidR="00716EA9" w:rsidRPr="00C856B2">
        <w:rPr>
          <w:noProof/>
          <w:lang w:val="en-IE"/>
        </w:rPr>
        <w:t xml:space="preserve"> </w:t>
      </w:r>
      <w:r w:rsidR="00D54A2A" w:rsidRPr="00C856B2">
        <w:rPr>
          <w:noProof/>
          <w:lang w:val="en-IE"/>
        </w:rPr>
        <w:t xml:space="preserve">they </w:t>
      </w:r>
      <w:r w:rsidR="00716EA9" w:rsidRPr="00C856B2">
        <w:rPr>
          <w:noProof/>
          <w:lang w:val="en-IE"/>
        </w:rPr>
        <w:t xml:space="preserve">report information </w:t>
      </w:r>
      <w:r w:rsidR="00767D3C" w:rsidRPr="00C856B2">
        <w:rPr>
          <w:noProof/>
          <w:lang w:val="en-IE"/>
        </w:rPr>
        <w:t xml:space="preserve">on </w:t>
      </w:r>
      <w:r w:rsidR="00716EA9" w:rsidRPr="00C856B2">
        <w:rPr>
          <w:noProof/>
          <w:lang w:val="en-IE"/>
        </w:rPr>
        <w:t>own funds requirements</w:t>
      </w:r>
      <w:r w:rsidR="00D54A2A" w:rsidRPr="00C856B2">
        <w:rPr>
          <w:noProof/>
          <w:lang w:val="en-IE"/>
        </w:rPr>
        <w:t>, as required by</w:t>
      </w:r>
      <w:r w:rsidR="00716EA9" w:rsidRPr="00C856B2">
        <w:rPr>
          <w:noProof/>
          <w:lang w:val="en-IE"/>
        </w:rPr>
        <w:t xml:space="preserve"> Article 430(1), point (a), of Regulation (EU) No 575/2013</w:t>
      </w:r>
      <w:r w:rsidR="00D54A2A" w:rsidRPr="00C856B2">
        <w:rPr>
          <w:noProof/>
          <w:lang w:val="en-IE"/>
        </w:rPr>
        <w:t>,</w:t>
      </w:r>
      <w:r w:rsidR="00716EA9" w:rsidRPr="00C856B2">
        <w:rPr>
          <w:noProof/>
          <w:lang w:val="en-IE"/>
        </w:rPr>
        <w:t xml:space="preserve"> on an individual basis, submit the information </w:t>
      </w:r>
      <w:r w:rsidR="00845534" w:rsidRPr="00C856B2">
        <w:rPr>
          <w:noProof/>
          <w:lang w:val="en-IE"/>
        </w:rPr>
        <w:t xml:space="preserve">referred to in Article </w:t>
      </w:r>
      <w:r w:rsidR="003D2BEA" w:rsidRPr="00C856B2">
        <w:rPr>
          <w:noProof/>
          <w:lang w:val="en-IE"/>
        </w:rPr>
        <w:t>5</w:t>
      </w:r>
      <w:r w:rsidR="00845534" w:rsidRPr="00C856B2">
        <w:rPr>
          <w:noProof/>
          <w:lang w:val="en-IE"/>
        </w:rPr>
        <w:t xml:space="preserve">, paragraphs 1 to </w:t>
      </w:r>
      <w:r w:rsidR="007D28C9" w:rsidRPr="00C856B2">
        <w:rPr>
          <w:noProof/>
          <w:lang w:val="en-IE"/>
        </w:rPr>
        <w:t>4</w:t>
      </w:r>
      <w:r w:rsidR="00767D3C" w:rsidRPr="00C856B2">
        <w:rPr>
          <w:noProof/>
          <w:lang w:val="en-IE"/>
        </w:rPr>
        <w:t>,</w:t>
      </w:r>
      <w:r w:rsidR="00845534" w:rsidRPr="00C856B2">
        <w:rPr>
          <w:noProof/>
          <w:lang w:val="en-IE"/>
        </w:rPr>
        <w:t xml:space="preserve"> and Article </w:t>
      </w:r>
      <w:r w:rsidR="003D2BEA" w:rsidRPr="00C856B2">
        <w:rPr>
          <w:noProof/>
          <w:lang w:val="en-IE"/>
        </w:rPr>
        <w:t>6</w:t>
      </w:r>
      <w:r w:rsidR="00845534" w:rsidRPr="00C856B2">
        <w:rPr>
          <w:noProof/>
          <w:lang w:val="en-IE"/>
        </w:rPr>
        <w:t xml:space="preserve">(2) of this Regulation with the frequency laid down in those Articles as specified in </w:t>
      </w:r>
      <w:r w:rsidR="00767D3C" w:rsidRPr="00C856B2">
        <w:rPr>
          <w:noProof/>
          <w:lang w:val="en-IE"/>
        </w:rPr>
        <w:t>S</w:t>
      </w:r>
      <w:r w:rsidR="00845534" w:rsidRPr="00C856B2">
        <w:rPr>
          <w:noProof/>
          <w:lang w:val="en-IE"/>
        </w:rPr>
        <w:t xml:space="preserve">ection 1 </w:t>
      </w:r>
      <w:r w:rsidR="00F035E5" w:rsidRPr="00C856B2">
        <w:rPr>
          <w:noProof/>
          <w:lang w:val="en-IE"/>
        </w:rPr>
        <w:t>-</w:t>
      </w:r>
      <w:r w:rsidR="00716EA9" w:rsidRPr="00C856B2">
        <w:rPr>
          <w:noProof/>
          <w:lang w:val="en-IE"/>
        </w:rPr>
        <w:t xml:space="preserve"> ‘Reporting on own funds and own funds requirements’ </w:t>
      </w:r>
      <w:r w:rsidR="00F035E5" w:rsidRPr="00C856B2">
        <w:rPr>
          <w:noProof/>
          <w:lang w:val="en-IE"/>
        </w:rPr>
        <w:t>of Annex I</w:t>
      </w:r>
      <w:r w:rsidR="00767D3C" w:rsidRPr="00C856B2">
        <w:rPr>
          <w:noProof/>
          <w:lang w:val="en-IE"/>
        </w:rPr>
        <w:t xml:space="preserve"> to this Regulation</w:t>
      </w:r>
      <w:r w:rsidR="00716EA9" w:rsidRPr="00C856B2">
        <w:rPr>
          <w:noProof/>
          <w:lang w:val="en-IE"/>
        </w:rPr>
        <w:t>.</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10</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own funds and own funds requirements for groups that consist only of investment firms </w:t>
      </w:r>
      <w:r w:rsidR="00205B8F" w:rsidRPr="00C856B2">
        <w:rPr>
          <w:b/>
          <w:bCs/>
          <w:i w:val="0"/>
          <w:iCs/>
          <w:noProof/>
          <w:szCs w:val="24"/>
          <w:lang w:val="en-IE"/>
        </w:rPr>
        <w:t xml:space="preserve">that are </w:t>
      </w:r>
      <w:r w:rsidRPr="00C856B2">
        <w:rPr>
          <w:b/>
          <w:bCs/>
          <w:i w:val="0"/>
          <w:iCs/>
          <w:noProof/>
          <w:szCs w:val="24"/>
          <w:lang w:val="en-IE"/>
        </w:rPr>
        <w:t>subject to Articles 95 and 96 of Regulation (EU) No 575/2013 on a consolidated basis</w:t>
      </w:r>
    </w:p>
    <w:p w:rsidR="00716EA9" w:rsidRPr="00C856B2" w:rsidRDefault="004118AF" w:rsidP="004118AF">
      <w:pPr>
        <w:pStyle w:val="ManualNumPar1"/>
        <w:rPr>
          <w:noProof/>
          <w:lang w:val="en-IE"/>
        </w:rPr>
      </w:pPr>
      <w:r w:rsidRPr="004118AF">
        <w:rPr>
          <w:noProof/>
        </w:rPr>
        <w:t>1.</w:t>
      </w:r>
      <w:r w:rsidRPr="004118AF">
        <w:rPr>
          <w:noProof/>
        </w:rPr>
        <w:tab/>
      </w:r>
      <w:r w:rsidR="00D44B55" w:rsidRPr="00C856B2">
        <w:rPr>
          <w:noProof/>
          <w:lang w:val="en-IE"/>
        </w:rPr>
        <w:t xml:space="preserve">Investment firms of groups that consist only of investment firms </w:t>
      </w:r>
      <w:r w:rsidR="00AD01DF" w:rsidRPr="00C856B2">
        <w:rPr>
          <w:noProof/>
          <w:lang w:val="en-IE"/>
        </w:rPr>
        <w:t xml:space="preserve">that </w:t>
      </w:r>
      <w:r w:rsidR="001E507A" w:rsidRPr="00C856B2">
        <w:rPr>
          <w:noProof/>
          <w:lang w:val="en-IE"/>
        </w:rPr>
        <w:t>apply the transitional provisions set out in Article 57(3) of Regulation (EU) 2019/2033</w:t>
      </w:r>
      <w:r w:rsidR="0046097C" w:rsidRPr="00C856B2">
        <w:rPr>
          <w:noProof/>
          <w:lang w:val="en-IE"/>
        </w:rPr>
        <w:t xml:space="preserve"> </w:t>
      </w:r>
      <w:r w:rsidR="00AD01DF" w:rsidRPr="00C856B2">
        <w:rPr>
          <w:noProof/>
          <w:lang w:val="en-IE"/>
        </w:rPr>
        <w:t xml:space="preserve">with reference to Article 95 of Regulation (EU) No 575/2013 </w:t>
      </w:r>
      <w:r w:rsidR="0046097C" w:rsidRPr="00C856B2">
        <w:rPr>
          <w:noProof/>
          <w:lang w:val="en-IE"/>
        </w:rPr>
        <w:t>shall,</w:t>
      </w:r>
      <w:r w:rsidR="001E507A" w:rsidRPr="00C856B2">
        <w:rPr>
          <w:noProof/>
          <w:lang w:val="en-IE"/>
        </w:rPr>
        <w:t xml:space="preserve"> </w:t>
      </w:r>
      <w:r w:rsidR="0046097C" w:rsidRPr="00C856B2">
        <w:rPr>
          <w:noProof/>
          <w:lang w:val="en-IE"/>
        </w:rPr>
        <w:t>w</w:t>
      </w:r>
      <w:r w:rsidR="00995E51" w:rsidRPr="00C856B2">
        <w:rPr>
          <w:noProof/>
          <w:lang w:val="en-IE"/>
        </w:rPr>
        <w:t>hen</w:t>
      </w:r>
      <w:r w:rsidR="00716EA9" w:rsidRPr="00C856B2">
        <w:rPr>
          <w:noProof/>
          <w:lang w:val="en-IE"/>
        </w:rPr>
        <w:t xml:space="preserve"> </w:t>
      </w:r>
      <w:r w:rsidR="0046097C" w:rsidRPr="00C856B2">
        <w:rPr>
          <w:noProof/>
          <w:lang w:val="en-IE"/>
        </w:rPr>
        <w:t xml:space="preserve">they </w:t>
      </w:r>
      <w:r w:rsidR="00716EA9" w:rsidRPr="00C856B2">
        <w:rPr>
          <w:noProof/>
          <w:lang w:val="en-IE"/>
        </w:rPr>
        <w:t xml:space="preserve">report information on own funds requirements </w:t>
      </w:r>
      <w:r w:rsidR="0046097C" w:rsidRPr="00C856B2">
        <w:rPr>
          <w:noProof/>
          <w:lang w:val="en-IE"/>
        </w:rPr>
        <w:t>as required by</w:t>
      </w:r>
      <w:r w:rsidR="00716EA9" w:rsidRPr="00C856B2">
        <w:rPr>
          <w:noProof/>
          <w:lang w:val="en-IE"/>
        </w:rPr>
        <w:t xml:space="preserve"> Article</w:t>
      </w:r>
      <w:r w:rsidR="00AD01DF" w:rsidRPr="00C856B2">
        <w:rPr>
          <w:noProof/>
          <w:lang w:val="en-IE"/>
        </w:rPr>
        <w:t> </w:t>
      </w:r>
      <w:r w:rsidR="00716EA9" w:rsidRPr="00C856B2">
        <w:rPr>
          <w:noProof/>
          <w:lang w:val="en-IE"/>
        </w:rPr>
        <w:t>430(1), point (a), of Regulation (EU) No 575/2013</w:t>
      </w:r>
      <w:r w:rsidR="0046097C" w:rsidRPr="00C856B2">
        <w:rPr>
          <w:noProof/>
          <w:lang w:val="en-IE"/>
        </w:rPr>
        <w:t>,</w:t>
      </w:r>
      <w:r w:rsidR="00716EA9" w:rsidRPr="00C856B2">
        <w:rPr>
          <w:noProof/>
          <w:lang w:val="en-IE"/>
        </w:rPr>
        <w:t xml:space="preserve"> on a consolidated basis, with the exception of information on the leverage ratio, submit the information as specified in </w:t>
      </w:r>
      <w:r w:rsidR="00CD4C29" w:rsidRPr="00C856B2">
        <w:rPr>
          <w:noProof/>
          <w:lang w:val="en-IE"/>
        </w:rPr>
        <w:t>S</w:t>
      </w:r>
      <w:r w:rsidR="00F035E5" w:rsidRPr="00C856B2">
        <w:rPr>
          <w:noProof/>
          <w:lang w:val="en-IE"/>
        </w:rPr>
        <w:t>ection 1 -</w:t>
      </w:r>
      <w:r w:rsidR="00716EA9" w:rsidRPr="00C856B2">
        <w:rPr>
          <w:noProof/>
          <w:lang w:val="en-IE"/>
        </w:rPr>
        <w:t xml:space="preserve"> ‘Reporting on own funds and own funds requirements’ </w:t>
      </w:r>
      <w:r w:rsidR="00F035E5" w:rsidRPr="00C856B2">
        <w:rPr>
          <w:noProof/>
          <w:lang w:val="en-IE"/>
        </w:rPr>
        <w:t>of Annex I</w:t>
      </w:r>
      <w:r w:rsidR="00CD4C29" w:rsidRPr="00C856B2">
        <w:rPr>
          <w:noProof/>
          <w:lang w:val="en-IE"/>
        </w:rPr>
        <w:t xml:space="preserve"> to this Regulation as follows</w:t>
      </w:r>
      <w:r w:rsidR="00AD54BA" w:rsidRPr="00C856B2">
        <w:rPr>
          <w:noProof/>
          <w:lang w:val="en-IE"/>
        </w:rPr>
        <w:t>:</w:t>
      </w:r>
    </w:p>
    <w:p w:rsidR="00D61A8B" w:rsidRPr="00C856B2" w:rsidRDefault="004118AF" w:rsidP="004118AF">
      <w:pPr>
        <w:pStyle w:val="Point1"/>
        <w:rPr>
          <w:noProof/>
          <w:lang w:val="en-IE"/>
        </w:rPr>
      </w:pPr>
      <w:r w:rsidRPr="004118AF">
        <w:rPr>
          <w:noProof/>
        </w:rPr>
        <w:t>(a)</w:t>
      </w:r>
      <w:r w:rsidRPr="004118AF">
        <w:rPr>
          <w:noProof/>
        </w:rPr>
        <w:tab/>
      </w:r>
      <w:r w:rsidR="00D61A8B" w:rsidRPr="00C856B2">
        <w:rPr>
          <w:noProof/>
          <w:lang w:val="en-IE"/>
        </w:rPr>
        <w:t xml:space="preserve">the information on own funds and on own funds requirements as specified in templates C 01.00 to C 05.02 of </w:t>
      </w:r>
      <w:r w:rsidR="00CD4C29" w:rsidRPr="00C856B2">
        <w:rPr>
          <w:noProof/>
          <w:lang w:val="en-IE"/>
        </w:rPr>
        <w:t>S</w:t>
      </w:r>
      <w:r w:rsidR="00D61A8B" w:rsidRPr="00C856B2">
        <w:rPr>
          <w:noProof/>
          <w:lang w:val="en-IE"/>
        </w:rPr>
        <w:t>ection 1 of Annex I</w:t>
      </w:r>
      <w:r w:rsidR="00CD4C29" w:rsidRPr="00C856B2">
        <w:rPr>
          <w:noProof/>
          <w:lang w:val="en-IE"/>
        </w:rPr>
        <w:t xml:space="preserve"> to this Regulation</w:t>
      </w:r>
      <w:r w:rsidR="00D61A8B" w:rsidRPr="00C856B2">
        <w:rPr>
          <w:noProof/>
          <w:lang w:val="en-IE"/>
        </w:rPr>
        <w:t xml:space="preserve"> with a quarterly frequency;</w:t>
      </w:r>
    </w:p>
    <w:p w:rsidR="00D61A8B" w:rsidRPr="00C856B2" w:rsidRDefault="004118AF" w:rsidP="004118AF">
      <w:pPr>
        <w:pStyle w:val="Point1"/>
        <w:rPr>
          <w:noProof/>
          <w:lang w:val="en-IE"/>
        </w:rPr>
      </w:pPr>
      <w:r w:rsidRPr="004118AF">
        <w:rPr>
          <w:noProof/>
        </w:rPr>
        <w:t>(b)</w:t>
      </w:r>
      <w:r w:rsidRPr="004118AF">
        <w:rPr>
          <w:noProof/>
        </w:rPr>
        <w:tab/>
      </w:r>
      <w:r w:rsidR="00D61A8B" w:rsidRPr="00C856B2">
        <w:rPr>
          <w:noProof/>
          <w:lang w:val="en-IE"/>
        </w:rPr>
        <w:t>the information on own funds and on own funds requirements regarding entities included in the scope of consolidation</w:t>
      </w:r>
      <w:r w:rsidR="002C2709" w:rsidRPr="00C856B2">
        <w:rPr>
          <w:noProof/>
          <w:lang w:val="en-IE"/>
        </w:rPr>
        <w:t>,</w:t>
      </w:r>
      <w:r w:rsidR="00D61A8B" w:rsidRPr="00C856B2">
        <w:rPr>
          <w:noProof/>
          <w:lang w:val="en-IE"/>
        </w:rPr>
        <w:t xml:space="preserve"> as specified in template</w:t>
      </w:r>
      <w:r w:rsidR="002C2709" w:rsidRPr="00C856B2">
        <w:rPr>
          <w:noProof/>
          <w:lang w:val="en-IE"/>
        </w:rPr>
        <w:t>s</w:t>
      </w:r>
      <w:r w:rsidR="00D61A8B" w:rsidRPr="00C856B2">
        <w:rPr>
          <w:noProof/>
          <w:lang w:val="en-IE"/>
        </w:rPr>
        <w:t xml:space="preserve"> C 06.01 and C 06.02 of </w:t>
      </w:r>
      <w:r w:rsidR="00CD4C29" w:rsidRPr="00C856B2">
        <w:rPr>
          <w:noProof/>
          <w:lang w:val="en-IE"/>
        </w:rPr>
        <w:t>S</w:t>
      </w:r>
      <w:r w:rsidR="00D61A8B" w:rsidRPr="00C856B2">
        <w:rPr>
          <w:noProof/>
          <w:lang w:val="en-IE"/>
        </w:rPr>
        <w:t xml:space="preserve">ection 1 of Annex I </w:t>
      </w:r>
      <w:r w:rsidR="00CD4C29" w:rsidRPr="00C856B2">
        <w:rPr>
          <w:noProof/>
          <w:lang w:val="en-IE"/>
        </w:rPr>
        <w:t>to this Regulation</w:t>
      </w:r>
      <w:r w:rsidR="002C2709" w:rsidRPr="00C856B2">
        <w:rPr>
          <w:noProof/>
          <w:lang w:val="en-IE"/>
        </w:rPr>
        <w:t>,</w:t>
      </w:r>
      <w:r w:rsidR="00CD4C29" w:rsidRPr="00C856B2">
        <w:rPr>
          <w:noProof/>
          <w:lang w:val="en-IE"/>
        </w:rPr>
        <w:t xml:space="preserve"> </w:t>
      </w:r>
      <w:r w:rsidR="00D61A8B" w:rsidRPr="00C856B2">
        <w:rPr>
          <w:noProof/>
          <w:lang w:val="en-IE"/>
        </w:rPr>
        <w:t>with a semi-annual frequency</w:t>
      </w:r>
      <w:r w:rsidR="00651059" w:rsidRPr="00C856B2">
        <w:rPr>
          <w:noProof/>
          <w:lang w:val="en-IE"/>
        </w:rPr>
        <w:t>.</w:t>
      </w:r>
    </w:p>
    <w:p w:rsidR="00716EA9" w:rsidRPr="00C856B2" w:rsidRDefault="004118AF" w:rsidP="004118AF">
      <w:pPr>
        <w:pStyle w:val="ManualNumPar1"/>
        <w:rPr>
          <w:noProof/>
          <w:lang w:val="en-IE"/>
        </w:rPr>
      </w:pPr>
      <w:r w:rsidRPr="004118AF">
        <w:rPr>
          <w:noProof/>
        </w:rPr>
        <w:t>2.</w:t>
      </w:r>
      <w:r w:rsidRPr="004118AF">
        <w:rPr>
          <w:noProof/>
        </w:rPr>
        <w:tab/>
      </w:r>
      <w:r w:rsidR="00EA1A16" w:rsidRPr="00C856B2">
        <w:rPr>
          <w:noProof/>
          <w:lang w:val="en-IE"/>
        </w:rPr>
        <w:t>Investment firms of groups that consist only of investment firms</w:t>
      </w:r>
      <w:r w:rsidR="008B57C8" w:rsidRPr="00C856B2">
        <w:rPr>
          <w:noProof/>
          <w:lang w:val="en-IE"/>
        </w:rPr>
        <w:t xml:space="preserve"> that apply the transitional provisions set out in Article 57(3) of Regulation (EU) 2019/2033 with reference to Article 96 of Regulation (EU) No 575/2013, </w:t>
      </w:r>
      <w:r w:rsidR="001F7F57" w:rsidRPr="00C856B2">
        <w:rPr>
          <w:noProof/>
          <w:lang w:val="en-IE"/>
        </w:rPr>
        <w:t>shall,</w:t>
      </w:r>
      <w:r w:rsidR="00EA1A16" w:rsidRPr="00C856B2">
        <w:rPr>
          <w:noProof/>
          <w:lang w:val="en-IE"/>
        </w:rPr>
        <w:t xml:space="preserve"> </w:t>
      </w:r>
      <w:r w:rsidR="001F7F57" w:rsidRPr="00C856B2">
        <w:rPr>
          <w:noProof/>
          <w:lang w:val="en-IE"/>
        </w:rPr>
        <w:t>w</w:t>
      </w:r>
      <w:r w:rsidR="007E3A18" w:rsidRPr="00C856B2">
        <w:rPr>
          <w:noProof/>
          <w:lang w:val="en-IE"/>
        </w:rPr>
        <w:t>hen</w:t>
      </w:r>
      <w:r w:rsidR="00716EA9" w:rsidRPr="00C856B2">
        <w:rPr>
          <w:noProof/>
          <w:lang w:val="en-IE"/>
        </w:rPr>
        <w:t xml:space="preserve"> </w:t>
      </w:r>
      <w:r w:rsidR="001F7F57" w:rsidRPr="00C856B2">
        <w:rPr>
          <w:noProof/>
          <w:lang w:val="en-IE"/>
        </w:rPr>
        <w:t xml:space="preserve">they </w:t>
      </w:r>
      <w:r w:rsidR="00716EA9" w:rsidRPr="00C856B2">
        <w:rPr>
          <w:noProof/>
          <w:lang w:val="en-IE"/>
        </w:rPr>
        <w:t>report information on own funds requirements</w:t>
      </w:r>
      <w:r w:rsidR="00743E00" w:rsidRPr="00C856B2">
        <w:rPr>
          <w:noProof/>
          <w:lang w:val="en-IE"/>
        </w:rPr>
        <w:t>, as required by</w:t>
      </w:r>
      <w:r w:rsidR="00716EA9" w:rsidRPr="00C856B2">
        <w:rPr>
          <w:noProof/>
          <w:lang w:val="en-IE"/>
        </w:rPr>
        <w:t xml:space="preserve"> Article</w:t>
      </w:r>
      <w:r w:rsidR="009F50D2" w:rsidRPr="00C856B2">
        <w:rPr>
          <w:noProof/>
          <w:lang w:val="en-IE"/>
        </w:rPr>
        <w:t> </w:t>
      </w:r>
      <w:r w:rsidR="00716EA9" w:rsidRPr="00C856B2">
        <w:rPr>
          <w:noProof/>
          <w:lang w:val="en-IE"/>
        </w:rPr>
        <w:t>430(1), point (a), of Regulation (EU) No 575/2013</w:t>
      </w:r>
      <w:r w:rsidR="00743E00" w:rsidRPr="00C856B2">
        <w:rPr>
          <w:noProof/>
          <w:lang w:val="en-IE"/>
        </w:rPr>
        <w:t>,</w:t>
      </w:r>
      <w:r w:rsidR="00716EA9" w:rsidRPr="00C856B2">
        <w:rPr>
          <w:noProof/>
          <w:lang w:val="en-IE"/>
        </w:rPr>
        <w:t xml:space="preserve"> on a consolidated basis, submit the information as specified in </w:t>
      </w:r>
      <w:r w:rsidR="00F035E5" w:rsidRPr="00C856B2">
        <w:rPr>
          <w:noProof/>
          <w:lang w:val="en-IE"/>
        </w:rPr>
        <w:t>section 1-</w:t>
      </w:r>
      <w:r w:rsidR="00716EA9" w:rsidRPr="00C856B2">
        <w:rPr>
          <w:noProof/>
          <w:lang w:val="en-IE"/>
        </w:rPr>
        <w:t xml:space="preserve"> ‘Reporting on own funds and own funds requirements’ </w:t>
      </w:r>
      <w:r w:rsidR="00F035E5" w:rsidRPr="00C856B2">
        <w:rPr>
          <w:noProof/>
          <w:lang w:val="en-IE"/>
        </w:rPr>
        <w:t>of Annex I</w:t>
      </w:r>
      <w:r w:rsidR="00716EA9" w:rsidRPr="00C856B2">
        <w:rPr>
          <w:noProof/>
          <w:lang w:val="en-IE"/>
        </w:rPr>
        <w:t xml:space="preserve"> </w:t>
      </w:r>
      <w:r w:rsidR="00CD4C29" w:rsidRPr="00C856B2">
        <w:rPr>
          <w:noProof/>
          <w:lang w:val="en-IE"/>
        </w:rPr>
        <w:t>to this Regulation as follows</w:t>
      </w:r>
      <w:r w:rsidR="00AD54BA" w:rsidRPr="00C856B2">
        <w:rPr>
          <w:noProof/>
          <w:lang w:val="en-IE"/>
        </w:rPr>
        <w:t>:</w:t>
      </w:r>
    </w:p>
    <w:p w:rsidR="00AD54BA" w:rsidRPr="00C856B2" w:rsidRDefault="004118AF" w:rsidP="004118AF">
      <w:pPr>
        <w:pStyle w:val="Point1"/>
        <w:rPr>
          <w:noProof/>
          <w:lang w:val="en-IE"/>
        </w:rPr>
      </w:pPr>
      <w:r w:rsidRPr="004118AF">
        <w:rPr>
          <w:noProof/>
        </w:rPr>
        <w:t>(a)</w:t>
      </w:r>
      <w:r w:rsidRPr="004118AF">
        <w:rPr>
          <w:noProof/>
        </w:rPr>
        <w:tab/>
      </w:r>
      <w:r w:rsidR="00AD54BA" w:rsidRPr="00C856B2">
        <w:rPr>
          <w:noProof/>
          <w:lang w:val="en-IE"/>
        </w:rPr>
        <w:t>the information specified in Article 5, paragraphs (1) to (</w:t>
      </w:r>
      <w:r w:rsidR="007D28C9" w:rsidRPr="00C856B2">
        <w:rPr>
          <w:noProof/>
          <w:lang w:val="en-IE"/>
        </w:rPr>
        <w:t>4</w:t>
      </w:r>
      <w:r w:rsidR="00AD54BA" w:rsidRPr="00C856B2">
        <w:rPr>
          <w:noProof/>
          <w:lang w:val="en-IE"/>
        </w:rPr>
        <w:t>) and Article 6(2) of this Regulation with the frequency laid down in those Articles;</w:t>
      </w:r>
    </w:p>
    <w:p w:rsidR="00AD54BA" w:rsidRPr="00C856B2" w:rsidRDefault="004118AF" w:rsidP="004118AF">
      <w:pPr>
        <w:pStyle w:val="Point1"/>
        <w:rPr>
          <w:noProof/>
          <w:lang w:val="en-IE"/>
        </w:rPr>
      </w:pPr>
      <w:r w:rsidRPr="004118AF">
        <w:rPr>
          <w:noProof/>
        </w:rPr>
        <w:t>(b)</w:t>
      </w:r>
      <w:r w:rsidRPr="004118AF">
        <w:rPr>
          <w:noProof/>
        </w:rPr>
        <w:tab/>
      </w:r>
      <w:r w:rsidR="00AD54BA" w:rsidRPr="00C856B2">
        <w:rPr>
          <w:noProof/>
          <w:lang w:val="en-IE"/>
        </w:rPr>
        <w:t xml:space="preserve">the information regarding entities included in the scope of consolidation as specified in templates C 06.01 and C 06.02 of </w:t>
      </w:r>
      <w:r w:rsidR="00CD4C29" w:rsidRPr="00C856B2">
        <w:rPr>
          <w:noProof/>
          <w:lang w:val="en-IE"/>
        </w:rPr>
        <w:t>S</w:t>
      </w:r>
      <w:r w:rsidR="00AD54BA" w:rsidRPr="00C856B2">
        <w:rPr>
          <w:noProof/>
          <w:lang w:val="en-IE"/>
        </w:rPr>
        <w:t xml:space="preserve">ection 1 of Annex I </w:t>
      </w:r>
      <w:r w:rsidR="00CD4C29" w:rsidRPr="00C856B2">
        <w:rPr>
          <w:noProof/>
          <w:lang w:val="en-IE"/>
        </w:rPr>
        <w:t xml:space="preserve">to this Regulation </w:t>
      </w:r>
      <w:r w:rsidR="00AD54BA" w:rsidRPr="00C856B2">
        <w:rPr>
          <w:noProof/>
          <w:lang w:val="en-IE"/>
        </w:rPr>
        <w:t>with a semi-annual frequency.</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11</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on financial information on a consolidated basis for institutions subject to Regulation (EC) No 1606/2002 of the European Parliament and of the Council</w:t>
      </w:r>
      <w:r w:rsidRPr="00C856B2">
        <w:rPr>
          <w:rStyle w:val="FootnoteReference"/>
          <w:i w:val="0"/>
          <w:iCs/>
          <w:noProof/>
          <w:szCs w:val="24"/>
          <w:lang w:val="en-IE"/>
        </w:rPr>
        <w:footnoteReference w:id="9"/>
      </w:r>
      <w:hyperlink r:id="rId14" w:anchor="E0002" w:history="1"/>
    </w:p>
    <w:p w:rsidR="00716EA9" w:rsidRPr="00C856B2" w:rsidRDefault="00DE1415" w:rsidP="00EE077F">
      <w:pPr>
        <w:spacing w:before="100" w:beforeAutospacing="1" w:after="100" w:afterAutospacing="1"/>
        <w:rPr>
          <w:noProof/>
          <w:color w:val="000000"/>
          <w:szCs w:val="24"/>
          <w:lang w:val="en-IE"/>
        </w:rPr>
      </w:pPr>
      <w:r w:rsidRPr="00C856B2">
        <w:rPr>
          <w:noProof/>
          <w:color w:val="000000"/>
          <w:szCs w:val="24"/>
          <w:lang w:val="en-IE"/>
        </w:rPr>
        <w:t>Institution</w:t>
      </w:r>
      <w:r w:rsidR="00546D74" w:rsidRPr="00C856B2">
        <w:rPr>
          <w:noProof/>
          <w:color w:val="000000"/>
          <w:szCs w:val="24"/>
          <w:lang w:val="en-IE"/>
        </w:rPr>
        <w:t>s</w:t>
      </w:r>
      <w:r w:rsidRPr="00C856B2">
        <w:rPr>
          <w:noProof/>
          <w:color w:val="000000"/>
          <w:szCs w:val="24"/>
          <w:lang w:val="en-IE"/>
        </w:rPr>
        <w:t xml:space="preserve"> that</w:t>
      </w:r>
      <w:r w:rsidR="00546D74" w:rsidRPr="00C856B2">
        <w:rPr>
          <w:noProof/>
          <w:color w:val="000000"/>
          <w:szCs w:val="24"/>
          <w:lang w:val="en-IE"/>
        </w:rPr>
        <w:t xml:space="preserve"> submit</w:t>
      </w:r>
      <w:r w:rsidR="00716EA9" w:rsidRPr="00C856B2">
        <w:rPr>
          <w:noProof/>
          <w:color w:val="000000"/>
          <w:szCs w:val="24"/>
          <w:lang w:val="en-IE"/>
        </w:rPr>
        <w:t xml:space="preserve"> financial information on a consolidated basis in accordance with Article 430(3) or (4) of Regulation (EU) No 575/2013 shall submit th</w:t>
      </w:r>
      <w:r w:rsidR="00546D74" w:rsidRPr="00C856B2">
        <w:rPr>
          <w:noProof/>
          <w:color w:val="000000"/>
          <w:szCs w:val="24"/>
          <w:lang w:val="en-IE"/>
        </w:rPr>
        <w:t>at</w:t>
      </w:r>
      <w:r w:rsidR="00716EA9" w:rsidRPr="00C856B2">
        <w:rPr>
          <w:noProof/>
          <w:color w:val="000000"/>
          <w:szCs w:val="24"/>
          <w:lang w:val="en-IE"/>
        </w:rPr>
        <w:t xml:space="preserve"> information as specified in </w:t>
      </w:r>
      <w:r w:rsidR="00442C8E" w:rsidRPr="00C856B2">
        <w:rPr>
          <w:noProof/>
          <w:color w:val="000000"/>
          <w:szCs w:val="24"/>
          <w:lang w:val="en-IE"/>
        </w:rPr>
        <w:t>S</w:t>
      </w:r>
      <w:r w:rsidR="00F035E5" w:rsidRPr="00C856B2">
        <w:rPr>
          <w:noProof/>
          <w:color w:val="000000"/>
          <w:szCs w:val="24"/>
          <w:lang w:val="en-IE"/>
        </w:rPr>
        <w:t>ection 2 -</w:t>
      </w:r>
      <w:r w:rsidR="00716EA9" w:rsidRPr="00C856B2">
        <w:rPr>
          <w:noProof/>
          <w:color w:val="000000"/>
          <w:szCs w:val="24"/>
          <w:lang w:val="en-IE"/>
        </w:rPr>
        <w:t xml:space="preserve"> ‘Reporting on Financial information according to IFRS’ </w:t>
      </w:r>
      <w:r w:rsidR="00CF184E" w:rsidRPr="00C856B2">
        <w:rPr>
          <w:noProof/>
          <w:color w:val="000000"/>
          <w:szCs w:val="24"/>
          <w:lang w:val="en-IE"/>
        </w:rPr>
        <w:t>of Annex I</w:t>
      </w:r>
      <w:r w:rsidR="00442C8E" w:rsidRPr="00C856B2">
        <w:rPr>
          <w:noProof/>
          <w:color w:val="000000"/>
          <w:szCs w:val="24"/>
          <w:lang w:val="en-IE"/>
        </w:rPr>
        <w:t xml:space="preserve"> to this Regulation </w:t>
      </w:r>
      <w:r w:rsidR="002C2709" w:rsidRPr="00C856B2">
        <w:rPr>
          <w:noProof/>
          <w:color w:val="000000"/>
          <w:szCs w:val="24"/>
          <w:lang w:val="en-IE"/>
        </w:rPr>
        <w:t>with the following frequency</w:t>
      </w:r>
      <w:r w:rsidR="00442C8E" w:rsidRPr="00C856B2">
        <w:rPr>
          <w:noProof/>
          <w:color w:val="000000"/>
          <w:szCs w:val="24"/>
          <w:lang w:val="en-IE"/>
        </w:rPr>
        <w:t>:</w:t>
      </w:r>
    </w:p>
    <w:p w:rsidR="00AD54BA" w:rsidRPr="00C856B2" w:rsidRDefault="004118AF" w:rsidP="004118AF">
      <w:pPr>
        <w:pStyle w:val="Point0"/>
        <w:rPr>
          <w:noProof/>
        </w:rPr>
      </w:pPr>
      <w:r w:rsidRPr="004118AF">
        <w:rPr>
          <w:noProof/>
        </w:rPr>
        <w:t>(a)</w:t>
      </w:r>
      <w:r w:rsidRPr="004118AF">
        <w:rPr>
          <w:noProof/>
        </w:rPr>
        <w:tab/>
      </w:r>
      <w:r w:rsidR="00AD54BA" w:rsidRPr="00C856B2">
        <w:rPr>
          <w:noProof/>
        </w:rPr>
        <w:t xml:space="preserve">the information specified in templates F 01.01 to F 19.00 of </w:t>
      </w:r>
      <w:r w:rsidR="00442C8E" w:rsidRPr="00C856B2">
        <w:rPr>
          <w:noProof/>
        </w:rPr>
        <w:t>S</w:t>
      </w:r>
      <w:r w:rsidR="00AD54BA" w:rsidRPr="00C856B2">
        <w:rPr>
          <w:noProof/>
        </w:rPr>
        <w:t>ection 2 in Annex I</w:t>
      </w:r>
      <w:r w:rsidR="00442C8E" w:rsidRPr="00C856B2">
        <w:rPr>
          <w:noProof/>
        </w:rPr>
        <w:t xml:space="preserve"> to this Regulation</w:t>
      </w:r>
      <w:r w:rsidR="00AD54BA" w:rsidRPr="00C856B2">
        <w:rPr>
          <w:noProof/>
        </w:rPr>
        <w:t xml:space="preserve"> with a quarterly frequency;</w:t>
      </w:r>
    </w:p>
    <w:p w:rsidR="00AD54BA" w:rsidRPr="00C856B2" w:rsidRDefault="004118AF" w:rsidP="004118AF">
      <w:pPr>
        <w:pStyle w:val="Point0"/>
        <w:rPr>
          <w:noProof/>
        </w:rPr>
      </w:pPr>
      <w:r w:rsidRPr="004118AF">
        <w:rPr>
          <w:noProof/>
        </w:rPr>
        <w:t>(b)</w:t>
      </w:r>
      <w:r w:rsidRPr="004118AF">
        <w:rPr>
          <w:noProof/>
        </w:rPr>
        <w:tab/>
      </w:r>
      <w:r w:rsidR="00AD54BA" w:rsidRPr="00C856B2">
        <w:rPr>
          <w:noProof/>
        </w:rPr>
        <w:t xml:space="preserve">the information specified in templates F 30.01 to F 31.02 of </w:t>
      </w:r>
      <w:r w:rsidR="00442C8E" w:rsidRPr="00C856B2">
        <w:rPr>
          <w:noProof/>
        </w:rPr>
        <w:t>S</w:t>
      </w:r>
      <w:r w:rsidR="00AD54BA" w:rsidRPr="00C856B2">
        <w:rPr>
          <w:noProof/>
        </w:rPr>
        <w:t>ection 2 of Annex I</w:t>
      </w:r>
      <w:r w:rsidR="00442C8E" w:rsidRPr="00C856B2">
        <w:rPr>
          <w:noProof/>
        </w:rPr>
        <w:t xml:space="preserve"> to this Regulation</w:t>
      </w:r>
      <w:r w:rsidR="00AD54BA" w:rsidRPr="00C856B2">
        <w:rPr>
          <w:noProof/>
        </w:rPr>
        <w:t xml:space="preserve"> with a semi-annual frequency;</w:t>
      </w:r>
    </w:p>
    <w:p w:rsidR="00AD54BA" w:rsidRPr="00C856B2" w:rsidRDefault="004118AF" w:rsidP="004118AF">
      <w:pPr>
        <w:pStyle w:val="Point0"/>
        <w:rPr>
          <w:noProof/>
        </w:rPr>
      </w:pPr>
      <w:r w:rsidRPr="004118AF">
        <w:rPr>
          <w:noProof/>
        </w:rPr>
        <w:t>(c)</w:t>
      </w:r>
      <w:r w:rsidRPr="004118AF">
        <w:rPr>
          <w:noProof/>
        </w:rPr>
        <w:tab/>
      </w:r>
      <w:r w:rsidR="00AD54BA" w:rsidRPr="00C856B2">
        <w:rPr>
          <w:noProof/>
        </w:rPr>
        <w:t xml:space="preserve">the information specified in templates F 40.01 to F 46.00 of </w:t>
      </w:r>
      <w:r w:rsidR="00442C8E" w:rsidRPr="00C856B2">
        <w:rPr>
          <w:noProof/>
        </w:rPr>
        <w:t>S</w:t>
      </w:r>
      <w:r w:rsidR="00AD54BA" w:rsidRPr="00C856B2">
        <w:rPr>
          <w:noProof/>
        </w:rPr>
        <w:t xml:space="preserve">ection 2 of Annex I </w:t>
      </w:r>
      <w:r w:rsidR="00442C8E" w:rsidRPr="00C856B2">
        <w:rPr>
          <w:noProof/>
        </w:rPr>
        <w:t xml:space="preserve">to this Regulation </w:t>
      </w:r>
      <w:r w:rsidR="00AD54BA" w:rsidRPr="00C856B2">
        <w:rPr>
          <w:noProof/>
        </w:rPr>
        <w:t>with an annual frequency;</w:t>
      </w:r>
    </w:p>
    <w:p w:rsidR="00AD54BA" w:rsidRPr="00C856B2" w:rsidRDefault="004118AF" w:rsidP="004118AF">
      <w:pPr>
        <w:pStyle w:val="Point0"/>
        <w:rPr>
          <w:noProof/>
        </w:rPr>
      </w:pPr>
      <w:r w:rsidRPr="004118AF">
        <w:rPr>
          <w:noProof/>
        </w:rPr>
        <w:t>(d)</w:t>
      </w:r>
      <w:r w:rsidRPr="004118AF">
        <w:rPr>
          <w:noProof/>
        </w:rPr>
        <w:tab/>
      </w:r>
      <w:r w:rsidR="00AD54BA" w:rsidRPr="00C856B2">
        <w:rPr>
          <w:noProof/>
        </w:rPr>
        <w:t xml:space="preserve">the information specified in templates F 20.01 to F 20.07.1 of </w:t>
      </w:r>
      <w:r w:rsidR="00442C8E" w:rsidRPr="00C856B2">
        <w:rPr>
          <w:noProof/>
        </w:rPr>
        <w:t>S</w:t>
      </w:r>
      <w:r w:rsidR="00AD54BA" w:rsidRPr="00C856B2">
        <w:rPr>
          <w:noProof/>
        </w:rPr>
        <w:t>ection 2 of Annex I</w:t>
      </w:r>
      <w:r w:rsidR="00442C8E" w:rsidRPr="00C856B2">
        <w:rPr>
          <w:noProof/>
        </w:rPr>
        <w:t xml:space="preserve"> to this Regulation</w:t>
      </w:r>
      <w:r w:rsidR="00AD54BA" w:rsidRPr="00C856B2">
        <w:rPr>
          <w:noProof/>
        </w:rPr>
        <w:t xml:space="preserve"> with a quarterly frequency where the institution exceeds the threshold laid down in Article </w:t>
      </w:r>
      <w:r w:rsidR="003D2BEA" w:rsidRPr="00C856B2">
        <w:rPr>
          <w:noProof/>
        </w:rPr>
        <w:t>5</w:t>
      </w:r>
      <w:r w:rsidR="00AD54BA" w:rsidRPr="00C856B2">
        <w:rPr>
          <w:noProof/>
        </w:rPr>
        <w:t>(</w:t>
      </w:r>
      <w:r w:rsidR="00801517" w:rsidRPr="00C856B2">
        <w:rPr>
          <w:noProof/>
        </w:rPr>
        <w:t>2</w:t>
      </w:r>
      <w:r w:rsidR="00AD54BA" w:rsidRPr="00C856B2">
        <w:rPr>
          <w:noProof/>
        </w:rPr>
        <w:t>)</w:t>
      </w:r>
      <w:r w:rsidR="00442C8E" w:rsidRPr="00C856B2">
        <w:rPr>
          <w:noProof/>
        </w:rPr>
        <w:t>, second subparagraph,</w:t>
      </w:r>
      <w:r w:rsidR="00AD54BA" w:rsidRPr="00C856B2">
        <w:rPr>
          <w:noProof/>
        </w:rPr>
        <w:t xml:space="preserve"> of this Regulation;</w:t>
      </w:r>
    </w:p>
    <w:p w:rsidR="00AD54BA" w:rsidRPr="00C856B2" w:rsidRDefault="004118AF" w:rsidP="004118AF">
      <w:pPr>
        <w:pStyle w:val="Point0"/>
        <w:rPr>
          <w:noProof/>
        </w:rPr>
      </w:pPr>
      <w:r w:rsidRPr="004118AF">
        <w:rPr>
          <w:noProof/>
        </w:rPr>
        <w:t>(e)</w:t>
      </w:r>
      <w:r w:rsidRPr="004118AF">
        <w:rPr>
          <w:noProof/>
        </w:rPr>
        <w:tab/>
      </w:r>
      <w:r w:rsidR="00AD54BA" w:rsidRPr="00C856B2">
        <w:rPr>
          <w:noProof/>
        </w:rPr>
        <w:t xml:space="preserve">the information specified in template F 21.00 of </w:t>
      </w:r>
      <w:r w:rsidR="00442C8E" w:rsidRPr="00C856B2">
        <w:rPr>
          <w:noProof/>
        </w:rPr>
        <w:t>S</w:t>
      </w:r>
      <w:r w:rsidR="00AD54BA" w:rsidRPr="00C856B2">
        <w:rPr>
          <w:noProof/>
        </w:rPr>
        <w:t>ection 2 of Annex I</w:t>
      </w:r>
      <w:r w:rsidR="00442C8E" w:rsidRPr="00C856B2">
        <w:rPr>
          <w:noProof/>
        </w:rPr>
        <w:t xml:space="preserve"> to this Regulation</w:t>
      </w:r>
      <w:r w:rsidR="00AD54BA" w:rsidRPr="00C856B2">
        <w:rPr>
          <w:noProof/>
        </w:rPr>
        <w:t xml:space="preserve"> with a quarterly frequency where tangible assets subject to operating leases are equal to or higher than 10 % of total tangible assets as reported in accordance with template F 01.01 of </w:t>
      </w:r>
      <w:r w:rsidR="00442C8E" w:rsidRPr="00C856B2">
        <w:rPr>
          <w:noProof/>
        </w:rPr>
        <w:t>S</w:t>
      </w:r>
      <w:r w:rsidR="00AD54BA" w:rsidRPr="00C856B2">
        <w:rPr>
          <w:noProof/>
        </w:rPr>
        <w:t>ection 2 of Annex I</w:t>
      </w:r>
      <w:r w:rsidR="00442C8E" w:rsidRPr="00C856B2">
        <w:rPr>
          <w:noProof/>
        </w:rPr>
        <w:t xml:space="preserve"> to this Regulation</w:t>
      </w:r>
      <w:r w:rsidR="00AD54BA" w:rsidRPr="00C856B2">
        <w:rPr>
          <w:noProof/>
        </w:rPr>
        <w:t>;</w:t>
      </w:r>
    </w:p>
    <w:p w:rsidR="00AD54BA" w:rsidRPr="00C856B2" w:rsidRDefault="004118AF" w:rsidP="004118AF">
      <w:pPr>
        <w:pStyle w:val="Point0"/>
        <w:rPr>
          <w:noProof/>
        </w:rPr>
      </w:pPr>
      <w:r w:rsidRPr="004118AF">
        <w:rPr>
          <w:noProof/>
        </w:rPr>
        <w:t>(f)</w:t>
      </w:r>
      <w:r w:rsidRPr="004118AF">
        <w:rPr>
          <w:noProof/>
        </w:rPr>
        <w:tab/>
      </w:r>
      <w:r w:rsidR="00AD54BA" w:rsidRPr="00C856B2">
        <w:rPr>
          <w:noProof/>
        </w:rPr>
        <w:t xml:space="preserve">the information specified in template F 22.01 and F 22.02 of </w:t>
      </w:r>
      <w:r w:rsidR="00442C8E" w:rsidRPr="00C856B2">
        <w:rPr>
          <w:noProof/>
        </w:rPr>
        <w:t>S</w:t>
      </w:r>
      <w:r w:rsidR="00AD54BA" w:rsidRPr="00C856B2">
        <w:rPr>
          <w:noProof/>
        </w:rPr>
        <w:t>ection 2 of Annex I</w:t>
      </w:r>
      <w:r w:rsidR="00442C8E" w:rsidRPr="00C856B2">
        <w:rPr>
          <w:noProof/>
        </w:rPr>
        <w:t>to this Regulation</w:t>
      </w:r>
      <w:r w:rsidR="00AD54BA" w:rsidRPr="00C856B2">
        <w:rPr>
          <w:noProof/>
        </w:rPr>
        <w:t xml:space="preserve"> with a quarterly frequency where net fee and commission income is equal to or higher than 10 % of the sum of net fee and commission income and net interest income as reported in accordance with template F 02.00 of </w:t>
      </w:r>
      <w:r w:rsidR="00442C8E" w:rsidRPr="00C856B2">
        <w:rPr>
          <w:noProof/>
        </w:rPr>
        <w:t>S</w:t>
      </w:r>
      <w:r w:rsidR="00AD54BA" w:rsidRPr="00C856B2">
        <w:rPr>
          <w:noProof/>
        </w:rPr>
        <w:t>ection 2 of Annex I</w:t>
      </w:r>
      <w:r w:rsidR="00442C8E" w:rsidRPr="00C856B2">
        <w:rPr>
          <w:noProof/>
        </w:rPr>
        <w:t xml:space="preserve"> to this Regulation</w:t>
      </w:r>
      <w:r w:rsidR="00AD54BA" w:rsidRPr="00C856B2">
        <w:rPr>
          <w:noProof/>
        </w:rPr>
        <w:t>;</w:t>
      </w:r>
    </w:p>
    <w:p w:rsidR="00AD54BA" w:rsidRPr="00C856B2" w:rsidRDefault="004118AF" w:rsidP="004118AF">
      <w:pPr>
        <w:pStyle w:val="Point0"/>
        <w:rPr>
          <w:noProof/>
        </w:rPr>
      </w:pPr>
      <w:r w:rsidRPr="004118AF">
        <w:rPr>
          <w:noProof/>
        </w:rPr>
        <w:t>(g)</w:t>
      </w:r>
      <w:r w:rsidRPr="004118AF">
        <w:rPr>
          <w:noProof/>
        </w:rPr>
        <w:tab/>
      </w:r>
      <w:r w:rsidR="00AD54BA" w:rsidRPr="00C856B2">
        <w:rPr>
          <w:noProof/>
        </w:rPr>
        <w:t xml:space="preserve">the information specified in templates F 23.01 to 26.00 of </w:t>
      </w:r>
      <w:r w:rsidR="00442C8E" w:rsidRPr="00C856B2">
        <w:rPr>
          <w:noProof/>
        </w:rPr>
        <w:t>S</w:t>
      </w:r>
      <w:r w:rsidR="00AD54BA" w:rsidRPr="00C856B2">
        <w:rPr>
          <w:noProof/>
        </w:rPr>
        <w:t>ection 2 of Annex I</w:t>
      </w:r>
      <w:r w:rsidR="00442C8E" w:rsidRPr="00C856B2">
        <w:rPr>
          <w:noProof/>
        </w:rPr>
        <w:t xml:space="preserve"> to this Regulation</w:t>
      </w:r>
      <w:r w:rsidR="00AD54BA" w:rsidRPr="00C856B2">
        <w:rPr>
          <w:noProof/>
        </w:rPr>
        <w:t>, with a quarterly frequency where both of the following conditions are fulfilled:</w:t>
      </w:r>
    </w:p>
    <w:p w:rsidR="00AD54BA" w:rsidRPr="00C856B2" w:rsidRDefault="00AD54BA" w:rsidP="00C856B2">
      <w:pPr>
        <w:pStyle w:val="Point2"/>
        <w:rPr>
          <w:noProof/>
        </w:rPr>
      </w:pPr>
      <w:r w:rsidRPr="00C856B2">
        <w:rPr>
          <w:noProof/>
        </w:rPr>
        <w:t>(i)</w:t>
      </w:r>
      <w:r w:rsidRPr="00C856B2">
        <w:rPr>
          <w:noProof/>
        </w:rPr>
        <w:tab/>
        <w:t>the institution is not a small and non-complex institution;</w:t>
      </w:r>
    </w:p>
    <w:p w:rsidR="00AD54BA" w:rsidRPr="00C856B2" w:rsidRDefault="00AD54BA" w:rsidP="00C856B2">
      <w:pPr>
        <w:pStyle w:val="Point2"/>
        <w:rPr>
          <w:noProof/>
        </w:rPr>
      </w:pPr>
      <w:r w:rsidRPr="00C856B2">
        <w:rPr>
          <w:noProof/>
        </w:rPr>
        <w:t>(ii)</w:t>
      </w:r>
      <w:r w:rsidRPr="00C856B2">
        <w:rPr>
          <w:noProof/>
        </w:rPr>
        <w:tab/>
        <w:t>the ratio between the institution’s gross carrying amount of loans and advances that fall under Article 47a(3) of Regulation (EU) No 575/2013 and the total gross carrying amount of loans and advances that fall under Article 47a(1) of that Regulation is equal to or higher than 5 %;</w:t>
      </w:r>
    </w:p>
    <w:p w:rsidR="00AD54BA" w:rsidRPr="00C856B2" w:rsidRDefault="004118AF" w:rsidP="004118AF">
      <w:pPr>
        <w:pStyle w:val="Point0"/>
        <w:rPr>
          <w:noProof/>
        </w:rPr>
      </w:pPr>
      <w:r w:rsidRPr="004118AF">
        <w:rPr>
          <w:noProof/>
        </w:rPr>
        <w:t>(h)</w:t>
      </w:r>
      <w:r w:rsidRPr="004118AF">
        <w:rPr>
          <w:noProof/>
        </w:rPr>
        <w:tab/>
      </w:r>
      <w:r w:rsidR="00AD54BA" w:rsidRPr="00C856B2">
        <w:rPr>
          <w:noProof/>
        </w:rPr>
        <w:t xml:space="preserve">the information specified in template F 47.00 of </w:t>
      </w:r>
      <w:r w:rsidR="00442C8E" w:rsidRPr="00C856B2">
        <w:rPr>
          <w:noProof/>
        </w:rPr>
        <w:t>S</w:t>
      </w:r>
      <w:r w:rsidR="00AD54BA" w:rsidRPr="00C856B2">
        <w:rPr>
          <w:noProof/>
        </w:rPr>
        <w:t>ection 2 of Annex I</w:t>
      </w:r>
      <w:r w:rsidR="00442C8E" w:rsidRPr="00C856B2">
        <w:rPr>
          <w:noProof/>
        </w:rPr>
        <w:t xml:space="preserve"> to this Regulation</w:t>
      </w:r>
      <w:r w:rsidR="00AD54BA" w:rsidRPr="00C856B2">
        <w:rPr>
          <w:noProof/>
        </w:rPr>
        <w:t xml:space="preserve"> with an annual frequency where both of the conditions set out in point (g) of this paragraph are fulfilled.</w:t>
      </w:r>
    </w:p>
    <w:p w:rsidR="00AD54BA" w:rsidRPr="00C856B2" w:rsidRDefault="00AD54BA" w:rsidP="00AD54BA">
      <w:pPr>
        <w:spacing w:before="100" w:beforeAutospacing="1" w:after="100" w:afterAutospacing="1"/>
        <w:rPr>
          <w:noProof/>
          <w:color w:val="000000"/>
          <w:szCs w:val="24"/>
        </w:rPr>
      </w:pPr>
      <w:r w:rsidRPr="00C856B2">
        <w:rPr>
          <w:noProof/>
          <w:color w:val="000000"/>
          <w:szCs w:val="24"/>
        </w:rPr>
        <w:t>For the purpose</w:t>
      </w:r>
      <w:r w:rsidR="00442C8E" w:rsidRPr="00C856B2">
        <w:rPr>
          <w:noProof/>
          <w:color w:val="000000"/>
          <w:szCs w:val="24"/>
        </w:rPr>
        <w:t>s</w:t>
      </w:r>
      <w:r w:rsidRPr="00C856B2">
        <w:rPr>
          <w:noProof/>
          <w:color w:val="000000"/>
          <w:szCs w:val="24"/>
        </w:rPr>
        <w:t xml:space="preserve"> of point (g)(ii), the ratio shall not include loans and advances classified as held for sale, cash balances at central banks</w:t>
      </w:r>
      <w:r w:rsidR="00442C8E" w:rsidRPr="00C856B2">
        <w:rPr>
          <w:noProof/>
          <w:color w:val="000000"/>
          <w:szCs w:val="24"/>
        </w:rPr>
        <w:t>,</w:t>
      </w:r>
      <w:r w:rsidRPr="00C856B2">
        <w:rPr>
          <w:noProof/>
          <w:color w:val="000000"/>
          <w:szCs w:val="24"/>
        </w:rPr>
        <w:t xml:space="preserve"> and other demand deposits in either the denominator or the numerator.</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12</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 on financial information on a consolidated basis for institutions applying national accounting frameworks</w:t>
      </w:r>
    </w:p>
    <w:p w:rsidR="00AD54BA" w:rsidRPr="00C856B2" w:rsidRDefault="00716EA9" w:rsidP="00DC37AE">
      <w:pPr>
        <w:spacing w:after="0"/>
        <w:rPr>
          <w:rFonts w:eastAsia="Times New Roman"/>
          <w:noProof/>
          <w:color w:val="000000"/>
          <w:szCs w:val="24"/>
          <w:lang w:eastAsia="en-IE"/>
        </w:rPr>
      </w:pPr>
      <w:r w:rsidRPr="00C856B2">
        <w:rPr>
          <w:noProof/>
          <w:color w:val="000000"/>
          <w:szCs w:val="24"/>
          <w:lang w:val="en-IE"/>
        </w:rPr>
        <w:t>Where a competent authority has extended the reporting requirements on financial information to institutions established in a Member State in accordance with Article 430(</w:t>
      </w:r>
      <w:r w:rsidR="000E7F06" w:rsidRPr="00C856B2">
        <w:rPr>
          <w:noProof/>
          <w:color w:val="000000"/>
          <w:szCs w:val="24"/>
          <w:lang w:val="en-IE"/>
        </w:rPr>
        <w:t>4</w:t>
      </w:r>
      <w:r w:rsidRPr="00C856B2">
        <w:rPr>
          <w:noProof/>
          <w:color w:val="000000"/>
          <w:szCs w:val="24"/>
          <w:lang w:val="en-IE"/>
        </w:rPr>
        <w:t xml:space="preserve">) of Regulation (EU) No 575/2013, institutions shall submit the </w:t>
      </w:r>
      <w:r w:rsidRPr="00C856B2">
        <w:rPr>
          <w:rFonts w:eastAsia="Times New Roman"/>
          <w:noProof/>
          <w:color w:val="000000"/>
          <w:szCs w:val="24"/>
          <w:lang w:val="en-IE" w:eastAsia="fr-BE"/>
        </w:rPr>
        <w:t xml:space="preserve">financial </w:t>
      </w:r>
      <w:r w:rsidRPr="00C856B2">
        <w:rPr>
          <w:noProof/>
          <w:color w:val="000000"/>
          <w:szCs w:val="24"/>
          <w:lang w:val="en-IE"/>
        </w:rPr>
        <w:t xml:space="preserve">information on a consolidated basis as specified in </w:t>
      </w:r>
      <w:r w:rsidR="00EE077F" w:rsidRPr="00C856B2">
        <w:rPr>
          <w:noProof/>
          <w:color w:val="000000"/>
          <w:szCs w:val="24"/>
          <w:lang w:val="en-IE"/>
        </w:rPr>
        <w:t>S</w:t>
      </w:r>
      <w:r w:rsidR="000E7F06" w:rsidRPr="00C856B2">
        <w:rPr>
          <w:noProof/>
          <w:color w:val="000000"/>
          <w:szCs w:val="24"/>
          <w:lang w:val="en-IE"/>
        </w:rPr>
        <w:t>ection 3 -</w:t>
      </w:r>
      <w:r w:rsidRPr="00C856B2">
        <w:rPr>
          <w:noProof/>
          <w:color w:val="000000"/>
          <w:szCs w:val="24"/>
          <w:lang w:val="en-IE"/>
        </w:rPr>
        <w:t xml:space="preserve"> ‘Reporting on Financial information according to GAAP’ </w:t>
      </w:r>
      <w:r w:rsidR="000E7F06" w:rsidRPr="00C856B2">
        <w:rPr>
          <w:noProof/>
          <w:color w:val="000000"/>
          <w:szCs w:val="24"/>
          <w:lang w:val="en-IE"/>
        </w:rPr>
        <w:t>of Annex I</w:t>
      </w:r>
      <w:r w:rsidR="00EE077F" w:rsidRPr="00C856B2">
        <w:rPr>
          <w:noProof/>
          <w:color w:val="000000"/>
          <w:szCs w:val="24"/>
          <w:lang w:val="en-IE"/>
        </w:rPr>
        <w:t xml:space="preserve"> to this Regulation </w:t>
      </w:r>
      <w:r w:rsidR="002C2709" w:rsidRPr="00C856B2">
        <w:rPr>
          <w:noProof/>
          <w:color w:val="000000"/>
          <w:szCs w:val="24"/>
          <w:lang w:val="en-IE"/>
        </w:rPr>
        <w:t>with the following frequency</w:t>
      </w:r>
      <w:r w:rsidR="00EE077F" w:rsidRPr="00C856B2">
        <w:rPr>
          <w:noProof/>
          <w:color w:val="000000"/>
          <w:szCs w:val="24"/>
          <w:lang w:val="en-IE"/>
        </w:rPr>
        <w:t>:</w:t>
      </w:r>
    </w:p>
    <w:p w:rsidR="00EE077F" w:rsidRPr="00C856B2" w:rsidRDefault="004118AF" w:rsidP="004118AF">
      <w:pPr>
        <w:pStyle w:val="Point0"/>
        <w:rPr>
          <w:noProof/>
          <w:lang w:eastAsia="en-IE"/>
        </w:rPr>
      </w:pPr>
      <w:r w:rsidRPr="004118AF">
        <w:rPr>
          <w:noProof/>
        </w:rPr>
        <w:t>(a)</w:t>
      </w:r>
      <w:r w:rsidRPr="004118AF">
        <w:rPr>
          <w:noProof/>
        </w:rPr>
        <w:tab/>
      </w:r>
      <w:r w:rsidR="00EE077F" w:rsidRPr="00C856B2">
        <w:rPr>
          <w:noProof/>
          <w:lang w:eastAsia="en-IE"/>
        </w:rPr>
        <w:t xml:space="preserve">the information specified in templates F 01.01 to F 19.00 of </w:t>
      </w:r>
      <w:r w:rsidR="00DC37AE" w:rsidRPr="00C856B2">
        <w:rPr>
          <w:noProof/>
          <w:lang w:eastAsia="en-IE"/>
        </w:rPr>
        <w:t>S</w:t>
      </w:r>
      <w:r w:rsidR="00EE077F" w:rsidRPr="00C856B2">
        <w:rPr>
          <w:noProof/>
          <w:lang w:eastAsia="en-IE"/>
        </w:rPr>
        <w:t>ection 3 of Annex I</w:t>
      </w:r>
      <w:r w:rsidR="00DC37AE" w:rsidRPr="00C856B2">
        <w:rPr>
          <w:noProof/>
          <w:lang w:eastAsia="en-IE"/>
        </w:rPr>
        <w:t xml:space="preserve"> </w:t>
      </w:r>
      <w:r w:rsidR="00DC37AE" w:rsidRPr="00C856B2">
        <w:rPr>
          <w:noProof/>
          <w:color w:val="000000"/>
        </w:rPr>
        <w:t>to this Regulation</w:t>
      </w:r>
      <w:r w:rsidR="00EE077F" w:rsidRPr="00C856B2">
        <w:rPr>
          <w:noProof/>
          <w:lang w:eastAsia="en-IE"/>
        </w:rPr>
        <w:t xml:space="preserve"> with a quarterly frequency;</w:t>
      </w:r>
    </w:p>
    <w:p w:rsidR="00EE077F" w:rsidRPr="00C856B2" w:rsidRDefault="004118AF" w:rsidP="004118AF">
      <w:pPr>
        <w:pStyle w:val="Point0"/>
        <w:rPr>
          <w:noProof/>
          <w:lang w:eastAsia="en-IE"/>
        </w:rPr>
      </w:pPr>
      <w:r w:rsidRPr="004118AF">
        <w:rPr>
          <w:noProof/>
        </w:rPr>
        <w:t>(b)</w:t>
      </w:r>
      <w:r w:rsidRPr="004118AF">
        <w:rPr>
          <w:noProof/>
        </w:rPr>
        <w:tab/>
      </w:r>
      <w:r w:rsidR="00EE077F" w:rsidRPr="00C856B2">
        <w:rPr>
          <w:noProof/>
          <w:lang w:eastAsia="en-IE"/>
        </w:rPr>
        <w:t xml:space="preserve">the information specified in </w:t>
      </w:r>
      <w:r w:rsidR="00EE077F" w:rsidRPr="00C856B2">
        <w:rPr>
          <w:noProof/>
          <w:color w:val="000000"/>
        </w:rPr>
        <w:t xml:space="preserve">F 30.01 to F 31.02 of </w:t>
      </w:r>
      <w:r w:rsidR="00DC37AE" w:rsidRPr="00C856B2">
        <w:rPr>
          <w:noProof/>
          <w:color w:val="000000"/>
        </w:rPr>
        <w:t>S</w:t>
      </w:r>
      <w:r w:rsidR="00EE077F" w:rsidRPr="00C856B2">
        <w:rPr>
          <w:noProof/>
          <w:color w:val="000000"/>
        </w:rPr>
        <w:t>ection 3 of Annex I</w:t>
      </w:r>
      <w:r w:rsidR="00DC37AE" w:rsidRPr="00C856B2">
        <w:rPr>
          <w:noProof/>
          <w:color w:val="000000"/>
        </w:rPr>
        <w:t xml:space="preserve"> to this Regulation</w:t>
      </w:r>
      <w:r w:rsidR="00EE077F" w:rsidRPr="00C856B2">
        <w:rPr>
          <w:noProof/>
          <w:lang w:eastAsia="en-IE"/>
        </w:rPr>
        <w:t xml:space="preserve"> with a semi-annual frequency;</w:t>
      </w:r>
    </w:p>
    <w:p w:rsidR="00EE077F" w:rsidRPr="00C856B2" w:rsidRDefault="004118AF" w:rsidP="004118AF">
      <w:pPr>
        <w:pStyle w:val="Point0"/>
        <w:rPr>
          <w:rFonts w:eastAsia="Times New Roman"/>
          <w:noProof/>
          <w:lang w:eastAsia="en-IE"/>
        </w:rPr>
      </w:pPr>
      <w:r w:rsidRPr="004118AF">
        <w:rPr>
          <w:noProof/>
        </w:rPr>
        <w:t>(c)</w:t>
      </w:r>
      <w:r w:rsidRPr="004118AF">
        <w:rPr>
          <w:noProof/>
        </w:rPr>
        <w:tab/>
      </w:r>
      <w:r w:rsidR="00EE077F" w:rsidRPr="00C856B2">
        <w:rPr>
          <w:rFonts w:eastAsia="Times New Roman"/>
          <w:noProof/>
          <w:lang w:eastAsia="en-IE"/>
        </w:rPr>
        <w:t xml:space="preserve">the information specified in </w:t>
      </w:r>
      <w:r w:rsidR="00EE077F" w:rsidRPr="00C856B2">
        <w:rPr>
          <w:noProof/>
        </w:rPr>
        <w:t xml:space="preserve">F 40.01 to F 46.00 of </w:t>
      </w:r>
      <w:r w:rsidR="00DC37AE" w:rsidRPr="00C856B2">
        <w:rPr>
          <w:noProof/>
        </w:rPr>
        <w:t>S</w:t>
      </w:r>
      <w:r w:rsidR="00EE077F" w:rsidRPr="00C856B2">
        <w:rPr>
          <w:noProof/>
        </w:rPr>
        <w:t>ection 3 of Annex I</w:t>
      </w:r>
      <w:r w:rsidR="00DC37AE" w:rsidRPr="00C856B2">
        <w:rPr>
          <w:noProof/>
        </w:rPr>
        <w:t xml:space="preserve"> to this Regulation</w:t>
      </w:r>
      <w:r w:rsidR="00EE077F" w:rsidRPr="00C856B2">
        <w:rPr>
          <w:rFonts w:eastAsia="Times New Roman"/>
          <w:noProof/>
          <w:lang w:eastAsia="en-IE"/>
        </w:rPr>
        <w:t xml:space="preserve"> with an annual frequency;</w:t>
      </w:r>
    </w:p>
    <w:p w:rsidR="00EE077F" w:rsidRPr="00C856B2" w:rsidRDefault="004118AF" w:rsidP="004118AF">
      <w:pPr>
        <w:pStyle w:val="Point0"/>
        <w:rPr>
          <w:noProof/>
        </w:rPr>
      </w:pPr>
      <w:r w:rsidRPr="004118AF">
        <w:rPr>
          <w:noProof/>
        </w:rPr>
        <w:t>(d)</w:t>
      </w:r>
      <w:r w:rsidRPr="004118AF">
        <w:rPr>
          <w:noProof/>
        </w:rPr>
        <w:tab/>
      </w:r>
      <w:r w:rsidR="00EE077F" w:rsidRPr="00C856B2">
        <w:rPr>
          <w:noProof/>
        </w:rPr>
        <w:t xml:space="preserve">the information specified in templates F 20.01 to F 20.07.1 of </w:t>
      </w:r>
      <w:r w:rsidR="00DC37AE" w:rsidRPr="00C856B2">
        <w:rPr>
          <w:noProof/>
        </w:rPr>
        <w:t>S</w:t>
      </w:r>
      <w:r w:rsidR="00EE077F" w:rsidRPr="00C856B2">
        <w:rPr>
          <w:noProof/>
        </w:rPr>
        <w:t>ection 3 of Annex I</w:t>
      </w:r>
      <w:r w:rsidR="00DC37AE" w:rsidRPr="00C856B2">
        <w:rPr>
          <w:noProof/>
        </w:rPr>
        <w:t xml:space="preserve"> to this Regulation</w:t>
      </w:r>
      <w:r w:rsidR="00EE077F" w:rsidRPr="00C856B2">
        <w:rPr>
          <w:noProof/>
        </w:rPr>
        <w:t xml:space="preserve"> with a quarterly frequency where the institution exceeds the threshold laid down in Article </w:t>
      </w:r>
      <w:r w:rsidR="00801517" w:rsidRPr="00C856B2">
        <w:rPr>
          <w:noProof/>
        </w:rPr>
        <w:t>5</w:t>
      </w:r>
      <w:r w:rsidR="00EE077F" w:rsidRPr="00C856B2">
        <w:rPr>
          <w:noProof/>
        </w:rPr>
        <w:t>(</w:t>
      </w:r>
      <w:r w:rsidR="00801517" w:rsidRPr="00C856B2">
        <w:rPr>
          <w:noProof/>
        </w:rPr>
        <w:t>2</w:t>
      </w:r>
      <w:r w:rsidR="00EE077F" w:rsidRPr="00C856B2">
        <w:rPr>
          <w:noProof/>
        </w:rPr>
        <w:t>)</w:t>
      </w:r>
      <w:r w:rsidR="00DC37AE" w:rsidRPr="00C856B2">
        <w:rPr>
          <w:noProof/>
        </w:rPr>
        <w:t>, second subparagraph,</w:t>
      </w:r>
      <w:r w:rsidR="00EE077F" w:rsidRPr="00C856B2">
        <w:rPr>
          <w:noProof/>
        </w:rPr>
        <w:t xml:space="preserve"> of this Regulation;</w:t>
      </w:r>
    </w:p>
    <w:p w:rsidR="00EE077F" w:rsidRPr="00C856B2" w:rsidRDefault="004118AF" w:rsidP="004118AF">
      <w:pPr>
        <w:pStyle w:val="Point0"/>
        <w:rPr>
          <w:rFonts w:eastAsia="Times New Roman"/>
          <w:noProof/>
          <w:lang w:eastAsia="en-IE"/>
        </w:rPr>
      </w:pPr>
      <w:r w:rsidRPr="004118AF">
        <w:rPr>
          <w:noProof/>
        </w:rPr>
        <w:t>(e)</w:t>
      </w:r>
      <w:r w:rsidRPr="004118AF">
        <w:rPr>
          <w:noProof/>
        </w:rPr>
        <w:tab/>
      </w:r>
      <w:r w:rsidR="00EE077F" w:rsidRPr="00C856B2">
        <w:rPr>
          <w:noProof/>
        </w:rPr>
        <w:t xml:space="preserve">the information specified in template F 21.00 of </w:t>
      </w:r>
      <w:r w:rsidR="00DC37AE" w:rsidRPr="00C856B2">
        <w:rPr>
          <w:noProof/>
        </w:rPr>
        <w:t>S</w:t>
      </w:r>
      <w:r w:rsidR="00EE077F" w:rsidRPr="00C856B2">
        <w:rPr>
          <w:noProof/>
        </w:rPr>
        <w:t>ection 3 of Annex I</w:t>
      </w:r>
      <w:r w:rsidR="002C2709" w:rsidRPr="00C856B2">
        <w:rPr>
          <w:noProof/>
        </w:rPr>
        <w:t xml:space="preserve"> </w:t>
      </w:r>
      <w:r w:rsidR="00DC37AE" w:rsidRPr="00C856B2">
        <w:rPr>
          <w:noProof/>
        </w:rPr>
        <w:t>to this Regulation</w:t>
      </w:r>
      <w:r w:rsidR="00EE077F" w:rsidRPr="00C856B2">
        <w:rPr>
          <w:noProof/>
        </w:rPr>
        <w:t xml:space="preserve"> with a quarterly frequency where tangible assets subject to operating leases are equal to or higher than 10 % of total tangible assets as reported in accordance with template F 01.01 of </w:t>
      </w:r>
      <w:r w:rsidR="00DC37AE" w:rsidRPr="00C856B2">
        <w:rPr>
          <w:noProof/>
        </w:rPr>
        <w:t>S</w:t>
      </w:r>
      <w:r w:rsidR="00EE077F" w:rsidRPr="00C856B2">
        <w:rPr>
          <w:noProof/>
        </w:rPr>
        <w:t>ection 3 of Annex I</w:t>
      </w:r>
      <w:r w:rsidR="002C2709" w:rsidRPr="00C856B2">
        <w:rPr>
          <w:noProof/>
        </w:rPr>
        <w:t xml:space="preserve"> to this Regulation</w:t>
      </w:r>
      <w:r w:rsidR="00EE077F" w:rsidRPr="00C856B2">
        <w:rPr>
          <w:rFonts w:eastAsia="Times New Roman"/>
          <w:noProof/>
          <w:lang w:eastAsia="en-IE"/>
        </w:rPr>
        <w:t>;</w:t>
      </w:r>
    </w:p>
    <w:p w:rsidR="00EE077F" w:rsidRPr="00C856B2" w:rsidRDefault="004118AF" w:rsidP="004118AF">
      <w:pPr>
        <w:pStyle w:val="Point0"/>
        <w:rPr>
          <w:rFonts w:eastAsia="Times New Roman"/>
          <w:noProof/>
          <w:lang w:eastAsia="en-IE"/>
        </w:rPr>
      </w:pPr>
      <w:r w:rsidRPr="004118AF">
        <w:rPr>
          <w:noProof/>
        </w:rPr>
        <w:t>(f)</w:t>
      </w:r>
      <w:r w:rsidRPr="004118AF">
        <w:rPr>
          <w:noProof/>
        </w:rPr>
        <w:tab/>
      </w:r>
      <w:r w:rsidR="00EE077F" w:rsidRPr="00C856B2">
        <w:rPr>
          <w:noProof/>
        </w:rPr>
        <w:t xml:space="preserve">the information specified in template F 22.01 and F 22.02 of </w:t>
      </w:r>
      <w:r w:rsidR="00DC37AE" w:rsidRPr="00C856B2">
        <w:rPr>
          <w:noProof/>
        </w:rPr>
        <w:t>S</w:t>
      </w:r>
      <w:r w:rsidR="00EE077F" w:rsidRPr="00C856B2">
        <w:rPr>
          <w:noProof/>
        </w:rPr>
        <w:t>ection 3 of Annex I</w:t>
      </w:r>
      <w:r w:rsidR="00DC37AE" w:rsidRPr="00C856B2">
        <w:rPr>
          <w:noProof/>
        </w:rPr>
        <w:t xml:space="preserve"> to this Regulation</w:t>
      </w:r>
      <w:r w:rsidR="00EE077F" w:rsidRPr="00C856B2">
        <w:rPr>
          <w:noProof/>
        </w:rPr>
        <w:t xml:space="preserve"> with a quarterly frequency where net fee and commission income is equal to or higher than 10 % of the sum of net fee and commission income and net interest income as reported in accordance with template F 02.00 of </w:t>
      </w:r>
      <w:r w:rsidR="00DC37AE" w:rsidRPr="00C856B2">
        <w:rPr>
          <w:noProof/>
        </w:rPr>
        <w:t>S</w:t>
      </w:r>
      <w:r w:rsidR="00EE077F" w:rsidRPr="00C856B2">
        <w:rPr>
          <w:noProof/>
        </w:rPr>
        <w:t>ection 3 of Annex</w:t>
      </w:r>
      <w:r w:rsidR="002C2709" w:rsidRPr="00C856B2">
        <w:rPr>
          <w:noProof/>
        </w:rPr>
        <w:t> </w:t>
      </w:r>
      <w:r w:rsidR="00EE077F" w:rsidRPr="00C856B2">
        <w:rPr>
          <w:noProof/>
        </w:rPr>
        <w:t>I</w:t>
      </w:r>
      <w:r w:rsidR="002C2709" w:rsidRPr="00C856B2">
        <w:rPr>
          <w:noProof/>
        </w:rPr>
        <w:t xml:space="preserve"> to this Regulation</w:t>
      </w:r>
      <w:r w:rsidR="00EE077F" w:rsidRPr="00C856B2">
        <w:rPr>
          <w:rFonts w:eastAsia="Times New Roman"/>
          <w:noProof/>
          <w:lang w:eastAsia="en-IE"/>
        </w:rPr>
        <w:t>;</w:t>
      </w:r>
    </w:p>
    <w:p w:rsidR="00EE077F" w:rsidRPr="00C856B2" w:rsidRDefault="004118AF" w:rsidP="004118AF">
      <w:pPr>
        <w:pStyle w:val="Point0"/>
        <w:rPr>
          <w:rFonts w:eastAsia="Times New Roman"/>
          <w:noProof/>
          <w:lang w:eastAsia="en-IE"/>
        </w:rPr>
      </w:pPr>
      <w:r w:rsidRPr="004118AF">
        <w:rPr>
          <w:noProof/>
        </w:rPr>
        <w:t>(g)</w:t>
      </w:r>
      <w:r w:rsidRPr="004118AF">
        <w:rPr>
          <w:noProof/>
        </w:rPr>
        <w:tab/>
      </w:r>
      <w:r w:rsidR="00EE077F" w:rsidRPr="00C856B2">
        <w:rPr>
          <w:noProof/>
        </w:rPr>
        <w:t xml:space="preserve">the information specified in templates F 23.01 to 26.00 of </w:t>
      </w:r>
      <w:r w:rsidR="00DC37AE" w:rsidRPr="00C856B2">
        <w:rPr>
          <w:noProof/>
        </w:rPr>
        <w:t>S</w:t>
      </w:r>
      <w:r w:rsidR="00EE077F" w:rsidRPr="00C856B2">
        <w:rPr>
          <w:noProof/>
        </w:rPr>
        <w:t>ection 3 of Annex I</w:t>
      </w:r>
      <w:r w:rsidR="00DC37AE" w:rsidRPr="00C856B2">
        <w:rPr>
          <w:noProof/>
        </w:rPr>
        <w:t xml:space="preserve"> to this Regulation</w:t>
      </w:r>
      <w:r w:rsidR="00EE077F" w:rsidRPr="00C856B2">
        <w:rPr>
          <w:noProof/>
        </w:rPr>
        <w:t xml:space="preserve"> with a quarterly frequency where both of the following conditions are fulfilled</w:t>
      </w:r>
      <w:r w:rsidR="00EE077F" w:rsidRPr="00C856B2">
        <w:rPr>
          <w:rFonts w:eastAsia="Times New Roman"/>
          <w:noProof/>
          <w:lang w:eastAsia="en-IE"/>
        </w:rPr>
        <w:t>:</w:t>
      </w:r>
    </w:p>
    <w:p w:rsidR="00EE077F" w:rsidRPr="00C856B2" w:rsidRDefault="00EE077F" w:rsidP="00C856B2">
      <w:pPr>
        <w:pStyle w:val="Point2"/>
        <w:rPr>
          <w:noProof/>
          <w:lang w:eastAsia="en-IE"/>
        </w:rPr>
      </w:pPr>
      <w:r w:rsidRPr="00C856B2">
        <w:rPr>
          <w:noProof/>
          <w:lang w:eastAsia="en-IE"/>
        </w:rPr>
        <w:t>(i)</w:t>
      </w:r>
      <w:r w:rsidRPr="00C856B2">
        <w:rPr>
          <w:noProof/>
          <w:lang w:eastAsia="en-IE"/>
        </w:rPr>
        <w:tab/>
        <w:t xml:space="preserve">the institution is not a small </w:t>
      </w:r>
      <w:r w:rsidR="00DC37AE" w:rsidRPr="00C856B2">
        <w:rPr>
          <w:noProof/>
          <w:lang w:eastAsia="en-IE"/>
        </w:rPr>
        <w:t>or</w:t>
      </w:r>
      <w:r w:rsidRPr="00C856B2">
        <w:rPr>
          <w:noProof/>
          <w:lang w:eastAsia="en-IE"/>
        </w:rPr>
        <w:t xml:space="preserve"> non-complex;</w:t>
      </w:r>
    </w:p>
    <w:p w:rsidR="00EE077F" w:rsidRPr="00C856B2" w:rsidRDefault="00EE077F" w:rsidP="00C856B2">
      <w:pPr>
        <w:pStyle w:val="Point2"/>
        <w:rPr>
          <w:noProof/>
          <w:lang w:eastAsia="en-IE"/>
        </w:rPr>
      </w:pPr>
      <w:r w:rsidRPr="00C856B2">
        <w:rPr>
          <w:noProof/>
          <w:lang w:eastAsia="en-IE"/>
        </w:rPr>
        <w:t>(ii)</w:t>
      </w:r>
      <w:r w:rsidRPr="00C856B2">
        <w:rPr>
          <w:noProof/>
          <w:lang w:eastAsia="en-IE"/>
        </w:rPr>
        <w:tab/>
        <w:t>the institution’s ratio as specified in Article 1</w:t>
      </w:r>
      <w:r w:rsidR="00801517" w:rsidRPr="00C856B2">
        <w:rPr>
          <w:noProof/>
          <w:lang w:eastAsia="en-IE"/>
        </w:rPr>
        <w:t>1</w:t>
      </w:r>
      <w:r w:rsidRPr="00C856B2">
        <w:rPr>
          <w:noProof/>
          <w:lang w:eastAsia="en-IE"/>
        </w:rPr>
        <w:t>(2), point (g)(ii)</w:t>
      </w:r>
      <w:r w:rsidR="00DC37AE" w:rsidRPr="00C856B2">
        <w:rPr>
          <w:noProof/>
          <w:lang w:eastAsia="en-IE"/>
        </w:rPr>
        <w:t>,</w:t>
      </w:r>
      <w:r w:rsidRPr="00C856B2">
        <w:rPr>
          <w:noProof/>
          <w:lang w:eastAsia="en-IE"/>
        </w:rPr>
        <w:t xml:space="preserve"> of this Regulation is equal to or higher than 5 %;</w:t>
      </w:r>
    </w:p>
    <w:p w:rsidR="00EE077F" w:rsidRPr="00C856B2" w:rsidRDefault="004118AF" w:rsidP="004118AF">
      <w:pPr>
        <w:pStyle w:val="Point0"/>
        <w:rPr>
          <w:noProof/>
          <w:lang w:eastAsia="en-IE"/>
        </w:rPr>
      </w:pPr>
      <w:r w:rsidRPr="004118AF">
        <w:rPr>
          <w:noProof/>
        </w:rPr>
        <w:t>(h)</w:t>
      </w:r>
      <w:r w:rsidRPr="004118AF">
        <w:rPr>
          <w:noProof/>
        </w:rPr>
        <w:tab/>
      </w:r>
      <w:r w:rsidR="00EE077F" w:rsidRPr="00C856B2">
        <w:rPr>
          <w:noProof/>
          <w:lang w:eastAsia="en-IE"/>
        </w:rPr>
        <w:t xml:space="preserve">the information specified in template </w:t>
      </w:r>
      <w:r w:rsidR="00EE077F" w:rsidRPr="00C856B2">
        <w:rPr>
          <w:noProof/>
          <w:color w:val="000000"/>
        </w:rPr>
        <w:t xml:space="preserve">F 47.00 of </w:t>
      </w:r>
      <w:r w:rsidR="00DC37AE" w:rsidRPr="00C856B2">
        <w:rPr>
          <w:noProof/>
          <w:color w:val="000000"/>
        </w:rPr>
        <w:t>S</w:t>
      </w:r>
      <w:r w:rsidR="00EE077F" w:rsidRPr="00C856B2">
        <w:rPr>
          <w:noProof/>
          <w:color w:val="000000"/>
        </w:rPr>
        <w:t>ection 3 of Annex I</w:t>
      </w:r>
      <w:r w:rsidR="00DC37AE" w:rsidRPr="00C856B2">
        <w:rPr>
          <w:noProof/>
          <w:color w:val="000000"/>
        </w:rPr>
        <w:t xml:space="preserve"> to this Regulation</w:t>
      </w:r>
      <w:r w:rsidR="00EE077F" w:rsidRPr="00C856B2">
        <w:rPr>
          <w:noProof/>
          <w:lang w:eastAsia="en-IE"/>
        </w:rPr>
        <w:t xml:space="preserve"> with an annual frequency where both of the conditions set out in point (g) of this paragraph are fulfilled.</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13</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Reporting</w:t>
      </w:r>
      <w:r w:rsidR="00205B8F" w:rsidRPr="00C856B2">
        <w:rPr>
          <w:b/>
          <w:bCs/>
          <w:i w:val="0"/>
          <w:iCs/>
          <w:noProof/>
          <w:szCs w:val="24"/>
          <w:lang w:val="en-IE"/>
        </w:rPr>
        <w:t>,</w:t>
      </w:r>
      <w:r w:rsidRPr="00C856B2">
        <w:rPr>
          <w:b/>
          <w:bCs/>
          <w:i w:val="0"/>
          <w:iCs/>
          <w:noProof/>
          <w:szCs w:val="24"/>
          <w:lang w:val="en-IE"/>
        </w:rPr>
        <w:t xml:space="preserve"> </w:t>
      </w:r>
      <w:r w:rsidR="00205B8F" w:rsidRPr="00C856B2">
        <w:rPr>
          <w:b/>
          <w:bCs/>
          <w:i w:val="0"/>
          <w:iCs/>
          <w:noProof/>
          <w:szCs w:val="24"/>
          <w:lang w:val="en-IE"/>
        </w:rPr>
        <w:t xml:space="preserve">in accordance with Article 430a(1) of Regulation (EU) No 575/2013, on an individual and a consolidated basis, </w:t>
      </w:r>
      <w:r w:rsidRPr="00C856B2">
        <w:rPr>
          <w:b/>
          <w:bCs/>
          <w:i w:val="0"/>
          <w:iCs/>
          <w:noProof/>
          <w:szCs w:val="24"/>
          <w:lang w:val="en-IE"/>
        </w:rPr>
        <w:t>on losses stemming from lending collateralised by immovable property</w:t>
      </w:r>
    </w:p>
    <w:p w:rsidR="00716EA9" w:rsidRPr="00C856B2" w:rsidRDefault="004118AF" w:rsidP="004118AF">
      <w:pPr>
        <w:pStyle w:val="ManualNumPar1"/>
        <w:rPr>
          <w:noProof/>
          <w:lang w:val="en-IE"/>
        </w:rPr>
      </w:pPr>
      <w:r w:rsidRPr="004118AF">
        <w:rPr>
          <w:noProof/>
        </w:rPr>
        <w:t>1.</w:t>
      </w:r>
      <w:r w:rsidRPr="004118AF">
        <w:rPr>
          <w:noProof/>
        </w:rPr>
        <w:tab/>
      </w:r>
      <w:r w:rsidR="00716EA9" w:rsidRPr="00C856B2">
        <w:rPr>
          <w:noProof/>
          <w:lang w:val="en-IE"/>
        </w:rPr>
        <w:t xml:space="preserve">Institutions shall submit </w:t>
      </w:r>
      <w:r w:rsidR="001A3988" w:rsidRPr="00C856B2">
        <w:rPr>
          <w:noProof/>
          <w:lang w:val="en-IE"/>
        </w:rPr>
        <w:t>the aggregate data referred to in</w:t>
      </w:r>
      <w:r w:rsidR="00716EA9" w:rsidRPr="00C856B2">
        <w:rPr>
          <w:noProof/>
          <w:lang w:val="en-IE"/>
        </w:rPr>
        <w:t xml:space="preserve"> Article 430a(1) of Regulation (EU) No 575/2013 on a consolidated basis as specified in </w:t>
      </w:r>
      <w:r w:rsidR="00205B8F" w:rsidRPr="00C856B2">
        <w:rPr>
          <w:noProof/>
          <w:lang w:val="en-IE"/>
        </w:rPr>
        <w:t>S</w:t>
      </w:r>
      <w:r w:rsidR="007255D8" w:rsidRPr="00C856B2">
        <w:rPr>
          <w:noProof/>
          <w:lang w:val="en-IE"/>
        </w:rPr>
        <w:t>ection 4 -</w:t>
      </w:r>
      <w:r w:rsidR="00716EA9" w:rsidRPr="00C856B2">
        <w:rPr>
          <w:noProof/>
          <w:lang w:val="en-IE"/>
        </w:rPr>
        <w:t xml:space="preserve"> ‘Reporting on information on losses stemming from lending collateralised by immovable property’ </w:t>
      </w:r>
      <w:r w:rsidR="007255D8" w:rsidRPr="00C856B2">
        <w:rPr>
          <w:noProof/>
          <w:lang w:val="en-IE"/>
        </w:rPr>
        <w:t>of Annex</w:t>
      </w:r>
      <w:r w:rsidR="00205B8F" w:rsidRPr="00C856B2">
        <w:rPr>
          <w:noProof/>
          <w:lang w:val="en-IE"/>
        </w:rPr>
        <w:t> </w:t>
      </w:r>
      <w:r w:rsidR="007255D8" w:rsidRPr="00C856B2">
        <w:rPr>
          <w:noProof/>
          <w:lang w:val="en-IE"/>
        </w:rPr>
        <w:t>I</w:t>
      </w:r>
      <w:r w:rsidR="00716EA9" w:rsidRPr="00C856B2">
        <w:rPr>
          <w:noProof/>
          <w:lang w:val="en-IE"/>
        </w:rPr>
        <w:t xml:space="preserve"> </w:t>
      </w:r>
      <w:r w:rsidR="00205B8F" w:rsidRPr="00C856B2">
        <w:rPr>
          <w:noProof/>
          <w:lang w:val="en-IE"/>
        </w:rPr>
        <w:t xml:space="preserve">to this Regulation </w:t>
      </w:r>
      <w:r w:rsidR="00716EA9" w:rsidRPr="00C856B2">
        <w:rPr>
          <w:noProof/>
          <w:lang w:val="en-IE"/>
        </w:rPr>
        <w:t>with an annual frequency.</w:t>
      </w:r>
    </w:p>
    <w:p w:rsidR="00716EA9" w:rsidRPr="00C856B2" w:rsidRDefault="004118AF" w:rsidP="004118AF">
      <w:pPr>
        <w:pStyle w:val="ManualNumPar1"/>
        <w:rPr>
          <w:noProof/>
          <w:lang w:val="en-IE"/>
        </w:rPr>
      </w:pPr>
      <w:r w:rsidRPr="004118AF">
        <w:rPr>
          <w:noProof/>
        </w:rPr>
        <w:t>2.</w:t>
      </w:r>
      <w:r w:rsidRPr="004118AF">
        <w:rPr>
          <w:noProof/>
        </w:rPr>
        <w:tab/>
      </w:r>
      <w:r w:rsidR="00716EA9" w:rsidRPr="00C856B2">
        <w:rPr>
          <w:noProof/>
          <w:lang w:val="en-IE"/>
        </w:rPr>
        <w:t xml:space="preserve">Institutions shall submit </w:t>
      </w:r>
      <w:r w:rsidR="00175E52" w:rsidRPr="00C856B2">
        <w:rPr>
          <w:noProof/>
          <w:lang w:val="en-IE"/>
        </w:rPr>
        <w:t>the aggregate data referred to in</w:t>
      </w:r>
      <w:r w:rsidR="00716EA9" w:rsidRPr="00C856B2">
        <w:rPr>
          <w:noProof/>
          <w:lang w:val="en-IE"/>
        </w:rPr>
        <w:t xml:space="preserve"> Article 430a(1) of Regulation (EU) No 575/2013 on an individual basis as specified in </w:t>
      </w:r>
      <w:r w:rsidR="00205B8F" w:rsidRPr="00C856B2">
        <w:rPr>
          <w:noProof/>
          <w:lang w:val="en-IE"/>
        </w:rPr>
        <w:t>S</w:t>
      </w:r>
      <w:r w:rsidR="007255D8" w:rsidRPr="00C856B2">
        <w:rPr>
          <w:noProof/>
          <w:lang w:val="en-IE"/>
        </w:rPr>
        <w:t xml:space="preserve">ection </w:t>
      </w:r>
      <w:r w:rsidR="00D84BC5" w:rsidRPr="00C856B2">
        <w:rPr>
          <w:noProof/>
          <w:lang w:val="en-IE"/>
        </w:rPr>
        <w:t>4</w:t>
      </w:r>
      <w:r w:rsidR="007255D8" w:rsidRPr="00C856B2">
        <w:rPr>
          <w:noProof/>
          <w:lang w:val="en-IE"/>
        </w:rPr>
        <w:t xml:space="preserve"> -</w:t>
      </w:r>
      <w:r w:rsidR="00716EA9" w:rsidRPr="00C856B2">
        <w:rPr>
          <w:noProof/>
          <w:lang w:val="en-IE"/>
        </w:rPr>
        <w:t xml:space="preserve"> ‘Reporting on information on losses stemming from lending collateralised by immovable property’ </w:t>
      </w:r>
      <w:r w:rsidR="00D84BC5" w:rsidRPr="00C856B2">
        <w:rPr>
          <w:noProof/>
          <w:lang w:val="en-IE"/>
        </w:rPr>
        <w:t>of Annex</w:t>
      </w:r>
      <w:r w:rsidR="00205B8F" w:rsidRPr="00C856B2">
        <w:rPr>
          <w:noProof/>
          <w:lang w:val="en-IE"/>
        </w:rPr>
        <w:t> </w:t>
      </w:r>
      <w:r w:rsidR="00D84BC5" w:rsidRPr="00C856B2">
        <w:rPr>
          <w:noProof/>
          <w:lang w:val="en-IE"/>
        </w:rPr>
        <w:t>I</w:t>
      </w:r>
      <w:r w:rsidR="00716EA9" w:rsidRPr="00C856B2">
        <w:rPr>
          <w:noProof/>
          <w:lang w:val="en-IE"/>
        </w:rPr>
        <w:t xml:space="preserve"> </w:t>
      </w:r>
      <w:r w:rsidR="00205B8F" w:rsidRPr="00C856B2">
        <w:rPr>
          <w:noProof/>
          <w:lang w:val="en-IE"/>
        </w:rPr>
        <w:t xml:space="preserve">to this Regulation </w:t>
      </w:r>
      <w:r w:rsidR="00716EA9" w:rsidRPr="00C856B2">
        <w:rPr>
          <w:noProof/>
          <w:lang w:val="en-IE"/>
        </w:rPr>
        <w:t>with an annual frequency.</w:t>
      </w:r>
    </w:p>
    <w:p w:rsidR="00716EA9" w:rsidRPr="00C856B2" w:rsidRDefault="004118AF" w:rsidP="004118AF">
      <w:pPr>
        <w:pStyle w:val="ManualNumPar1"/>
        <w:rPr>
          <w:noProof/>
          <w:lang w:val="en-IE"/>
        </w:rPr>
      </w:pPr>
      <w:r w:rsidRPr="004118AF">
        <w:rPr>
          <w:noProof/>
        </w:rPr>
        <w:t>3.</w:t>
      </w:r>
      <w:r w:rsidRPr="004118AF">
        <w:rPr>
          <w:noProof/>
        </w:rPr>
        <w:tab/>
      </w:r>
      <w:r w:rsidR="00716EA9" w:rsidRPr="00C856B2">
        <w:rPr>
          <w:noProof/>
          <w:lang w:val="en-IE"/>
        </w:rPr>
        <w:t xml:space="preserve">Where an institution has a branch in another Member State, that branch shall submit to the competent authority of the host Member State the </w:t>
      </w:r>
      <w:r w:rsidR="00740AD1" w:rsidRPr="00C856B2">
        <w:rPr>
          <w:noProof/>
          <w:lang w:val="en-IE"/>
        </w:rPr>
        <w:t>aggregate data referred to in Article 430a(1) of Regulation (EU) No 575/2013</w:t>
      </w:r>
      <w:r w:rsidR="00716EA9" w:rsidRPr="00C856B2">
        <w:rPr>
          <w:noProof/>
          <w:lang w:val="en-IE"/>
        </w:rPr>
        <w:t xml:space="preserve"> as specified in </w:t>
      </w:r>
      <w:r w:rsidR="00CE208C" w:rsidRPr="00C856B2">
        <w:rPr>
          <w:noProof/>
          <w:lang w:val="en-IE"/>
        </w:rPr>
        <w:t>S</w:t>
      </w:r>
      <w:r w:rsidR="00D84BC5" w:rsidRPr="00C856B2">
        <w:rPr>
          <w:noProof/>
          <w:lang w:val="en-IE"/>
        </w:rPr>
        <w:t>ection 4 -</w:t>
      </w:r>
      <w:r w:rsidR="00716EA9" w:rsidRPr="00C856B2">
        <w:rPr>
          <w:noProof/>
          <w:lang w:val="en-IE"/>
        </w:rPr>
        <w:t xml:space="preserve"> ‘Reporting on information on losses stemming from lending collateralised by immovable property’</w:t>
      </w:r>
      <w:r w:rsidR="00D84BC5" w:rsidRPr="00C856B2">
        <w:rPr>
          <w:noProof/>
          <w:lang w:val="en-IE"/>
        </w:rPr>
        <w:t xml:space="preserve"> of Annex</w:t>
      </w:r>
      <w:r w:rsidR="00CE208C" w:rsidRPr="00C856B2">
        <w:rPr>
          <w:noProof/>
          <w:lang w:val="en-IE"/>
        </w:rPr>
        <w:t> </w:t>
      </w:r>
      <w:r w:rsidR="00D84BC5" w:rsidRPr="00C856B2">
        <w:rPr>
          <w:noProof/>
          <w:lang w:val="en-IE"/>
        </w:rPr>
        <w:t>I</w:t>
      </w:r>
      <w:r w:rsidR="00831BBF" w:rsidRPr="00C856B2">
        <w:rPr>
          <w:noProof/>
          <w:lang w:val="en-IE"/>
        </w:rPr>
        <w:t xml:space="preserve"> </w:t>
      </w:r>
      <w:r w:rsidR="00CE208C" w:rsidRPr="00C856B2">
        <w:rPr>
          <w:noProof/>
          <w:lang w:val="en-IE"/>
        </w:rPr>
        <w:t xml:space="preserve">to this Regulation </w:t>
      </w:r>
      <w:r w:rsidR="00831BBF" w:rsidRPr="00C856B2">
        <w:rPr>
          <w:noProof/>
          <w:lang w:val="en-IE"/>
        </w:rPr>
        <w:t>with an annual frequency</w:t>
      </w:r>
      <w:r w:rsidR="00716EA9" w:rsidRPr="00C856B2">
        <w:rPr>
          <w:noProof/>
          <w:lang w:val="en-IE"/>
        </w:rPr>
        <w:t>.</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14</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large exposures on </w:t>
      </w:r>
      <w:r w:rsidR="00121CA9" w:rsidRPr="00C856B2">
        <w:rPr>
          <w:b/>
          <w:bCs/>
          <w:i w:val="0"/>
          <w:iCs/>
          <w:noProof/>
          <w:szCs w:val="24"/>
          <w:lang w:val="en-IE"/>
        </w:rPr>
        <w:t xml:space="preserve">both </w:t>
      </w:r>
      <w:r w:rsidRPr="00C856B2">
        <w:rPr>
          <w:b/>
          <w:bCs/>
          <w:i w:val="0"/>
          <w:iCs/>
          <w:noProof/>
          <w:szCs w:val="24"/>
          <w:lang w:val="en-IE"/>
        </w:rPr>
        <w:t>an individual and a consolidated basis</w:t>
      </w:r>
    </w:p>
    <w:p w:rsidR="00716EA9" w:rsidRPr="00C856B2" w:rsidRDefault="00DE6B7D" w:rsidP="00716EA9">
      <w:pPr>
        <w:spacing w:after="0"/>
        <w:rPr>
          <w:noProof/>
          <w:color w:val="000000"/>
          <w:szCs w:val="24"/>
          <w:lang w:val="en-IE"/>
        </w:rPr>
      </w:pPr>
      <w:r w:rsidRPr="00C856B2">
        <w:rPr>
          <w:noProof/>
          <w:color w:val="000000"/>
          <w:szCs w:val="24"/>
          <w:lang w:val="en-IE"/>
        </w:rPr>
        <w:t xml:space="preserve">Institutions that report </w:t>
      </w:r>
      <w:r w:rsidR="00B70B8F" w:rsidRPr="00C856B2">
        <w:rPr>
          <w:noProof/>
          <w:color w:val="000000"/>
          <w:szCs w:val="24"/>
          <w:lang w:val="en-IE"/>
        </w:rPr>
        <w:t>the</w:t>
      </w:r>
      <w:r w:rsidR="00716EA9" w:rsidRPr="00C856B2">
        <w:rPr>
          <w:noProof/>
          <w:color w:val="000000"/>
          <w:szCs w:val="24"/>
          <w:lang w:val="en-IE"/>
        </w:rPr>
        <w:t xml:space="preserve"> information </w:t>
      </w:r>
      <w:r w:rsidR="004A4960" w:rsidRPr="00C856B2">
        <w:rPr>
          <w:noProof/>
          <w:color w:val="000000"/>
          <w:szCs w:val="24"/>
          <w:lang w:val="en-IE"/>
        </w:rPr>
        <w:t>referred to in</w:t>
      </w:r>
      <w:r w:rsidR="00716EA9" w:rsidRPr="00C856B2">
        <w:rPr>
          <w:noProof/>
          <w:color w:val="000000"/>
          <w:szCs w:val="24"/>
          <w:lang w:val="en-IE"/>
        </w:rPr>
        <w:t xml:space="preserve"> Article 394 of Regulation (EU) No</w:t>
      </w:r>
      <w:r w:rsidR="004A4960" w:rsidRPr="00C856B2">
        <w:rPr>
          <w:noProof/>
          <w:color w:val="000000"/>
          <w:szCs w:val="24"/>
          <w:lang w:val="en-IE"/>
        </w:rPr>
        <w:t> </w:t>
      </w:r>
      <w:r w:rsidR="00716EA9" w:rsidRPr="00C856B2">
        <w:rPr>
          <w:noProof/>
          <w:color w:val="000000"/>
          <w:szCs w:val="24"/>
          <w:lang w:val="en-IE"/>
        </w:rPr>
        <w:t xml:space="preserve">575/2013 on </w:t>
      </w:r>
      <w:r w:rsidR="00CE208C" w:rsidRPr="00C856B2">
        <w:rPr>
          <w:noProof/>
          <w:color w:val="000000"/>
          <w:szCs w:val="24"/>
          <w:lang w:val="en-IE"/>
        </w:rPr>
        <w:t xml:space="preserve">both </w:t>
      </w:r>
      <w:r w:rsidR="00716EA9" w:rsidRPr="00C856B2">
        <w:rPr>
          <w:noProof/>
          <w:color w:val="000000"/>
          <w:szCs w:val="24"/>
          <w:lang w:val="en-IE"/>
        </w:rPr>
        <w:t>an individual and a consolidated basis</w:t>
      </w:r>
      <w:r w:rsidRPr="00C856B2">
        <w:rPr>
          <w:noProof/>
          <w:color w:val="000000"/>
          <w:szCs w:val="24"/>
          <w:lang w:val="en-IE"/>
        </w:rPr>
        <w:t xml:space="preserve"> </w:t>
      </w:r>
      <w:r w:rsidR="00716EA9" w:rsidRPr="00C856B2">
        <w:rPr>
          <w:noProof/>
          <w:color w:val="000000"/>
          <w:szCs w:val="24"/>
          <w:lang w:val="en-IE"/>
        </w:rPr>
        <w:t>shall submit th</w:t>
      </w:r>
      <w:r w:rsidRPr="00C856B2">
        <w:rPr>
          <w:noProof/>
          <w:color w:val="000000"/>
          <w:szCs w:val="24"/>
          <w:lang w:val="en-IE"/>
        </w:rPr>
        <w:t>at</w:t>
      </w:r>
      <w:r w:rsidR="00716EA9" w:rsidRPr="00C856B2">
        <w:rPr>
          <w:noProof/>
          <w:color w:val="000000"/>
          <w:szCs w:val="24"/>
          <w:lang w:val="en-IE"/>
        </w:rPr>
        <w:t xml:space="preserve"> information as specified in </w:t>
      </w:r>
      <w:r w:rsidR="00CE208C" w:rsidRPr="00C856B2">
        <w:rPr>
          <w:noProof/>
          <w:color w:val="000000"/>
          <w:szCs w:val="24"/>
          <w:lang w:val="en-IE"/>
        </w:rPr>
        <w:t>S</w:t>
      </w:r>
      <w:r w:rsidR="00D84BC5" w:rsidRPr="00C856B2">
        <w:rPr>
          <w:noProof/>
          <w:color w:val="000000"/>
          <w:szCs w:val="24"/>
          <w:lang w:val="en-IE"/>
        </w:rPr>
        <w:t>ection 5 -</w:t>
      </w:r>
      <w:r w:rsidR="00716EA9" w:rsidRPr="00C856B2">
        <w:rPr>
          <w:noProof/>
          <w:color w:val="000000"/>
          <w:szCs w:val="24"/>
          <w:lang w:val="en-IE"/>
        </w:rPr>
        <w:t xml:space="preserve"> ‘Reporting on large exposures</w:t>
      </w:r>
      <w:r w:rsidR="00AD54BA" w:rsidRPr="00C856B2">
        <w:rPr>
          <w:noProof/>
          <w:color w:val="000000"/>
          <w:szCs w:val="24"/>
          <w:lang w:val="en-IE"/>
        </w:rPr>
        <w:t xml:space="preserve"> and concentration risk</w:t>
      </w:r>
      <w:r w:rsidR="00716EA9" w:rsidRPr="00C856B2">
        <w:rPr>
          <w:noProof/>
          <w:color w:val="000000"/>
          <w:szCs w:val="24"/>
          <w:lang w:val="en-IE"/>
        </w:rPr>
        <w:t xml:space="preserve">’ </w:t>
      </w:r>
      <w:r w:rsidR="00D84BC5" w:rsidRPr="00C856B2">
        <w:rPr>
          <w:noProof/>
          <w:color w:val="000000"/>
          <w:szCs w:val="24"/>
          <w:lang w:val="en-IE"/>
        </w:rPr>
        <w:t xml:space="preserve">of Annex I </w:t>
      </w:r>
      <w:r w:rsidR="00CE208C" w:rsidRPr="00C856B2">
        <w:rPr>
          <w:noProof/>
          <w:color w:val="000000"/>
          <w:szCs w:val="24"/>
          <w:lang w:val="en-IE"/>
        </w:rPr>
        <w:t xml:space="preserve">to this Regulation </w:t>
      </w:r>
      <w:r w:rsidR="00716EA9" w:rsidRPr="00C856B2">
        <w:rPr>
          <w:noProof/>
          <w:color w:val="000000"/>
          <w:szCs w:val="24"/>
          <w:lang w:val="en-IE"/>
        </w:rPr>
        <w:t xml:space="preserve">with </w:t>
      </w:r>
      <w:r w:rsidR="00AD54BA" w:rsidRPr="00C856B2">
        <w:rPr>
          <w:noProof/>
          <w:color w:val="000000"/>
          <w:szCs w:val="24"/>
          <w:lang w:val="en-IE"/>
        </w:rPr>
        <w:t xml:space="preserve">a </w:t>
      </w:r>
      <w:r w:rsidR="00750D11" w:rsidRPr="00C856B2">
        <w:rPr>
          <w:noProof/>
          <w:color w:val="000000"/>
          <w:szCs w:val="24"/>
          <w:lang w:val="en-IE"/>
        </w:rPr>
        <w:t xml:space="preserve">quarterly </w:t>
      </w:r>
      <w:r w:rsidR="00716EA9" w:rsidRPr="00C856B2">
        <w:rPr>
          <w:noProof/>
          <w:color w:val="000000"/>
          <w:szCs w:val="24"/>
          <w:lang w:val="en-IE"/>
        </w:rPr>
        <w:t>frequency.</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15</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leverage ratio on </w:t>
      </w:r>
      <w:r w:rsidR="00121CA9" w:rsidRPr="00C856B2">
        <w:rPr>
          <w:b/>
          <w:bCs/>
          <w:i w:val="0"/>
          <w:iCs/>
          <w:noProof/>
          <w:szCs w:val="24"/>
          <w:lang w:val="en-IE"/>
        </w:rPr>
        <w:t xml:space="preserve">both </w:t>
      </w:r>
      <w:r w:rsidRPr="00C856B2">
        <w:rPr>
          <w:b/>
          <w:bCs/>
          <w:i w:val="0"/>
          <w:iCs/>
          <w:noProof/>
          <w:szCs w:val="24"/>
          <w:lang w:val="en-IE"/>
        </w:rPr>
        <w:t>an individual and a consolidated basis</w:t>
      </w:r>
    </w:p>
    <w:p w:rsidR="00675E5F" w:rsidRPr="00C856B2" w:rsidRDefault="004118AF" w:rsidP="004118AF">
      <w:pPr>
        <w:pStyle w:val="ManualNumPar1"/>
        <w:rPr>
          <w:noProof/>
          <w:lang w:val="en-IE"/>
        </w:rPr>
      </w:pPr>
      <w:r w:rsidRPr="004118AF">
        <w:rPr>
          <w:noProof/>
        </w:rPr>
        <w:t>1.</w:t>
      </w:r>
      <w:r w:rsidRPr="004118AF">
        <w:rPr>
          <w:noProof/>
        </w:rPr>
        <w:tab/>
      </w:r>
      <w:r w:rsidR="004A4F90" w:rsidRPr="00C856B2">
        <w:rPr>
          <w:noProof/>
          <w:lang w:val="en-IE"/>
        </w:rPr>
        <w:t>Institutions that</w:t>
      </w:r>
      <w:r w:rsidR="00716EA9" w:rsidRPr="00C856B2">
        <w:rPr>
          <w:noProof/>
          <w:lang w:val="en-IE"/>
        </w:rPr>
        <w:t xml:space="preserve"> report the</w:t>
      </w:r>
      <w:r w:rsidR="00760D16" w:rsidRPr="00C856B2">
        <w:rPr>
          <w:noProof/>
          <w:lang w:val="en-IE"/>
        </w:rPr>
        <w:t>ir</w:t>
      </w:r>
      <w:r w:rsidR="00716EA9" w:rsidRPr="00C856B2">
        <w:rPr>
          <w:noProof/>
          <w:lang w:val="en-IE"/>
        </w:rPr>
        <w:t xml:space="preserve"> leverage ratio</w:t>
      </w:r>
      <w:r w:rsidR="00760D16" w:rsidRPr="00C856B2">
        <w:rPr>
          <w:noProof/>
          <w:lang w:val="en-IE"/>
        </w:rPr>
        <w:t xml:space="preserve"> as</w:t>
      </w:r>
      <w:r w:rsidR="00716EA9" w:rsidRPr="00C856B2">
        <w:rPr>
          <w:noProof/>
          <w:lang w:val="en-IE"/>
        </w:rPr>
        <w:t xml:space="preserve"> </w:t>
      </w:r>
      <w:r w:rsidR="004A4F90" w:rsidRPr="00C856B2">
        <w:rPr>
          <w:noProof/>
          <w:lang w:val="en-IE"/>
        </w:rPr>
        <w:t>referred to in</w:t>
      </w:r>
      <w:r w:rsidR="00716EA9" w:rsidRPr="00C856B2">
        <w:rPr>
          <w:noProof/>
          <w:lang w:val="en-IE"/>
        </w:rPr>
        <w:t xml:space="preserve"> Article 430(1), point (a), of Regulation (EU) No 575/2013 on </w:t>
      </w:r>
      <w:r w:rsidR="00CE208C" w:rsidRPr="00C856B2">
        <w:rPr>
          <w:noProof/>
          <w:lang w:val="en-IE"/>
        </w:rPr>
        <w:t xml:space="preserve">both </w:t>
      </w:r>
      <w:r w:rsidR="00716EA9" w:rsidRPr="00C856B2">
        <w:rPr>
          <w:noProof/>
          <w:lang w:val="en-IE"/>
        </w:rPr>
        <w:t>an individual and a consolidated basis shall submit th</w:t>
      </w:r>
      <w:r w:rsidR="004A4F90" w:rsidRPr="00C856B2">
        <w:rPr>
          <w:noProof/>
          <w:lang w:val="en-IE"/>
        </w:rPr>
        <w:t>at</w:t>
      </w:r>
      <w:r w:rsidR="00716EA9" w:rsidRPr="00C856B2">
        <w:rPr>
          <w:noProof/>
          <w:lang w:val="en-IE"/>
        </w:rPr>
        <w:t xml:space="preserve"> information as specified in </w:t>
      </w:r>
      <w:r w:rsidR="00121CA9" w:rsidRPr="00C856B2">
        <w:rPr>
          <w:noProof/>
          <w:lang w:val="en-IE"/>
        </w:rPr>
        <w:t>S</w:t>
      </w:r>
      <w:r w:rsidR="00F207BE" w:rsidRPr="00C856B2">
        <w:rPr>
          <w:noProof/>
          <w:lang w:val="en-IE"/>
        </w:rPr>
        <w:t>ection 6 -</w:t>
      </w:r>
      <w:r w:rsidR="00716EA9" w:rsidRPr="00C856B2">
        <w:rPr>
          <w:noProof/>
          <w:lang w:val="en-IE"/>
        </w:rPr>
        <w:t xml:space="preserve"> ‘Reporting on the leverage’ </w:t>
      </w:r>
      <w:r w:rsidR="00F207BE" w:rsidRPr="00C856B2">
        <w:rPr>
          <w:noProof/>
          <w:lang w:val="en-IE"/>
        </w:rPr>
        <w:t>of Annex I</w:t>
      </w:r>
      <w:r w:rsidR="00121CA9" w:rsidRPr="00C856B2">
        <w:rPr>
          <w:noProof/>
          <w:lang w:val="en-IE"/>
        </w:rPr>
        <w:t xml:space="preserve"> to this Regulation</w:t>
      </w:r>
      <w:r w:rsidR="00716EA9" w:rsidRPr="00C856B2">
        <w:rPr>
          <w:noProof/>
          <w:lang w:val="en-IE"/>
        </w:rPr>
        <w:t xml:space="preserve"> with </w:t>
      </w:r>
      <w:r w:rsidR="00750D11" w:rsidRPr="00C856B2">
        <w:rPr>
          <w:noProof/>
          <w:lang w:val="en-IE"/>
        </w:rPr>
        <w:t xml:space="preserve">a quarterly </w:t>
      </w:r>
      <w:r w:rsidR="00716EA9" w:rsidRPr="00C856B2">
        <w:rPr>
          <w:noProof/>
          <w:lang w:val="en-IE"/>
        </w:rPr>
        <w:t>frequency.</w:t>
      </w:r>
      <w:r w:rsidR="00675E5F" w:rsidRPr="00C856B2">
        <w:rPr>
          <w:noProof/>
        </w:rPr>
        <w:t xml:space="preserve"> </w:t>
      </w:r>
      <w:r w:rsidR="00675E5F" w:rsidRPr="00C856B2">
        <w:rPr>
          <w:noProof/>
          <w:lang w:val="en-IE"/>
        </w:rPr>
        <w:t>Only large institutions shall submit template</w:t>
      </w:r>
      <w:r w:rsidR="00D7091C" w:rsidRPr="00C856B2">
        <w:rPr>
          <w:noProof/>
          <w:lang w:val="en-IE"/>
        </w:rPr>
        <w:t xml:space="preserve"> C</w:t>
      </w:r>
      <w:r w:rsidR="00675E5F" w:rsidRPr="00C856B2">
        <w:rPr>
          <w:noProof/>
          <w:lang w:val="en-IE"/>
        </w:rPr>
        <w:t xml:space="preserve"> 48.00 on information on leverage ratio volatility.</w:t>
      </w:r>
    </w:p>
    <w:p w:rsidR="00675E5F" w:rsidRPr="00C856B2" w:rsidRDefault="004118AF" w:rsidP="004118AF">
      <w:pPr>
        <w:pStyle w:val="ManualNumPar1"/>
        <w:rPr>
          <w:noProof/>
          <w:lang w:val="en-IE"/>
        </w:rPr>
      </w:pPr>
      <w:r w:rsidRPr="004118AF">
        <w:rPr>
          <w:noProof/>
        </w:rPr>
        <w:t>2.</w:t>
      </w:r>
      <w:r w:rsidRPr="004118AF">
        <w:rPr>
          <w:noProof/>
        </w:rPr>
        <w:tab/>
      </w:r>
      <w:r w:rsidR="00675E5F" w:rsidRPr="00C856B2">
        <w:rPr>
          <w:noProof/>
          <w:lang w:val="en-IE"/>
        </w:rPr>
        <w:t xml:space="preserve">The information specified in template </w:t>
      </w:r>
      <w:r w:rsidR="00D7091C" w:rsidRPr="00C856B2">
        <w:rPr>
          <w:noProof/>
          <w:lang w:val="en-IE"/>
        </w:rPr>
        <w:t xml:space="preserve">C </w:t>
      </w:r>
      <w:r w:rsidR="00675E5F" w:rsidRPr="00C856B2">
        <w:rPr>
          <w:noProof/>
          <w:lang w:val="en-IE"/>
        </w:rPr>
        <w:t>40.00, cell {r0410;c0010}on the total assets shall be reported only by:</w:t>
      </w:r>
    </w:p>
    <w:p w:rsidR="00675E5F" w:rsidRPr="00C856B2" w:rsidRDefault="004118AF" w:rsidP="004118AF">
      <w:pPr>
        <w:pStyle w:val="Point1"/>
        <w:rPr>
          <w:noProof/>
          <w:lang w:val="en-IE"/>
        </w:rPr>
      </w:pPr>
      <w:r w:rsidRPr="004118AF">
        <w:rPr>
          <w:noProof/>
        </w:rPr>
        <w:t>(a)</w:t>
      </w:r>
      <w:r w:rsidRPr="004118AF">
        <w:rPr>
          <w:noProof/>
        </w:rPr>
        <w:tab/>
      </w:r>
      <w:r w:rsidR="00675E5F" w:rsidRPr="00C856B2">
        <w:rPr>
          <w:noProof/>
          <w:lang w:val="en-IE"/>
        </w:rPr>
        <w:t>large institutions that either are G-SIIs or have issued securities that are admitted to trading on a regulated market with a semi-annual frequency;</w:t>
      </w:r>
    </w:p>
    <w:p w:rsidR="00675E5F" w:rsidRPr="00C856B2" w:rsidRDefault="004118AF" w:rsidP="004118AF">
      <w:pPr>
        <w:pStyle w:val="Point1"/>
        <w:rPr>
          <w:noProof/>
          <w:lang w:val="en-IE"/>
        </w:rPr>
      </w:pPr>
      <w:r w:rsidRPr="004118AF">
        <w:rPr>
          <w:noProof/>
        </w:rPr>
        <w:t>(b)</w:t>
      </w:r>
      <w:r w:rsidRPr="004118AF">
        <w:rPr>
          <w:noProof/>
        </w:rPr>
        <w:tab/>
      </w:r>
      <w:r w:rsidR="00675E5F" w:rsidRPr="00C856B2">
        <w:rPr>
          <w:noProof/>
          <w:lang w:val="en-IE"/>
        </w:rPr>
        <w:t>large institutions other than G-SIIs that are not listed institutions with an annual frequency;</w:t>
      </w:r>
    </w:p>
    <w:p w:rsidR="00675E5F" w:rsidRPr="00C856B2" w:rsidRDefault="004118AF" w:rsidP="004118AF">
      <w:pPr>
        <w:pStyle w:val="Point1"/>
        <w:rPr>
          <w:noProof/>
          <w:lang w:val="en-IE"/>
        </w:rPr>
      </w:pPr>
      <w:r w:rsidRPr="004118AF">
        <w:rPr>
          <w:noProof/>
        </w:rPr>
        <w:t>(c)</w:t>
      </w:r>
      <w:r w:rsidRPr="004118AF">
        <w:rPr>
          <w:noProof/>
        </w:rPr>
        <w:tab/>
      </w:r>
      <w:r w:rsidR="00675E5F" w:rsidRPr="00C856B2">
        <w:rPr>
          <w:noProof/>
          <w:lang w:val="en-IE"/>
        </w:rPr>
        <w:t>institutions other than large institutions and small and non-complex institutions that have issued securities that are admitted to trading on a regulated market with an annual frequency.</w:t>
      </w:r>
    </w:p>
    <w:p w:rsidR="00675E5F" w:rsidRPr="00C856B2" w:rsidRDefault="004118AF" w:rsidP="004118AF">
      <w:pPr>
        <w:pStyle w:val="ManualNumPar1"/>
        <w:rPr>
          <w:noProof/>
          <w:lang w:val="en-IE"/>
        </w:rPr>
      </w:pPr>
      <w:r w:rsidRPr="004118AF">
        <w:rPr>
          <w:noProof/>
        </w:rPr>
        <w:t>3.</w:t>
      </w:r>
      <w:r w:rsidRPr="004118AF">
        <w:rPr>
          <w:noProof/>
        </w:rPr>
        <w:tab/>
      </w:r>
      <w:r w:rsidR="00675E5F" w:rsidRPr="00C856B2">
        <w:rPr>
          <w:noProof/>
          <w:lang w:val="en-IE"/>
        </w:rPr>
        <w:t xml:space="preserve">Institutions shall report the additional information on leverage ratio as specified in template </w:t>
      </w:r>
      <w:r w:rsidR="00D7091C" w:rsidRPr="00C856B2">
        <w:rPr>
          <w:noProof/>
          <w:lang w:val="en-IE"/>
        </w:rPr>
        <w:t xml:space="preserve">C </w:t>
      </w:r>
      <w:r w:rsidR="00675E5F" w:rsidRPr="00C856B2">
        <w:rPr>
          <w:noProof/>
          <w:lang w:val="en-IE"/>
        </w:rPr>
        <w:t>40.00, cells {r0010;c0010}, {r0010;c0020}, {r0020;c0010}, {r0020;c0020}, {r0030;c0070}, {r0040;c0070}, {r0050;c0010}, {r0050;c0020}, {r0060;c0010}, {r0060;c0020}, and {r0060;c0070}, where at least one of the following conditions is met:</w:t>
      </w:r>
    </w:p>
    <w:p w:rsidR="00675E5F" w:rsidRPr="00C856B2" w:rsidRDefault="004118AF" w:rsidP="004118AF">
      <w:pPr>
        <w:pStyle w:val="Point1"/>
        <w:rPr>
          <w:noProof/>
          <w:lang w:val="en-IE"/>
        </w:rPr>
      </w:pPr>
      <w:r w:rsidRPr="004118AF">
        <w:rPr>
          <w:noProof/>
        </w:rPr>
        <w:t>(a)</w:t>
      </w:r>
      <w:r w:rsidRPr="004118AF">
        <w:rPr>
          <w:noProof/>
        </w:rPr>
        <w:tab/>
      </w:r>
      <w:r w:rsidR="00675E5F" w:rsidRPr="00C856B2">
        <w:rPr>
          <w:noProof/>
          <w:lang w:val="en-IE"/>
        </w:rPr>
        <w:t xml:space="preserve">the derivative share </w:t>
      </w:r>
      <w:r w:rsidR="00797855" w:rsidRPr="00C856B2">
        <w:rPr>
          <w:noProof/>
          <w:lang w:val="en-IE"/>
        </w:rPr>
        <w:t>specified</w:t>
      </w:r>
      <w:r w:rsidR="00675E5F" w:rsidRPr="00C856B2">
        <w:rPr>
          <w:noProof/>
          <w:lang w:val="en-IE"/>
        </w:rPr>
        <w:t xml:space="preserve"> as the derivative exposure measure divided by the total exposure measure, is more than 1,5 %;</w:t>
      </w:r>
    </w:p>
    <w:p w:rsidR="00675E5F" w:rsidRPr="00C856B2" w:rsidRDefault="004118AF" w:rsidP="004118AF">
      <w:pPr>
        <w:pStyle w:val="Point1"/>
        <w:rPr>
          <w:noProof/>
          <w:lang w:val="en-IE"/>
        </w:rPr>
      </w:pPr>
      <w:r w:rsidRPr="004118AF">
        <w:rPr>
          <w:noProof/>
        </w:rPr>
        <w:t>(b)</w:t>
      </w:r>
      <w:r w:rsidRPr="004118AF">
        <w:rPr>
          <w:noProof/>
        </w:rPr>
        <w:tab/>
      </w:r>
      <w:r w:rsidR="00675E5F" w:rsidRPr="00C856B2">
        <w:rPr>
          <w:noProof/>
          <w:lang w:val="en-IE"/>
        </w:rPr>
        <w:t xml:space="preserve">the derivative share </w:t>
      </w:r>
      <w:r w:rsidR="00797855" w:rsidRPr="00C856B2">
        <w:rPr>
          <w:noProof/>
          <w:lang w:val="en-IE"/>
        </w:rPr>
        <w:t>specified</w:t>
      </w:r>
      <w:r w:rsidR="00675E5F" w:rsidRPr="00C856B2">
        <w:rPr>
          <w:noProof/>
          <w:lang w:val="en-IE"/>
        </w:rPr>
        <w:t xml:space="preserve"> as the derivative exposure measure divided by the total exposure measure, exceeds 2%.</w:t>
      </w:r>
    </w:p>
    <w:p w:rsidR="00675E5F" w:rsidRPr="00C856B2" w:rsidRDefault="00797855" w:rsidP="001D2A25">
      <w:pPr>
        <w:pStyle w:val="Text1"/>
        <w:rPr>
          <w:noProof/>
          <w:lang w:val="en-IE"/>
        </w:rPr>
      </w:pPr>
      <w:r w:rsidRPr="00C856B2">
        <w:rPr>
          <w:noProof/>
          <w:lang w:val="en-IE"/>
        </w:rPr>
        <w:t>Where</w:t>
      </w:r>
      <w:r w:rsidR="00675E5F" w:rsidRPr="00C856B2">
        <w:rPr>
          <w:noProof/>
          <w:lang w:val="en-IE"/>
        </w:rPr>
        <w:t xml:space="preserve"> an institution meets only the condition</w:t>
      </w:r>
      <w:r w:rsidRPr="00C856B2">
        <w:rPr>
          <w:noProof/>
          <w:lang w:val="en-IE"/>
        </w:rPr>
        <w:t xml:space="preserve"> laid down in point (a)</w:t>
      </w:r>
      <w:r w:rsidR="00745A2E" w:rsidRPr="00C856B2">
        <w:rPr>
          <w:noProof/>
          <w:lang w:val="en-IE"/>
        </w:rPr>
        <w:t xml:space="preserve"> of the first subparagraph</w:t>
      </w:r>
      <w:r w:rsidR="00675E5F" w:rsidRPr="00C856B2">
        <w:rPr>
          <w:noProof/>
          <w:lang w:val="en-IE"/>
        </w:rPr>
        <w:t xml:space="preserve">, the entry and exit criteria of Article 4(3) of </w:t>
      </w:r>
      <w:r w:rsidR="00D7091C" w:rsidRPr="00C856B2">
        <w:rPr>
          <w:noProof/>
          <w:lang w:val="en-IE"/>
        </w:rPr>
        <w:t>this Regulation</w:t>
      </w:r>
      <w:r w:rsidR="00675E5F" w:rsidRPr="00C856B2">
        <w:rPr>
          <w:noProof/>
          <w:lang w:val="en-IE"/>
        </w:rPr>
        <w:t xml:space="preserve"> shall apply. </w:t>
      </w:r>
      <w:r w:rsidRPr="00C856B2">
        <w:rPr>
          <w:noProof/>
          <w:lang w:val="en-IE"/>
        </w:rPr>
        <w:t>A</w:t>
      </w:r>
      <w:r w:rsidR="00675E5F" w:rsidRPr="00C856B2">
        <w:rPr>
          <w:noProof/>
          <w:lang w:val="en-IE"/>
        </w:rPr>
        <w:t>n institution</w:t>
      </w:r>
      <w:r w:rsidRPr="00C856B2">
        <w:rPr>
          <w:noProof/>
          <w:lang w:val="en-IE"/>
        </w:rPr>
        <w:t xml:space="preserve"> that</w:t>
      </w:r>
      <w:r w:rsidR="00675E5F" w:rsidRPr="00C856B2">
        <w:rPr>
          <w:noProof/>
          <w:lang w:val="en-IE"/>
        </w:rPr>
        <w:t xml:space="preserve"> meets </w:t>
      </w:r>
      <w:r w:rsidRPr="00C856B2">
        <w:rPr>
          <w:noProof/>
          <w:lang w:val="en-IE"/>
        </w:rPr>
        <w:t xml:space="preserve">the conditions laid down in </w:t>
      </w:r>
      <w:r w:rsidR="00675E5F" w:rsidRPr="00C856B2">
        <w:rPr>
          <w:noProof/>
          <w:lang w:val="en-IE"/>
        </w:rPr>
        <w:t>both point (a) and point (b)</w:t>
      </w:r>
      <w:r w:rsidRPr="00C856B2">
        <w:rPr>
          <w:noProof/>
          <w:lang w:val="en-IE"/>
        </w:rPr>
        <w:t xml:space="preserve"> of the first subparagraph </w:t>
      </w:r>
      <w:r w:rsidR="00675E5F" w:rsidRPr="00C856B2">
        <w:rPr>
          <w:noProof/>
          <w:lang w:val="en-IE"/>
        </w:rPr>
        <w:t xml:space="preserve">shall start reporting </w:t>
      </w:r>
      <w:r w:rsidR="00173889" w:rsidRPr="00C856B2">
        <w:rPr>
          <w:noProof/>
          <w:lang w:val="en-IE"/>
        </w:rPr>
        <w:t>information on leverage ratio</w:t>
      </w:r>
      <w:r w:rsidR="00173889" w:rsidRPr="00C856B2" w:rsidDel="00173889">
        <w:rPr>
          <w:rStyle w:val="CommentReference"/>
          <w:noProof/>
        </w:rPr>
        <w:t xml:space="preserve"> </w:t>
      </w:r>
      <w:r w:rsidR="00675E5F" w:rsidRPr="00C856B2">
        <w:rPr>
          <w:noProof/>
          <w:lang w:val="en-IE"/>
        </w:rPr>
        <w:t>for the reference date following the reporting reference date on which it exceeded the threshold.</w:t>
      </w:r>
    </w:p>
    <w:p w:rsidR="00675E5F" w:rsidRPr="00C856B2" w:rsidRDefault="004118AF" w:rsidP="004118AF">
      <w:pPr>
        <w:pStyle w:val="ManualNumPar1"/>
        <w:rPr>
          <w:noProof/>
          <w:lang w:val="en-IE"/>
        </w:rPr>
      </w:pPr>
      <w:r w:rsidRPr="004118AF">
        <w:rPr>
          <w:noProof/>
        </w:rPr>
        <w:t>4.</w:t>
      </w:r>
      <w:r w:rsidRPr="004118AF">
        <w:rPr>
          <w:noProof/>
        </w:rPr>
        <w:tab/>
      </w:r>
      <w:r w:rsidR="00675E5F" w:rsidRPr="00C856B2">
        <w:rPr>
          <w:noProof/>
          <w:lang w:val="en-IE"/>
        </w:rPr>
        <w:t xml:space="preserve">Institutions for which the total notional value of derivatives as </w:t>
      </w:r>
      <w:r w:rsidR="0070157B" w:rsidRPr="00C856B2">
        <w:rPr>
          <w:noProof/>
          <w:lang w:val="en-IE"/>
        </w:rPr>
        <w:t>specified</w:t>
      </w:r>
      <w:r w:rsidR="00675E5F" w:rsidRPr="00C856B2">
        <w:rPr>
          <w:noProof/>
          <w:lang w:val="en-IE"/>
        </w:rPr>
        <w:t xml:space="preserve"> in template </w:t>
      </w:r>
      <w:r w:rsidR="00D323FB" w:rsidRPr="00C856B2">
        <w:rPr>
          <w:noProof/>
          <w:lang w:val="en-IE"/>
        </w:rPr>
        <w:t xml:space="preserve">C </w:t>
      </w:r>
      <w:r w:rsidR="00675E5F" w:rsidRPr="00C856B2">
        <w:rPr>
          <w:noProof/>
          <w:lang w:val="en-IE"/>
        </w:rPr>
        <w:t>40.00, cell {r0010;c0070}, exceeds EUR 10 000 million shall report the information referred to in template 40.00, cells {r0010;c0010}, {r0010;c0020}, {r0020;c0010}, {r0020;c0020}, {r0030;c0070}, {r0040;c0070}, {r0050;c0010}, {r0050;c0020}, {r0060;c0010}, {r0060;c0020}, and {r0060;c0070}, even if their derivatives share does not fulfil the conditions set out in paragraph</w:t>
      </w:r>
      <w:r w:rsidR="00745A2E" w:rsidRPr="00C856B2">
        <w:rPr>
          <w:noProof/>
          <w:lang w:val="en-IE"/>
        </w:rPr>
        <w:t xml:space="preserve"> 3</w:t>
      </w:r>
      <w:r w:rsidR="00675E5F" w:rsidRPr="00C856B2">
        <w:rPr>
          <w:noProof/>
          <w:lang w:val="en-IE"/>
        </w:rPr>
        <w:t>.</w:t>
      </w:r>
    </w:p>
    <w:p w:rsidR="00675E5F" w:rsidRPr="00C856B2" w:rsidRDefault="00675E5F" w:rsidP="00C856B2">
      <w:pPr>
        <w:pStyle w:val="Text1"/>
        <w:rPr>
          <w:noProof/>
          <w:lang w:val="en-IE"/>
        </w:rPr>
      </w:pPr>
      <w:r w:rsidRPr="00C856B2">
        <w:rPr>
          <w:noProof/>
          <w:lang w:val="en-IE"/>
        </w:rPr>
        <w:t>For the purposes of th</w:t>
      </w:r>
      <w:r w:rsidR="00745A2E" w:rsidRPr="00C856B2">
        <w:rPr>
          <w:noProof/>
          <w:lang w:val="en-IE"/>
        </w:rPr>
        <w:t>e</w:t>
      </w:r>
      <w:r w:rsidRPr="00C856B2">
        <w:rPr>
          <w:noProof/>
          <w:lang w:val="en-IE"/>
        </w:rPr>
        <w:t xml:space="preserve"> </w:t>
      </w:r>
      <w:r w:rsidR="00745A2E" w:rsidRPr="00C856B2">
        <w:rPr>
          <w:noProof/>
          <w:lang w:val="en-IE"/>
        </w:rPr>
        <w:t xml:space="preserve">first subparagraph </w:t>
      </w:r>
      <w:r w:rsidRPr="00C856B2">
        <w:rPr>
          <w:noProof/>
          <w:lang w:val="en-IE"/>
        </w:rPr>
        <w:t xml:space="preserve">paragraph, the entry criteria of Article 4(3) of </w:t>
      </w:r>
      <w:r w:rsidR="00D7091C" w:rsidRPr="00C856B2">
        <w:rPr>
          <w:noProof/>
          <w:lang w:val="en-IE"/>
        </w:rPr>
        <w:t>this Regulation</w:t>
      </w:r>
      <w:r w:rsidRPr="00C856B2">
        <w:rPr>
          <w:noProof/>
          <w:lang w:val="en-IE"/>
        </w:rPr>
        <w:t xml:space="preserve"> shall not apply. Institutions shall start reporting information from the next reporting reference date where they have exceeded the threshold on one reporting reference date.</w:t>
      </w:r>
    </w:p>
    <w:p w:rsidR="00675E5F" w:rsidRPr="00C856B2" w:rsidRDefault="004118AF" w:rsidP="004118AF">
      <w:pPr>
        <w:pStyle w:val="ManualNumPar1"/>
        <w:rPr>
          <w:noProof/>
          <w:lang w:val="en-IE"/>
        </w:rPr>
      </w:pPr>
      <w:r w:rsidRPr="004118AF">
        <w:rPr>
          <w:noProof/>
        </w:rPr>
        <w:t>5.</w:t>
      </w:r>
      <w:r w:rsidRPr="004118AF">
        <w:rPr>
          <w:noProof/>
        </w:rPr>
        <w:tab/>
      </w:r>
      <w:r w:rsidR="00675E5F" w:rsidRPr="00C856B2">
        <w:rPr>
          <w:noProof/>
          <w:lang w:val="en-IE"/>
        </w:rPr>
        <w:t xml:space="preserve">Institutions </w:t>
      </w:r>
      <w:r w:rsidR="00745A2E" w:rsidRPr="00C856B2">
        <w:rPr>
          <w:noProof/>
          <w:lang w:val="en-IE"/>
        </w:rPr>
        <w:t>shall</w:t>
      </w:r>
      <w:r w:rsidR="00675E5F" w:rsidRPr="00C856B2">
        <w:rPr>
          <w:noProof/>
          <w:lang w:val="en-IE"/>
        </w:rPr>
        <w:t xml:space="preserve"> report the information referred to in template </w:t>
      </w:r>
      <w:r w:rsidR="00D7091C" w:rsidRPr="00C856B2">
        <w:rPr>
          <w:noProof/>
          <w:lang w:val="en-IE"/>
        </w:rPr>
        <w:t xml:space="preserve">C </w:t>
      </w:r>
      <w:r w:rsidR="00675E5F" w:rsidRPr="00C856B2">
        <w:rPr>
          <w:noProof/>
          <w:lang w:val="en-IE"/>
        </w:rPr>
        <w:t>40.00, cells {r0020;c0075}, {r0050;c0075} and {r0050;c0085}, where one of the following conditions is met:</w:t>
      </w:r>
    </w:p>
    <w:p w:rsidR="00675E5F" w:rsidRPr="00C856B2" w:rsidRDefault="004118AF" w:rsidP="004118AF">
      <w:pPr>
        <w:pStyle w:val="Point1"/>
        <w:rPr>
          <w:noProof/>
          <w:lang w:val="en-IE"/>
        </w:rPr>
      </w:pPr>
      <w:r w:rsidRPr="004118AF">
        <w:rPr>
          <w:noProof/>
        </w:rPr>
        <w:t>(a)</w:t>
      </w:r>
      <w:r w:rsidRPr="004118AF">
        <w:rPr>
          <w:noProof/>
        </w:rPr>
        <w:tab/>
      </w:r>
      <w:r w:rsidR="00675E5F" w:rsidRPr="00C856B2">
        <w:rPr>
          <w:noProof/>
          <w:lang w:val="en-IE"/>
        </w:rPr>
        <w:t xml:space="preserve">the credit derivatives volume </w:t>
      </w:r>
      <w:r w:rsidR="00745A2E" w:rsidRPr="00C856B2">
        <w:rPr>
          <w:noProof/>
          <w:lang w:val="en-IE"/>
        </w:rPr>
        <w:t>specified</w:t>
      </w:r>
      <w:r w:rsidR="00675E5F" w:rsidRPr="00C856B2">
        <w:rPr>
          <w:noProof/>
          <w:lang w:val="en-IE"/>
        </w:rPr>
        <w:t xml:space="preserve"> in template </w:t>
      </w:r>
      <w:r w:rsidR="00D7091C" w:rsidRPr="00C856B2">
        <w:rPr>
          <w:noProof/>
          <w:lang w:val="en-IE"/>
        </w:rPr>
        <w:t xml:space="preserve">C </w:t>
      </w:r>
      <w:r w:rsidR="00675E5F" w:rsidRPr="00C856B2">
        <w:rPr>
          <w:noProof/>
          <w:lang w:val="en-IE"/>
        </w:rPr>
        <w:t xml:space="preserve">40.00 as {r0020;c0070} + {r0050;c0070}, </w:t>
      </w:r>
      <w:r w:rsidR="00745A2E" w:rsidRPr="00C856B2">
        <w:rPr>
          <w:noProof/>
          <w:lang w:val="en-IE"/>
        </w:rPr>
        <w:t>exceeds</w:t>
      </w:r>
      <w:r w:rsidR="00675E5F" w:rsidRPr="00C856B2">
        <w:rPr>
          <w:noProof/>
          <w:lang w:val="en-IE"/>
        </w:rPr>
        <w:t xml:space="preserve"> EUR 300 million;</w:t>
      </w:r>
    </w:p>
    <w:p w:rsidR="00675E5F" w:rsidRPr="001D2A25" w:rsidRDefault="004118AF" w:rsidP="004118AF">
      <w:pPr>
        <w:pStyle w:val="Point1"/>
        <w:rPr>
          <w:noProof/>
          <w:lang w:val="en-IE"/>
        </w:rPr>
      </w:pPr>
      <w:r w:rsidRPr="004118AF">
        <w:rPr>
          <w:noProof/>
        </w:rPr>
        <w:t>(a)</w:t>
      </w:r>
      <w:r w:rsidRPr="004118AF">
        <w:rPr>
          <w:noProof/>
        </w:rPr>
        <w:tab/>
      </w:r>
      <w:r w:rsidR="00675E5F" w:rsidRPr="001D2A25">
        <w:rPr>
          <w:noProof/>
          <w:lang w:val="en-IE"/>
        </w:rPr>
        <w:t xml:space="preserve">the credit derivatives volume </w:t>
      </w:r>
      <w:r w:rsidR="00745A2E" w:rsidRPr="001D2A25">
        <w:rPr>
          <w:noProof/>
          <w:lang w:val="en-IE"/>
        </w:rPr>
        <w:t>specified</w:t>
      </w:r>
      <w:r w:rsidR="00675E5F" w:rsidRPr="001D2A25">
        <w:rPr>
          <w:noProof/>
          <w:lang w:val="en-IE"/>
        </w:rPr>
        <w:t xml:space="preserve"> in template </w:t>
      </w:r>
      <w:r w:rsidR="00D7091C" w:rsidRPr="001D2A25">
        <w:rPr>
          <w:noProof/>
          <w:lang w:val="en-IE"/>
        </w:rPr>
        <w:t xml:space="preserve">C </w:t>
      </w:r>
      <w:r w:rsidR="00675E5F" w:rsidRPr="001D2A25">
        <w:rPr>
          <w:noProof/>
          <w:lang w:val="en-IE"/>
        </w:rPr>
        <w:t>40.00 as {r0020;c0070} + {r0050;c0070}, exceeds EUR 500 million.</w:t>
      </w:r>
    </w:p>
    <w:p w:rsidR="00716EA9" w:rsidRPr="00C856B2" w:rsidRDefault="00745A2E" w:rsidP="001D2A25">
      <w:pPr>
        <w:pStyle w:val="Text1"/>
        <w:rPr>
          <w:noProof/>
        </w:rPr>
      </w:pPr>
      <w:r w:rsidRPr="00C856B2">
        <w:rPr>
          <w:noProof/>
          <w:lang w:val="en-IE"/>
        </w:rPr>
        <w:t>Where</w:t>
      </w:r>
      <w:r w:rsidR="00675E5F" w:rsidRPr="00C856B2">
        <w:rPr>
          <w:noProof/>
          <w:lang w:val="en-IE"/>
        </w:rPr>
        <w:t xml:space="preserve"> an institution meets only the</w:t>
      </w:r>
      <w:r w:rsidRPr="00C856B2">
        <w:rPr>
          <w:noProof/>
          <w:lang w:val="en-IE"/>
        </w:rPr>
        <w:t xml:space="preserve"> condition laid down in</w:t>
      </w:r>
      <w:r w:rsidR="00675E5F" w:rsidRPr="00C856B2">
        <w:rPr>
          <w:noProof/>
          <w:lang w:val="en-IE"/>
        </w:rPr>
        <w:t xml:space="preserve"> point (a)</w:t>
      </w:r>
      <w:r w:rsidRPr="00C856B2">
        <w:rPr>
          <w:noProof/>
          <w:lang w:val="en-IE"/>
        </w:rPr>
        <w:t xml:space="preserve"> of the first subparagraph</w:t>
      </w:r>
      <w:r w:rsidR="00675E5F" w:rsidRPr="00C856B2">
        <w:rPr>
          <w:noProof/>
          <w:lang w:val="en-IE"/>
        </w:rPr>
        <w:t xml:space="preserve">, the entry and exit criteria of Article 4(3) of </w:t>
      </w:r>
      <w:r w:rsidR="00D7091C" w:rsidRPr="00C856B2">
        <w:rPr>
          <w:noProof/>
          <w:lang w:val="en-IE"/>
        </w:rPr>
        <w:t>this Regulation</w:t>
      </w:r>
      <w:r w:rsidR="00675E5F" w:rsidRPr="00C856B2">
        <w:rPr>
          <w:noProof/>
          <w:lang w:val="en-IE"/>
        </w:rPr>
        <w:t xml:space="preserve"> shall apply. </w:t>
      </w:r>
      <w:r w:rsidRPr="00C856B2">
        <w:rPr>
          <w:noProof/>
          <w:lang w:val="en-IE"/>
        </w:rPr>
        <w:t>A</w:t>
      </w:r>
      <w:r w:rsidR="00675E5F" w:rsidRPr="00C856B2">
        <w:rPr>
          <w:noProof/>
          <w:lang w:val="en-IE"/>
        </w:rPr>
        <w:t xml:space="preserve">n institution </w:t>
      </w:r>
      <w:r w:rsidRPr="00C856B2">
        <w:rPr>
          <w:noProof/>
          <w:lang w:val="en-IE"/>
        </w:rPr>
        <w:t xml:space="preserve">that </w:t>
      </w:r>
      <w:r w:rsidR="00675E5F" w:rsidRPr="00C856B2">
        <w:rPr>
          <w:noProof/>
          <w:lang w:val="en-IE"/>
        </w:rPr>
        <w:t xml:space="preserve">meets </w:t>
      </w:r>
      <w:r w:rsidRPr="00C856B2">
        <w:rPr>
          <w:noProof/>
          <w:lang w:val="en-IE"/>
        </w:rPr>
        <w:t>the conditions laid down in both point (a) and point (b) of the first subparagraph</w:t>
      </w:r>
      <w:r w:rsidR="00675E5F" w:rsidRPr="00C856B2">
        <w:rPr>
          <w:noProof/>
          <w:lang w:val="en-IE"/>
        </w:rPr>
        <w:t xml:space="preserve"> shall start reporting that information for the reference date following the reporting reference date on which it exceeded the threshold.</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16</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the liquidity coverage on </w:t>
      </w:r>
      <w:r w:rsidR="00121CA9" w:rsidRPr="00C856B2">
        <w:rPr>
          <w:b/>
          <w:bCs/>
          <w:i w:val="0"/>
          <w:iCs/>
          <w:noProof/>
          <w:szCs w:val="24"/>
          <w:lang w:val="en-IE"/>
        </w:rPr>
        <w:t xml:space="preserve">both </w:t>
      </w:r>
      <w:r w:rsidRPr="00C856B2">
        <w:rPr>
          <w:b/>
          <w:bCs/>
          <w:i w:val="0"/>
          <w:iCs/>
          <w:noProof/>
          <w:szCs w:val="24"/>
          <w:lang w:val="en-IE"/>
        </w:rPr>
        <w:t>an individual and a consolidated basis</w:t>
      </w:r>
    </w:p>
    <w:p w:rsidR="00716EA9" w:rsidRPr="00C856B2" w:rsidRDefault="004118AF" w:rsidP="004118AF">
      <w:pPr>
        <w:pStyle w:val="ManualNumPar1"/>
        <w:rPr>
          <w:noProof/>
          <w:lang w:val="en-IE"/>
        </w:rPr>
      </w:pPr>
      <w:r w:rsidRPr="004118AF">
        <w:rPr>
          <w:noProof/>
        </w:rPr>
        <w:t>1.</w:t>
      </w:r>
      <w:r w:rsidRPr="004118AF">
        <w:rPr>
          <w:noProof/>
        </w:rPr>
        <w:tab/>
      </w:r>
      <w:r w:rsidR="000056CB" w:rsidRPr="00C856B2">
        <w:rPr>
          <w:noProof/>
          <w:lang w:val="en-IE"/>
        </w:rPr>
        <w:t xml:space="preserve">Institutions that </w:t>
      </w:r>
      <w:r w:rsidR="00716EA9" w:rsidRPr="00C856B2">
        <w:rPr>
          <w:noProof/>
          <w:lang w:val="en-IE"/>
        </w:rPr>
        <w:t xml:space="preserve">report </w:t>
      </w:r>
      <w:r w:rsidR="00760D16" w:rsidRPr="00C856B2">
        <w:rPr>
          <w:noProof/>
          <w:lang w:val="en-IE"/>
        </w:rPr>
        <w:t xml:space="preserve">their </w:t>
      </w:r>
      <w:r w:rsidR="00716EA9" w:rsidRPr="00C856B2">
        <w:rPr>
          <w:noProof/>
          <w:lang w:val="en-IE"/>
        </w:rPr>
        <w:t xml:space="preserve">liquidity coverage </w:t>
      </w:r>
      <w:r w:rsidR="003A6B2D" w:rsidRPr="00C856B2">
        <w:rPr>
          <w:noProof/>
          <w:lang w:val="en-IE"/>
        </w:rPr>
        <w:t xml:space="preserve">as referred to </w:t>
      </w:r>
      <w:r w:rsidR="00716EA9" w:rsidRPr="00C856B2">
        <w:rPr>
          <w:noProof/>
          <w:lang w:val="en-IE"/>
        </w:rPr>
        <w:t>in</w:t>
      </w:r>
      <w:r w:rsidR="00A0651D" w:rsidRPr="00C856B2">
        <w:rPr>
          <w:noProof/>
          <w:lang w:val="en-IE"/>
        </w:rPr>
        <w:t xml:space="preserve"> Article 412 of Regulation (EU) No 575/2013 and as required by</w:t>
      </w:r>
      <w:r w:rsidR="00716EA9" w:rsidRPr="00C856B2">
        <w:rPr>
          <w:noProof/>
          <w:lang w:val="en-IE"/>
        </w:rPr>
        <w:t xml:space="preserve"> Article 430(1), point (d), of </w:t>
      </w:r>
      <w:r w:rsidR="00A0651D" w:rsidRPr="00C856B2">
        <w:rPr>
          <w:noProof/>
          <w:lang w:val="en-IE"/>
        </w:rPr>
        <w:t xml:space="preserve">that </w:t>
      </w:r>
      <w:r w:rsidR="00716EA9" w:rsidRPr="00C856B2">
        <w:rPr>
          <w:noProof/>
          <w:lang w:val="en-IE"/>
        </w:rPr>
        <w:t xml:space="preserve">Regulation on </w:t>
      </w:r>
      <w:r w:rsidR="00121CA9" w:rsidRPr="00C856B2">
        <w:rPr>
          <w:noProof/>
          <w:lang w:val="en-IE"/>
        </w:rPr>
        <w:t xml:space="preserve">both </w:t>
      </w:r>
      <w:r w:rsidR="00716EA9" w:rsidRPr="00C856B2">
        <w:rPr>
          <w:noProof/>
          <w:lang w:val="en-IE"/>
        </w:rPr>
        <w:t>an individual and a consolidated basis</w:t>
      </w:r>
      <w:r w:rsidR="003A6B2D" w:rsidRPr="00C856B2">
        <w:rPr>
          <w:noProof/>
          <w:lang w:val="en-IE"/>
        </w:rPr>
        <w:t xml:space="preserve"> </w:t>
      </w:r>
      <w:r w:rsidR="00716EA9" w:rsidRPr="00C856B2">
        <w:rPr>
          <w:noProof/>
          <w:lang w:val="en-IE"/>
        </w:rPr>
        <w:t>shall submit th</w:t>
      </w:r>
      <w:r w:rsidR="003A6B2D" w:rsidRPr="00C856B2">
        <w:rPr>
          <w:noProof/>
          <w:lang w:val="en-IE"/>
        </w:rPr>
        <w:t>at</w:t>
      </w:r>
      <w:r w:rsidR="00716EA9" w:rsidRPr="00C856B2">
        <w:rPr>
          <w:noProof/>
          <w:lang w:val="en-IE"/>
        </w:rPr>
        <w:t xml:space="preserve"> information as specified in </w:t>
      </w:r>
      <w:r w:rsidR="00121CA9" w:rsidRPr="00C856B2">
        <w:rPr>
          <w:noProof/>
          <w:lang w:val="en-IE"/>
        </w:rPr>
        <w:t>S</w:t>
      </w:r>
      <w:r w:rsidR="00F207BE" w:rsidRPr="00C856B2">
        <w:rPr>
          <w:noProof/>
          <w:lang w:val="en-IE"/>
        </w:rPr>
        <w:t xml:space="preserve">ection </w:t>
      </w:r>
      <w:r w:rsidR="00FD69C7" w:rsidRPr="00C856B2">
        <w:rPr>
          <w:noProof/>
          <w:lang w:val="en-IE"/>
        </w:rPr>
        <w:t>1</w:t>
      </w:r>
      <w:r w:rsidR="00FD69C7">
        <w:rPr>
          <w:noProof/>
          <w:lang w:val="en-IE"/>
        </w:rPr>
        <w:t>0</w:t>
      </w:r>
      <w:r w:rsidR="00FD69C7" w:rsidRPr="00C856B2">
        <w:rPr>
          <w:noProof/>
          <w:lang w:val="en-IE"/>
        </w:rPr>
        <w:t xml:space="preserve"> </w:t>
      </w:r>
      <w:r w:rsidR="00F207BE" w:rsidRPr="00C856B2">
        <w:rPr>
          <w:noProof/>
          <w:lang w:val="en-IE"/>
        </w:rPr>
        <w:t>-</w:t>
      </w:r>
      <w:r w:rsidR="00716EA9" w:rsidRPr="00C856B2">
        <w:rPr>
          <w:noProof/>
          <w:lang w:val="en-IE"/>
        </w:rPr>
        <w:t xml:space="preserve"> ‘Reporting on the liquidity’ </w:t>
      </w:r>
      <w:r w:rsidR="00F207BE" w:rsidRPr="00C856B2">
        <w:rPr>
          <w:noProof/>
          <w:lang w:val="en-IE"/>
        </w:rPr>
        <w:t>on Annex I</w:t>
      </w:r>
      <w:r w:rsidR="00716EA9" w:rsidRPr="00C856B2">
        <w:rPr>
          <w:noProof/>
          <w:lang w:val="en-IE"/>
        </w:rPr>
        <w:t xml:space="preserve"> </w:t>
      </w:r>
      <w:r w:rsidR="00121CA9" w:rsidRPr="00C856B2">
        <w:rPr>
          <w:noProof/>
          <w:lang w:val="en-IE"/>
        </w:rPr>
        <w:t xml:space="preserve">to this Regulation </w:t>
      </w:r>
      <w:r w:rsidR="00716EA9" w:rsidRPr="00C856B2">
        <w:rPr>
          <w:noProof/>
          <w:lang w:val="en-IE"/>
        </w:rPr>
        <w:t xml:space="preserve">with </w:t>
      </w:r>
      <w:r w:rsidR="00750D11" w:rsidRPr="00C856B2">
        <w:rPr>
          <w:noProof/>
          <w:lang w:val="en-IE"/>
        </w:rPr>
        <w:t xml:space="preserve">a monthly </w:t>
      </w:r>
      <w:r w:rsidR="00716EA9" w:rsidRPr="00C856B2">
        <w:rPr>
          <w:noProof/>
          <w:lang w:val="en-IE"/>
        </w:rPr>
        <w:t>frequency.</w:t>
      </w:r>
    </w:p>
    <w:p w:rsidR="00716EA9" w:rsidRPr="00C856B2" w:rsidRDefault="004118AF" w:rsidP="004118AF">
      <w:pPr>
        <w:pStyle w:val="ManualNumPar1"/>
        <w:rPr>
          <w:noProof/>
          <w:lang w:val="en-IE"/>
        </w:rPr>
      </w:pPr>
      <w:r w:rsidRPr="004118AF">
        <w:rPr>
          <w:noProof/>
        </w:rPr>
        <w:t>2.</w:t>
      </w:r>
      <w:r w:rsidRPr="004118AF">
        <w:rPr>
          <w:noProof/>
        </w:rPr>
        <w:tab/>
      </w:r>
      <w:r w:rsidR="00716EA9" w:rsidRPr="00C856B2">
        <w:rPr>
          <w:noProof/>
          <w:lang w:val="en-IE"/>
        </w:rPr>
        <w:t xml:space="preserve">For the purposes of reporting the information </w:t>
      </w:r>
      <w:r w:rsidR="00716EA9" w:rsidRPr="00C856B2">
        <w:rPr>
          <w:rFonts w:eastAsia="Times New Roman"/>
          <w:noProof/>
          <w:lang w:val="en-IE" w:eastAsia="en-IE"/>
        </w:rPr>
        <w:t xml:space="preserve">set out </w:t>
      </w:r>
      <w:r w:rsidR="00716EA9" w:rsidRPr="00C856B2">
        <w:rPr>
          <w:noProof/>
          <w:lang w:val="en-IE"/>
        </w:rPr>
        <w:t xml:space="preserve">in </w:t>
      </w:r>
      <w:r w:rsidR="00121CA9" w:rsidRPr="00C856B2">
        <w:rPr>
          <w:noProof/>
          <w:lang w:val="en-IE"/>
        </w:rPr>
        <w:t>S</w:t>
      </w:r>
      <w:r w:rsidR="00F207BE" w:rsidRPr="00C856B2">
        <w:rPr>
          <w:noProof/>
          <w:lang w:val="en-IE"/>
        </w:rPr>
        <w:t xml:space="preserve">ection </w:t>
      </w:r>
      <w:r w:rsidR="00FD69C7" w:rsidRPr="00C856B2">
        <w:rPr>
          <w:noProof/>
          <w:lang w:val="en-IE"/>
        </w:rPr>
        <w:t>1</w:t>
      </w:r>
      <w:r w:rsidR="00FD69C7">
        <w:rPr>
          <w:noProof/>
          <w:lang w:val="en-IE"/>
        </w:rPr>
        <w:t>0</w:t>
      </w:r>
      <w:r w:rsidR="00FD69C7" w:rsidRPr="00C856B2">
        <w:rPr>
          <w:noProof/>
          <w:lang w:val="en-IE"/>
        </w:rPr>
        <w:t xml:space="preserve"> </w:t>
      </w:r>
      <w:r w:rsidR="00F207BE" w:rsidRPr="00C856B2">
        <w:rPr>
          <w:noProof/>
          <w:lang w:val="en-IE"/>
        </w:rPr>
        <w:t>-</w:t>
      </w:r>
      <w:r w:rsidR="00716EA9" w:rsidRPr="00C856B2">
        <w:rPr>
          <w:noProof/>
          <w:lang w:val="en-IE"/>
        </w:rPr>
        <w:t xml:space="preserve"> ‘Reporting on liquidity coverage’ </w:t>
      </w:r>
      <w:r w:rsidR="00F207BE" w:rsidRPr="00C856B2">
        <w:rPr>
          <w:noProof/>
          <w:lang w:val="en-IE"/>
        </w:rPr>
        <w:t>of Annex I</w:t>
      </w:r>
      <w:r w:rsidR="00121CA9" w:rsidRPr="00C856B2">
        <w:rPr>
          <w:noProof/>
          <w:lang w:val="en-IE"/>
        </w:rPr>
        <w:t xml:space="preserve"> to this Regulation,</w:t>
      </w:r>
      <w:r w:rsidR="00F207BE" w:rsidRPr="00C856B2">
        <w:rPr>
          <w:noProof/>
          <w:lang w:val="en-IE"/>
        </w:rPr>
        <w:t xml:space="preserve"> institutions</w:t>
      </w:r>
      <w:r w:rsidR="00716EA9" w:rsidRPr="00C856B2">
        <w:rPr>
          <w:noProof/>
          <w:lang w:val="en-IE"/>
        </w:rPr>
        <w:t xml:space="preserve"> shall take into account the information submitted for the reference date and the information on the cash-flows over the 30 calendar days following the reference date.</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17</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stable funding on </w:t>
      </w:r>
      <w:r w:rsidR="00121CA9" w:rsidRPr="00C856B2">
        <w:rPr>
          <w:b/>
          <w:bCs/>
          <w:i w:val="0"/>
          <w:iCs/>
          <w:noProof/>
          <w:szCs w:val="24"/>
          <w:lang w:val="en-IE"/>
        </w:rPr>
        <w:t xml:space="preserve">both </w:t>
      </w:r>
      <w:r w:rsidRPr="00C856B2">
        <w:rPr>
          <w:b/>
          <w:bCs/>
          <w:i w:val="0"/>
          <w:iCs/>
          <w:noProof/>
          <w:szCs w:val="24"/>
          <w:lang w:val="en-IE"/>
        </w:rPr>
        <w:t>an individual and a consolidated basis</w:t>
      </w:r>
    </w:p>
    <w:p w:rsidR="00716EA9" w:rsidRPr="00C856B2" w:rsidRDefault="00D62A44" w:rsidP="00BA7013">
      <w:pPr>
        <w:rPr>
          <w:noProof/>
          <w:color w:val="000000"/>
          <w:szCs w:val="24"/>
          <w:lang w:val="en-IE"/>
        </w:rPr>
      </w:pPr>
      <w:r w:rsidRPr="00C856B2">
        <w:rPr>
          <w:noProof/>
          <w:color w:val="000000"/>
          <w:szCs w:val="24"/>
          <w:lang w:val="en-IE"/>
        </w:rPr>
        <w:t xml:space="preserve">Institutions that </w:t>
      </w:r>
      <w:r w:rsidR="00716EA9" w:rsidRPr="00C856B2">
        <w:rPr>
          <w:noProof/>
          <w:color w:val="000000"/>
          <w:szCs w:val="24"/>
          <w:lang w:val="en-IE"/>
        </w:rPr>
        <w:t xml:space="preserve">report </w:t>
      </w:r>
      <w:r w:rsidR="00A0651D" w:rsidRPr="00C856B2">
        <w:rPr>
          <w:noProof/>
          <w:color w:val="000000"/>
          <w:szCs w:val="24"/>
          <w:lang w:val="en-IE"/>
        </w:rPr>
        <w:t>their</w:t>
      </w:r>
      <w:r w:rsidR="00716EA9" w:rsidRPr="00C856B2">
        <w:rPr>
          <w:noProof/>
          <w:color w:val="000000"/>
          <w:szCs w:val="24"/>
          <w:lang w:val="en-IE"/>
        </w:rPr>
        <w:t xml:space="preserve"> stable funding</w:t>
      </w:r>
      <w:r w:rsidR="00A0651D" w:rsidRPr="00C856B2">
        <w:rPr>
          <w:noProof/>
          <w:color w:val="000000"/>
          <w:szCs w:val="24"/>
          <w:lang w:val="en-IE"/>
        </w:rPr>
        <w:t xml:space="preserve"> requirement as referred to in Article 413 of</w:t>
      </w:r>
      <w:r w:rsidR="00A0651D" w:rsidRPr="00C856B2">
        <w:rPr>
          <w:noProof/>
          <w:lang w:val="en-IE"/>
        </w:rPr>
        <w:t xml:space="preserve"> Regulation (EU) No 575/2013 and as required by</w:t>
      </w:r>
      <w:r w:rsidR="00D538F2" w:rsidRPr="00C856B2">
        <w:rPr>
          <w:noProof/>
          <w:lang w:val="en-IE"/>
        </w:rPr>
        <w:t xml:space="preserve"> </w:t>
      </w:r>
      <w:r w:rsidR="00716EA9" w:rsidRPr="00C856B2">
        <w:rPr>
          <w:noProof/>
          <w:color w:val="000000"/>
          <w:szCs w:val="24"/>
          <w:lang w:val="en-IE"/>
        </w:rPr>
        <w:t xml:space="preserve">Article 430(1), point (d), of </w:t>
      </w:r>
      <w:r w:rsidR="00A0651D" w:rsidRPr="00C856B2">
        <w:rPr>
          <w:noProof/>
          <w:color w:val="000000"/>
          <w:szCs w:val="24"/>
          <w:lang w:val="en-IE"/>
        </w:rPr>
        <w:t xml:space="preserve">that </w:t>
      </w:r>
      <w:r w:rsidR="00716EA9" w:rsidRPr="00C856B2">
        <w:rPr>
          <w:noProof/>
          <w:color w:val="000000"/>
          <w:szCs w:val="24"/>
          <w:lang w:val="en-IE"/>
        </w:rPr>
        <w:t xml:space="preserve">Regulation on </w:t>
      </w:r>
      <w:r w:rsidR="00121CA9" w:rsidRPr="00C856B2">
        <w:rPr>
          <w:noProof/>
          <w:color w:val="000000"/>
          <w:szCs w:val="24"/>
          <w:lang w:val="en-IE"/>
        </w:rPr>
        <w:t xml:space="preserve">both </w:t>
      </w:r>
      <w:r w:rsidR="00716EA9" w:rsidRPr="00C856B2">
        <w:rPr>
          <w:noProof/>
          <w:color w:val="000000"/>
          <w:szCs w:val="24"/>
          <w:lang w:val="en-IE"/>
        </w:rPr>
        <w:t>an individual and a consolidated basis shall submit th</w:t>
      </w:r>
      <w:r w:rsidR="00D538F2" w:rsidRPr="00C856B2">
        <w:rPr>
          <w:noProof/>
          <w:color w:val="000000"/>
          <w:szCs w:val="24"/>
          <w:lang w:val="en-IE"/>
        </w:rPr>
        <w:t>at</w:t>
      </w:r>
      <w:r w:rsidR="00716EA9" w:rsidRPr="00C856B2">
        <w:rPr>
          <w:noProof/>
          <w:color w:val="000000"/>
          <w:szCs w:val="24"/>
          <w:lang w:val="en-IE"/>
        </w:rPr>
        <w:t xml:space="preserve"> information as specified in </w:t>
      </w:r>
      <w:r w:rsidR="00121CA9" w:rsidRPr="00C856B2">
        <w:rPr>
          <w:noProof/>
          <w:color w:val="000000"/>
          <w:szCs w:val="24"/>
          <w:lang w:val="en-IE"/>
        </w:rPr>
        <w:t>S</w:t>
      </w:r>
      <w:r w:rsidR="00F207BE" w:rsidRPr="00C856B2">
        <w:rPr>
          <w:noProof/>
          <w:color w:val="000000"/>
          <w:szCs w:val="24"/>
          <w:lang w:val="en-IE"/>
        </w:rPr>
        <w:t xml:space="preserve">ection </w:t>
      </w:r>
      <w:r w:rsidR="00F5752D" w:rsidRPr="00C856B2">
        <w:rPr>
          <w:noProof/>
          <w:color w:val="000000"/>
          <w:szCs w:val="24"/>
          <w:lang w:val="en-IE"/>
        </w:rPr>
        <w:t>7</w:t>
      </w:r>
      <w:r w:rsidR="00F207BE" w:rsidRPr="00C856B2">
        <w:rPr>
          <w:noProof/>
          <w:color w:val="000000"/>
          <w:szCs w:val="24"/>
          <w:lang w:val="en-IE"/>
        </w:rPr>
        <w:t xml:space="preserve"> -</w:t>
      </w:r>
      <w:r w:rsidR="00716EA9" w:rsidRPr="00C856B2">
        <w:rPr>
          <w:noProof/>
          <w:color w:val="000000"/>
          <w:szCs w:val="24"/>
          <w:lang w:val="en-IE"/>
        </w:rPr>
        <w:t xml:space="preserve"> ‘Reporting on stable funding’ </w:t>
      </w:r>
      <w:r w:rsidR="00F207BE" w:rsidRPr="00C856B2">
        <w:rPr>
          <w:noProof/>
          <w:color w:val="000000"/>
          <w:szCs w:val="24"/>
          <w:lang w:val="en-IE"/>
        </w:rPr>
        <w:t>of Annex I</w:t>
      </w:r>
      <w:r w:rsidR="00121CA9" w:rsidRPr="00C856B2">
        <w:rPr>
          <w:noProof/>
          <w:color w:val="000000"/>
          <w:szCs w:val="24"/>
          <w:lang w:val="en-IE"/>
        </w:rPr>
        <w:t xml:space="preserve"> to this Regulation</w:t>
      </w:r>
      <w:r w:rsidR="00831BBF" w:rsidRPr="00C856B2">
        <w:rPr>
          <w:noProof/>
          <w:color w:val="000000"/>
          <w:szCs w:val="24"/>
          <w:lang w:val="en-IE"/>
        </w:rPr>
        <w:t xml:space="preserve"> with a quarterly frequency</w:t>
      </w:r>
      <w:r w:rsidR="00C26E6A" w:rsidRPr="00C856B2">
        <w:rPr>
          <w:noProof/>
          <w:color w:val="000000"/>
          <w:szCs w:val="24"/>
          <w:lang w:val="en-IE"/>
        </w:rPr>
        <w:t xml:space="preserve"> as follows:</w:t>
      </w:r>
    </w:p>
    <w:p w:rsidR="00C26E6A" w:rsidRPr="001D2A25" w:rsidRDefault="004118AF" w:rsidP="004118AF">
      <w:pPr>
        <w:pStyle w:val="Point0"/>
        <w:rPr>
          <w:noProof/>
          <w:lang w:val="en-IE"/>
        </w:rPr>
      </w:pPr>
      <w:r w:rsidRPr="004118AF">
        <w:rPr>
          <w:noProof/>
        </w:rPr>
        <w:t>(a)</w:t>
      </w:r>
      <w:r w:rsidRPr="004118AF">
        <w:rPr>
          <w:noProof/>
        </w:rPr>
        <w:tab/>
      </w:r>
      <w:r w:rsidR="00C26E6A" w:rsidRPr="001D2A25">
        <w:rPr>
          <w:noProof/>
          <w:lang w:val="en-IE"/>
        </w:rPr>
        <w:t xml:space="preserve">small and non-complex institutions that have chosen to calculate their net stable funding ratio (NSFR) using the methodology set out in Part Six, Title IV, Chapters 6 and 7 of Regulation (EU) No 575/2013, with the prior permission of their competent authority in accordance with Article 428ai of that Regulation, shall submit templates </w:t>
      </w:r>
      <w:r w:rsidR="00D7091C" w:rsidRPr="001D2A25">
        <w:rPr>
          <w:noProof/>
          <w:lang w:val="en-IE"/>
        </w:rPr>
        <w:t xml:space="preserve">C </w:t>
      </w:r>
      <w:r w:rsidR="00C26E6A" w:rsidRPr="001D2A25">
        <w:rPr>
          <w:noProof/>
          <w:lang w:val="en-IE"/>
        </w:rPr>
        <w:t xml:space="preserve">82 and </w:t>
      </w:r>
      <w:r w:rsidR="00D7091C" w:rsidRPr="001D2A25">
        <w:rPr>
          <w:noProof/>
          <w:lang w:val="en-IE"/>
        </w:rPr>
        <w:t xml:space="preserve">C </w:t>
      </w:r>
      <w:r w:rsidR="00C26E6A" w:rsidRPr="001D2A25">
        <w:rPr>
          <w:noProof/>
          <w:lang w:val="en-IE"/>
        </w:rPr>
        <w:t>83;</w:t>
      </w:r>
    </w:p>
    <w:p w:rsidR="00C26E6A" w:rsidRPr="001D2A25" w:rsidRDefault="004118AF" w:rsidP="004118AF">
      <w:pPr>
        <w:pStyle w:val="Point0"/>
        <w:rPr>
          <w:noProof/>
          <w:lang w:val="en-IE"/>
        </w:rPr>
      </w:pPr>
      <w:r w:rsidRPr="004118AF">
        <w:rPr>
          <w:noProof/>
        </w:rPr>
        <w:t>(b)</w:t>
      </w:r>
      <w:r w:rsidRPr="004118AF">
        <w:rPr>
          <w:noProof/>
        </w:rPr>
        <w:tab/>
      </w:r>
      <w:r w:rsidR="00C26E6A" w:rsidRPr="001D2A25">
        <w:rPr>
          <w:noProof/>
          <w:lang w:val="en-IE"/>
        </w:rPr>
        <w:t xml:space="preserve">institutions other than those referred to in point (a) shall submit templates </w:t>
      </w:r>
      <w:r w:rsidR="00D7091C" w:rsidRPr="001D2A25">
        <w:rPr>
          <w:noProof/>
          <w:lang w:val="en-IE"/>
        </w:rPr>
        <w:t xml:space="preserve">C </w:t>
      </w:r>
      <w:r w:rsidR="00C26E6A" w:rsidRPr="001D2A25">
        <w:rPr>
          <w:noProof/>
          <w:lang w:val="en-IE"/>
        </w:rPr>
        <w:t xml:space="preserve">80 and </w:t>
      </w:r>
      <w:r w:rsidR="00D7091C" w:rsidRPr="001D2A25">
        <w:rPr>
          <w:noProof/>
          <w:lang w:val="en-IE"/>
        </w:rPr>
        <w:t xml:space="preserve">C </w:t>
      </w:r>
      <w:r w:rsidR="00C26E6A" w:rsidRPr="001D2A25">
        <w:rPr>
          <w:noProof/>
          <w:lang w:val="en-IE"/>
        </w:rPr>
        <w:t>81;</w:t>
      </w:r>
    </w:p>
    <w:p w:rsidR="00C26E6A" w:rsidRPr="001D2A25" w:rsidRDefault="004118AF" w:rsidP="004118AF">
      <w:pPr>
        <w:pStyle w:val="Point0"/>
        <w:rPr>
          <w:noProof/>
          <w:lang w:val="en-IE"/>
        </w:rPr>
      </w:pPr>
      <w:r w:rsidRPr="004118AF">
        <w:rPr>
          <w:noProof/>
        </w:rPr>
        <w:t>(c)</w:t>
      </w:r>
      <w:r w:rsidRPr="004118AF">
        <w:rPr>
          <w:noProof/>
        </w:rPr>
        <w:tab/>
      </w:r>
      <w:r w:rsidR="00C26E6A" w:rsidRPr="001D2A25">
        <w:rPr>
          <w:noProof/>
          <w:lang w:val="en-IE"/>
        </w:rPr>
        <w:t>all institutions shall submit template</w:t>
      </w:r>
      <w:r w:rsidR="00D7091C" w:rsidRPr="001D2A25">
        <w:rPr>
          <w:noProof/>
          <w:lang w:val="en-IE"/>
        </w:rPr>
        <w:t xml:space="preserve"> C</w:t>
      </w:r>
      <w:r w:rsidR="00C26E6A" w:rsidRPr="001D2A25">
        <w:rPr>
          <w:noProof/>
          <w:lang w:val="en-IE"/>
        </w:rPr>
        <w:t xml:space="preserve"> 84.</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18</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additional liquidity monitoring metrics on </w:t>
      </w:r>
      <w:r w:rsidR="007643C7" w:rsidRPr="00C856B2">
        <w:rPr>
          <w:b/>
          <w:bCs/>
          <w:i w:val="0"/>
          <w:iCs/>
          <w:noProof/>
          <w:szCs w:val="24"/>
          <w:lang w:val="en-IE"/>
        </w:rPr>
        <w:t xml:space="preserve">both </w:t>
      </w:r>
      <w:r w:rsidRPr="00C856B2">
        <w:rPr>
          <w:b/>
          <w:bCs/>
          <w:i w:val="0"/>
          <w:iCs/>
          <w:noProof/>
          <w:szCs w:val="24"/>
          <w:lang w:val="en-IE"/>
        </w:rPr>
        <w:t>an individual and a consolidated basis</w:t>
      </w:r>
    </w:p>
    <w:p w:rsidR="00716EA9" w:rsidRPr="00C856B2" w:rsidRDefault="00D538F2" w:rsidP="007643C7">
      <w:pPr>
        <w:tabs>
          <w:tab w:val="left" w:pos="567"/>
        </w:tabs>
        <w:spacing w:before="100" w:beforeAutospacing="1" w:after="100" w:afterAutospacing="1"/>
        <w:rPr>
          <w:noProof/>
          <w:color w:val="000000"/>
          <w:szCs w:val="24"/>
          <w:lang w:val="en-IE"/>
        </w:rPr>
      </w:pPr>
      <w:r w:rsidRPr="00C856B2">
        <w:rPr>
          <w:rFonts w:eastAsia="Times New Roman"/>
          <w:noProof/>
          <w:color w:val="000000"/>
          <w:szCs w:val="24"/>
          <w:lang w:val="en-IE" w:eastAsia="en-IE"/>
        </w:rPr>
        <w:t xml:space="preserve">Institutions that </w:t>
      </w:r>
      <w:r w:rsidR="00716EA9" w:rsidRPr="00C856B2">
        <w:rPr>
          <w:rFonts w:eastAsia="Times New Roman"/>
          <w:noProof/>
          <w:color w:val="000000"/>
          <w:szCs w:val="24"/>
          <w:lang w:val="en-IE" w:eastAsia="en-IE"/>
        </w:rPr>
        <w:t>report</w:t>
      </w:r>
      <w:r w:rsidR="00716EA9" w:rsidRPr="00C856B2">
        <w:rPr>
          <w:noProof/>
          <w:color w:val="000000"/>
          <w:szCs w:val="24"/>
          <w:lang w:val="en-IE"/>
        </w:rPr>
        <w:t xml:space="preserve"> information on additional liquidity monitoring metrics </w:t>
      </w:r>
      <w:r w:rsidR="00526A35" w:rsidRPr="00C856B2">
        <w:rPr>
          <w:noProof/>
          <w:color w:val="000000"/>
          <w:szCs w:val="24"/>
          <w:lang w:val="en-IE"/>
        </w:rPr>
        <w:t>as referred to in Article 415</w:t>
      </w:r>
      <w:r w:rsidR="007765F1" w:rsidRPr="00C856B2">
        <w:rPr>
          <w:noProof/>
          <w:color w:val="000000"/>
          <w:szCs w:val="24"/>
          <w:lang w:val="en-IE"/>
        </w:rPr>
        <w:t xml:space="preserve">(3), point (b), of </w:t>
      </w:r>
      <w:r w:rsidR="007765F1" w:rsidRPr="00C856B2">
        <w:rPr>
          <w:noProof/>
          <w:lang w:val="en-IE"/>
        </w:rPr>
        <w:t xml:space="preserve">Regulation (EU) No 575/2013 and as required by </w:t>
      </w:r>
      <w:r w:rsidR="00716EA9" w:rsidRPr="00C856B2">
        <w:rPr>
          <w:noProof/>
          <w:color w:val="000000"/>
          <w:szCs w:val="24"/>
          <w:lang w:val="en-IE"/>
        </w:rPr>
        <w:t xml:space="preserve">Article 430(1), point (d), of </w:t>
      </w:r>
      <w:r w:rsidR="007765F1" w:rsidRPr="00C856B2">
        <w:rPr>
          <w:noProof/>
          <w:color w:val="000000"/>
          <w:szCs w:val="24"/>
          <w:lang w:val="en-IE"/>
        </w:rPr>
        <w:t xml:space="preserve">that </w:t>
      </w:r>
      <w:r w:rsidR="00716EA9" w:rsidRPr="00C856B2">
        <w:rPr>
          <w:noProof/>
          <w:color w:val="000000"/>
          <w:szCs w:val="24"/>
          <w:lang w:val="en-IE"/>
        </w:rPr>
        <w:t xml:space="preserve">Regulation on </w:t>
      </w:r>
      <w:r w:rsidR="0007406B" w:rsidRPr="00C856B2">
        <w:rPr>
          <w:noProof/>
          <w:color w:val="000000"/>
          <w:szCs w:val="24"/>
          <w:lang w:val="en-IE"/>
        </w:rPr>
        <w:t xml:space="preserve">both </w:t>
      </w:r>
      <w:r w:rsidR="00716EA9" w:rsidRPr="00C856B2">
        <w:rPr>
          <w:noProof/>
          <w:color w:val="000000"/>
          <w:szCs w:val="24"/>
          <w:lang w:val="en-IE"/>
        </w:rPr>
        <w:t xml:space="preserve">an individual and a consolidated basis shall submit </w:t>
      </w:r>
      <w:r w:rsidR="007D08DC" w:rsidRPr="00C856B2">
        <w:rPr>
          <w:noProof/>
          <w:color w:val="000000"/>
          <w:szCs w:val="24"/>
          <w:lang w:val="en-IE"/>
        </w:rPr>
        <w:t xml:space="preserve">that </w:t>
      </w:r>
      <w:r w:rsidR="00716EA9" w:rsidRPr="00C856B2">
        <w:rPr>
          <w:noProof/>
          <w:color w:val="000000"/>
          <w:szCs w:val="24"/>
          <w:lang w:val="en-IE"/>
        </w:rPr>
        <w:t xml:space="preserve">information as specified in </w:t>
      </w:r>
      <w:r w:rsidR="007643C7" w:rsidRPr="00C856B2">
        <w:rPr>
          <w:noProof/>
          <w:color w:val="000000"/>
          <w:szCs w:val="24"/>
          <w:lang w:val="en-IE"/>
        </w:rPr>
        <w:t>S</w:t>
      </w:r>
      <w:r w:rsidR="00F207BE" w:rsidRPr="00C856B2">
        <w:rPr>
          <w:noProof/>
          <w:color w:val="000000"/>
          <w:szCs w:val="24"/>
          <w:lang w:val="en-IE"/>
        </w:rPr>
        <w:t>ection 9 -</w:t>
      </w:r>
      <w:r w:rsidR="00716EA9" w:rsidRPr="00C856B2">
        <w:rPr>
          <w:noProof/>
          <w:color w:val="000000"/>
          <w:szCs w:val="24"/>
          <w:lang w:val="en-IE"/>
        </w:rPr>
        <w:t xml:space="preserve"> ‘Reporting on additional liquidity monitoring metrics’ </w:t>
      </w:r>
      <w:r w:rsidR="00F207BE" w:rsidRPr="00C856B2">
        <w:rPr>
          <w:noProof/>
          <w:color w:val="000000"/>
          <w:szCs w:val="24"/>
          <w:lang w:val="en-IE"/>
        </w:rPr>
        <w:t>of Annex I</w:t>
      </w:r>
      <w:r w:rsidR="00716EA9" w:rsidRPr="00C856B2">
        <w:rPr>
          <w:noProof/>
          <w:color w:val="000000"/>
          <w:szCs w:val="24"/>
          <w:lang w:val="en-IE"/>
        </w:rPr>
        <w:t xml:space="preserve"> </w:t>
      </w:r>
      <w:r w:rsidR="007643C7" w:rsidRPr="00C856B2">
        <w:rPr>
          <w:noProof/>
          <w:color w:val="000000"/>
          <w:szCs w:val="24"/>
          <w:lang w:val="en-IE"/>
        </w:rPr>
        <w:t xml:space="preserve">to this Regulation </w:t>
      </w:r>
      <w:r w:rsidR="00EF5BDB" w:rsidRPr="00C856B2">
        <w:rPr>
          <w:noProof/>
          <w:color w:val="000000"/>
          <w:szCs w:val="24"/>
          <w:lang w:val="en-IE"/>
        </w:rPr>
        <w:t>with the following frequency</w:t>
      </w:r>
      <w:r w:rsidR="0007406B" w:rsidRPr="00C856B2">
        <w:rPr>
          <w:noProof/>
          <w:color w:val="000000"/>
          <w:szCs w:val="24"/>
          <w:lang w:val="en-IE"/>
        </w:rPr>
        <w:t>:</w:t>
      </w:r>
    </w:p>
    <w:p w:rsidR="00F5752D" w:rsidRPr="001D2A25" w:rsidRDefault="004118AF" w:rsidP="004118AF">
      <w:pPr>
        <w:pStyle w:val="Point0"/>
        <w:rPr>
          <w:noProof/>
          <w:lang w:val="en-IE"/>
        </w:rPr>
      </w:pPr>
      <w:r w:rsidRPr="004118AF">
        <w:rPr>
          <w:noProof/>
        </w:rPr>
        <w:t>(a)</w:t>
      </w:r>
      <w:r w:rsidRPr="004118AF">
        <w:rPr>
          <w:noProof/>
        </w:rPr>
        <w:tab/>
      </w:r>
      <w:r w:rsidR="00F5752D" w:rsidRPr="001D2A25">
        <w:rPr>
          <w:noProof/>
          <w:lang w:val="en-IE"/>
        </w:rPr>
        <w:t xml:space="preserve">large institutions shall submit the information </w:t>
      </w:r>
      <w:r w:rsidR="002C2709" w:rsidRPr="001D2A25">
        <w:rPr>
          <w:noProof/>
          <w:lang w:val="en-IE"/>
        </w:rPr>
        <w:t>specified</w:t>
      </w:r>
      <w:r w:rsidR="00F5752D" w:rsidRPr="001D2A25">
        <w:rPr>
          <w:noProof/>
          <w:lang w:val="en-IE"/>
        </w:rPr>
        <w:t xml:space="preserve"> in templates C 66.01 and C 67.00 to C 71.00 of </w:t>
      </w:r>
      <w:r w:rsidR="007643C7" w:rsidRPr="001D2A25">
        <w:rPr>
          <w:noProof/>
          <w:lang w:val="en-IE"/>
        </w:rPr>
        <w:t>S</w:t>
      </w:r>
      <w:r w:rsidR="00F5752D" w:rsidRPr="001D2A25">
        <w:rPr>
          <w:noProof/>
          <w:lang w:val="en-IE"/>
        </w:rPr>
        <w:t>ection 9 of Annex I</w:t>
      </w:r>
      <w:r w:rsidR="007643C7" w:rsidRPr="001D2A25">
        <w:rPr>
          <w:noProof/>
          <w:lang w:val="en-IE"/>
        </w:rPr>
        <w:t xml:space="preserve"> to this Regulation</w:t>
      </w:r>
      <w:r w:rsidR="0007406B" w:rsidRPr="001D2A25">
        <w:rPr>
          <w:noProof/>
          <w:lang w:val="en-IE"/>
        </w:rPr>
        <w:t xml:space="preserve"> with a monthly frequency</w:t>
      </w:r>
      <w:r w:rsidR="00F5752D" w:rsidRPr="001D2A25">
        <w:rPr>
          <w:noProof/>
          <w:lang w:val="en-IE"/>
        </w:rPr>
        <w:t>;</w:t>
      </w:r>
    </w:p>
    <w:p w:rsidR="00F5752D" w:rsidRPr="001D2A25" w:rsidRDefault="004118AF" w:rsidP="004118AF">
      <w:pPr>
        <w:pStyle w:val="Point0"/>
        <w:rPr>
          <w:noProof/>
          <w:lang w:val="en-IE"/>
        </w:rPr>
      </w:pPr>
      <w:r w:rsidRPr="004118AF">
        <w:rPr>
          <w:noProof/>
        </w:rPr>
        <w:t>(b)</w:t>
      </w:r>
      <w:r w:rsidRPr="004118AF">
        <w:rPr>
          <w:noProof/>
        </w:rPr>
        <w:tab/>
      </w:r>
      <w:r w:rsidR="00F5752D" w:rsidRPr="001D2A25">
        <w:rPr>
          <w:noProof/>
          <w:lang w:val="en-IE"/>
        </w:rPr>
        <w:t>small and non-complex institution</w:t>
      </w:r>
      <w:r w:rsidR="0007406B" w:rsidRPr="001D2A25">
        <w:rPr>
          <w:noProof/>
          <w:lang w:val="en-IE"/>
        </w:rPr>
        <w:t>s</w:t>
      </w:r>
      <w:r w:rsidR="00F5752D" w:rsidRPr="001D2A25">
        <w:rPr>
          <w:noProof/>
          <w:lang w:val="en-IE"/>
        </w:rPr>
        <w:t xml:space="preserve"> shall submit the information </w:t>
      </w:r>
      <w:r w:rsidR="002C2709" w:rsidRPr="001D2A25">
        <w:rPr>
          <w:noProof/>
          <w:lang w:val="en-IE"/>
        </w:rPr>
        <w:t>specified</w:t>
      </w:r>
      <w:r w:rsidR="00F5752D" w:rsidRPr="001D2A25">
        <w:rPr>
          <w:noProof/>
          <w:lang w:val="en-IE"/>
        </w:rPr>
        <w:t xml:space="preserve"> in templates C 66.0, C 67.00 and C 71.00 of </w:t>
      </w:r>
      <w:r w:rsidR="007643C7" w:rsidRPr="001D2A25">
        <w:rPr>
          <w:noProof/>
          <w:lang w:val="en-IE"/>
        </w:rPr>
        <w:t>S</w:t>
      </w:r>
      <w:r w:rsidR="00F5752D" w:rsidRPr="001D2A25">
        <w:rPr>
          <w:noProof/>
          <w:lang w:val="en-IE"/>
        </w:rPr>
        <w:t>ection 9 of Annex I</w:t>
      </w:r>
      <w:r w:rsidR="007643C7" w:rsidRPr="001D2A25">
        <w:rPr>
          <w:noProof/>
          <w:lang w:val="en-IE"/>
        </w:rPr>
        <w:t xml:space="preserve"> to this Regulation</w:t>
      </w:r>
      <w:r w:rsidR="0007406B" w:rsidRPr="001D2A25">
        <w:rPr>
          <w:noProof/>
          <w:lang w:val="en-IE"/>
        </w:rPr>
        <w:t xml:space="preserve"> with a quarterly frequency</w:t>
      </w:r>
      <w:r w:rsidR="00F5752D" w:rsidRPr="001D2A25">
        <w:rPr>
          <w:noProof/>
          <w:lang w:val="en-IE"/>
        </w:rPr>
        <w:t>;</w:t>
      </w:r>
    </w:p>
    <w:p w:rsidR="00F5752D" w:rsidRPr="001D2A25" w:rsidRDefault="004118AF" w:rsidP="004118AF">
      <w:pPr>
        <w:pStyle w:val="Point0"/>
        <w:rPr>
          <w:noProof/>
          <w:lang w:val="en-IE"/>
        </w:rPr>
      </w:pPr>
      <w:r w:rsidRPr="004118AF">
        <w:rPr>
          <w:noProof/>
        </w:rPr>
        <w:t>(c)</w:t>
      </w:r>
      <w:r w:rsidRPr="004118AF">
        <w:rPr>
          <w:noProof/>
        </w:rPr>
        <w:tab/>
      </w:r>
      <w:r w:rsidR="00F5752D" w:rsidRPr="001D2A25">
        <w:rPr>
          <w:noProof/>
          <w:lang w:val="en-IE"/>
        </w:rPr>
        <w:t xml:space="preserve">institutions that </w:t>
      </w:r>
      <w:r w:rsidR="00EF5BDB" w:rsidRPr="001D2A25">
        <w:rPr>
          <w:noProof/>
          <w:lang w:val="en-IE"/>
        </w:rPr>
        <w:t>are neither large institutions, nor small and non-complex institutions,</w:t>
      </w:r>
      <w:r w:rsidR="00F5752D" w:rsidRPr="001D2A25">
        <w:rPr>
          <w:noProof/>
          <w:lang w:val="en-IE"/>
        </w:rPr>
        <w:t xml:space="preserve"> shall submit the information </w:t>
      </w:r>
      <w:r w:rsidR="002C2709" w:rsidRPr="001D2A25">
        <w:rPr>
          <w:noProof/>
          <w:lang w:val="en-IE"/>
        </w:rPr>
        <w:t>specified</w:t>
      </w:r>
      <w:r w:rsidR="00F5752D" w:rsidRPr="001D2A25">
        <w:rPr>
          <w:noProof/>
          <w:lang w:val="en-IE"/>
        </w:rPr>
        <w:t xml:space="preserve"> in templates C 66.01 to C 69.00 and C 71.00 of </w:t>
      </w:r>
      <w:r w:rsidR="007643C7" w:rsidRPr="001D2A25">
        <w:rPr>
          <w:noProof/>
          <w:lang w:val="en-IE"/>
        </w:rPr>
        <w:t>S</w:t>
      </w:r>
      <w:r w:rsidR="00F5752D" w:rsidRPr="001D2A25">
        <w:rPr>
          <w:noProof/>
          <w:lang w:val="en-IE"/>
        </w:rPr>
        <w:t>ection 9 of Annex I</w:t>
      </w:r>
      <w:r w:rsidR="007643C7" w:rsidRPr="001D2A25">
        <w:rPr>
          <w:noProof/>
          <w:lang w:val="en-IE"/>
        </w:rPr>
        <w:t xml:space="preserve"> to this Regulation</w:t>
      </w:r>
      <w:r w:rsidR="00EF5BDB" w:rsidRPr="001D2A25">
        <w:rPr>
          <w:noProof/>
          <w:lang w:val="en-IE"/>
        </w:rPr>
        <w:t xml:space="preserve"> with a monthly frequency</w:t>
      </w:r>
      <w:r w:rsidR="00651059" w:rsidRPr="001D2A25">
        <w:rPr>
          <w:noProof/>
          <w:lang w:val="en-IE"/>
        </w:rPr>
        <w:t>.</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19</w:t>
      </w:r>
    </w:p>
    <w:p w:rsidR="00716EA9" w:rsidRPr="00C856B2" w:rsidRDefault="00716EA9" w:rsidP="00F22954">
      <w:pPr>
        <w:pStyle w:val="Titrearticle"/>
        <w:spacing w:before="0"/>
        <w:rPr>
          <w:b/>
          <w:bCs/>
          <w:i w:val="0"/>
          <w:iCs/>
          <w:noProof/>
          <w:szCs w:val="24"/>
          <w:lang w:val="en-IE"/>
        </w:rPr>
      </w:pPr>
      <w:r w:rsidRPr="00C856B2">
        <w:rPr>
          <w:b/>
          <w:bCs/>
          <w:i w:val="0"/>
          <w:iCs/>
          <w:noProof/>
          <w:szCs w:val="24"/>
          <w:lang w:val="en-IE"/>
        </w:rPr>
        <w:t xml:space="preserve">Reporting on asset encumbrance on </w:t>
      </w:r>
      <w:r w:rsidR="00EF5BDB" w:rsidRPr="00C856B2">
        <w:rPr>
          <w:b/>
          <w:bCs/>
          <w:i w:val="0"/>
          <w:iCs/>
          <w:noProof/>
          <w:szCs w:val="24"/>
          <w:lang w:val="en-IE"/>
        </w:rPr>
        <w:t xml:space="preserve">both </w:t>
      </w:r>
      <w:r w:rsidRPr="00C856B2">
        <w:rPr>
          <w:b/>
          <w:bCs/>
          <w:i w:val="0"/>
          <w:iCs/>
          <w:noProof/>
          <w:szCs w:val="24"/>
          <w:lang w:val="en-IE"/>
        </w:rPr>
        <w:t>an individual and a consolidated basis</w:t>
      </w:r>
    </w:p>
    <w:p w:rsidR="001D2A25" w:rsidRDefault="004118AF" w:rsidP="004118AF">
      <w:pPr>
        <w:pStyle w:val="ManualNumPar1"/>
        <w:rPr>
          <w:noProof/>
          <w:lang w:val="en-IE"/>
        </w:rPr>
      </w:pPr>
      <w:r w:rsidRPr="004118AF">
        <w:rPr>
          <w:noProof/>
        </w:rPr>
        <w:t>1.</w:t>
      </w:r>
      <w:r w:rsidRPr="004118AF">
        <w:rPr>
          <w:noProof/>
        </w:rPr>
        <w:tab/>
      </w:r>
      <w:r w:rsidR="00716EA9" w:rsidRPr="001D2A25">
        <w:rPr>
          <w:noProof/>
          <w:lang w:val="en-IE"/>
        </w:rPr>
        <w:t>I</w:t>
      </w:r>
      <w:r w:rsidR="007312BD" w:rsidRPr="001D2A25">
        <w:rPr>
          <w:noProof/>
          <w:lang w:val="en-IE"/>
        </w:rPr>
        <w:t xml:space="preserve">nstitutions that </w:t>
      </w:r>
      <w:r w:rsidR="00716EA9" w:rsidRPr="001D2A25">
        <w:rPr>
          <w:noProof/>
          <w:lang w:val="en-IE"/>
        </w:rPr>
        <w:t xml:space="preserve">report </w:t>
      </w:r>
      <w:r w:rsidR="007312BD" w:rsidRPr="001D2A25">
        <w:rPr>
          <w:noProof/>
          <w:lang w:val="en-IE"/>
        </w:rPr>
        <w:t>on the level of</w:t>
      </w:r>
      <w:r w:rsidR="00716EA9" w:rsidRPr="001D2A25">
        <w:rPr>
          <w:noProof/>
          <w:lang w:val="en-IE"/>
        </w:rPr>
        <w:t xml:space="preserve"> asset encumbrance </w:t>
      </w:r>
      <w:r w:rsidR="007312BD" w:rsidRPr="001D2A25">
        <w:rPr>
          <w:noProof/>
          <w:lang w:val="en-IE"/>
        </w:rPr>
        <w:t>as referred to in</w:t>
      </w:r>
      <w:r w:rsidR="00716EA9" w:rsidRPr="001D2A25">
        <w:rPr>
          <w:noProof/>
          <w:lang w:val="en-IE"/>
        </w:rPr>
        <w:t xml:space="preserve"> Article</w:t>
      </w:r>
      <w:r w:rsidR="005C1715" w:rsidRPr="001D2A25">
        <w:rPr>
          <w:noProof/>
          <w:lang w:val="en-IE"/>
        </w:rPr>
        <w:t> </w:t>
      </w:r>
      <w:r w:rsidR="00716EA9" w:rsidRPr="001D2A25">
        <w:rPr>
          <w:noProof/>
          <w:lang w:val="en-IE"/>
        </w:rPr>
        <w:t xml:space="preserve">430(1), point (g), of Regulation (EU) No 575/2013 on </w:t>
      </w:r>
      <w:r w:rsidR="00EF5BDB" w:rsidRPr="001D2A25">
        <w:rPr>
          <w:noProof/>
          <w:lang w:val="en-IE"/>
        </w:rPr>
        <w:t xml:space="preserve">both </w:t>
      </w:r>
      <w:r w:rsidR="00716EA9" w:rsidRPr="001D2A25">
        <w:rPr>
          <w:noProof/>
          <w:lang w:val="en-IE"/>
        </w:rPr>
        <w:t>individual and consolidated basis</w:t>
      </w:r>
      <w:r w:rsidR="007312BD" w:rsidRPr="001D2A25">
        <w:rPr>
          <w:noProof/>
          <w:lang w:val="en-IE"/>
        </w:rPr>
        <w:t xml:space="preserve"> </w:t>
      </w:r>
      <w:r w:rsidR="00716EA9" w:rsidRPr="001D2A25">
        <w:rPr>
          <w:noProof/>
          <w:lang w:val="en-IE"/>
        </w:rPr>
        <w:t>shall submit th</w:t>
      </w:r>
      <w:r w:rsidR="007312BD" w:rsidRPr="001D2A25">
        <w:rPr>
          <w:noProof/>
          <w:lang w:val="en-IE"/>
        </w:rPr>
        <w:t>at</w:t>
      </w:r>
      <w:r w:rsidR="00716EA9" w:rsidRPr="001D2A25">
        <w:rPr>
          <w:noProof/>
          <w:lang w:val="en-IE"/>
        </w:rPr>
        <w:t xml:space="preserve"> information as specified in </w:t>
      </w:r>
      <w:r w:rsidR="00EF5BDB" w:rsidRPr="001D2A25">
        <w:rPr>
          <w:noProof/>
          <w:lang w:val="en-IE"/>
        </w:rPr>
        <w:t>S</w:t>
      </w:r>
      <w:r w:rsidR="00A41976" w:rsidRPr="001D2A25">
        <w:rPr>
          <w:noProof/>
          <w:lang w:val="en-IE"/>
        </w:rPr>
        <w:t xml:space="preserve">ection </w:t>
      </w:r>
      <w:r w:rsidR="00F5752D" w:rsidRPr="001D2A25">
        <w:rPr>
          <w:noProof/>
          <w:lang w:val="en-IE"/>
        </w:rPr>
        <w:t>8</w:t>
      </w:r>
      <w:r w:rsidR="00A41976" w:rsidRPr="001D2A25">
        <w:rPr>
          <w:noProof/>
          <w:lang w:val="en-IE"/>
        </w:rPr>
        <w:t xml:space="preserve"> -</w:t>
      </w:r>
      <w:r w:rsidR="00716EA9" w:rsidRPr="001D2A25">
        <w:rPr>
          <w:noProof/>
          <w:lang w:val="en-IE"/>
        </w:rPr>
        <w:t xml:space="preserve"> ‘Reporting on asset encumbrance’ </w:t>
      </w:r>
      <w:r w:rsidR="00A41976" w:rsidRPr="001D2A25">
        <w:rPr>
          <w:noProof/>
          <w:lang w:val="en-IE"/>
        </w:rPr>
        <w:t>of Annex I</w:t>
      </w:r>
      <w:r w:rsidR="00716EA9" w:rsidRPr="001D2A25">
        <w:rPr>
          <w:noProof/>
          <w:lang w:val="en-IE"/>
        </w:rPr>
        <w:t xml:space="preserve"> with the </w:t>
      </w:r>
      <w:r w:rsidR="00EF5BDB" w:rsidRPr="001D2A25">
        <w:rPr>
          <w:noProof/>
          <w:lang w:val="en-IE"/>
        </w:rPr>
        <w:t xml:space="preserve">following </w:t>
      </w:r>
      <w:r w:rsidR="00716EA9" w:rsidRPr="001D2A25">
        <w:rPr>
          <w:noProof/>
          <w:lang w:val="en-IE"/>
        </w:rPr>
        <w:t>frequency</w:t>
      </w:r>
      <w:r w:rsidR="002C2709" w:rsidRPr="001D2A25">
        <w:rPr>
          <w:noProof/>
          <w:lang w:val="en-IE"/>
        </w:rPr>
        <w:t>:</w:t>
      </w:r>
    </w:p>
    <w:p w:rsidR="00F5752D" w:rsidRPr="001D2A25" w:rsidRDefault="004118AF" w:rsidP="004118AF">
      <w:pPr>
        <w:pStyle w:val="Point1"/>
        <w:rPr>
          <w:noProof/>
          <w:lang w:val="en-IE"/>
        </w:rPr>
      </w:pPr>
      <w:r w:rsidRPr="004118AF">
        <w:rPr>
          <w:noProof/>
        </w:rPr>
        <w:t>(a)</w:t>
      </w:r>
      <w:r w:rsidRPr="004118AF">
        <w:rPr>
          <w:noProof/>
        </w:rPr>
        <w:tab/>
      </w:r>
      <w:r w:rsidR="00F5752D" w:rsidRPr="001D2A25">
        <w:rPr>
          <w:noProof/>
          <w:lang w:val="en-IE"/>
        </w:rPr>
        <w:t xml:space="preserve">the information specified in templates F 32.01 to F 33.00 and F35.00 of </w:t>
      </w:r>
      <w:r w:rsidR="002C2709" w:rsidRPr="001D2A25">
        <w:rPr>
          <w:noProof/>
          <w:lang w:val="en-IE"/>
        </w:rPr>
        <w:t>S</w:t>
      </w:r>
      <w:r w:rsidR="00F5752D" w:rsidRPr="001D2A25">
        <w:rPr>
          <w:noProof/>
          <w:lang w:val="en-IE"/>
        </w:rPr>
        <w:t xml:space="preserve">ection 8 of Annex I </w:t>
      </w:r>
      <w:r w:rsidR="002C2709" w:rsidRPr="001D2A25">
        <w:rPr>
          <w:noProof/>
          <w:lang w:val="en-IE"/>
        </w:rPr>
        <w:t xml:space="preserve">to this Regulation </w:t>
      </w:r>
      <w:r w:rsidR="00F5752D" w:rsidRPr="001D2A25">
        <w:rPr>
          <w:noProof/>
          <w:lang w:val="en-IE"/>
        </w:rPr>
        <w:t>with a quarterly frequency;</w:t>
      </w:r>
    </w:p>
    <w:p w:rsidR="00F5752D" w:rsidRPr="001D2A25" w:rsidRDefault="004118AF" w:rsidP="004118AF">
      <w:pPr>
        <w:pStyle w:val="Point1"/>
        <w:rPr>
          <w:noProof/>
          <w:lang w:val="en-IE"/>
        </w:rPr>
      </w:pPr>
      <w:r w:rsidRPr="004118AF">
        <w:rPr>
          <w:noProof/>
        </w:rPr>
        <w:t>(b)</w:t>
      </w:r>
      <w:r w:rsidRPr="004118AF">
        <w:rPr>
          <w:noProof/>
        </w:rPr>
        <w:tab/>
      </w:r>
      <w:r w:rsidR="00F5752D" w:rsidRPr="001D2A25">
        <w:rPr>
          <w:noProof/>
          <w:lang w:val="en-IE"/>
        </w:rPr>
        <w:t xml:space="preserve">the information specified in template F34.00 of </w:t>
      </w:r>
      <w:r w:rsidR="002C2709" w:rsidRPr="001D2A25">
        <w:rPr>
          <w:noProof/>
          <w:lang w:val="en-IE"/>
        </w:rPr>
        <w:t>S</w:t>
      </w:r>
      <w:r w:rsidR="00F5752D" w:rsidRPr="001D2A25">
        <w:rPr>
          <w:noProof/>
          <w:lang w:val="en-IE"/>
        </w:rPr>
        <w:t>ection 8 of Annex I</w:t>
      </w:r>
      <w:r w:rsidR="002C2709" w:rsidRPr="001D2A25">
        <w:rPr>
          <w:noProof/>
          <w:lang w:val="en-IE"/>
        </w:rPr>
        <w:t xml:space="preserve"> to this Regulation</w:t>
      </w:r>
      <w:r w:rsidR="00F5752D" w:rsidRPr="001D2A25">
        <w:rPr>
          <w:noProof/>
          <w:lang w:val="en-IE"/>
        </w:rPr>
        <w:t xml:space="preserve"> with an annual frequency;</w:t>
      </w:r>
    </w:p>
    <w:p w:rsidR="00F5752D" w:rsidRPr="001D2A25" w:rsidRDefault="004118AF" w:rsidP="004118AF">
      <w:pPr>
        <w:pStyle w:val="Point1"/>
        <w:rPr>
          <w:noProof/>
          <w:lang w:val="en-IE"/>
        </w:rPr>
      </w:pPr>
      <w:r w:rsidRPr="004118AF">
        <w:rPr>
          <w:noProof/>
        </w:rPr>
        <w:t>(c)</w:t>
      </w:r>
      <w:r w:rsidRPr="004118AF">
        <w:rPr>
          <w:noProof/>
        </w:rPr>
        <w:tab/>
      </w:r>
      <w:r w:rsidR="00F5752D" w:rsidRPr="001D2A25">
        <w:rPr>
          <w:noProof/>
          <w:lang w:val="en-IE"/>
        </w:rPr>
        <w:t xml:space="preserve">the information specified in templates F 36.01 and F 36.02 of </w:t>
      </w:r>
      <w:r w:rsidR="002C2709" w:rsidRPr="001D2A25">
        <w:rPr>
          <w:noProof/>
          <w:lang w:val="en-IE"/>
        </w:rPr>
        <w:t>S</w:t>
      </w:r>
      <w:r w:rsidR="00F5752D" w:rsidRPr="001D2A25">
        <w:rPr>
          <w:noProof/>
          <w:lang w:val="en-IE"/>
        </w:rPr>
        <w:t>ection 8 of Annex I</w:t>
      </w:r>
      <w:r w:rsidR="002C2709" w:rsidRPr="001D2A25">
        <w:rPr>
          <w:noProof/>
          <w:lang w:val="en-IE"/>
        </w:rPr>
        <w:t xml:space="preserve"> to this Regulation</w:t>
      </w:r>
      <w:r w:rsidR="00F5752D" w:rsidRPr="001D2A25">
        <w:rPr>
          <w:noProof/>
          <w:lang w:val="en-IE"/>
        </w:rPr>
        <w:t xml:space="preserve"> with a semi-annual frequency</w:t>
      </w:r>
      <w:r w:rsidR="0083639F" w:rsidRPr="001D2A25">
        <w:rPr>
          <w:noProof/>
          <w:lang w:val="en-IE"/>
        </w:rPr>
        <w:t>.</w:t>
      </w:r>
    </w:p>
    <w:p w:rsidR="0083639F" w:rsidRPr="00C856B2" w:rsidRDefault="004118AF" w:rsidP="004118AF">
      <w:pPr>
        <w:pStyle w:val="ManualNumPar1"/>
        <w:rPr>
          <w:noProof/>
          <w:lang w:val="en-IE"/>
        </w:rPr>
      </w:pPr>
      <w:r w:rsidRPr="004118AF">
        <w:rPr>
          <w:noProof/>
        </w:rPr>
        <w:t>2.</w:t>
      </w:r>
      <w:r w:rsidRPr="004118AF">
        <w:rPr>
          <w:noProof/>
        </w:rPr>
        <w:tab/>
      </w:r>
      <w:r w:rsidR="00745A2E" w:rsidRPr="00C856B2">
        <w:rPr>
          <w:noProof/>
          <w:lang w:val="en-IE"/>
        </w:rPr>
        <w:t>Institutions shall submit t</w:t>
      </w:r>
      <w:r w:rsidR="0083639F" w:rsidRPr="00C856B2">
        <w:rPr>
          <w:noProof/>
          <w:lang w:val="en-IE"/>
        </w:rPr>
        <w:t>he information referred to in paragraph 1as follows:</w:t>
      </w:r>
    </w:p>
    <w:p w:rsidR="0083639F" w:rsidRPr="001D2A25" w:rsidRDefault="004118AF" w:rsidP="004118AF">
      <w:pPr>
        <w:pStyle w:val="Point1"/>
        <w:rPr>
          <w:noProof/>
          <w:lang w:val="en-IE"/>
        </w:rPr>
      </w:pPr>
      <w:r w:rsidRPr="004118AF">
        <w:rPr>
          <w:noProof/>
        </w:rPr>
        <w:t>(a)</w:t>
      </w:r>
      <w:r w:rsidRPr="004118AF">
        <w:rPr>
          <w:noProof/>
        </w:rPr>
        <w:tab/>
      </w:r>
      <w:r w:rsidR="0083639F" w:rsidRPr="001D2A25">
        <w:rPr>
          <w:noProof/>
          <w:lang w:val="en-IE"/>
        </w:rPr>
        <w:t>institutions shall submit the information specified in Part A of Section 8 - ‘Reporting on asset encumbrance’;</w:t>
      </w:r>
    </w:p>
    <w:p w:rsidR="0083639F" w:rsidRPr="001D2A25" w:rsidRDefault="004118AF" w:rsidP="004118AF">
      <w:pPr>
        <w:pStyle w:val="Point1"/>
        <w:rPr>
          <w:noProof/>
          <w:lang w:val="en-IE"/>
        </w:rPr>
      </w:pPr>
      <w:r w:rsidRPr="004118AF">
        <w:rPr>
          <w:noProof/>
        </w:rPr>
        <w:t>(b)</w:t>
      </w:r>
      <w:r w:rsidRPr="004118AF">
        <w:rPr>
          <w:noProof/>
        </w:rPr>
        <w:tab/>
      </w:r>
      <w:r w:rsidR="0083639F" w:rsidRPr="001D2A25">
        <w:rPr>
          <w:noProof/>
          <w:lang w:val="en-IE"/>
        </w:rPr>
        <w:t>large institutions shall submit the information specified in Parts B, C and E of Section 8 - ‘Reporting on asset encumbrance’;</w:t>
      </w:r>
    </w:p>
    <w:p w:rsidR="0083639F" w:rsidRPr="001D2A25" w:rsidRDefault="004118AF" w:rsidP="004118AF">
      <w:pPr>
        <w:pStyle w:val="Point1"/>
        <w:rPr>
          <w:noProof/>
          <w:lang w:val="en-IE"/>
        </w:rPr>
      </w:pPr>
      <w:r w:rsidRPr="004118AF">
        <w:rPr>
          <w:noProof/>
        </w:rPr>
        <w:t>(c)</w:t>
      </w:r>
      <w:r w:rsidRPr="004118AF">
        <w:rPr>
          <w:noProof/>
        </w:rPr>
        <w:tab/>
      </w:r>
      <w:r w:rsidR="0083639F" w:rsidRPr="001D2A25">
        <w:rPr>
          <w:noProof/>
          <w:lang w:val="en-IE"/>
        </w:rPr>
        <w:t xml:space="preserve">institutions that are neither large institutions nor small and non-complex institutions shall submit the information specified in Parts B, C and E of Section 8 - ‘Reporting on asset encumbrance’ where the asset encumbrance level of the institution, </w:t>
      </w:r>
      <w:r w:rsidR="00745A2E" w:rsidRPr="001D2A25">
        <w:rPr>
          <w:noProof/>
          <w:lang w:val="en-IE"/>
        </w:rPr>
        <w:t>specified</w:t>
      </w:r>
      <w:r w:rsidR="0083639F" w:rsidRPr="001D2A25">
        <w:rPr>
          <w:noProof/>
          <w:lang w:val="en-IE"/>
        </w:rPr>
        <w:t xml:space="preserve"> as (Carrying amount of encumbered assets and collateral)/(Total assets and collateral), is equal to or above 15 %;</w:t>
      </w:r>
    </w:p>
    <w:p w:rsidR="0083639F" w:rsidRPr="001D2A25" w:rsidRDefault="004118AF" w:rsidP="004118AF">
      <w:pPr>
        <w:pStyle w:val="Point1"/>
        <w:rPr>
          <w:noProof/>
          <w:lang w:val="en-IE"/>
        </w:rPr>
      </w:pPr>
      <w:r w:rsidRPr="004118AF">
        <w:rPr>
          <w:noProof/>
        </w:rPr>
        <w:t>(d)</w:t>
      </w:r>
      <w:r w:rsidRPr="004118AF">
        <w:rPr>
          <w:noProof/>
        </w:rPr>
        <w:tab/>
      </w:r>
      <w:r w:rsidR="0083639F" w:rsidRPr="001D2A25">
        <w:rPr>
          <w:noProof/>
          <w:lang w:val="en-IE"/>
        </w:rPr>
        <w:t>institutions shall report the information specified in Part D of Section 8 - ‘Reporting on asset encumbrance’, only where they issue bonds referred to in Article 52(4), first subparagraph, of Directive 2009/65/EC of the European Parliament and of the Council</w:t>
      </w:r>
      <w:r w:rsidR="00745A2E" w:rsidRPr="008411A4">
        <w:rPr>
          <w:rStyle w:val="FootnoteReference"/>
          <w:noProof/>
          <w:szCs w:val="24"/>
          <w:lang w:val="en-IE"/>
        </w:rPr>
        <w:footnoteReference w:id="10"/>
      </w:r>
      <w:r w:rsidR="0083639F" w:rsidRPr="001D2A25">
        <w:rPr>
          <w:noProof/>
          <w:lang w:val="en-IE"/>
        </w:rPr>
        <w:t>.</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20</w:t>
      </w:r>
    </w:p>
    <w:p w:rsidR="00716EA9" w:rsidRPr="00C856B2" w:rsidRDefault="00716EA9" w:rsidP="0066303A">
      <w:pPr>
        <w:pStyle w:val="Titrearticle"/>
        <w:spacing w:before="0"/>
        <w:rPr>
          <w:b/>
          <w:bCs/>
          <w:i w:val="0"/>
          <w:iCs/>
          <w:noProof/>
          <w:szCs w:val="24"/>
          <w:lang w:val="en-IE"/>
        </w:rPr>
      </w:pPr>
      <w:r w:rsidRPr="00C856B2">
        <w:rPr>
          <w:b/>
          <w:bCs/>
          <w:i w:val="0"/>
          <w:iCs/>
          <w:noProof/>
          <w:szCs w:val="24"/>
          <w:lang w:val="en-IE"/>
        </w:rPr>
        <w:t>Supplementary reporting for the purposes of identifying G-SIIs and assigning G-SII buffer rates</w:t>
      </w:r>
    </w:p>
    <w:p w:rsidR="00716EA9" w:rsidRPr="00C856B2" w:rsidRDefault="004118AF" w:rsidP="004118AF">
      <w:pPr>
        <w:pStyle w:val="ManualNumPar1"/>
        <w:rPr>
          <w:noProof/>
          <w:lang w:val="en-IE"/>
        </w:rPr>
      </w:pPr>
      <w:r w:rsidRPr="004118AF">
        <w:rPr>
          <w:noProof/>
        </w:rPr>
        <w:t>1.</w:t>
      </w:r>
      <w:r w:rsidRPr="004118AF">
        <w:rPr>
          <w:noProof/>
        </w:rPr>
        <w:tab/>
      </w:r>
      <w:r w:rsidR="00716EA9" w:rsidRPr="00C856B2">
        <w:rPr>
          <w:noProof/>
          <w:lang w:val="en-IE"/>
        </w:rPr>
        <w:t xml:space="preserve">When reporting supplementary information for the </w:t>
      </w:r>
      <w:r w:rsidR="007B33F1" w:rsidRPr="00C856B2">
        <w:rPr>
          <w:noProof/>
          <w:lang w:val="en-IE"/>
        </w:rPr>
        <w:t>identification of</w:t>
      </w:r>
      <w:r w:rsidR="00716EA9" w:rsidRPr="00C856B2">
        <w:rPr>
          <w:noProof/>
          <w:lang w:val="en-IE"/>
        </w:rPr>
        <w:t xml:space="preserve"> G-SIIs and assigning G-SII buffer rates under Article 131 of Directive 2013/36/EU, EU parent institutions, EU parent financial holdings and EU parent mixed financial holdings shall submit the information specified </w:t>
      </w:r>
      <w:r w:rsidR="00716EA9" w:rsidRPr="00C856B2">
        <w:rPr>
          <w:noProof/>
          <w:color w:val="000000"/>
          <w:lang w:val="en-IE"/>
        </w:rPr>
        <w:t xml:space="preserve">in </w:t>
      </w:r>
      <w:r w:rsidR="007B33F1" w:rsidRPr="00C856B2">
        <w:rPr>
          <w:noProof/>
          <w:color w:val="000000"/>
          <w:lang w:val="en-IE"/>
        </w:rPr>
        <w:t>S</w:t>
      </w:r>
      <w:r w:rsidR="00335EE8" w:rsidRPr="00C856B2">
        <w:rPr>
          <w:noProof/>
          <w:color w:val="000000"/>
          <w:lang w:val="en-IE"/>
        </w:rPr>
        <w:t>ection 1</w:t>
      </w:r>
      <w:r w:rsidR="00FD69C7">
        <w:rPr>
          <w:noProof/>
          <w:color w:val="000000"/>
          <w:lang w:val="en-IE"/>
        </w:rPr>
        <w:t>1</w:t>
      </w:r>
      <w:r w:rsidR="00335EE8" w:rsidRPr="00C856B2">
        <w:rPr>
          <w:noProof/>
          <w:color w:val="000000"/>
          <w:lang w:val="en-IE"/>
        </w:rPr>
        <w:t xml:space="preserve"> -</w:t>
      </w:r>
      <w:r w:rsidR="00716EA9" w:rsidRPr="00C856B2">
        <w:rPr>
          <w:noProof/>
          <w:color w:val="000000"/>
          <w:lang w:val="en-IE"/>
        </w:rPr>
        <w:t xml:space="preserve"> ‘</w:t>
      </w:r>
      <w:r w:rsidR="00FD69C7">
        <w:rPr>
          <w:noProof/>
          <w:color w:val="000000"/>
          <w:lang w:val="en-IE"/>
        </w:rPr>
        <w:t>Supplementary r</w:t>
      </w:r>
      <w:r w:rsidR="00FD69C7" w:rsidRPr="00C856B2">
        <w:rPr>
          <w:noProof/>
          <w:color w:val="000000"/>
          <w:lang w:val="en-IE"/>
        </w:rPr>
        <w:t xml:space="preserve">eporting </w:t>
      </w:r>
      <w:r w:rsidR="00716EA9" w:rsidRPr="00C856B2">
        <w:rPr>
          <w:noProof/>
          <w:color w:val="000000"/>
          <w:lang w:val="en-IE"/>
        </w:rPr>
        <w:t xml:space="preserve">for the purposes of identifying G-SIIs and assigning G-SII buffer rates’ </w:t>
      </w:r>
      <w:r w:rsidR="00335EE8" w:rsidRPr="00C856B2">
        <w:rPr>
          <w:noProof/>
          <w:color w:val="000000"/>
          <w:lang w:val="en-IE"/>
        </w:rPr>
        <w:t>of Annex I</w:t>
      </w:r>
      <w:r w:rsidR="007B33F1" w:rsidRPr="00C856B2">
        <w:rPr>
          <w:noProof/>
          <w:color w:val="000000"/>
          <w:lang w:val="en-IE"/>
        </w:rPr>
        <w:t xml:space="preserve"> to this Regulation</w:t>
      </w:r>
      <w:r w:rsidR="00716EA9" w:rsidRPr="00C856B2">
        <w:rPr>
          <w:noProof/>
          <w:color w:val="000000" w:themeColor="text1"/>
          <w:lang w:val="en-IE" w:eastAsia="fr-BE"/>
        </w:rPr>
        <w:t xml:space="preserve">, </w:t>
      </w:r>
      <w:r w:rsidR="00716EA9" w:rsidRPr="00C856B2">
        <w:rPr>
          <w:noProof/>
          <w:lang w:val="en-IE"/>
        </w:rPr>
        <w:t>on a consolidated basis with a quarterly frequency, where both of the following conditions are met:</w:t>
      </w:r>
    </w:p>
    <w:p w:rsidR="00AB5213" w:rsidRPr="00C856B2" w:rsidRDefault="004118AF" w:rsidP="004118AF">
      <w:pPr>
        <w:pStyle w:val="Point1"/>
        <w:rPr>
          <w:noProof/>
          <w:lang w:val="en-IE"/>
        </w:rPr>
      </w:pPr>
      <w:r w:rsidRPr="004118AF">
        <w:rPr>
          <w:noProof/>
        </w:rPr>
        <w:t>(a)</w:t>
      </w:r>
      <w:r w:rsidRPr="004118AF">
        <w:rPr>
          <w:noProof/>
        </w:rPr>
        <w:tab/>
      </w:r>
      <w:r w:rsidR="00AB5213" w:rsidRPr="00C856B2">
        <w:rPr>
          <w:noProof/>
          <w:lang w:val="en-IE"/>
        </w:rPr>
        <w:t>the total exposure measure of the group, including insurance subsidiaries, is equal to or exceeds EUR 125 000 000 000;</w:t>
      </w:r>
    </w:p>
    <w:p w:rsidR="00AB5213" w:rsidRPr="00C856B2" w:rsidRDefault="004118AF" w:rsidP="004118AF">
      <w:pPr>
        <w:pStyle w:val="Point1"/>
        <w:rPr>
          <w:noProof/>
          <w:lang w:val="en-IE"/>
        </w:rPr>
      </w:pPr>
      <w:r w:rsidRPr="004118AF">
        <w:rPr>
          <w:noProof/>
        </w:rPr>
        <w:t>(b)</w:t>
      </w:r>
      <w:r w:rsidRPr="004118AF">
        <w:rPr>
          <w:noProof/>
        </w:rPr>
        <w:tab/>
      </w:r>
      <w:r w:rsidR="00AB5213" w:rsidRPr="00C856B2">
        <w:rPr>
          <w:noProof/>
          <w:lang w:val="en-IE"/>
        </w:rPr>
        <w:t xml:space="preserve">the EU parent or any of its subsidiaries or any branch operated by the parent or by a subsidiary is located in a participating Member State as referred to in Article 4 of Regulation (EU) No 806/2014 </w:t>
      </w:r>
      <w:r w:rsidR="00AB5213" w:rsidRPr="00C856B2">
        <w:rPr>
          <w:noProof/>
          <w:color w:val="000000"/>
          <w:lang w:val="en-IE" w:eastAsia="fr-BE"/>
        </w:rPr>
        <w:t>of the European Parliament and of the Council</w:t>
      </w:r>
      <w:r w:rsidR="00AB5213" w:rsidRPr="00C856B2">
        <w:rPr>
          <w:rStyle w:val="FootnoteReference"/>
          <w:noProof/>
          <w:color w:val="000000"/>
          <w:lang w:val="en-IE" w:eastAsia="fr-BE"/>
        </w:rPr>
        <w:footnoteReference w:id="11"/>
      </w:r>
      <w:r w:rsidR="00AB5213" w:rsidRPr="00C856B2">
        <w:rPr>
          <w:noProof/>
          <w:lang w:val="en-IE"/>
        </w:rPr>
        <w:t>.</w:t>
      </w:r>
    </w:p>
    <w:p w:rsidR="00716EA9" w:rsidRPr="00C856B2" w:rsidRDefault="004118AF" w:rsidP="004118AF">
      <w:pPr>
        <w:pStyle w:val="ManualNumPar1"/>
        <w:rPr>
          <w:noProof/>
          <w:lang w:val="en-IE"/>
        </w:rPr>
      </w:pPr>
      <w:r w:rsidRPr="004118AF">
        <w:rPr>
          <w:noProof/>
        </w:rPr>
        <w:t>2.</w:t>
      </w:r>
      <w:r w:rsidRPr="004118AF">
        <w:rPr>
          <w:noProof/>
        </w:rPr>
        <w:tab/>
      </w:r>
      <w:r w:rsidR="00557F8A" w:rsidRPr="00C856B2">
        <w:rPr>
          <w:noProof/>
          <w:lang w:val="en-IE"/>
        </w:rPr>
        <w:t>When reporting</w:t>
      </w:r>
      <w:r w:rsidR="00716EA9" w:rsidRPr="00C856B2">
        <w:rPr>
          <w:noProof/>
          <w:lang w:val="en-IE"/>
        </w:rPr>
        <w:t xml:space="preserve"> supplementary information for the </w:t>
      </w:r>
      <w:r w:rsidR="007B33F1" w:rsidRPr="00C856B2">
        <w:rPr>
          <w:noProof/>
          <w:lang w:val="en-IE"/>
        </w:rPr>
        <w:t>identification of</w:t>
      </w:r>
      <w:r w:rsidR="00716EA9" w:rsidRPr="00C856B2">
        <w:rPr>
          <w:noProof/>
          <w:lang w:val="en-IE"/>
        </w:rPr>
        <w:t xml:space="preserve"> G-SIIs and assigning G-SII buffer rates under Article 131 of Directive 2013/36/EU, institutions shall submit the information specified in </w:t>
      </w:r>
      <w:r w:rsidR="007B33F1" w:rsidRPr="00C856B2">
        <w:rPr>
          <w:noProof/>
          <w:color w:val="000000"/>
          <w:lang w:val="en-IE"/>
        </w:rPr>
        <w:t>S</w:t>
      </w:r>
      <w:r w:rsidR="00F5752D" w:rsidRPr="00C856B2">
        <w:rPr>
          <w:noProof/>
          <w:color w:val="000000"/>
          <w:lang w:val="en-IE"/>
        </w:rPr>
        <w:t xml:space="preserve">ection </w:t>
      </w:r>
      <w:r w:rsidR="00FD69C7" w:rsidRPr="00C856B2">
        <w:rPr>
          <w:noProof/>
          <w:color w:val="000000"/>
          <w:lang w:val="en-IE"/>
        </w:rPr>
        <w:t>1</w:t>
      </w:r>
      <w:r w:rsidR="00FD69C7">
        <w:rPr>
          <w:noProof/>
          <w:color w:val="000000"/>
          <w:lang w:val="en-IE"/>
        </w:rPr>
        <w:t>1</w:t>
      </w:r>
      <w:r w:rsidR="00FD69C7" w:rsidRPr="00C856B2">
        <w:rPr>
          <w:noProof/>
          <w:color w:val="000000"/>
          <w:lang w:val="en-IE"/>
        </w:rPr>
        <w:t xml:space="preserve"> </w:t>
      </w:r>
      <w:r w:rsidR="00F5752D" w:rsidRPr="00C856B2">
        <w:rPr>
          <w:noProof/>
          <w:color w:val="000000"/>
          <w:lang w:val="en-IE"/>
        </w:rPr>
        <w:t xml:space="preserve">- </w:t>
      </w:r>
      <w:r w:rsidR="00716EA9" w:rsidRPr="00C856B2">
        <w:rPr>
          <w:noProof/>
          <w:color w:val="000000"/>
          <w:lang w:val="en-IE"/>
        </w:rPr>
        <w:t>‘</w:t>
      </w:r>
      <w:r w:rsidR="00FD69C7">
        <w:rPr>
          <w:noProof/>
          <w:color w:val="000000"/>
          <w:lang w:val="en-IE"/>
        </w:rPr>
        <w:t>Supplementary r</w:t>
      </w:r>
      <w:r w:rsidR="00FD69C7" w:rsidRPr="00C856B2">
        <w:rPr>
          <w:noProof/>
          <w:color w:val="000000"/>
          <w:lang w:val="en-IE"/>
        </w:rPr>
        <w:t xml:space="preserve">eporting </w:t>
      </w:r>
      <w:r w:rsidR="00716EA9" w:rsidRPr="00C856B2">
        <w:rPr>
          <w:noProof/>
          <w:color w:val="000000"/>
          <w:lang w:val="en-IE"/>
        </w:rPr>
        <w:t>for the purposes of identifying G-SIIs and assigning G-SII buffer rates</w:t>
      </w:r>
      <w:r w:rsidR="007B33F1" w:rsidRPr="00C856B2">
        <w:rPr>
          <w:noProof/>
          <w:color w:val="000000"/>
          <w:lang w:val="en-IE"/>
        </w:rPr>
        <w:t>’</w:t>
      </w:r>
      <w:r w:rsidR="00F5752D" w:rsidRPr="00C856B2">
        <w:rPr>
          <w:noProof/>
          <w:color w:val="000000"/>
          <w:lang w:val="en-IE"/>
        </w:rPr>
        <w:t xml:space="preserve"> of Annex I</w:t>
      </w:r>
      <w:r w:rsidR="007B33F1" w:rsidRPr="00C856B2">
        <w:rPr>
          <w:noProof/>
          <w:color w:val="000000"/>
          <w:lang w:val="en-IE"/>
        </w:rPr>
        <w:t xml:space="preserve"> to this Regulation </w:t>
      </w:r>
      <w:r w:rsidR="00716EA9" w:rsidRPr="00C856B2">
        <w:rPr>
          <w:noProof/>
          <w:lang w:val="en-IE"/>
        </w:rPr>
        <w:t>on an individual basis with a quarterly frequency, where all of the following conditions are met:</w:t>
      </w:r>
    </w:p>
    <w:p w:rsidR="00AB5213" w:rsidRPr="00C856B2" w:rsidRDefault="004118AF" w:rsidP="004118AF">
      <w:pPr>
        <w:pStyle w:val="Point1"/>
        <w:rPr>
          <w:noProof/>
          <w:lang w:val="en-IE"/>
        </w:rPr>
      </w:pPr>
      <w:r w:rsidRPr="004118AF">
        <w:rPr>
          <w:noProof/>
        </w:rPr>
        <w:t>(a)</w:t>
      </w:r>
      <w:r w:rsidRPr="004118AF">
        <w:rPr>
          <w:noProof/>
        </w:rPr>
        <w:tab/>
      </w:r>
      <w:r w:rsidR="00AB5213" w:rsidRPr="00C856B2">
        <w:rPr>
          <w:noProof/>
          <w:lang w:val="en-IE"/>
        </w:rPr>
        <w:t>the total exposure measure of the institution is equal to or exceeds EUR 125 000 000 000;</w:t>
      </w:r>
    </w:p>
    <w:p w:rsidR="00AB5213" w:rsidRPr="00C856B2" w:rsidRDefault="004118AF" w:rsidP="004118AF">
      <w:pPr>
        <w:pStyle w:val="Point1"/>
        <w:rPr>
          <w:noProof/>
          <w:lang w:val="en-IE"/>
        </w:rPr>
      </w:pPr>
      <w:r w:rsidRPr="004118AF">
        <w:rPr>
          <w:noProof/>
        </w:rPr>
        <w:t>(b)</w:t>
      </w:r>
      <w:r w:rsidRPr="004118AF">
        <w:rPr>
          <w:noProof/>
        </w:rPr>
        <w:tab/>
      </w:r>
      <w:r w:rsidR="00AB5213" w:rsidRPr="00C856B2">
        <w:rPr>
          <w:noProof/>
          <w:lang w:val="en-IE"/>
        </w:rPr>
        <w:t>the institution is located in a participating Member State as referred to in Article 4 of Regulation (EU) No 806/2014;</w:t>
      </w:r>
    </w:p>
    <w:p w:rsidR="00AB5213" w:rsidRPr="00C856B2" w:rsidRDefault="004118AF" w:rsidP="004118AF">
      <w:pPr>
        <w:pStyle w:val="Point1"/>
        <w:rPr>
          <w:noProof/>
          <w:lang w:val="en-IE"/>
        </w:rPr>
      </w:pPr>
      <w:r w:rsidRPr="004118AF">
        <w:rPr>
          <w:noProof/>
        </w:rPr>
        <w:t>(c)</w:t>
      </w:r>
      <w:r w:rsidRPr="004118AF">
        <w:rPr>
          <w:noProof/>
        </w:rPr>
        <w:tab/>
      </w:r>
      <w:r w:rsidR="00AB5213" w:rsidRPr="00C856B2">
        <w:rPr>
          <w:noProof/>
          <w:lang w:val="en-IE"/>
        </w:rPr>
        <w:t>the institution is not part of a group that is subject to consolidated supervision (“standalone institution”).</w:t>
      </w:r>
    </w:p>
    <w:p w:rsidR="00716EA9" w:rsidRPr="00C856B2" w:rsidRDefault="004118AF" w:rsidP="004118AF">
      <w:pPr>
        <w:pStyle w:val="ManualNumPar1"/>
        <w:rPr>
          <w:noProof/>
          <w:lang w:val="en-IE"/>
        </w:rPr>
      </w:pPr>
      <w:r w:rsidRPr="004118AF">
        <w:rPr>
          <w:noProof/>
        </w:rPr>
        <w:t>3.</w:t>
      </w:r>
      <w:r w:rsidRPr="004118AF">
        <w:rPr>
          <w:noProof/>
        </w:rPr>
        <w:tab/>
      </w:r>
      <w:r w:rsidR="00716EA9" w:rsidRPr="00C856B2">
        <w:rPr>
          <w:noProof/>
          <w:lang w:val="en-IE"/>
        </w:rPr>
        <w:t xml:space="preserve">By way of derogation from Article </w:t>
      </w:r>
      <w:r w:rsidR="003D2BEA" w:rsidRPr="00C856B2">
        <w:rPr>
          <w:noProof/>
          <w:lang w:val="en-IE"/>
        </w:rPr>
        <w:t>3</w:t>
      </w:r>
      <w:r w:rsidR="00716EA9" w:rsidRPr="00C856B2">
        <w:rPr>
          <w:noProof/>
          <w:lang w:val="en-IE"/>
        </w:rPr>
        <w:t xml:space="preserve">(1), point (b), </w:t>
      </w:r>
      <w:r w:rsidR="002622C6" w:rsidRPr="00C856B2">
        <w:rPr>
          <w:noProof/>
          <w:lang w:val="en-IE"/>
        </w:rPr>
        <w:t xml:space="preserve">institutions shall submit </w:t>
      </w:r>
      <w:r w:rsidR="00716EA9" w:rsidRPr="00C856B2">
        <w:rPr>
          <w:noProof/>
          <w:lang w:val="en-IE"/>
        </w:rPr>
        <w:t>the information referred to in paragraphs 1 and 2 of this Article by close of business on the following remittance dates: 1 July, 1 October, 2 January and 1 April.</w:t>
      </w:r>
    </w:p>
    <w:p w:rsidR="00716EA9" w:rsidRPr="00C856B2" w:rsidRDefault="004118AF" w:rsidP="004118AF">
      <w:pPr>
        <w:pStyle w:val="ManualNumPar1"/>
        <w:rPr>
          <w:noProof/>
          <w:lang w:val="en-IE"/>
        </w:rPr>
      </w:pPr>
      <w:r w:rsidRPr="004118AF">
        <w:rPr>
          <w:noProof/>
        </w:rPr>
        <w:t>4.</w:t>
      </w:r>
      <w:r w:rsidRPr="004118AF">
        <w:rPr>
          <w:noProof/>
        </w:rPr>
        <w:tab/>
      </w:r>
      <w:r w:rsidR="00716EA9" w:rsidRPr="00C856B2">
        <w:rPr>
          <w:noProof/>
          <w:lang w:val="en-IE"/>
        </w:rPr>
        <w:t xml:space="preserve">By way of derogation from Article </w:t>
      </w:r>
      <w:r w:rsidR="003D2BEA" w:rsidRPr="00C856B2">
        <w:rPr>
          <w:noProof/>
          <w:lang w:val="en-IE"/>
        </w:rPr>
        <w:t>4</w:t>
      </w:r>
      <w:r w:rsidR="00716EA9" w:rsidRPr="00C856B2">
        <w:rPr>
          <w:noProof/>
          <w:lang w:val="en-IE"/>
        </w:rPr>
        <w:t>, the following shall apply with regard to the thresholds specified in paragraph 1, point (a), and paragraph 2, point (a), of this Article:</w:t>
      </w:r>
    </w:p>
    <w:p w:rsidR="00AB5213" w:rsidRPr="00C856B2" w:rsidRDefault="004118AF" w:rsidP="004118AF">
      <w:pPr>
        <w:pStyle w:val="Point1"/>
        <w:rPr>
          <w:noProof/>
          <w:lang w:val="en-IE"/>
        </w:rPr>
      </w:pPr>
      <w:r w:rsidRPr="004118AF">
        <w:rPr>
          <w:noProof/>
        </w:rPr>
        <w:t>(a)</w:t>
      </w:r>
      <w:r w:rsidRPr="004118AF">
        <w:rPr>
          <w:noProof/>
        </w:rPr>
        <w:tab/>
      </w:r>
      <w:r w:rsidR="00AB5213" w:rsidRPr="00C856B2">
        <w:rPr>
          <w:noProof/>
          <w:lang w:val="en-IE"/>
        </w:rPr>
        <w:t xml:space="preserve">the EU parent institution, EU parent financial holding, EU parent mixed financial holding or standalone institution, as applicable, shall immediately start reporting the information </w:t>
      </w:r>
      <w:r w:rsidR="007F5EE6" w:rsidRPr="00C856B2">
        <w:rPr>
          <w:noProof/>
          <w:lang w:val="en-IE"/>
        </w:rPr>
        <w:t xml:space="preserve">referred to in paragraphs 1 and 2 </w:t>
      </w:r>
      <w:r w:rsidR="00AB5213" w:rsidRPr="00C856B2">
        <w:rPr>
          <w:noProof/>
          <w:lang w:val="en-IE"/>
        </w:rPr>
        <w:t>in accordance with this Article where its leverage ratio exposure measure exceeds the specified threshold as of the end of the accounting year, and shall report th</w:t>
      </w:r>
      <w:r w:rsidR="00C32A28" w:rsidRPr="00C856B2">
        <w:rPr>
          <w:noProof/>
          <w:lang w:val="en-IE"/>
        </w:rPr>
        <w:t>at</w:t>
      </w:r>
      <w:r w:rsidR="00AB5213" w:rsidRPr="00C856B2">
        <w:rPr>
          <w:noProof/>
          <w:lang w:val="en-IE"/>
        </w:rPr>
        <w:t xml:space="preserve"> information for the end of that accounting year and the subsequent three quarterly reference dates;</w:t>
      </w:r>
    </w:p>
    <w:p w:rsidR="00AB5213" w:rsidRPr="00C856B2" w:rsidRDefault="004118AF" w:rsidP="004118AF">
      <w:pPr>
        <w:pStyle w:val="Point1"/>
        <w:rPr>
          <w:noProof/>
          <w:lang w:val="en-IE"/>
        </w:rPr>
      </w:pPr>
      <w:r w:rsidRPr="004118AF">
        <w:rPr>
          <w:noProof/>
        </w:rPr>
        <w:t>(b)</w:t>
      </w:r>
      <w:r w:rsidRPr="004118AF">
        <w:rPr>
          <w:noProof/>
        </w:rPr>
        <w:tab/>
      </w:r>
      <w:r w:rsidR="00AB5213" w:rsidRPr="00C856B2">
        <w:rPr>
          <w:noProof/>
          <w:lang w:val="en-IE"/>
        </w:rPr>
        <w:t xml:space="preserve">the EU parent institution, EU parent financial holding, EU parent mixed financial holding or standalone institution, as applicable, shall immediately stop reporting the information </w:t>
      </w:r>
      <w:r w:rsidR="007F5EE6" w:rsidRPr="00C856B2">
        <w:rPr>
          <w:noProof/>
          <w:lang w:val="en-IE"/>
        </w:rPr>
        <w:t xml:space="preserve">referred to in paragraphs 1 and 2 </w:t>
      </w:r>
      <w:r w:rsidR="00AB5213" w:rsidRPr="00C856B2">
        <w:rPr>
          <w:noProof/>
          <w:lang w:val="en-IE"/>
        </w:rPr>
        <w:t>in accordance with this Article where its leverage ratio exposure measure falls below the specified threshold as of the end of their accounting year.</w:t>
      </w:r>
    </w:p>
    <w:p w:rsidR="00716EA9" w:rsidRPr="00C856B2" w:rsidRDefault="00716EA9" w:rsidP="00E537F5">
      <w:pPr>
        <w:pStyle w:val="Titrearticle"/>
        <w:rPr>
          <w:noProof/>
          <w:szCs w:val="24"/>
          <w:lang w:val="en-IE"/>
        </w:rPr>
      </w:pPr>
      <w:r w:rsidRPr="00C856B2">
        <w:rPr>
          <w:noProof/>
          <w:szCs w:val="24"/>
          <w:lang w:val="en-IE"/>
        </w:rPr>
        <w:t xml:space="preserve">Article </w:t>
      </w:r>
      <w:r w:rsidR="003D2BEA" w:rsidRPr="00C856B2">
        <w:rPr>
          <w:noProof/>
          <w:szCs w:val="24"/>
          <w:lang w:val="en-IE"/>
        </w:rPr>
        <w:t>21</w:t>
      </w:r>
    </w:p>
    <w:p w:rsidR="00716EA9" w:rsidRPr="00C856B2" w:rsidRDefault="00716EA9" w:rsidP="0066303A">
      <w:pPr>
        <w:pStyle w:val="Titrearticle"/>
        <w:spacing w:before="0"/>
        <w:rPr>
          <w:b/>
          <w:bCs/>
          <w:i w:val="0"/>
          <w:iCs/>
          <w:noProof/>
          <w:szCs w:val="24"/>
          <w:lang w:val="en-IE"/>
        </w:rPr>
      </w:pPr>
      <w:bookmarkStart w:id="2" w:name="_Hlk175233444"/>
      <w:r w:rsidRPr="00C856B2">
        <w:rPr>
          <w:b/>
          <w:bCs/>
          <w:i w:val="0"/>
          <w:iCs/>
          <w:noProof/>
          <w:szCs w:val="24"/>
          <w:lang w:val="en-IE"/>
        </w:rPr>
        <w:t>Reporting on interest rate risk in the banking book on</w:t>
      </w:r>
      <w:r w:rsidR="007F5EE6" w:rsidRPr="00C856B2">
        <w:rPr>
          <w:b/>
          <w:bCs/>
          <w:i w:val="0"/>
          <w:iCs/>
          <w:noProof/>
          <w:szCs w:val="24"/>
          <w:lang w:val="en-IE"/>
        </w:rPr>
        <w:t xml:space="preserve"> both</w:t>
      </w:r>
      <w:r w:rsidRPr="00C856B2">
        <w:rPr>
          <w:b/>
          <w:bCs/>
          <w:i w:val="0"/>
          <w:iCs/>
          <w:noProof/>
          <w:szCs w:val="24"/>
          <w:lang w:val="en-IE"/>
        </w:rPr>
        <w:t xml:space="preserve"> an individual and a consolidated basis</w:t>
      </w:r>
    </w:p>
    <w:p w:rsidR="00716EA9" w:rsidRPr="00C856B2" w:rsidRDefault="000B3834" w:rsidP="00716EA9">
      <w:pPr>
        <w:rPr>
          <w:rFonts w:eastAsia="Times New Roman"/>
          <w:noProof/>
          <w:color w:val="000000" w:themeColor="text1"/>
          <w:szCs w:val="24"/>
          <w:lang w:val="en-IE" w:eastAsia="fr-BE"/>
        </w:rPr>
      </w:pPr>
      <w:r w:rsidRPr="00C856B2">
        <w:rPr>
          <w:noProof/>
          <w:color w:val="000000"/>
          <w:szCs w:val="24"/>
          <w:lang w:val="en-IE"/>
        </w:rPr>
        <w:t>Institutions that report</w:t>
      </w:r>
      <w:r w:rsidR="00716EA9" w:rsidRPr="00C856B2">
        <w:rPr>
          <w:noProof/>
          <w:color w:val="000000"/>
          <w:szCs w:val="24"/>
          <w:lang w:val="en-IE"/>
        </w:rPr>
        <w:t xml:space="preserve"> information on interest rate risk in the banking book in accordance with Article 84(5), </w:t>
      </w:r>
      <w:r w:rsidR="00C84427" w:rsidRPr="00C856B2">
        <w:rPr>
          <w:noProof/>
          <w:color w:val="000000"/>
          <w:szCs w:val="24"/>
          <w:lang w:val="en-IE"/>
        </w:rPr>
        <w:t xml:space="preserve">Article </w:t>
      </w:r>
      <w:r w:rsidR="00716EA9" w:rsidRPr="00C856B2">
        <w:rPr>
          <w:noProof/>
          <w:color w:val="000000"/>
          <w:szCs w:val="24"/>
          <w:lang w:val="en-IE"/>
        </w:rPr>
        <w:t xml:space="preserve">84(6) and </w:t>
      </w:r>
      <w:r w:rsidR="00C84427" w:rsidRPr="00C856B2">
        <w:rPr>
          <w:noProof/>
          <w:color w:val="000000"/>
          <w:szCs w:val="24"/>
          <w:lang w:val="en-IE"/>
        </w:rPr>
        <w:t xml:space="preserve">Article </w:t>
      </w:r>
      <w:r w:rsidR="00716EA9" w:rsidRPr="00C856B2">
        <w:rPr>
          <w:noProof/>
          <w:color w:val="000000"/>
          <w:szCs w:val="24"/>
          <w:lang w:val="en-IE"/>
        </w:rPr>
        <w:t xml:space="preserve">98(5a) of Directive 2013/36/EU on </w:t>
      </w:r>
      <w:r w:rsidR="007F5EE6" w:rsidRPr="00C856B2">
        <w:rPr>
          <w:noProof/>
          <w:color w:val="000000"/>
          <w:szCs w:val="24"/>
          <w:lang w:val="en-IE"/>
        </w:rPr>
        <w:t xml:space="preserve">both </w:t>
      </w:r>
      <w:r w:rsidR="00716EA9" w:rsidRPr="00C856B2">
        <w:rPr>
          <w:noProof/>
          <w:color w:val="000000"/>
          <w:szCs w:val="24"/>
          <w:lang w:val="en-IE"/>
        </w:rPr>
        <w:t xml:space="preserve">an individual and a consolidated basis shall submit the information </w:t>
      </w:r>
      <w:r w:rsidR="00716EA9" w:rsidRPr="00C856B2">
        <w:rPr>
          <w:rFonts w:eastAsia="Times New Roman"/>
          <w:noProof/>
          <w:color w:val="000000" w:themeColor="text1"/>
          <w:szCs w:val="24"/>
          <w:lang w:val="en-IE" w:eastAsia="fr-BE"/>
        </w:rPr>
        <w:t xml:space="preserve">referred to in </w:t>
      </w:r>
      <w:r w:rsidR="00C84427" w:rsidRPr="00C856B2">
        <w:rPr>
          <w:rFonts w:eastAsia="Times New Roman"/>
          <w:noProof/>
          <w:color w:val="000000" w:themeColor="text1"/>
          <w:szCs w:val="24"/>
          <w:lang w:val="en-IE" w:eastAsia="fr-BE"/>
        </w:rPr>
        <w:t>those</w:t>
      </w:r>
      <w:r w:rsidR="00716EA9" w:rsidRPr="00C856B2">
        <w:rPr>
          <w:rFonts w:eastAsia="Times New Roman"/>
          <w:noProof/>
          <w:color w:val="000000" w:themeColor="text1"/>
          <w:szCs w:val="24"/>
          <w:lang w:val="en-IE" w:eastAsia="fr-BE"/>
        </w:rPr>
        <w:t xml:space="preserve"> Articles </w:t>
      </w:r>
      <w:r w:rsidR="00716EA9" w:rsidRPr="00C856B2">
        <w:rPr>
          <w:noProof/>
          <w:color w:val="000000"/>
          <w:szCs w:val="24"/>
          <w:lang w:val="en-IE"/>
        </w:rPr>
        <w:t xml:space="preserve">as specified in </w:t>
      </w:r>
      <w:r w:rsidR="00247A56" w:rsidRPr="00C856B2">
        <w:rPr>
          <w:noProof/>
          <w:color w:val="000000"/>
          <w:szCs w:val="24"/>
          <w:lang w:val="en-IE"/>
        </w:rPr>
        <w:t>S</w:t>
      </w:r>
      <w:r w:rsidR="0098245E" w:rsidRPr="00C856B2">
        <w:rPr>
          <w:noProof/>
          <w:color w:val="000000"/>
          <w:szCs w:val="24"/>
          <w:lang w:val="en-IE"/>
        </w:rPr>
        <w:t xml:space="preserve">ection </w:t>
      </w:r>
      <w:r w:rsidR="00FD69C7" w:rsidRPr="00C856B2">
        <w:rPr>
          <w:noProof/>
          <w:color w:val="000000"/>
          <w:szCs w:val="24"/>
          <w:lang w:val="en-IE"/>
        </w:rPr>
        <w:t>1</w:t>
      </w:r>
      <w:r w:rsidR="00FD69C7">
        <w:rPr>
          <w:noProof/>
          <w:color w:val="000000"/>
          <w:szCs w:val="24"/>
          <w:lang w:val="en-IE"/>
        </w:rPr>
        <w:t>2</w:t>
      </w:r>
      <w:r w:rsidR="00FD69C7" w:rsidRPr="00C856B2">
        <w:rPr>
          <w:noProof/>
          <w:color w:val="000000"/>
          <w:szCs w:val="24"/>
          <w:lang w:val="en-IE"/>
        </w:rPr>
        <w:t xml:space="preserve"> </w:t>
      </w:r>
      <w:r w:rsidR="0098245E" w:rsidRPr="00C856B2">
        <w:rPr>
          <w:noProof/>
          <w:color w:val="000000"/>
          <w:szCs w:val="24"/>
          <w:lang w:val="en-IE"/>
        </w:rPr>
        <w:t>-</w:t>
      </w:r>
      <w:r w:rsidR="00716EA9" w:rsidRPr="00C856B2">
        <w:rPr>
          <w:noProof/>
          <w:color w:val="000000"/>
          <w:szCs w:val="24"/>
          <w:lang w:val="en-IE"/>
        </w:rPr>
        <w:t xml:space="preserve"> ‘Reporting on interest rate risk in the banking book’ </w:t>
      </w:r>
      <w:r w:rsidR="0098245E" w:rsidRPr="00C856B2">
        <w:rPr>
          <w:noProof/>
          <w:color w:val="000000"/>
          <w:szCs w:val="24"/>
          <w:lang w:val="en-IE"/>
        </w:rPr>
        <w:t>of Annex I</w:t>
      </w:r>
      <w:r w:rsidR="00716EA9" w:rsidRPr="00C856B2">
        <w:rPr>
          <w:noProof/>
          <w:color w:val="000000"/>
          <w:szCs w:val="24"/>
          <w:lang w:val="en-IE"/>
        </w:rPr>
        <w:t xml:space="preserve"> </w:t>
      </w:r>
      <w:r w:rsidR="00247A56" w:rsidRPr="00C856B2">
        <w:rPr>
          <w:noProof/>
          <w:color w:val="000000"/>
          <w:szCs w:val="24"/>
          <w:lang w:val="en-IE"/>
        </w:rPr>
        <w:t xml:space="preserve">to this Regulation </w:t>
      </w:r>
      <w:r w:rsidR="00716EA9" w:rsidRPr="00C856B2">
        <w:rPr>
          <w:noProof/>
          <w:color w:val="000000"/>
          <w:szCs w:val="24"/>
          <w:lang w:val="en-IE"/>
        </w:rPr>
        <w:t xml:space="preserve">with the </w:t>
      </w:r>
      <w:r w:rsidR="00F5752D" w:rsidRPr="00C856B2">
        <w:rPr>
          <w:noProof/>
          <w:color w:val="000000"/>
          <w:szCs w:val="24"/>
          <w:lang w:val="en-IE"/>
        </w:rPr>
        <w:t>following frequency:</w:t>
      </w:r>
    </w:p>
    <w:p w:rsidR="00F5752D" w:rsidRPr="001D2A25" w:rsidRDefault="004118AF" w:rsidP="004118AF">
      <w:pPr>
        <w:pStyle w:val="Point0"/>
        <w:rPr>
          <w:noProof/>
          <w:lang w:val="en-IE" w:eastAsia="fr-BE"/>
        </w:rPr>
      </w:pPr>
      <w:r w:rsidRPr="004118AF">
        <w:rPr>
          <w:noProof/>
        </w:rPr>
        <w:t>(a)</w:t>
      </w:r>
      <w:r w:rsidRPr="004118AF">
        <w:rPr>
          <w:noProof/>
        </w:rPr>
        <w:tab/>
      </w:r>
      <w:r w:rsidR="00247A56" w:rsidRPr="001D2A25">
        <w:rPr>
          <w:noProof/>
          <w:lang w:val="en-IE" w:eastAsia="fr-BE"/>
        </w:rPr>
        <w:t xml:space="preserve">by all institutions: </w:t>
      </w:r>
      <w:r w:rsidR="00F5752D" w:rsidRPr="001D2A25">
        <w:rPr>
          <w:noProof/>
          <w:lang w:val="en-IE" w:eastAsia="fr-BE"/>
        </w:rPr>
        <w:t xml:space="preserve">template J 01.00 of section </w:t>
      </w:r>
      <w:r w:rsidR="00FD69C7" w:rsidRPr="001D2A25">
        <w:rPr>
          <w:noProof/>
          <w:lang w:val="en-IE" w:eastAsia="fr-BE"/>
        </w:rPr>
        <w:t>1</w:t>
      </w:r>
      <w:r w:rsidR="00FD69C7">
        <w:rPr>
          <w:noProof/>
          <w:lang w:val="en-IE" w:eastAsia="fr-BE"/>
        </w:rPr>
        <w:t>2</w:t>
      </w:r>
      <w:r w:rsidR="00FD69C7" w:rsidRPr="001D2A25">
        <w:rPr>
          <w:noProof/>
          <w:lang w:val="en-IE" w:eastAsia="fr-BE"/>
        </w:rPr>
        <w:t xml:space="preserve"> </w:t>
      </w:r>
      <w:r w:rsidR="00F5752D" w:rsidRPr="001D2A25">
        <w:rPr>
          <w:noProof/>
          <w:lang w:val="en-IE" w:eastAsia="fr-BE"/>
        </w:rPr>
        <w:t>of Annex I with a quarterly frequency;</w:t>
      </w:r>
    </w:p>
    <w:p w:rsidR="00F5752D" w:rsidRPr="001D2A25" w:rsidRDefault="004118AF" w:rsidP="004118AF">
      <w:pPr>
        <w:pStyle w:val="Point0"/>
        <w:rPr>
          <w:noProof/>
          <w:lang w:val="en-IE" w:eastAsia="fr-BE"/>
        </w:rPr>
      </w:pPr>
      <w:r w:rsidRPr="004118AF">
        <w:rPr>
          <w:noProof/>
        </w:rPr>
        <w:t>(b)</w:t>
      </w:r>
      <w:r w:rsidRPr="004118AF">
        <w:rPr>
          <w:noProof/>
        </w:rPr>
        <w:tab/>
      </w:r>
      <w:r w:rsidR="00247A56" w:rsidRPr="001D2A25">
        <w:rPr>
          <w:noProof/>
          <w:lang w:val="en-IE" w:eastAsia="fr-BE"/>
        </w:rPr>
        <w:t xml:space="preserve">by large institutions: </w:t>
      </w:r>
      <w:r w:rsidR="00F5752D" w:rsidRPr="001D2A25">
        <w:rPr>
          <w:noProof/>
          <w:lang w:val="en-IE" w:eastAsia="fr-BE"/>
        </w:rPr>
        <w:t>templates J 02.00, J 05.00 and J 08.00 of section 1</w:t>
      </w:r>
      <w:r w:rsidR="00FD69C7">
        <w:rPr>
          <w:noProof/>
          <w:lang w:val="en-IE" w:eastAsia="fr-BE"/>
        </w:rPr>
        <w:t>2</w:t>
      </w:r>
      <w:r w:rsidR="00F5752D" w:rsidRPr="001D2A25">
        <w:rPr>
          <w:noProof/>
          <w:lang w:val="en-IE" w:eastAsia="fr-BE"/>
        </w:rPr>
        <w:t xml:space="preserve"> of Annex I with a quarterly frequency;</w:t>
      </w:r>
    </w:p>
    <w:p w:rsidR="00F5752D" w:rsidRPr="001D2A25" w:rsidRDefault="004118AF" w:rsidP="004118AF">
      <w:pPr>
        <w:pStyle w:val="Point0"/>
        <w:rPr>
          <w:noProof/>
          <w:lang w:val="en-IE" w:eastAsia="fr-BE"/>
        </w:rPr>
      </w:pPr>
      <w:r w:rsidRPr="004118AF">
        <w:rPr>
          <w:noProof/>
        </w:rPr>
        <w:t>(c)</w:t>
      </w:r>
      <w:r w:rsidRPr="004118AF">
        <w:rPr>
          <w:noProof/>
        </w:rPr>
        <w:tab/>
      </w:r>
      <w:r w:rsidR="00247A56" w:rsidRPr="001D2A25">
        <w:rPr>
          <w:noProof/>
          <w:lang w:val="en-IE" w:eastAsia="fr-BE"/>
        </w:rPr>
        <w:t xml:space="preserve">by institutions that are neither large institutions nor small and non-complex institutions: </w:t>
      </w:r>
      <w:r w:rsidR="00F5752D" w:rsidRPr="001D2A25">
        <w:rPr>
          <w:noProof/>
          <w:lang w:val="en-IE" w:eastAsia="fr-BE"/>
        </w:rPr>
        <w:t>templates J 03.00 and J 06.00 of section 1</w:t>
      </w:r>
      <w:r w:rsidR="00FD69C7">
        <w:rPr>
          <w:noProof/>
          <w:lang w:val="en-IE" w:eastAsia="fr-BE"/>
        </w:rPr>
        <w:t>2</w:t>
      </w:r>
      <w:r w:rsidR="00F5752D" w:rsidRPr="001D2A25">
        <w:rPr>
          <w:noProof/>
          <w:lang w:val="en-IE" w:eastAsia="fr-BE"/>
        </w:rPr>
        <w:t xml:space="preserve"> of Annex I with </w:t>
      </w:r>
      <w:r w:rsidR="00247A56" w:rsidRPr="001D2A25">
        <w:rPr>
          <w:noProof/>
          <w:lang w:val="en-IE" w:eastAsia="fr-BE"/>
        </w:rPr>
        <w:t xml:space="preserve">a </w:t>
      </w:r>
      <w:r w:rsidR="00F5752D" w:rsidRPr="001D2A25">
        <w:rPr>
          <w:noProof/>
          <w:lang w:val="en-IE" w:eastAsia="fr-BE"/>
        </w:rPr>
        <w:t>quarterly frequency;</w:t>
      </w:r>
    </w:p>
    <w:p w:rsidR="00F5752D" w:rsidRPr="001D2A25" w:rsidRDefault="004118AF" w:rsidP="004118AF">
      <w:pPr>
        <w:pStyle w:val="Point0"/>
        <w:rPr>
          <w:noProof/>
          <w:lang w:val="en-IE" w:eastAsia="fr-BE"/>
        </w:rPr>
      </w:pPr>
      <w:r w:rsidRPr="004118AF">
        <w:rPr>
          <w:noProof/>
        </w:rPr>
        <w:t>(d)</w:t>
      </w:r>
      <w:r w:rsidRPr="004118AF">
        <w:rPr>
          <w:noProof/>
        </w:rPr>
        <w:tab/>
      </w:r>
      <w:r w:rsidR="00247A56" w:rsidRPr="001D2A25">
        <w:rPr>
          <w:noProof/>
          <w:lang w:val="en-IE" w:eastAsia="fr-BE"/>
        </w:rPr>
        <w:t xml:space="preserve">by small and non-complex institutions: </w:t>
      </w:r>
      <w:r w:rsidR="00F5752D" w:rsidRPr="001D2A25">
        <w:rPr>
          <w:noProof/>
          <w:lang w:val="en-IE" w:eastAsia="fr-BE"/>
        </w:rPr>
        <w:t>templates J 04.00 and J 07.00 of section 1</w:t>
      </w:r>
      <w:r w:rsidR="00FD69C7">
        <w:rPr>
          <w:noProof/>
          <w:lang w:val="en-IE" w:eastAsia="fr-BE"/>
        </w:rPr>
        <w:t>2</w:t>
      </w:r>
      <w:r w:rsidR="00F5752D" w:rsidRPr="001D2A25">
        <w:rPr>
          <w:noProof/>
          <w:lang w:val="en-IE" w:eastAsia="fr-BE"/>
        </w:rPr>
        <w:t xml:space="preserve"> of Annex I with a quarterly frequency;</w:t>
      </w:r>
    </w:p>
    <w:p w:rsidR="00F5752D" w:rsidRPr="001D2A25" w:rsidRDefault="004118AF" w:rsidP="004118AF">
      <w:pPr>
        <w:pStyle w:val="Point0"/>
        <w:rPr>
          <w:noProof/>
          <w:lang w:val="en-IE" w:eastAsia="fr-BE"/>
        </w:rPr>
      </w:pPr>
      <w:r w:rsidRPr="004118AF">
        <w:rPr>
          <w:noProof/>
        </w:rPr>
        <w:t>(e)</w:t>
      </w:r>
      <w:r w:rsidRPr="004118AF">
        <w:rPr>
          <w:noProof/>
        </w:rPr>
        <w:tab/>
      </w:r>
      <w:r w:rsidR="00247A56" w:rsidRPr="001D2A25">
        <w:rPr>
          <w:noProof/>
          <w:lang w:val="en-IE" w:eastAsia="fr-BE"/>
        </w:rPr>
        <w:t xml:space="preserve">by institutions that are neither large institutions nor small and non-complex institutions and by small and non-complex institutions: </w:t>
      </w:r>
      <w:r w:rsidR="00F5752D" w:rsidRPr="001D2A25">
        <w:rPr>
          <w:noProof/>
          <w:lang w:val="en-IE" w:eastAsia="fr-BE"/>
        </w:rPr>
        <w:t>template J 09.00 of section 1</w:t>
      </w:r>
      <w:r w:rsidR="00FD69C7">
        <w:rPr>
          <w:noProof/>
          <w:lang w:val="en-IE" w:eastAsia="fr-BE"/>
        </w:rPr>
        <w:t>2</w:t>
      </w:r>
      <w:r w:rsidR="00F5752D" w:rsidRPr="001D2A25">
        <w:rPr>
          <w:noProof/>
          <w:lang w:val="en-IE" w:eastAsia="fr-BE"/>
        </w:rPr>
        <w:t xml:space="preserve"> of Annex I with quarterly frequency;</w:t>
      </w:r>
    </w:p>
    <w:p w:rsidR="00F5752D" w:rsidRPr="001D2A25" w:rsidRDefault="004118AF" w:rsidP="004118AF">
      <w:pPr>
        <w:pStyle w:val="Point0"/>
        <w:rPr>
          <w:noProof/>
          <w:lang w:val="en-IE" w:eastAsia="fr-BE"/>
        </w:rPr>
      </w:pPr>
      <w:r w:rsidRPr="004118AF">
        <w:rPr>
          <w:noProof/>
        </w:rPr>
        <w:t>(f)</w:t>
      </w:r>
      <w:r w:rsidRPr="004118AF">
        <w:rPr>
          <w:noProof/>
        </w:rPr>
        <w:tab/>
      </w:r>
      <w:r w:rsidR="00247A56" w:rsidRPr="001D2A25">
        <w:rPr>
          <w:noProof/>
          <w:lang w:val="en-IE" w:eastAsia="fr-BE"/>
        </w:rPr>
        <w:t xml:space="preserve">by large institutions: </w:t>
      </w:r>
      <w:r w:rsidR="00F5752D" w:rsidRPr="001D2A25">
        <w:rPr>
          <w:noProof/>
          <w:lang w:val="en-IE" w:eastAsia="fr-BE"/>
        </w:rPr>
        <w:t>templates J 10.01 and J 10.02 of section 1</w:t>
      </w:r>
      <w:r w:rsidR="00FD69C7">
        <w:rPr>
          <w:noProof/>
          <w:lang w:val="en-IE" w:eastAsia="fr-BE"/>
        </w:rPr>
        <w:t>2</w:t>
      </w:r>
      <w:r w:rsidR="00F5752D" w:rsidRPr="001D2A25">
        <w:rPr>
          <w:noProof/>
          <w:lang w:val="en-IE" w:eastAsia="fr-BE"/>
        </w:rPr>
        <w:t xml:space="preserve"> of Annex I with an annual frequency;</w:t>
      </w:r>
    </w:p>
    <w:p w:rsidR="00F5752D" w:rsidRPr="001D2A25" w:rsidRDefault="004118AF" w:rsidP="004118AF">
      <w:pPr>
        <w:pStyle w:val="Point0"/>
        <w:rPr>
          <w:noProof/>
          <w:lang w:val="en-IE" w:eastAsia="fr-BE"/>
        </w:rPr>
      </w:pPr>
      <w:r w:rsidRPr="004118AF">
        <w:rPr>
          <w:noProof/>
        </w:rPr>
        <w:t>(g)</w:t>
      </w:r>
      <w:r w:rsidRPr="004118AF">
        <w:rPr>
          <w:noProof/>
        </w:rPr>
        <w:tab/>
      </w:r>
      <w:r w:rsidR="00247A56" w:rsidRPr="001D2A25">
        <w:rPr>
          <w:noProof/>
          <w:lang w:val="en-IE" w:eastAsia="fr-BE"/>
        </w:rPr>
        <w:t xml:space="preserve">by institutions that are neither large institutions nor small and non-complex institutions and by small and non-complex institutions: </w:t>
      </w:r>
      <w:r w:rsidR="00F5752D" w:rsidRPr="001D2A25">
        <w:rPr>
          <w:noProof/>
          <w:lang w:val="en-IE" w:eastAsia="fr-BE"/>
        </w:rPr>
        <w:t xml:space="preserve">templates J 11.01 and J 11.02 of section </w:t>
      </w:r>
      <w:r w:rsidR="00FD69C7" w:rsidRPr="001D2A25">
        <w:rPr>
          <w:noProof/>
          <w:lang w:val="en-IE" w:eastAsia="fr-BE"/>
        </w:rPr>
        <w:t>1</w:t>
      </w:r>
      <w:r w:rsidR="00FD69C7">
        <w:rPr>
          <w:noProof/>
          <w:lang w:val="en-IE" w:eastAsia="fr-BE"/>
        </w:rPr>
        <w:t>2</w:t>
      </w:r>
      <w:r w:rsidR="00FD69C7" w:rsidRPr="001D2A25">
        <w:rPr>
          <w:noProof/>
          <w:lang w:val="en-IE" w:eastAsia="fr-BE"/>
        </w:rPr>
        <w:t xml:space="preserve"> </w:t>
      </w:r>
      <w:r w:rsidR="00F5752D" w:rsidRPr="001D2A25">
        <w:rPr>
          <w:noProof/>
          <w:lang w:val="en-IE" w:eastAsia="fr-BE"/>
        </w:rPr>
        <w:t xml:space="preserve">of Annex I with </w:t>
      </w:r>
      <w:r w:rsidR="00247A56" w:rsidRPr="001D2A25">
        <w:rPr>
          <w:noProof/>
          <w:lang w:val="en-IE" w:eastAsia="fr-BE"/>
        </w:rPr>
        <w:t xml:space="preserve">an </w:t>
      </w:r>
      <w:r w:rsidR="00F5752D" w:rsidRPr="001D2A25">
        <w:rPr>
          <w:noProof/>
          <w:lang w:val="en-IE" w:eastAsia="fr-BE"/>
        </w:rPr>
        <w:t>annual frequency.</w:t>
      </w:r>
    </w:p>
    <w:bookmarkEnd w:id="2"/>
    <w:p w:rsidR="002823A7" w:rsidRPr="00C856B2" w:rsidRDefault="002823A7" w:rsidP="0017149C">
      <w:pPr>
        <w:pStyle w:val="Titrearticle"/>
        <w:tabs>
          <w:tab w:val="left" w:pos="567"/>
        </w:tabs>
        <w:rPr>
          <w:noProof/>
          <w:szCs w:val="24"/>
          <w:lang w:val="en-IE"/>
        </w:rPr>
      </w:pPr>
      <w:r w:rsidRPr="00C856B2">
        <w:rPr>
          <w:noProof/>
          <w:szCs w:val="24"/>
          <w:lang w:val="en-IE"/>
        </w:rPr>
        <w:t xml:space="preserve">Article </w:t>
      </w:r>
      <w:r w:rsidR="003D2BEA" w:rsidRPr="00C856B2">
        <w:rPr>
          <w:noProof/>
          <w:szCs w:val="24"/>
          <w:lang w:val="en-IE"/>
        </w:rPr>
        <w:t>22</w:t>
      </w:r>
    </w:p>
    <w:p w:rsidR="002823A7" w:rsidRPr="00C856B2" w:rsidRDefault="002823A7" w:rsidP="0017149C">
      <w:pPr>
        <w:pStyle w:val="Titrearticle"/>
        <w:tabs>
          <w:tab w:val="left" w:pos="567"/>
        </w:tabs>
        <w:spacing w:before="0"/>
        <w:rPr>
          <w:rFonts w:eastAsia="Times New Roman"/>
          <w:noProof/>
          <w:szCs w:val="24"/>
          <w:lang w:val="en-IE" w:eastAsia="fr-BE"/>
        </w:rPr>
      </w:pPr>
      <w:r w:rsidRPr="00C856B2">
        <w:rPr>
          <w:b/>
          <w:bCs/>
          <w:i w:val="0"/>
          <w:iCs/>
          <w:noProof/>
          <w:szCs w:val="24"/>
          <w:lang w:val="en-IE"/>
        </w:rPr>
        <w:t>IT solutions, reporting templates and instructions</w:t>
      </w:r>
    </w:p>
    <w:p w:rsidR="002823A7" w:rsidRPr="001D2A25" w:rsidRDefault="004118AF" w:rsidP="004118AF">
      <w:pPr>
        <w:pStyle w:val="ManualNumPar1"/>
        <w:rPr>
          <w:noProof/>
          <w:lang w:val="en-IE" w:eastAsia="fr-BE"/>
        </w:rPr>
      </w:pPr>
      <w:r w:rsidRPr="004118AF">
        <w:rPr>
          <w:noProof/>
        </w:rPr>
        <w:t>1.</w:t>
      </w:r>
      <w:r w:rsidRPr="004118AF">
        <w:rPr>
          <w:noProof/>
        </w:rPr>
        <w:tab/>
      </w:r>
      <w:r w:rsidR="001B3873" w:rsidRPr="001D2A25">
        <w:rPr>
          <w:noProof/>
          <w:lang w:val="en-IE" w:eastAsia="fr-BE"/>
        </w:rPr>
        <w:t xml:space="preserve">The </w:t>
      </w:r>
      <w:r w:rsidR="002823A7" w:rsidRPr="001D2A25">
        <w:rPr>
          <w:noProof/>
          <w:lang w:val="en-IE" w:eastAsia="fr-BE"/>
        </w:rPr>
        <w:t xml:space="preserve">EBA shall ensure that the IT solutions, including reporting templates and instructions, developed pursuant to Article 430(7) of Regulation (EU) No 575/2013 comply with the uniform reporting formats laid down in this Regulation at all times and </w:t>
      </w:r>
      <w:r w:rsidR="00710CFD" w:rsidRPr="001D2A25">
        <w:rPr>
          <w:noProof/>
          <w:lang w:val="en-IE" w:eastAsia="fr-BE"/>
        </w:rPr>
        <w:t>include</w:t>
      </w:r>
      <w:r w:rsidR="00247A56" w:rsidRPr="001D2A25">
        <w:rPr>
          <w:noProof/>
          <w:lang w:val="en-IE" w:eastAsia="fr-BE"/>
        </w:rPr>
        <w:t xml:space="preserve"> </w:t>
      </w:r>
      <w:r w:rsidR="002823A7" w:rsidRPr="001D2A25">
        <w:rPr>
          <w:noProof/>
          <w:lang w:val="en-IE" w:eastAsia="fr-BE"/>
        </w:rPr>
        <w:t>all the data points and information listed i</w:t>
      </w:r>
      <w:r w:rsidR="00710CFD" w:rsidRPr="001D2A25">
        <w:rPr>
          <w:noProof/>
          <w:lang w:val="en-IE" w:eastAsia="fr-BE"/>
        </w:rPr>
        <w:t>n</w:t>
      </w:r>
      <w:r w:rsidR="002823A7" w:rsidRPr="001D2A25">
        <w:rPr>
          <w:noProof/>
          <w:lang w:val="en-IE" w:eastAsia="fr-BE"/>
        </w:rPr>
        <w:t xml:space="preserve"> Annex</w:t>
      </w:r>
      <w:r w:rsidR="00B62075" w:rsidRPr="001D2A25">
        <w:rPr>
          <w:noProof/>
          <w:lang w:val="en-IE" w:eastAsia="fr-BE"/>
        </w:rPr>
        <w:t xml:space="preserve"> I</w:t>
      </w:r>
      <w:r w:rsidR="002823A7" w:rsidRPr="001D2A25">
        <w:rPr>
          <w:noProof/>
          <w:lang w:val="en-IE" w:eastAsia="fr-BE"/>
        </w:rPr>
        <w:t xml:space="preserve"> to this Regulation. </w:t>
      </w:r>
    </w:p>
    <w:p w:rsidR="002823A7" w:rsidRPr="00C856B2" w:rsidRDefault="004118AF" w:rsidP="004118AF">
      <w:pPr>
        <w:pStyle w:val="ManualNumPar1"/>
        <w:rPr>
          <w:noProof/>
          <w:lang w:val="en-IE" w:eastAsia="fr-BE"/>
        </w:rPr>
      </w:pPr>
      <w:r w:rsidRPr="004118AF">
        <w:rPr>
          <w:noProof/>
        </w:rPr>
        <w:t>2.</w:t>
      </w:r>
      <w:r w:rsidRPr="004118AF">
        <w:rPr>
          <w:noProof/>
        </w:rPr>
        <w:tab/>
      </w:r>
      <w:r w:rsidR="002823A7" w:rsidRPr="00C856B2">
        <w:rPr>
          <w:noProof/>
          <w:lang w:val="en-IE" w:eastAsia="fr-BE"/>
        </w:rPr>
        <w:t xml:space="preserve">The EBA shall make available </w:t>
      </w:r>
      <w:r w:rsidR="00247A56" w:rsidRPr="00C856B2">
        <w:rPr>
          <w:noProof/>
          <w:lang w:val="en-IE" w:eastAsia="fr-BE"/>
        </w:rPr>
        <w:t xml:space="preserve">on its website </w:t>
      </w:r>
      <w:r w:rsidR="002823A7" w:rsidRPr="00C856B2">
        <w:rPr>
          <w:noProof/>
          <w:lang w:val="en-IE" w:eastAsia="fr-BE"/>
        </w:rPr>
        <w:t xml:space="preserve">the IT solutions, reporting templates and instructions </w:t>
      </w:r>
      <w:r w:rsidR="002823A7" w:rsidRPr="00C856B2">
        <w:rPr>
          <w:noProof/>
          <w:lang w:val="en-IE"/>
        </w:rPr>
        <w:t>referred</w:t>
      </w:r>
      <w:r w:rsidR="002823A7" w:rsidRPr="00C856B2">
        <w:rPr>
          <w:noProof/>
          <w:lang w:val="en-IE" w:eastAsia="fr-BE"/>
        </w:rPr>
        <w:t xml:space="preserve"> to in paragraph</w:t>
      </w:r>
      <w:r w:rsidR="00247A56" w:rsidRPr="00C856B2">
        <w:rPr>
          <w:noProof/>
          <w:lang w:val="en-IE" w:eastAsia="fr-BE"/>
        </w:rPr>
        <w:t xml:space="preserve"> 1</w:t>
      </w:r>
      <w:r w:rsidR="002823A7" w:rsidRPr="00C856B2">
        <w:rPr>
          <w:noProof/>
          <w:lang w:val="en-IE" w:eastAsia="fr-BE"/>
        </w:rPr>
        <w:t>. The EBA shall keep those IT solutions</w:t>
      </w:r>
      <w:r w:rsidR="00FF7BAD" w:rsidRPr="00C856B2">
        <w:rPr>
          <w:noProof/>
          <w:lang w:val="en-IE" w:eastAsia="fr-BE"/>
        </w:rPr>
        <w:t xml:space="preserve"> </w:t>
      </w:r>
      <w:r w:rsidR="002823A7" w:rsidRPr="00C856B2">
        <w:rPr>
          <w:noProof/>
          <w:lang w:val="en-IE" w:eastAsia="fr-BE"/>
        </w:rPr>
        <w:t>up-to-date and available in all official languages.</w:t>
      </w:r>
    </w:p>
    <w:p w:rsidR="00716EA9" w:rsidRPr="00C856B2" w:rsidRDefault="00716EA9" w:rsidP="00E537F5">
      <w:pPr>
        <w:pStyle w:val="Titrearticle"/>
        <w:rPr>
          <w:noProof/>
          <w:szCs w:val="24"/>
          <w:lang w:val="en-IE"/>
        </w:rPr>
      </w:pPr>
      <w:r w:rsidRPr="00C856B2">
        <w:rPr>
          <w:noProof/>
          <w:szCs w:val="24"/>
          <w:lang w:val="en-IE"/>
        </w:rPr>
        <w:t xml:space="preserve">Article </w:t>
      </w:r>
      <w:r w:rsidR="008029E7" w:rsidRPr="00C856B2">
        <w:rPr>
          <w:noProof/>
          <w:szCs w:val="24"/>
          <w:lang w:val="en-IE"/>
        </w:rPr>
        <w:t>2</w:t>
      </w:r>
      <w:r w:rsidR="007D28C9" w:rsidRPr="00C856B2">
        <w:rPr>
          <w:noProof/>
          <w:szCs w:val="24"/>
          <w:lang w:val="en-IE"/>
        </w:rPr>
        <w:t>3</w:t>
      </w:r>
    </w:p>
    <w:p w:rsidR="00716EA9" w:rsidRPr="00C856B2" w:rsidRDefault="00716EA9" w:rsidP="002A7D3F">
      <w:pPr>
        <w:pStyle w:val="Titrearticle"/>
        <w:spacing w:before="0"/>
        <w:rPr>
          <w:b/>
          <w:bCs/>
          <w:i w:val="0"/>
          <w:iCs/>
          <w:noProof/>
          <w:szCs w:val="24"/>
          <w:lang w:val="en-IE"/>
        </w:rPr>
      </w:pPr>
      <w:r w:rsidRPr="00C856B2">
        <w:rPr>
          <w:b/>
          <w:bCs/>
          <w:i w:val="0"/>
          <w:iCs/>
          <w:noProof/>
          <w:szCs w:val="24"/>
          <w:lang w:val="en-IE"/>
        </w:rPr>
        <w:t>Data exchange formats and information accompanying submissions</w:t>
      </w:r>
    </w:p>
    <w:p w:rsidR="00716EA9" w:rsidRPr="00C856B2" w:rsidRDefault="004118AF" w:rsidP="004118AF">
      <w:pPr>
        <w:pStyle w:val="ManualNumPar1"/>
        <w:rPr>
          <w:noProof/>
          <w:lang w:val="en-IE"/>
        </w:rPr>
      </w:pPr>
      <w:r w:rsidRPr="004118AF">
        <w:rPr>
          <w:noProof/>
        </w:rPr>
        <w:t>1.</w:t>
      </w:r>
      <w:r w:rsidRPr="004118AF">
        <w:rPr>
          <w:noProof/>
        </w:rPr>
        <w:tab/>
      </w:r>
      <w:r w:rsidR="00716EA9" w:rsidRPr="00C856B2">
        <w:rPr>
          <w:noProof/>
          <w:lang w:val="en-IE"/>
        </w:rPr>
        <w:t xml:space="preserve">Institutions shall submit the </w:t>
      </w:r>
      <w:r w:rsidR="009656FE" w:rsidRPr="00C856B2">
        <w:rPr>
          <w:noProof/>
          <w:lang w:val="en-IE"/>
        </w:rPr>
        <w:t xml:space="preserve">information to be submitted under this Regulation </w:t>
      </w:r>
      <w:r w:rsidR="00716EA9" w:rsidRPr="00C856B2">
        <w:rPr>
          <w:noProof/>
          <w:lang w:val="en-IE"/>
        </w:rPr>
        <w:t>in the data exchange formats and representations specified by the competent authorities</w:t>
      </w:r>
      <w:r w:rsidR="00716EA9" w:rsidRPr="00C856B2">
        <w:rPr>
          <w:rFonts w:eastAsia="Times New Roman"/>
          <w:noProof/>
          <w:lang w:val="en-IE" w:eastAsia="fr-BE"/>
        </w:rPr>
        <w:t>,</w:t>
      </w:r>
      <w:r w:rsidR="00716EA9" w:rsidRPr="00C856B2">
        <w:rPr>
          <w:noProof/>
          <w:lang w:val="en-IE"/>
        </w:rPr>
        <w:t xml:space="preserve"> respect the data point definition of the data point model and the validation formulae referred to in the IT solutions made available on the EBA website, </w:t>
      </w:r>
      <w:r w:rsidR="003B7444" w:rsidRPr="00C856B2">
        <w:rPr>
          <w:noProof/>
          <w:lang w:val="en-IE"/>
        </w:rPr>
        <w:t>and comply with the</w:t>
      </w:r>
      <w:r w:rsidR="00716EA9" w:rsidRPr="00C856B2">
        <w:rPr>
          <w:noProof/>
          <w:lang w:val="en-IE"/>
        </w:rPr>
        <w:t xml:space="preserve"> following specifications:</w:t>
      </w:r>
    </w:p>
    <w:p w:rsidR="00716EA9" w:rsidRPr="00C856B2" w:rsidRDefault="004118AF" w:rsidP="004118AF">
      <w:pPr>
        <w:pStyle w:val="Point1"/>
        <w:rPr>
          <w:noProof/>
          <w:lang w:val="en-IE" w:eastAsia="fr-BE"/>
        </w:rPr>
      </w:pPr>
      <w:r w:rsidRPr="004118AF">
        <w:rPr>
          <w:noProof/>
        </w:rPr>
        <w:t>(a)</w:t>
      </w:r>
      <w:r w:rsidRPr="004118AF">
        <w:rPr>
          <w:noProof/>
        </w:rPr>
        <w:tab/>
      </w:r>
      <w:r w:rsidR="00712164" w:rsidRPr="00C856B2">
        <w:rPr>
          <w:noProof/>
          <w:lang w:val="en-IE" w:eastAsia="fr-BE"/>
        </w:rPr>
        <w:t xml:space="preserve">they </w:t>
      </w:r>
      <w:r w:rsidR="00792F11" w:rsidRPr="00C856B2">
        <w:rPr>
          <w:noProof/>
          <w:lang w:val="en-IE" w:eastAsia="fr-BE"/>
        </w:rPr>
        <w:t xml:space="preserve">shall not include </w:t>
      </w:r>
      <w:r w:rsidR="00712164" w:rsidRPr="00C856B2">
        <w:rPr>
          <w:noProof/>
          <w:lang w:val="en-IE" w:eastAsia="fr-BE"/>
        </w:rPr>
        <w:t xml:space="preserve">information </w:t>
      </w:r>
      <w:r w:rsidR="00792F11" w:rsidRPr="00C856B2">
        <w:rPr>
          <w:noProof/>
          <w:lang w:val="en-IE" w:eastAsia="fr-BE"/>
        </w:rPr>
        <w:t xml:space="preserve">in the data submission </w:t>
      </w:r>
      <w:r w:rsidR="00716EA9" w:rsidRPr="00C856B2">
        <w:rPr>
          <w:noProof/>
          <w:lang w:val="en-IE" w:eastAsia="fr-BE"/>
        </w:rPr>
        <w:t>that is not required or not applicable;</w:t>
      </w:r>
    </w:p>
    <w:p w:rsidR="00716EA9" w:rsidRPr="00C856B2" w:rsidRDefault="004118AF" w:rsidP="004118AF">
      <w:pPr>
        <w:pStyle w:val="Point1"/>
        <w:rPr>
          <w:noProof/>
          <w:lang w:val="en-IE" w:eastAsia="fr-BE"/>
        </w:rPr>
      </w:pPr>
      <w:r w:rsidRPr="004118AF">
        <w:rPr>
          <w:noProof/>
        </w:rPr>
        <w:t>(b)</w:t>
      </w:r>
      <w:r w:rsidRPr="004118AF">
        <w:rPr>
          <w:noProof/>
        </w:rPr>
        <w:tab/>
      </w:r>
      <w:r w:rsidR="00712164" w:rsidRPr="00C856B2">
        <w:rPr>
          <w:noProof/>
          <w:lang w:val="en-IE" w:eastAsia="fr-BE"/>
        </w:rPr>
        <w:t xml:space="preserve">they </w:t>
      </w:r>
      <w:r w:rsidR="00792F11" w:rsidRPr="00C856B2">
        <w:rPr>
          <w:noProof/>
          <w:lang w:val="en-IE" w:eastAsia="fr-BE"/>
        </w:rPr>
        <w:t xml:space="preserve">shall submit </w:t>
      </w:r>
      <w:r w:rsidR="00716EA9" w:rsidRPr="00C856B2">
        <w:rPr>
          <w:noProof/>
          <w:lang w:val="en-IE" w:eastAsia="fr-BE"/>
        </w:rPr>
        <w:t>numerical values as follows:</w:t>
      </w:r>
    </w:p>
    <w:p w:rsidR="00716EA9" w:rsidRPr="00C856B2" w:rsidRDefault="00716EA9" w:rsidP="00C856B2">
      <w:pPr>
        <w:pStyle w:val="Point2"/>
        <w:rPr>
          <w:noProof/>
          <w:lang w:val="en-IE" w:eastAsia="fr-BE"/>
        </w:rPr>
      </w:pPr>
      <w:r w:rsidRPr="00C856B2">
        <w:rPr>
          <w:noProof/>
          <w:lang w:val="en-IE" w:eastAsia="fr-BE"/>
        </w:rPr>
        <w:t>(i)</w:t>
      </w:r>
      <w:r w:rsidR="00861384" w:rsidRPr="00C856B2">
        <w:rPr>
          <w:noProof/>
          <w:lang w:val="en-IE" w:eastAsia="fr-BE"/>
        </w:rPr>
        <w:tab/>
      </w:r>
      <w:r w:rsidR="00792F11" w:rsidRPr="00C856B2">
        <w:rPr>
          <w:noProof/>
          <w:lang w:val="en-IE" w:eastAsia="fr-BE"/>
        </w:rPr>
        <w:t xml:space="preserve">they shall report </w:t>
      </w:r>
      <w:r w:rsidRPr="00C856B2">
        <w:rPr>
          <w:noProof/>
          <w:lang w:val="en-IE" w:eastAsia="fr-BE"/>
        </w:rPr>
        <w:t>data points with the data type ‘Monetary’ using a minimum precision equivalent to ten thousands of units;</w:t>
      </w:r>
    </w:p>
    <w:p w:rsidR="00716EA9" w:rsidRPr="00C856B2" w:rsidRDefault="00716EA9" w:rsidP="00C856B2">
      <w:pPr>
        <w:pStyle w:val="Point2"/>
        <w:rPr>
          <w:noProof/>
          <w:lang w:val="en-IE" w:eastAsia="fr-BE"/>
        </w:rPr>
      </w:pPr>
      <w:r w:rsidRPr="00C856B2">
        <w:rPr>
          <w:noProof/>
          <w:lang w:val="en-IE" w:eastAsia="fr-BE"/>
        </w:rPr>
        <w:t>(ii)</w:t>
      </w:r>
      <w:r w:rsidR="00861384" w:rsidRPr="00C856B2">
        <w:rPr>
          <w:noProof/>
          <w:lang w:val="en-IE" w:eastAsia="fr-BE"/>
        </w:rPr>
        <w:tab/>
      </w:r>
      <w:r w:rsidR="00792F11" w:rsidRPr="00C856B2">
        <w:rPr>
          <w:noProof/>
          <w:lang w:val="en-IE" w:eastAsia="fr-BE"/>
        </w:rPr>
        <w:t xml:space="preserve">they shall express </w:t>
      </w:r>
      <w:r w:rsidRPr="00C856B2">
        <w:rPr>
          <w:noProof/>
          <w:lang w:val="en-IE" w:eastAsia="fr-BE"/>
        </w:rPr>
        <w:t>data points with the data type ‘Percentage’ as per unit with a minimum precision equivalent to four decimals;</w:t>
      </w:r>
    </w:p>
    <w:p w:rsidR="00716EA9" w:rsidRPr="00C856B2" w:rsidRDefault="00716EA9" w:rsidP="00C856B2">
      <w:pPr>
        <w:pStyle w:val="Point2"/>
        <w:rPr>
          <w:noProof/>
          <w:lang w:val="en-IE" w:eastAsia="fr-BE"/>
        </w:rPr>
      </w:pPr>
      <w:r w:rsidRPr="00C856B2">
        <w:rPr>
          <w:noProof/>
          <w:lang w:val="en-IE" w:eastAsia="fr-BE"/>
        </w:rPr>
        <w:t>(iii)</w:t>
      </w:r>
      <w:r w:rsidR="00861384" w:rsidRPr="00C856B2">
        <w:rPr>
          <w:noProof/>
          <w:lang w:val="en-IE" w:eastAsia="fr-BE"/>
        </w:rPr>
        <w:tab/>
      </w:r>
      <w:r w:rsidR="00792F11" w:rsidRPr="00C856B2">
        <w:rPr>
          <w:noProof/>
          <w:lang w:val="en-IE" w:eastAsia="fr-BE"/>
        </w:rPr>
        <w:t xml:space="preserve">they shall </w:t>
      </w:r>
      <w:r w:rsidR="0031277F" w:rsidRPr="00C856B2">
        <w:rPr>
          <w:noProof/>
          <w:lang w:val="en-IE" w:eastAsia="fr-BE"/>
        </w:rPr>
        <w:t xml:space="preserve">not </w:t>
      </w:r>
      <w:r w:rsidR="006C7F7A" w:rsidRPr="00C856B2">
        <w:rPr>
          <w:noProof/>
          <w:lang w:val="en-IE" w:eastAsia="fr-BE"/>
        </w:rPr>
        <w:t xml:space="preserve">use decimals when </w:t>
      </w:r>
      <w:r w:rsidR="00792F11" w:rsidRPr="00C856B2">
        <w:rPr>
          <w:noProof/>
          <w:lang w:val="en-IE" w:eastAsia="fr-BE"/>
        </w:rPr>
        <w:t>report</w:t>
      </w:r>
      <w:r w:rsidR="006C7F7A" w:rsidRPr="00C856B2">
        <w:rPr>
          <w:noProof/>
          <w:lang w:val="en-IE" w:eastAsia="fr-BE"/>
        </w:rPr>
        <w:t>ing</w:t>
      </w:r>
      <w:r w:rsidR="00792F11" w:rsidRPr="00C856B2">
        <w:rPr>
          <w:noProof/>
          <w:lang w:val="en-IE" w:eastAsia="fr-BE"/>
        </w:rPr>
        <w:t xml:space="preserve"> </w:t>
      </w:r>
      <w:r w:rsidRPr="00C856B2">
        <w:rPr>
          <w:noProof/>
          <w:lang w:val="en-IE" w:eastAsia="fr-BE"/>
        </w:rPr>
        <w:t xml:space="preserve">data points with the data type ‘Integer’ and </w:t>
      </w:r>
      <w:r w:rsidR="006C7F7A" w:rsidRPr="00C856B2">
        <w:rPr>
          <w:noProof/>
          <w:lang w:val="en-IE" w:eastAsia="fr-BE"/>
        </w:rPr>
        <w:t xml:space="preserve">shall use </w:t>
      </w:r>
      <w:r w:rsidRPr="00C856B2">
        <w:rPr>
          <w:noProof/>
          <w:lang w:val="en-IE" w:eastAsia="fr-BE"/>
        </w:rPr>
        <w:t>a precision equivalent to units;</w:t>
      </w:r>
    </w:p>
    <w:p w:rsidR="00716EA9" w:rsidRPr="00C856B2" w:rsidRDefault="004118AF" w:rsidP="004118AF">
      <w:pPr>
        <w:pStyle w:val="Point1"/>
        <w:rPr>
          <w:noProof/>
          <w:lang w:val="en-IE" w:eastAsia="fr-BE"/>
        </w:rPr>
      </w:pPr>
      <w:r w:rsidRPr="004118AF">
        <w:rPr>
          <w:noProof/>
        </w:rPr>
        <w:t>(c)</w:t>
      </w:r>
      <w:r w:rsidRPr="004118AF">
        <w:rPr>
          <w:noProof/>
        </w:rPr>
        <w:tab/>
      </w:r>
      <w:r w:rsidR="000F605E" w:rsidRPr="00C856B2">
        <w:rPr>
          <w:noProof/>
          <w:lang w:val="en-IE" w:eastAsia="fr-BE"/>
        </w:rPr>
        <w:t xml:space="preserve">they shall identify </w:t>
      </w:r>
      <w:r w:rsidR="00716EA9" w:rsidRPr="00C856B2">
        <w:rPr>
          <w:noProof/>
          <w:lang w:val="en-IE" w:eastAsia="fr-BE"/>
        </w:rPr>
        <w:t>institutions and insurance undertakings solely by their Legal Entity Identifier (LEI);</w:t>
      </w:r>
    </w:p>
    <w:p w:rsidR="00716EA9" w:rsidRPr="00C856B2" w:rsidRDefault="004118AF" w:rsidP="004118AF">
      <w:pPr>
        <w:pStyle w:val="Point1"/>
        <w:rPr>
          <w:noProof/>
          <w:lang w:val="en-IE" w:eastAsia="fr-BE"/>
        </w:rPr>
      </w:pPr>
      <w:r w:rsidRPr="004118AF">
        <w:rPr>
          <w:noProof/>
        </w:rPr>
        <w:t>(d)</w:t>
      </w:r>
      <w:r w:rsidRPr="004118AF">
        <w:rPr>
          <w:noProof/>
        </w:rPr>
        <w:tab/>
      </w:r>
      <w:r w:rsidR="000F605E" w:rsidRPr="00C856B2">
        <w:rPr>
          <w:noProof/>
          <w:lang w:val="en-IE" w:eastAsia="fr-BE"/>
        </w:rPr>
        <w:t xml:space="preserve">they shall identify </w:t>
      </w:r>
      <w:r w:rsidR="00716EA9" w:rsidRPr="00C856B2">
        <w:rPr>
          <w:noProof/>
          <w:lang w:val="en-IE" w:eastAsia="fr-BE"/>
        </w:rPr>
        <w:t>legal entities and counterparties other than institutions and insurance undertakings by their LEI</w:t>
      </w:r>
      <w:r w:rsidR="00431A8F" w:rsidRPr="00C856B2">
        <w:rPr>
          <w:noProof/>
          <w:lang w:val="en-IE" w:eastAsia="fr-BE"/>
        </w:rPr>
        <w:t>,</w:t>
      </w:r>
      <w:r w:rsidR="00716EA9" w:rsidRPr="00C856B2">
        <w:rPr>
          <w:noProof/>
          <w:lang w:val="en-IE" w:eastAsia="fr-BE"/>
        </w:rPr>
        <w:t xml:space="preserve"> where available.</w:t>
      </w:r>
    </w:p>
    <w:p w:rsidR="00716EA9" w:rsidRPr="00C856B2" w:rsidRDefault="004118AF" w:rsidP="004118AF">
      <w:pPr>
        <w:pStyle w:val="ManualNumPar1"/>
        <w:rPr>
          <w:noProof/>
          <w:lang w:val="en-IE"/>
        </w:rPr>
      </w:pPr>
      <w:r w:rsidRPr="004118AF">
        <w:rPr>
          <w:noProof/>
        </w:rPr>
        <w:t>2.</w:t>
      </w:r>
      <w:r w:rsidRPr="004118AF">
        <w:rPr>
          <w:noProof/>
        </w:rPr>
        <w:tab/>
      </w:r>
      <w:r w:rsidR="00716EA9" w:rsidRPr="00C856B2">
        <w:rPr>
          <w:noProof/>
          <w:lang w:val="en-IE"/>
        </w:rPr>
        <w:t>Institutions shall</w:t>
      </w:r>
      <w:r w:rsidR="002A7D3F" w:rsidRPr="00C856B2">
        <w:rPr>
          <w:noProof/>
          <w:lang w:val="en-IE"/>
        </w:rPr>
        <w:t xml:space="preserve">, together with </w:t>
      </w:r>
      <w:r w:rsidR="00716EA9" w:rsidRPr="00C856B2">
        <w:rPr>
          <w:noProof/>
          <w:lang w:val="en-IE"/>
        </w:rPr>
        <w:t xml:space="preserve">the submitted </w:t>
      </w:r>
      <w:r w:rsidR="00FB327E" w:rsidRPr="00C856B2">
        <w:rPr>
          <w:noProof/>
          <w:lang w:val="en-IE"/>
        </w:rPr>
        <w:t>information</w:t>
      </w:r>
      <w:r w:rsidR="002A7D3F" w:rsidRPr="00C856B2">
        <w:rPr>
          <w:noProof/>
          <w:lang w:val="en-IE"/>
        </w:rPr>
        <w:t>, submit</w:t>
      </w:r>
      <w:r w:rsidR="00716EA9" w:rsidRPr="00C856B2">
        <w:rPr>
          <w:noProof/>
          <w:lang w:val="en-IE"/>
        </w:rPr>
        <w:t xml:space="preserve"> the following information:</w:t>
      </w:r>
    </w:p>
    <w:p w:rsidR="00716EA9" w:rsidRPr="00C856B2" w:rsidRDefault="004118AF" w:rsidP="004118AF">
      <w:pPr>
        <w:pStyle w:val="Point1"/>
        <w:rPr>
          <w:noProof/>
          <w:lang w:val="en-IE" w:eastAsia="fr-BE"/>
        </w:rPr>
      </w:pPr>
      <w:r w:rsidRPr="004118AF">
        <w:rPr>
          <w:noProof/>
        </w:rPr>
        <w:t>(a)</w:t>
      </w:r>
      <w:r w:rsidRPr="004118AF">
        <w:rPr>
          <w:noProof/>
        </w:rPr>
        <w:tab/>
      </w:r>
      <w:r w:rsidR="00712164" w:rsidRPr="00C856B2">
        <w:rPr>
          <w:noProof/>
          <w:lang w:val="en-IE" w:eastAsia="fr-BE"/>
        </w:rPr>
        <w:t xml:space="preserve">the </w:t>
      </w:r>
      <w:r w:rsidR="00716EA9" w:rsidRPr="00C856B2">
        <w:rPr>
          <w:noProof/>
          <w:lang w:val="en-IE" w:eastAsia="fr-BE"/>
        </w:rPr>
        <w:t>reporting reference date and reference period;</w:t>
      </w:r>
    </w:p>
    <w:p w:rsidR="00716EA9" w:rsidRPr="00C856B2" w:rsidRDefault="004118AF" w:rsidP="004118AF">
      <w:pPr>
        <w:pStyle w:val="Point1"/>
        <w:rPr>
          <w:noProof/>
          <w:lang w:val="en-IE" w:eastAsia="fr-BE"/>
        </w:rPr>
      </w:pPr>
      <w:r w:rsidRPr="004118AF">
        <w:rPr>
          <w:noProof/>
        </w:rPr>
        <w:t>(b)</w:t>
      </w:r>
      <w:r w:rsidRPr="004118AF">
        <w:rPr>
          <w:noProof/>
        </w:rPr>
        <w:tab/>
      </w:r>
      <w:r w:rsidR="00712164" w:rsidRPr="00C856B2">
        <w:rPr>
          <w:noProof/>
          <w:lang w:val="en-IE" w:eastAsia="fr-BE"/>
        </w:rPr>
        <w:t xml:space="preserve">the </w:t>
      </w:r>
      <w:r w:rsidR="00716EA9" w:rsidRPr="00C856B2">
        <w:rPr>
          <w:noProof/>
          <w:lang w:val="en-IE" w:eastAsia="fr-BE"/>
        </w:rPr>
        <w:t>reporting currency;</w:t>
      </w:r>
    </w:p>
    <w:p w:rsidR="00716EA9" w:rsidRPr="00C856B2" w:rsidRDefault="004118AF" w:rsidP="004118AF">
      <w:pPr>
        <w:pStyle w:val="Point1"/>
        <w:rPr>
          <w:noProof/>
          <w:lang w:val="en-IE" w:eastAsia="fr-BE"/>
        </w:rPr>
      </w:pPr>
      <w:r w:rsidRPr="004118AF">
        <w:rPr>
          <w:noProof/>
        </w:rPr>
        <w:t>(c)</w:t>
      </w:r>
      <w:r w:rsidRPr="004118AF">
        <w:rPr>
          <w:noProof/>
        </w:rPr>
        <w:tab/>
      </w:r>
      <w:r w:rsidR="00712164" w:rsidRPr="00C856B2">
        <w:rPr>
          <w:noProof/>
          <w:lang w:val="en-IE" w:eastAsia="fr-BE"/>
        </w:rPr>
        <w:t xml:space="preserve">the </w:t>
      </w:r>
      <w:r w:rsidR="00716EA9" w:rsidRPr="00C856B2">
        <w:rPr>
          <w:noProof/>
          <w:lang w:val="en-IE" w:eastAsia="fr-BE"/>
        </w:rPr>
        <w:t>accounting standard;</w:t>
      </w:r>
    </w:p>
    <w:p w:rsidR="00716EA9" w:rsidRPr="00C856B2" w:rsidRDefault="004118AF" w:rsidP="004118AF">
      <w:pPr>
        <w:pStyle w:val="Point1"/>
        <w:rPr>
          <w:noProof/>
          <w:lang w:val="en-IE" w:eastAsia="fr-BE"/>
        </w:rPr>
      </w:pPr>
      <w:r w:rsidRPr="004118AF">
        <w:rPr>
          <w:noProof/>
        </w:rPr>
        <w:t>(d)</w:t>
      </w:r>
      <w:r w:rsidRPr="004118AF">
        <w:rPr>
          <w:noProof/>
        </w:rPr>
        <w:tab/>
      </w:r>
      <w:r w:rsidR="00712164" w:rsidRPr="00C856B2">
        <w:rPr>
          <w:noProof/>
          <w:lang w:val="en-IE" w:eastAsia="fr-BE"/>
        </w:rPr>
        <w:t xml:space="preserve">the </w:t>
      </w:r>
      <w:r w:rsidR="00716EA9" w:rsidRPr="00C856B2">
        <w:rPr>
          <w:noProof/>
          <w:lang w:val="en-IE" w:eastAsia="fr-BE"/>
        </w:rPr>
        <w:t>Legal Entity Identifier (LEI) of the reporting institution;</w:t>
      </w:r>
    </w:p>
    <w:p w:rsidR="00716EA9" w:rsidRPr="00C856B2" w:rsidRDefault="004118AF" w:rsidP="004118AF">
      <w:pPr>
        <w:pStyle w:val="Point1"/>
        <w:rPr>
          <w:noProof/>
          <w:lang w:val="en-IE" w:eastAsia="fr-BE"/>
        </w:rPr>
      </w:pPr>
      <w:r w:rsidRPr="004118AF">
        <w:rPr>
          <w:noProof/>
        </w:rPr>
        <w:t>(e)</w:t>
      </w:r>
      <w:r w:rsidRPr="004118AF">
        <w:rPr>
          <w:noProof/>
        </w:rPr>
        <w:tab/>
      </w:r>
      <w:r w:rsidR="00712164" w:rsidRPr="00C856B2">
        <w:rPr>
          <w:noProof/>
          <w:lang w:val="en-IE" w:eastAsia="fr-BE"/>
        </w:rPr>
        <w:t xml:space="preserve">the </w:t>
      </w:r>
      <w:r w:rsidR="00716EA9" w:rsidRPr="00C856B2">
        <w:rPr>
          <w:noProof/>
          <w:lang w:val="en-IE" w:eastAsia="fr-BE"/>
        </w:rPr>
        <w:t>scope of consolidation.</w:t>
      </w:r>
    </w:p>
    <w:p w:rsidR="00716EA9" w:rsidRPr="00C856B2" w:rsidRDefault="00716EA9" w:rsidP="00E537F5">
      <w:pPr>
        <w:pStyle w:val="Titrearticle"/>
        <w:rPr>
          <w:noProof/>
          <w:szCs w:val="24"/>
          <w:lang w:val="en-IE" w:eastAsia="fr-BE"/>
        </w:rPr>
      </w:pPr>
      <w:r w:rsidRPr="00C856B2">
        <w:rPr>
          <w:noProof/>
          <w:szCs w:val="24"/>
          <w:lang w:val="en-IE" w:eastAsia="fr-BE"/>
        </w:rPr>
        <w:t xml:space="preserve">Article </w:t>
      </w:r>
      <w:r w:rsidR="008029E7" w:rsidRPr="00C856B2">
        <w:rPr>
          <w:noProof/>
          <w:szCs w:val="24"/>
          <w:lang w:val="en-IE" w:eastAsia="fr-BE"/>
        </w:rPr>
        <w:t>2</w:t>
      </w:r>
      <w:r w:rsidR="007D28C9" w:rsidRPr="00C856B2">
        <w:rPr>
          <w:noProof/>
          <w:szCs w:val="24"/>
          <w:lang w:val="en-IE" w:eastAsia="fr-BE"/>
        </w:rPr>
        <w:t>4</w:t>
      </w:r>
    </w:p>
    <w:p w:rsidR="00716EA9" w:rsidRPr="00C856B2" w:rsidRDefault="00716EA9" w:rsidP="002A7D3F">
      <w:pPr>
        <w:pStyle w:val="Titrearticle"/>
        <w:spacing w:before="0"/>
        <w:rPr>
          <w:b/>
          <w:bCs/>
          <w:i w:val="0"/>
          <w:iCs/>
          <w:noProof/>
          <w:szCs w:val="24"/>
          <w:lang w:val="en-IE"/>
        </w:rPr>
      </w:pPr>
      <w:r w:rsidRPr="00C856B2">
        <w:rPr>
          <w:b/>
          <w:bCs/>
          <w:i w:val="0"/>
          <w:iCs/>
          <w:noProof/>
          <w:szCs w:val="24"/>
          <w:lang w:val="en-IE"/>
        </w:rPr>
        <w:t>Transitional provisions</w:t>
      </w:r>
    </w:p>
    <w:p w:rsidR="00716EA9" w:rsidRPr="00C856B2" w:rsidRDefault="004118AF" w:rsidP="004118AF">
      <w:pPr>
        <w:pStyle w:val="ManualNumPar1"/>
        <w:rPr>
          <w:noProof/>
          <w:lang w:val="en-IE"/>
        </w:rPr>
      </w:pPr>
      <w:r w:rsidRPr="004118AF">
        <w:rPr>
          <w:noProof/>
        </w:rPr>
        <w:t>1.</w:t>
      </w:r>
      <w:r w:rsidRPr="004118AF">
        <w:rPr>
          <w:noProof/>
        </w:rPr>
        <w:tab/>
      </w:r>
      <w:r w:rsidR="00716EA9" w:rsidRPr="00C856B2">
        <w:rPr>
          <w:noProof/>
          <w:lang w:val="en-IE"/>
        </w:rPr>
        <w:t xml:space="preserve">The remittance date for </w:t>
      </w:r>
      <w:r w:rsidR="00FB327E" w:rsidRPr="00C856B2">
        <w:rPr>
          <w:noProof/>
          <w:lang w:val="en-IE"/>
        </w:rPr>
        <w:t xml:space="preserve">information </w:t>
      </w:r>
      <w:r w:rsidR="00716EA9" w:rsidRPr="00C856B2">
        <w:rPr>
          <w:noProof/>
          <w:lang w:val="en-IE"/>
        </w:rPr>
        <w:t xml:space="preserve">with a quarterly reporting frequency relating to the reference date 31 March 2025, for the information to be reported pursuant to Articles </w:t>
      </w:r>
      <w:r w:rsidR="00801517" w:rsidRPr="00C856B2">
        <w:rPr>
          <w:noProof/>
          <w:lang w:val="en-IE"/>
        </w:rPr>
        <w:t>5</w:t>
      </w:r>
      <w:r w:rsidR="00647E0C" w:rsidRPr="00C856B2">
        <w:rPr>
          <w:noProof/>
          <w:lang w:val="en-IE"/>
        </w:rPr>
        <w:t xml:space="preserve">, </w:t>
      </w:r>
      <w:r w:rsidR="00801517" w:rsidRPr="00C856B2">
        <w:rPr>
          <w:noProof/>
          <w:lang w:val="en-IE"/>
        </w:rPr>
        <w:t>7</w:t>
      </w:r>
      <w:r w:rsidR="00716EA9" w:rsidRPr="00C856B2">
        <w:rPr>
          <w:noProof/>
          <w:lang w:val="en-IE"/>
        </w:rPr>
        <w:t xml:space="preserve"> to </w:t>
      </w:r>
      <w:r w:rsidR="00801517" w:rsidRPr="00C856B2">
        <w:rPr>
          <w:noProof/>
          <w:lang w:val="en-IE"/>
        </w:rPr>
        <w:t>10</w:t>
      </w:r>
      <w:r w:rsidR="00716EA9" w:rsidRPr="00C856B2">
        <w:rPr>
          <w:noProof/>
          <w:lang w:val="en-IE"/>
        </w:rPr>
        <w:t xml:space="preserve"> and Article 1</w:t>
      </w:r>
      <w:r w:rsidR="00801517" w:rsidRPr="00C856B2">
        <w:rPr>
          <w:noProof/>
          <w:lang w:val="en-IE"/>
        </w:rPr>
        <w:t>5</w:t>
      </w:r>
      <w:r w:rsidR="00716EA9" w:rsidRPr="00C856B2">
        <w:rPr>
          <w:noProof/>
          <w:lang w:val="en-IE"/>
        </w:rPr>
        <w:t xml:space="preserve"> of this Regulation, shall be 30 June 2025 at the latest.</w:t>
      </w:r>
    </w:p>
    <w:p w:rsidR="00716EA9" w:rsidRPr="00C856B2" w:rsidRDefault="004118AF" w:rsidP="004118AF">
      <w:pPr>
        <w:pStyle w:val="ManualNumPar1"/>
        <w:rPr>
          <w:noProof/>
          <w:lang w:val="en-IE"/>
        </w:rPr>
      </w:pPr>
      <w:r w:rsidRPr="004118AF">
        <w:rPr>
          <w:noProof/>
        </w:rPr>
        <w:t>2.</w:t>
      </w:r>
      <w:r w:rsidRPr="004118AF">
        <w:rPr>
          <w:noProof/>
        </w:rPr>
        <w:tab/>
      </w:r>
      <w:r w:rsidR="00AE3B0A" w:rsidRPr="00C856B2">
        <w:rPr>
          <w:noProof/>
          <w:lang w:val="en-IE"/>
        </w:rPr>
        <w:t xml:space="preserve">The first reference date for information to be reported on the composition of the trading </w:t>
      </w:r>
      <w:r w:rsidR="00AE3B0A" w:rsidRPr="00EE0040">
        <w:rPr>
          <w:noProof/>
          <w:lang w:val="en-IE"/>
        </w:rPr>
        <w:t xml:space="preserve">book </w:t>
      </w:r>
      <w:r w:rsidR="00CB5055" w:rsidRPr="00EE0040">
        <w:rPr>
          <w:noProof/>
          <w:lang w:val="en-IE"/>
        </w:rPr>
        <w:t xml:space="preserve">and the reclassifications between books </w:t>
      </w:r>
      <w:r w:rsidR="00AE3B0A" w:rsidRPr="00EE0040">
        <w:rPr>
          <w:noProof/>
          <w:lang w:val="en-IE"/>
        </w:rPr>
        <w:t>pursuant</w:t>
      </w:r>
      <w:r w:rsidR="00AE3B0A" w:rsidRPr="00C856B2">
        <w:rPr>
          <w:noProof/>
          <w:lang w:val="en-IE"/>
        </w:rPr>
        <w:t xml:space="preserve"> to Article </w:t>
      </w:r>
      <w:r w:rsidR="00801517" w:rsidRPr="00C856B2">
        <w:rPr>
          <w:noProof/>
          <w:lang w:val="en-IE"/>
        </w:rPr>
        <w:t>5</w:t>
      </w:r>
      <w:r w:rsidR="00AE3B0A" w:rsidRPr="00C856B2">
        <w:rPr>
          <w:noProof/>
          <w:lang w:val="en-IE"/>
        </w:rPr>
        <w:t xml:space="preserve"> of this Regulation shall be the last business day of the quarter in which the alternative approaches set out in Part Three, Title IV, Chapters 1a and 1b of Regulation (EU) No 575/2013 become applicable for </w:t>
      </w:r>
      <w:r w:rsidR="00F908C1" w:rsidRPr="00C856B2">
        <w:rPr>
          <w:noProof/>
          <w:lang w:val="en-IE"/>
        </w:rPr>
        <w:t>the calculation of</w:t>
      </w:r>
      <w:r w:rsidR="00AE3B0A" w:rsidRPr="00C856B2">
        <w:rPr>
          <w:noProof/>
          <w:lang w:val="en-IE"/>
        </w:rPr>
        <w:t xml:space="preserve"> the own funds requirements referred to in Article 92(4), points (b)(i) and (c), and Article 92(5), points (b) and (c), of that Regulation</w:t>
      </w:r>
      <w:r w:rsidR="00716EA9" w:rsidRPr="00C856B2">
        <w:rPr>
          <w:noProof/>
          <w:lang w:val="en-IE"/>
        </w:rPr>
        <w:t>.</w:t>
      </w:r>
    </w:p>
    <w:p w:rsidR="00716EA9" w:rsidRPr="00C856B2" w:rsidRDefault="00716EA9" w:rsidP="00745A2E">
      <w:pPr>
        <w:pStyle w:val="Titrearticle"/>
        <w:spacing w:before="120" w:after="0"/>
        <w:rPr>
          <w:noProof/>
          <w:szCs w:val="24"/>
          <w:lang w:val="en-IE" w:eastAsia="fr-BE"/>
        </w:rPr>
      </w:pPr>
      <w:r w:rsidRPr="00C856B2">
        <w:rPr>
          <w:noProof/>
          <w:szCs w:val="24"/>
          <w:lang w:val="en-IE" w:eastAsia="fr-BE"/>
        </w:rPr>
        <w:t xml:space="preserve">Article </w:t>
      </w:r>
      <w:r w:rsidR="008029E7" w:rsidRPr="00C856B2">
        <w:rPr>
          <w:noProof/>
          <w:szCs w:val="24"/>
          <w:lang w:val="en-IE" w:eastAsia="fr-BE"/>
        </w:rPr>
        <w:t>2</w:t>
      </w:r>
      <w:r w:rsidR="007D28C9" w:rsidRPr="00C856B2">
        <w:rPr>
          <w:noProof/>
          <w:szCs w:val="24"/>
          <w:lang w:val="en-IE" w:eastAsia="fr-BE"/>
        </w:rPr>
        <w:t>5</w:t>
      </w:r>
    </w:p>
    <w:p w:rsidR="00096030" w:rsidRPr="00C856B2" w:rsidRDefault="004B3787" w:rsidP="00C856B2">
      <w:pPr>
        <w:pStyle w:val="Text1"/>
        <w:jc w:val="center"/>
        <w:rPr>
          <w:noProof/>
          <w:lang w:val="en-IE"/>
        </w:rPr>
      </w:pPr>
      <w:r w:rsidRPr="00C856B2">
        <w:rPr>
          <w:b/>
          <w:bCs/>
          <w:iCs/>
          <w:noProof/>
          <w:szCs w:val="24"/>
          <w:lang w:val="en-IE"/>
        </w:rPr>
        <w:t xml:space="preserve">Repeal </w:t>
      </w:r>
      <w:r w:rsidR="0056622A" w:rsidRPr="00C856B2">
        <w:rPr>
          <w:b/>
          <w:bCs/>
          <w:iCs/>
          <w:noProof/>
          <w:szCs w:val="24"/>
          <w:lang w:val="en-IE"/>
        </w:rPr>
        <w:t>of Imple</w:t>
      </w:r>
      <w:r w:rsidR="00484657" w:rsidRPr="00C856B2">
        <w:rPr>
          <w:b/>
          <w:bCs/>
          <w:iCs/>
          <w:noProof/>
          <w:szCs w:val="24"/>
          <w:lang w:val="en-IE"/>
        </w:rPr>
        <w:t>menting Regulation (EU) 2021/451</w:t>
      </w:r>
    </w:p>
    <w:p w:rsidR="00FB327E" w:rsidRPr="00C856B2" w:rsidRDefault="004118AF" w:rsidP="004118AF">
      <w:pPr>
        <w:pStyle w:val="ManualNumPar1"/>
        <w:rPr>
          <w:noProof/>
        </w:rPr>
      </w:pPr>
      <w:r w:rsidRPr="004118AF">
        <w:rPr>
          <w:noProof/>
        </w:rPr>
        <w:t>1.</w:t>
      </w:r>
      <w:r w:rsidRPr="004118AF">
        <w:rPr>
          <w:noProof/>
        </w:rPr>
        <w:tab/>
      </w:r>
      <w:r w:rsidR="00FB327E" w:rsidRPr="00C856B2">
        <w:rPr>
          <w:noProof/>
        </w:rPr>
        <w:t>Implementing Regulation (EU) 2021/451 shall cease to apply from 1 January 2025, except for Article 5(12) and Annex I, templates 18 to 24, and Annex II, Part II, points 5.1 to 5.7. Article 15 of Implementing Regulation (EU) 2021/451 shall continue to apply until 31 December 2025 only for the purposes of Article 5(</w:t>
      </w:r>
      <w:r w:rsidR="00801517" w:rsidRPr="00C856B2">
        <w:rPr>
          <w:noProof/>
        </w:rPr>
        <w:t>4</w:t>
      </w:r>
      <w:r w:rsidR="00FB327E" w:rsidRPr="00C856B2">
        <w:rPr>
          <w:noProof/>
        </w:rPr>
        <w:t xml:space="preserve">) of this Regulation. </w:t>
      </w:r>
    </w:p>
    <w:p w:rsidR="00FB327E" w:rsidRPr="00C856B2" w:rsidRDefault="004118AF" w:rsidP="004118AF">
      <w:pPr>
        <w:pStyle w:val="ManualNumPar1"/>
        <w:rPr>
          <w:noProof/>
        </w:rPr>
      </w:pPr>
      <w:r w:rsidRPr="004118AF">
        <w:rPr>
          <w:noProof/>
        </w:rPr>
        <w:t>2.</w:t>
      </w:r>
      <w:r w:rsidRPr="004118AF">
        <w:rPr>
          <w:noProof/>
        </w:rPr>
        <w:tab/>
      </w:r>
      <w:r w:rsidR="00FB327E" w:rsidRPr="00C856B2">
        <w:rPr>
          <w:noProof/>
        </w:rPr>
        <w:t xml:space="preserve">Implementing Regulation (EU) 2021/451 is repealed with effect from 31 December 2025. </w:t>
      </w:r>
    </w:p>
    <w:p w:rsidR="00FB327E" w:rsidRPr="00C856B2" w:rsidRDefault="004118AF" w:rsidP="004118AF">
      <w:pPr>
        <w:pStyle w:val="ManualNumPar1"/>
        <w:rPr>
          <w:noProof/>
        </w:rPr>
      </w:pPr>
      <w:r w:rsidRPr="004118AF">
        <w:rPr>
          <w:noProof/>
        </w:rPr>
        <w:t>3.</w:t>
      </w:r>
      <w:r w:rsidRPr="004118AF">
        <w:rPr>
          <w:noProof/>
        </w:rPr>
        <w:tab/>
      </w:r>
      <w:r w:rsidR="00FB327E" w:rsidRPr="00C856B2">
        <w:rPr>
          <w:noProof/>
        </w:rPr>
        <w:t xml:space="preserve">References to the repealed Regulation shall be construed as references to this Regulation and </w:t>
      </w:r>
      <w:r w:rsidR="00712164" w:rsidRPr="00C856B2">
        <w:rPr>
          <w:noProof/>
        </w:rPr>
        <w:t xml:space="preserve">be </w:t>
      </w:r>
      <w:r w:rsidR="00FB327E" w:rsidRPr="00C856B2">
        <w:rPr>
          <w:noProof/>
        </w:rPr>
        <w:t>read in accordance with the correlation table in Annex II.’</w:t>
      </w:r>
    </w:p>
    <w:p w:rsidR="00E537F5" w:rsidRPr="00C856B2" w:rsidRDefault="00E537F5" w:rsidP="00E537F5">
      <w:pPr>
        <w:pStyle w:val="Titrearticle"/>
        <w:rPr>
          <w:noProof/>
          <w:szCs w:val="24"/>
          <w:lang w:val="en-IE"/>
        </w:rPr>
      </w:pPr>
      <w:r w:rsidRPr="00C856B2">
        <w:rPr>
          <w:noProof/>
          <w:szCs w:val="24"/>
          <w:lang w:val="en-IE"/>
        </w:rPr>
        <w:t xml:space="preserve">Article </w:t>
      </w:r>
      <w:r w:rsidR="007D28C9" w:rsidRPr="00C856B2">
        <w:rPr>
          <w:rFonts w:eastAsia="Times New Roman"/>
          <w:bCs/>
          <w:noProof/>
          <w:szCs w:val="24"/>
          <w:lang w:val="en-IE" w:eastAsia="fr-BE"/>
        </w:rPr>
        <w:t>26</w:t>
      </w:r>
    </w:p>
    <w:p w:rsidR="00E537F5" w:rsidRPr="00C856B2" w:rsidRDefault="00E537F5" w:rsidP="0056622A">
      <w:pPr>
        <w:pStyle w:val="Titrearticle"/>
        <w:spacing w:before="0"/>
        <w:rPr>
          <w:b/>
          <w:bCs/>
          <w:i w:val="0"/>
          <w:iCs/>
          <w:noProof/>
          <w:szCs w:val="24"/>
          <w:lang w:val="en-IE"/>
        </w:rPr>
      </w:pPr>
      <w:r w:rsidRPr="00C856B2">
        <w:rPr>
          <w:b/>
          <w:bCs/>
          <w:i w:val="0"/>
          <w:iCs/>
          <w:noProof/>
          <w:szCs w:val="24"/>
          <w:lang w:val="en-IE"/>
        </w:rPr>
        <w:t>Entry into force and application</w:t>
      </w:r>
    </w:p>
    <w:p w:rsidR="00E537F5" w:rsidRPr="00C856B2" w:rsidRDefault="00E537F5" w:rsidP="00E537F5">
      <w:pPr>
        <w:spacing w:before="100" w:beforeAutospacing="1" w:after="100" w:afterAutospacing="1"/>
        <w:rPr>
          <w:noProof/>
          <w:color w:val="000000"/>
          <w:szCs w:val="24"/>
          <w:lang w:val="en-IE"/>
        </w:rPr>
      </w:pPr>
      <w:r w:rsidRPr="00C856B2">
        <w:rPr>
          <w:noProof/>
          <w:color w:val="000000"/>
          <w:szCs w:val="24"/>
          <w:lang w:val="en-IE"/>
        </w:rPr>
        <w:t>This Regulation shall enter into force on the day following that of its publication in the </w:t>
      </w:r>
      <w:r w:rsidRPr="00C856B2">
        <w:rPr>
          <w:i/>
          <w:iCs/>
          <w:noProof/>
          <w:color w:val="000000"/>
          <w:szCs w:val="24"/>
          <w:lang w:val="en-IE"/>
        </w:rPr>
        <w:t>Official Journal of the European Union</w:t>
      </w:r>
      <w:r w:rsidRPr="00C856B2">
        <w:rPr>
          <w:noProof/>
          <w:color w:val="000000"/>
          <w:szCs w:val="24"/>
          <w:lang w:val="en-IE"/>
        </w:rPr>
        <w:t>.</w:t>
      </w:r>
    </w:p>
    <w:p w:rsidR="00E537F5" w:rsidRPr="00C856B2" w:rsidRDefault="00E537F5" w:rsidP="00E537F5">
      <w:pPr>
        <w:spacing w:before="100" w:beforeAutospacing="1" w:after="100" w:afterAutospacing="1"/>
        <w:rPr>
          <w:noProof/>
          <w:color w:val="000000"/>
          <w:szCs w:val="24"/>
          <w:lang w:val="en-IE"/>
        </w:rPr>
      </w:pPr>
      <w:r w:rsidRPr="00C856B2">
        <w:rPr>
          <w:noProof/>
          <w:color w:val="000000"/>
          <w:szCs w:val="24"/>
          <w:lang w:val="en-IE"/>
        </w:rPr>
        <w:t xml:space="preserve">It shall apply </w:t>
      </w:r>
      <w:r w:rsidRPr="00C567C8">
        <w:rPr>
          <w:noProof/>
          <w:color w:val="000000"/>
          <w:szCs w:val="24"/>
          <w:lang w:val="en-IE"/>
        </w:rPr>
        <w:t xml:space="preserve">from </w:t>
      </w:r>
      <w:r w:rsidR="00BB2DDF" w:rsidRPr="00C567C8">
        <w:rPr>
          <w:noProof/>
          <w:color w:val="000000"/>
          <w:szCs w:val="24"/>
          <w:lang w:val="en-IE"/>
        </w:rPr>
        <w:t>[PO – please insert date</w:t>
      </w:r>
      <w:r w:rsidR="00DA0641" w:rsidRPr="00C567C8">
        <w:rPr>
          <w:noProof/>
          <w:color w:val="000000"/>
          <w:szCs w:val="24"/>
          <w:lang w:val="en-IE"/>
        </w:rPr>
        <w:t>:</w:t>
      </w:r>
      <w:r w:rsidR="00BB2DDF" w:rsidRPr="00C567C8">
        <w:rPr>
          <w:noProof/>
          <w:color w:val="000000"/>
          <w:szCs w:val="24"/>
          <w:lang w:val="en-IE"/>
        </w:rPr>
        <w:t xml:space="preserve"> 6 </w:t>
      </w:r>
      <w:r w:rsidR="00DA0641" w:rsidRPr="00C567C8">
        <w:rPr>
          <w:noProof/>
          <w:color w:val="000000"/>
          <w:szCs w:val="24"/>
          <w:lang w:val="en-IE"/>
        </w:rPr>
        <w:t>m</w:t>
      </w:r>
      <w:r w:rsidR="00BB2DDF" w:rsidRPr="00C567C8">
        <w:rPr>
          <w:noProof/>
          <w:color w:val="000000"/>
          <w:szCs w:val="24"/>
          <w:lang w:val="en-IE"/>
        </w:rPr>
        <w:t xml:space="preserve">onths after the </w:t>
      </w:r>
      <w:r w:rsidR="00DA0641" w:rsidRPr="00C567C8">
        <w:rPr>
          <w:noProof/>
          <w:color w:val="000000"/>
          <w:szCs w:val="24"/>
          <w:lang w:val="en-IE"/>
        </w:rPr>
        <w:t>date of entry into force</w:t>
      </w:r>
      <w:r w:rsidR="00BB2DDF" w:rsidRPr="00C567C8">
        <w:rPr>
          <w:noProof/>
          <w:color w:val="000000"/>
          <w:szCs w:val="24"/>
          <w:lang w:val="en-IE"/>
        </w:rPr>
        <w:t>]</w:t>
      </w:r>
      <w:r w:rsidRPr="00C567C8">
        <w:rPr>
          <w:noProof/>
          <w:color w:val="000000"/>
          <w:szCs w:val="24"/>
          <w:lang w:val="en-IE"/>
        </w:rPr>
        <w:t>.</w:t>
      </w:r>
    </w:p>
    <w:p w:rsidR="00E537F5" w:rsidRPr="00C856B2" w:rsidRDefault="00E537F5" w:rsidP="00E537F5">
      <w:pPr>
        <w:spacing w:before="100" w:beforeAutospacing="1" w:after="100" w:afterAutospacing="1"/>
        <w:rPr>
          <w:noProof/>
          <w:szCs w:val="24"/>
          <w:lang w:val="en-IE"/>
        </w:rPr>
      </w:pPr>
      <w:r w:rsidRPr="00C856B2">
        <w:rPr>
          <w:noProof/>
          <w:color w:val="000000"/>
          <w:szCs w:val="24"/>
          <w:lang w:val="en-IE"/>
        </w:rPr>
        <w:t>This Regulation shall be binding in its entirety and directly applicable in all Member States.</w:t>
      </w:r>
    </w:p>
    <w:p w:rsidR="00185C9B" w:rsidRPr="00C856B2" w:rsidRDefault="00986EB6" w:rsidP="006A1FB2">
      <w:pPr>
        <w:pStyle w:val="Fait"/>
        <w:rPr>
          <w:noProof/>
          <w:lang w:val="en-IE"/>
        </w:rPr>
      </w:pPr>
      <w:r>
        <w:rPr>
          <w:noProof/>
        </w:rPr>
        <w:t>Done at Brussels, 29.11.2024</w:t>
      </w:r>
    </w:p>
    <w:p w:rsidR="00185C9B" w:rsidRPr="00C856B2" w:rsidRDefault="00185C9B" w:rsidP="006A1FB2">
      <w:pPr>
        <w:pStyle w:val="Institutionquisigne"/>
        <w:rPr>
          <w:noProof/>
          <w:szCs w:val="24"/>
          <w:lang w:val="en-IE"/>
        </w:rPr>
      </w:pPr>
      <w:r w:rsidRPr="00C856B2">
        <w:rPr>
          <w:noProof/>
          <w:szCs w:val="24"/>
          <w:lang w:val="en-IE"/>
        </w:rPr>
        <w:tab/>
        <w:t>For the Commission</w:t>
      </w:r>
    </w:p>
    <w:p w:rsidR="00185C9B" w:rsidRPr="00BA7013" w:rsidRDefault="00015D48" w:rsidP="00185C9B">
      <w:pPr>
        <w:pStyle w:val="Personnequisigne"/>
        <w:rPr>
          <w:noProof/>
          <w:szCs w:val="24"/>
          <w:lang w:val="de-DE"/>
        </w:rPr>
      </w:pPr>
      <w:r>
        <w:rPr>
          <w:noProof/>
        </w:rPr>
        <w:tab/>
        <w:t>The President</w:t>
      </w:r>
      <w:r>
        <w:rPr>
          <w:noProof/>
        </w:rPr>
        <w:br/>
      </w:r>
      <w:r>
        <w:rPr>
          <w:noProof/>
        </w:rPr>
        <w:tab/>
        <w:t>Ursula VON DER LEYEN</w:t>
      </w:r>
    </w:p>
    <w:sectPr w:rsidR="00185C9B" w:rsidRPr="00BA7013" w:rsidSect="000F261B">
      <w:headerReference w:type="even" r:id="rId15"/>
      <w:footerReference w:type="even" r:id="rId16"/>
      <w:footerReference w:type="default" r:id="rId17"/>
      <w:headerReference w:type="first" r:id="rId18"/>
      <w:footerReference w:type="first" r:id="rId1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1B" w:rsidRPr="000F261B" w:rsidRDefault="000F261B" w:rsidP="000F261B">
    <w:pPr>
      <w:pStyle w:val="Footer"/>
      <w:rPr>
        <w:rFonts w:ascii="Arial" w:hAnsi="Arial" w:cs="Arial"/>
        <w:b/>
        <w:sz w:val="48"/>
      </w:rPr>
    </w:pPr>
    <w:r w:rsidRPr="000F261B">
      <w:rPr>
        <w:rFonts w:ascii="Arial" w:hAnsi="Arial" w:cs="Arial"/>
        <w:b/>
        <w:sz w:val="48"/>
      </w:rPr>
      <w:t>EN</w:t>
    </w:r>
    <w:r w:rsidRPr="000F261B">
      <w:rPr>
        <w:rFonts w:ascii="Arial" w:hAnsi="Arial" w:cs="Arial"/>
        <w:b/>
        <w:sz w:val="48"/>
      </w:rPr>
      <w:tab/>
    </w:r>
    <w:r w:rsidRPr="000F261B">
      <w:rPr>
        <w:rFonts w:ascii="Arial" w:hAnsi="Arial" w:cs="Arial"/>
        <w:b/>
        <w:sz w:val="48"/>
      </w:rPr>
      <w:tab/>
    </w:r>
    <w:r w:rsidRPr="000F261B">
      <w:tab/>
    </w:r>
    <w:r w:rsidRPr="000F261B">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1B" w:rsidRPr="000F261B" w:rsidRDefault="000F261B" w:rsidP="000F261B">
    <w:pPr>
      <w:pStyle w:val="Footer"/>
      <w:rPr>
        <w:rFonts w:ascii="Arial" w:hAnsi="Arial" w:cs="Arial"/>
        <w:b/>
        <w:sz w:val="48"/>
      </w:rPr>
    </w:pPr>
    <w:r w:rsidRPr="000F261B">
      <w:rPr>
        <w:rFonts w:ascii="Arial" w:hAnsi="Arial" w:cs="Arial"/>
        <w:b/>
        <w:sz w:val="48"/>
      </w:rPr>
      <w:t>EN</w:t>
    </w:r>
    <w:r w:rsidRPr="000F261B">
      <w:rPr>
        <w:rFonts w:ascii="Arial" w:hAnsi="Arial" w:cs="Arial"/>
        <w:b/>
        <w:sz w:val="48"/>
      </w:rPr>
      <w:tab/>
    </w:r>
    <w:r w:rsidRPr="000F261B">
      <w:rPr>
        <w:rFonts w:ascii="Arial" w:hAnsi="Arial" w:cs="Arial"/>
        <w:b/>
        <w:sz w:val="48"/>
      </w:rPr>
      <w:tab/>
    </w:r>
    <w:r w:rsidRPr="000F261B">
      <w:tab/>
    </w:r>
    <w:r w:rsidRPr="000F261B">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1B" w:rsidRDefault="000F26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1B" w:rsidRPr="000F261B" w:rsidRDefault="000F261B" w:rsidP="000F261B">
    <w:pPr>
      <w:pStyle w:val="Footer"/>
      <w:rPr>
        <w:rFonts w:ascii="Arial" w:hAnsi="Arial" w:cs="Arial"/>
        <w:b/>
        <w:sz w:val="48"/>
      </w:rPr>
    </w:pPr>
    <w:r w:rsidRPr="000F261B">
      <w:rPr>
        <w:rFonts w:ascii="Arial" w:hAnsi="Arial" w:cs="Arial"/>
        <w:b/>
        <w:sz w:val="48"/>
      </w:rPr>
      <w:t>EN</w:t>
    </w:r>
    <w:r w:rsidRPr="000F261B">
      <w:rPr>
        <w:rFonts w:ascii="Arial" w:hAnsi="Arial" w:cs="Arial"/>
        <w:b/>
        <w:sz w:val="48"/>
      </w:rPr>
      <w:tab/>
    </w:r>
    <w:r>
      <w:fldChar w:fldCharType="begin"/>
    </w:r>
    <w:r>
      <w:instrText xml:space="preserve"> PAGE  \* MERGEFORMAT </w:instrText>
    </w:r>
    <w:r>
      <w:fldChar w:fldCharType="separate"/>
    </w:r>
    <w:r w:rsidR="006A1FB2">
      <w:rPr>
        <w:noProof/>
      </w:rPr>
      <w:t>19</w:t>
    </w:r>
    <w:r>
      <w:fldChar w:fldCharType="end"/>
    </w:r>
    <w:r>
      <w:tab/>
    </w:r>
    <w:r w:rsidRPr="000F261B">
      <w:tab/>
    </w:r>
    <w:r w:rsidRPr="000F261B">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1B" w:rsidRDefault="000F261B" w:rsidP="000F2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rPr>
          <w:lang w:val="it-IT"/>
        </w:rPr>
      </w:pPr>
      <w:r w:rsidRPr="00E91CD0">
        <w:rPr>
          <w:rStyle w:val="FootnoteReference"/>
        </w:rPr>
        <w:footnoteRef/>
      </w:r>
      <w:r w:rsidR="00E91CD0" w:rsidRPr="00BA7013">
        <w:rPr>
          <w:lang w:val="it-IT"/>
        </w:rPr>
        <w:tab/>
      </w:r>
      <w:r w:rsidRPr="00BA7013">
        <w:rPr>
          <w:lang w:val="it-IT"/>
        </w:rPr>
        <w:t>OJ L 176, 27.6.2013, p. 1</w:t>
      </w:r>
      <w:r w:rsidR="00DD3048" w:rsidRPr="00BA7013">
        <w:rPr>
          <w:lang w:val="it-IT"/>
        </w:rPr>
        <w:t>, ELI: http://data.europa.eu/eli/reg/2013/575/oj</w:t>
      </w:r>
      <w:r w:rsidRPr="00BA7013">
        <w:rPr>
          <w:lang w:val="it-IT"/>
        </w:rPr>
        <w:t>.</w:t>
      </w:r>
    </w:p>
  </w:footnote>
  <w:footnote w:id="3">
    <w:p w:rsidR="00716EA9" w:rsidRPr="003B5B26" w:rsidRDefault="00716EA9" w:rsidP="00716EA9">
      <w:pPr>
        <w:pStyle w:val="FootnoteText"/>
      </w:pPr>
      <w:r w:rsidRPr="00E91CD0">
        <w:rPr>
          <w:rStyle w:val="FootnoteReference"/>
        </w:rPr>
        <w:footnoteRef/>
      </w:r>
      <w:r w:rsidR="00E91CD0">
        <w:tab/>
      </w:r>
      <w:r w:rsidRPr="003B5B26">
        <w:t>Commission Implementing Regulation (EU) 2021/451 of 17 December 2020 laying down implementing technical standards for the application of Regulation (EU) No 575/2013 of the European Parliament and of the Council with regard to supervisory reporting of institutions and repealing Implementing Regulation (EU) No 680/2014 (OJ L 97, 19.3.2021, p. 1</w:t>
      </w:r>
      <w:r w:rsidR="001B6542">
        <w:t xml:space="preserve">, </w:t>
      </w:r>
      <w:r w:rsidR="00B670E6" w:rsidRPr="00B670E6">
        <w:t>ELI: http://data.europa.eu/eli/reg_impl/2021/451/oj</w:t>
      </w:r>
      <w:r w:rsidRPr="003B5B26">
        <w:t>).</w:t>
      </w:r>
    </w:p>
  </w:footnote>
  <w:footnote w:id="4">
    <w:p w:rsidR="00716EA9" w:rsidRPr="00332EF3" w:rsidRDefault="00716EA9" w:rsidP="00716EA9">
      <w:pPr>
        <w:pStyle w:val="FootnoteText"/>
      </w:pPr>
      <w:r w:rsidRPr="00E91CD0">
        <w:rPr>
          <w:rStyle w:val="FootnoteReference"/>
        </w:rPr>
        <w:footnoteRef/>
      </w:r>
      <w:r w:rsidR="00E91CD0">
        <w:tab/>
      </w:r>
      <w:r w:rsidRPr="003B5B26">
        <w:t>Regulation (EU) 2024/1623 of the European Parliament and of the Council of 31 May 2024 amending Regulation (EU) No 575/2013 as regards requirements for credit risk, credit valuation adjustment risk, operational risk, market risk and the output floor (OJ L, 19.6.2024, ELI: </w:t>
      </w:r>
      <w:hyperlink r:id="rId1" w:tgtFrame="_blank" w:tooltip="Gives access to this document through its ELI URI." w:history="1">
        <w:r w:rsidRPr="003B5B26">
          <w:t>http://data.europa.eu/eli/reg/2024/1623/oj</w:t>
        </w:r>
      </w:hyperlink>
      <w:r w:rsidRPr="003B5B26">
        <w:t>).</w:t>
      </w:r>
    </w:p>
  </w:footnote>
  <w:footnote w:id="5">
    <w:p w:rsidR="00716EA9" w:rsidRPr="00635B40" w:rsidRDefault="00716EA9" w:rsidP="00716EA9">
      <w:pPr>
        <w:pStyle w:val="FootnoteText"/>
      </w:pPr>
      <w:r w:rsidRPr="00E91CD0">
        <w:rPr>
          <w:rStyle w:val="FootnoteReference"/>
        </w:rPr>
        <w:footnoteRef/>
      </w:r>
      <w:r w:rsidR="00E91CD0">
        <w:tab/>
      </w:r>
      <w:r w:rsidRPr="00AD0EA1">
        <w:t>Regulation (EU) No 1093/2010 of the European Parliament and of the Council of 24 November 2010 establishing a European Supervisory Authority (European Banking Authority), amending Decision No 716/2009/EC and repealing Commission Decision 2009/78/EC (OJ L 331, 15.12.2010, p. 12</w:t>
      </w:r>
      <w:r w:rsidR="00414772">
        <w:t>,</w:t>
      </w:r>
      <w:r w:rsidR="00414772" w:rsidRPr="00414772">
        <w:t xml:space="preserve"> ELI: http://data.europa.eu/eli/reg/2010/1093/oj</w:t>
      </w:r>
      <w:r w:rsidRPr="00AD0EA1">
        <w:t>).</w:t>
      </w:r>
    </w:p>
  </w:footnote>
  <w:footnote w:id="6">
    <w:p w:rsidR="00716EA9" w:rsidRPr="001222BC" w:rsidRDefault="00716EA9" w:rsidP="00716EA9">
      <w:pPr>
        <w:pStyle w:val="FootnoteText"/>
      </w:pPr>
      <w:r w:rsidRPr="00E91CD0">
        <w:rPr>
          <w:rStyle w:val="FootnoteReference"/>
        </w:rPr>
        <w:footnoteRef/>
      </w:r>
      <w:r w:rsidR="00E91CD0">
        <w:tab/>
      </w:r>
      <w:r w:rsidRPr="001222BC">
        <w:rPr>
          <w:color w:val="333333"/>
          <w:shd w:val="clear" w:color="auto" w:fill="FFFFFF"/>
        </w:rPr>
        <w:t>Directive 2013/36/EU of the European Parliament and of the Council of 26 June 2013 on access to the activity of credit institutions and the prudential supervision of credit institutions, amending Directive 2002/87/EC and repealing Directives 2006/48/EC and 2006/49/EC (OJ L 176, 27/06/2013, p. 338 ELI: </w:t>
      </w:r>
      <w:hyperlink r:id="rId2" w:tooltip="Gives access to this document through its ELI URI." w:history="1">
        <w:r w:rsidRPr="006D6639">
          <w:rPr>
            <w:color w:val="333333"/>
          </w:rPr>
          <w:t>http://data.europa.eu/eli/dir/2013/36/oj</w:t>
        </w:r>
      </w:hyperlink>
      <w:r w:rsidRPr="006D6639">
        <w:rPr>
          <w:color w:val="333333"/>
          <w:shd w:val="clear" w:color="auto" w:fill="FFFFFF"/>
        </w:rPr>
        <w:t>).</w:t>
      </w:r>
    </w:p>
  </w:footnote>
  <w:footnote w:id="7">
    <w:p w:rsidR="00716EA9" w:rsidRPr="001222BC" w:rsidRDefault="00716EA9" w:rsidP="00716EA9">
      <w:pPr>
        <w:pStyle w:val="FootnoteText"/>
      </w:pPr>
      <w:r w:rsidRPr="00E91CD0">
        <w:rPr>
          <w:rStyle w:val="FootnoteReference"/>
        </w:rPr>
        <w:footnoteRef/>
      </w:r>
      <w:r w:rsidR="00E91CD0">
        <w:tab/>
      </w:r>
      <w:r w:rsidRPr="001222BC">
        <w:rPr>
          <w:color w:val="333333"/>
          <w:shd w:val="clear" w:color="auto" w:fill="FFFFFF"/>
        </w:rPr>
        <w:t xml:space="preserve">Directive (EU) 2019/2034 </w:t>
      </w:r>
      <w:bookmarkStart w:id="1" w:name="_Hlk172136107"/>
      <w:r w:rsidRPr="001222BC">
        <w:rPr>
          <w:color w:val="333333"/>
          <w:shd w:val="clear" w:color="auto" w:fill="FFFFFF"/>
        </w:rPr>
        <w:t xml:space="preserve">of the European Parliament and of the Council </w:t>
      </w:r>
      <w:bookmarkEnd w:id="1"/>
      <w:r w:rsidRPr="001222BC">
        <w:rPr>
          <w:color w:val="333333"/>
          <w:shd w:val="clear" w:color="auto" w:fill="FFFFFF"/>
        </w:rPr>
        <w:t xml:space="preserve">of 27 November 2019 on the prudential supervision of investment firms and amending Directives 2002/87/EC, 2009/65/EC, 2011/61/EU, 2013/36/EU, 2014/59/EU and 2014/65/EU </w:t>
      </w:r>
      <w:r>
        <w:rPr>
          <w:color w:val="333333"/>
          <w:shd w:val="clear" w:color="auto" w:fill="FFFFFF"/>
        </w:rPr>
        <w:t>(</w:t>
      </w:r>
      <w:r w:rsidRPr="006D6639">
        <w:t xml:space="preserve">OJ L 314, 5.12.2019, p. 64, </w:t>
      </w:r>
      <w:r w:rsidRPr="001222BC">
        <w:rPr>
          <w:color w:val="333333"/>
          <w:shd w:val="clear" w:color="auto" w:fill="FFFFFF"/>
        </w:rPr>
        <w:t>ELI: </w:t>
      </w:r>
      <w:hyperlink r:id="rId3" w:tooltip="Gives access to this document through its ELI URI." w:history="1">
        <w:r w:rsidRPr="001222BC">
          <w:rPr>
            <w:color w:val="333333"/>
          </w:rPr>
          <w:t>http://data.europa.eu/eli/dir/2019/2034/oj</w:t>
        </w:r>
      </w:hyperlink>
      <w:r w:rsidRPr="001222BC">
        <w:rPr>
          <w:color w:val="333333"/>
          <w:shd w:val="clear" w:color="auto" w:fill="FFFFFF"/>
        </w:rPr>
        <w:t>)</w:t>
      </w:r>
      <w:r>
        <w:rPr>
          <w:color w:val="333333"/>
          <w:shd w:val="clear" w:color="auto" w:fill="FFFFFF"/>
        </w:rPr>
        <w:t>.</w:t>
      </w:r>
    </w:p>
  </w:footnote>
  <w:footnote w:id="8">
    <w:p w:rsidR="00797855" w:rsidRPr="00797855" w:rsidRDefault="00797855" w:rsidP="00C856B2">
      <w:pPr>
        <w:pStyle w:val="FootnoteText"/>
        <w:rPr>
          <w:lang w:val="en-US"/>
        </w:rPr>
      </w:pPr>
      <w:r w:rsidRPr="00C567C8">
        <w:rPr>
          <w:rStyle w:val="FootnoteReference"/>
        </w:rPr>
        <w:footnoteRef/>
      </w:r>
      <w:r w:rsidR="00C856B2" w:rsidRPr="00C567C8">
        <w:tab/>
      </w:r>
      <w:r w:rsidRPr="00C567C8">
        <w:rPr>
          <w:lang w:val="en-US"/>
        </w:rPr>
        <w:t>Commission Delegated Regulation (EU) 2016/101 of 26 October 2015 supplementing Regulation (EU) No 575/2013 of the European Parliament and of the Council with regard to regulatory technical standards for prudent valuation under Article 105(14) (OJ L 21, 28.1.2016, p. 54, ELI: http://data.europa.eu/eli/reg_del/2016/101/oj).</w:t>
      </w:r>
    </w:p>
  </w:footnote>
  <w:footnote w:id="9">
    <w:p w:rsidR="00716EA9" w:rsidRPr="00745490" w:rsidRDefault="00716EA9" w:rsidP="00716EA9">
      <w:pPr>
        <w:pStyle w:val="FootnoteText"/>
      </w:pPr>
      <w:r w:rsidRPr="00E91CD0">
        <w:rPr>
          <w:rStyle w:val="FootnoteReference"/>
        </w:rPr>
        <w:footnoteRef/>
      </w:r>
      <w:r w:rsidR="00E91CD0">
        <w:tab/>
      </w:r>
      <w:r w:rsidRPr="00745490">
        <w:rPr>
          <w:color w:val="333333"/>
          <w:shd w:val="clear" w:color="auto" w:fill="FFFFFF"/>
        </w:rPr>
        <w:t>Regulation (EC) No 1606/2002 of the European Parliament and of the Council of 19 July 2002 on the application of international accounting standards (OJ L 243, 11/09/2002, p. 1, ELI: </w:t>
      </w:r>
      <w:r w:rsidR="007A521E" w:rsidRPr="007A521E">
        <w:rPr>
          <w:shd w:val="clear" w:color="auto" w:fill="FFFFFF"/>
        </w:rPr>
        <w:t>http://data.europa.eu/eli/reg/2002/1606/oj</w:t>
      </w:r>
      <w:r w:rsidRPr="00745490">
        <w:t>).</w:t>
      </w:r>
    </w:p>
  </w:footnote>
  <w:footnote w:id="10">
    <w:p w:rsidR="00745A2E" w:rsidRPr="00745A2E" w:rsidRDefault="00745A2E" w:rsidP="00C856B2">
      <w:pPr>
        <w:pStyle w:val="FootnoteText"/>
        <w:rPr>
          <w:lang w:val="en-US"/>
        </w:rPr>
      </w:pPr>
      <w:r w:rsidRPr="00C567C8">
        <w:rPr>
          <w:rStyle w:val="FootnoteReference"/>
        </w:rPr>
        <w:footnoteRef/>
      </w:r>
      <w:r w:rsidR="00C856B2" w:rsidRPr="00C567C8">
        <w:tab/>
      </w:r>
      <w:r w:rsidRPr="00C567C8">
        <w:rPr>
          <w:lang w:val="en-US"/>
        </w:rPr>
        <w:t>Directive 2009/65/EC of the European Parliament and of the Council of 13 July 2009 on the coordination of laws, regulations and administrative provisions relating to undertakings for collective investment in transferable securities (UCITS) (recast) (OJ L 302, 17.11.2009, p. 32, ELI: http://data.europa.eu/eli/dir/2009/65/oj).</w:t>
      </w:r>
    </w:p>
  </w:footnote>
  <w:footnote w:id="11">
    <w:p w:rsidR="00AB5213" w:rsidRPr="009F43FA" w:rsidRDefault="00AB5213" w:rsidP="00AB5213">
      <w:pPr>
        <w:pStyle w:val="FootnoteText"/>
      </w:pPr>
      <w:r w:rsidRPr="00E91CD0">
        <w:rPr>
          <w:rStyle w:val="FootnoteReference"/>
        </w:rPr>
        <w:footnoteRef/>
      </w:r>
      <w:r>
        <w:tab/>
      </w:r>
      <w:r w:rsidRPr="009F43FA">
        <w:rPr>
          <w:color w:val="333333"/>
          <w:shd w:val="clear" w:color="auto" w:fill="FFFFFF"/>
        </w:rPr>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w:t>
      </w:r>
      <w:r w:rsidRPr="00343CCC">
        <w:rPr>
          <w:rStyle w:val="Emphasis"/>
          <w:i w:val="0"/>
          <w:iCs w:val="0"/>
          <w:color w:val="333333"/>
          <w:shd w:val="clear" w:color="auto" w:fill="FFFFFF"/>
        </w:rPr>
        <w:t>OJ L 225, 30.7.2014, p. 1,</w:t>
      </w:r>
      <w:r w:rsidRPr="009F43FA">
        <w:rPr>
          <w:rStyle w:val="Emphasis"/>
          <w:color w:val="333333"/>
          <w:shd w:val="clear" w:color="auto" w:fill="FFFFFF"/>
        </w:rPr>
        <w:t xml:space="preserve"> </w:t>
      </w:r>
      <w:r w:rsidRPr="009F43FA">
        <w:rPr>
          <w:color w:val="333333"/>
          <w:shd w:val="clear" w:color="auto" w:fill="FFFFFF"/>
        </w:rPr>
        <w:t>ELI: </w:t>
      </w:r>
      <w:r w:rsidR="007A521E" w:rsidRPr="007A521E">
        <w:rPr>
          <w:shd w:val="clear" w:color="auto" w:fill="FFFFFF"/>
        </w:rPr>
        <w:t>http://data.europa.eu/eli/reg/2014/806/oj</w:t>
      </w:r>
      <w:r w:rsidRPr="009F43F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1B" w:rsidRDefault="000F2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61B" w:rsidRDefault="000F2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9:24"/>
    <w:docVar w:name="DQCResult_Distribution" w:val="0;0"/>
    <w:docVar w:name="DQCResult_DocumentContent" w:val="0;0"/>
    <w:docVar w:name="DQCResult_DocumentSize"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RRIGENDUM" w:val="&lt;UNUSED&gt;"/>
    <w:docVar w:name="LW_COVERPAGE_EXISTS" w:val="True"/>
    <w:docVar w:name="LW_COVERPAGE_GUID" w:val="4179AABC-4989-467E-8CE0-DB1EC9762010"/>
    <w:docVar w:name="LW_COVERPAGE_TYPE" w:val="1"/>
    <w:docVar w:name="LW_CROSSREFERENCE" w:val="&lt;UNUSED&gt;"/>
    <w:docVar w:name="LW_DATE.ADOPT.CP" w:val="of 29.11.2024"/>
    <w:docVar w:name="LW_DATE.ADOPT.CP_DATEFORMAT" w:val="of %DATE%"/>
    <w:docVar w:name="LW_DATE.ADOPT.CP_ISODATE" w:val="2024-11-29"/>
    <w:docVar w:name="LW_DocType" w:val="COM"/>
    <w:docVar w:name="LW_EMISSION" w:val="29.11.2024"/>
    <w:docVar w:name="LW_EMISSION_ISODATE" w:val="2024-11-29"/>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Regulation (EU) No 575/2013 of the European Parliament and of the Council with regard to supervisory reporting of institutions and repealing Commission Implementing Regulation (EU) 2021/451"/>
    <w:docVar w:name="LW_TYPE.DOC.CP" w:val="COMMISSION IMPLEMENTING REGULATION (EU) \u8230?/..."/>
    <w:docVar w:name="LwApiVersions" w:val="LW4CoDe 1.24.5.0; LW 9.0, Build 20240221"/>
  </w:docVars>
  <w:rsids>
    <w:rsidRoot w:val="00185C9B"/>
    <w:rsid w:val="00003FD2"/>
    <w:rsid w:val="000056CB"/>
    <w:rsid w:val="000101DC"/>
    <w:rsid w:val="0001201C"/>
    <w:rsid w:val="00014616"/>
    <w:rsid w:val="00015D48"/>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261B"/>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18AF"/>
    <w:rsid w:val="00414772"/>
    <w:rsid w:val="004243AB"/>
    <w:rsid w:val="00425E7F"/>
    <w:rsid w:val="00431A8F"/>
    <w:rsid w:val="00433221"/>
    <w:rsid w:val="00437AA5"/>
    <w:rsid w:val="004411FE"/>
    <w:rsid w:val="00442C8E"/>
    <w:rsid w:val="00445295"/>
    <w:rsid w:val="00445F3E"/>
    <w:rsid w:val="00450B31"/>
    <w:rsid w:val="004534F7"/>
    <w:rsid w:val="004551DB"/>
    <w:rsid w:val="004579F2"/>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463F"/>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D53B1"/>
    <w:rsid w:val="005E47FE"/>
    <w:rsid w:val="005E56B3"/>
    <w:rsid w:val="005E59CA"/>
    <w:rsid w:val="005F0C68"/>
    <w:rsid w:val="005F0F00"/>
    <w:rsid w:val="005F5679"/>
    <w:rsid w:val="00601584"/>
    <w:rsid w:val="00604792"/>
    <w:rsid w:val="00615C62"/>
    <w:rsid w:val="0061653D"/>
    <w:rsid w:val="00622A7E"/>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1FB2"/>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77977"/>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5041"/>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82529"/>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86EB6"/>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35F3E"/>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CF7613"/>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B07CA"/>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2CA6"/>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lang w:val="en-US"/>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val="en-IE"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lang w:val="en-GB"/>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en-GB"/>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0F261B"/>
    <w:rPr>
      <w:rFonts w:ascii="Times New Roman" w:hAnsi="Times New Roman" w:cs="Times New Roman"/>
      <w:sz w:val="24"/>
      <w:lang w:val="en-GB"/>
    </w:rPr>
  </w:style>
  <w:style w:type="character" w:customStyle="1" w:styleId="FooterChar">
    <w:name w:val="Footer Char"/>
    <w:basedOn w:val="DefaultParagraphFont"/>
    <w:link w:val="Footer"/>
    <w:uiPriority w:val="99"/>
    <w:rsid w:val="000F261B"/>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F261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F261B"/>
    <w:pPr>
      <w:spacing w:before="0"/>
      <w:jc w:val="right"/>
    </w:pPr>
    <w:rPr>
      <w:sz w:val="28"/>
    </w:rPr>
  </w:style>
  <w:style w:type="paragraph" w:customStyle="1" w:styleId="FooterSensitivity">
    <w:name w:val="Footer Sensitivity"/>
    <w:basedOn w:val="Normal"/>
    <w:rsid w:val="000F261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F261B"/>
    <w:pPr>
      <w:tabs>
        <w:tab w:val="center" w:pos="4535"/>
        <w:tab w:val="right" w:pos="9071"/>
      </w:tabs>
      <w:spacing w:before="0"/>
    </w:pPr>
  </w:style>
  <w:style w:type="paragraph" w:customStyle="1" w:styleId="HeaderLandscape">
    <w:name w:val="HeaderLandscape"/>
    <w:basedOn w:val="Normal"/>
    <w:rsid w:val="000F261B"/>
    <w:pPr>
      <w:tabs>
        <w:tab w:val="center" w:pos="7285"/>
        <w:tab w:val="right" w:pos="14003"/>
      </w:tabs>
      <w:spacing w:before="0"/>
    </w:pPr>
  </w:style>
  <w:style w:type="paragraph" w:styleId="Footer">
    <w:name w:val="footer"/>
    <w:basedOn w:val="Normal"/>
    <w:link w:val="FooterChar"/>
    <w:uiPriority w:val="99"/>
    <w:unhideWhenUsed/>
    <w:rsid w:val="000F261B"/>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F261B"/>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ublications.europa.eu/resource/cellar/46007320-14fd-11ee-806b-01aa75ed71a1.0017.02/DOC_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E40438E1-7793-4D66-988E-DA0BF2F9CAF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33</TotalTime>
  <Pages>16</Pages>
  <Words>7679</Words>
  <Characters>43774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51351</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31</cp:revision>
  <dcterms:created xsi:type="dcterms:W3CDTF">2024-11-08T11:56:00Z</dcterms:created>
  <dcterms:modified xsi:type="dcterms:W3CDTF">2024-12-03T15:49:00Z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