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1A12EA" w:rsidRDefault="00215886" w:rsidP="00215886">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67EF91C3-064A-4338-B830-DEC5AAFDDB33" style="width:455.25pt;height:426pt">
            <v:imagedata r:id="rId11" o:title=""/>
          </v:shape>
        </w:pict>
      </w:r>
    </w:p>
    <w:p w:rsidR="0050796F" w:rsidRPr="001A12EA" w:rsidRDefault="0050796F">
      <w:pPr>
        <w:rPr>
          <w:noProof/>
        </w:rPr>
        <w:sectPr w:rsidR="0050796F" w:rsidRPr="001A12EA" w:rsidSect="00215886">
          <w:footerReference w:type="even" r:id="rId12"/>
          <w:footerReference w:type="default" r:id="rId13"/>
          <w:pgSz w:w="11907" w:h="16839"/>
          <w:pgMar w:top="1134" w:right="1417" w:bottom="1134" w:left="1417" w:header="709" w:footer="709" w:gutter="0"/>
          <w:pgNumType w:start="0"/>
          <w:cols w:space="720"/>
          <w:docGrid w:linePitch="360"/>
        </w:sectPr>
      </w:pPr>
    </w:p>
    <w:p w:rsidR="0050796F" w:rsidRPr="001A12EA" w:rsidRDefault="001A12EA" w:rsidP="001A12EA">
      <w:pPr>
        <w:pStyle w:val="Typedudocument"/>
        <w:rPr>
          <w:noProof/>
        </w:rPr>
      </w:pPr>
      <w:bookmarkStart w:id="0" w:name="_GoBack"/>
      <w:bookmarkEnd w:id="0"/>
      <w:r w:rsidRPr="001A12EA">
        <w:rPr>
          <w:noProof/>
        </w:rPr>
        <w:lastRenderedPageBreak/>
        <w:t>РЕГЛАМЕНТ ЗА ИЗПЪЛНЕНИЕ (ЕС) .../… НА КОМИСИЯТА</w:t>
      </w:r>
    </w:p>
    <w:p w:rsidR="0050796F" w:rsidRPr="001A12EA" w:rsidRDefault="00C2077C" w:rsidP="001A12EA">
      <w:pPr>
        <w:pStyle w:val="Datedadoption"/>
        <w:rPr>
          <w:noProof/>
        </w:rPr>
      </w:pPr>
      <w:r>
        <w:rPr>
          <w:noProof/>
        </w:rPr>
        <w:t>от 29.11.2024 година</w:t>
      </w:r>
    </w:p>
    <w:p w:rsidR="0050796F" w:rsidRPr="001A12EA" w:rsidRDefault="001A12EA" w:rsidP="001A12EA">
      <w:pPr>
        <w:pStyle w:val="Titreobjet"/>
        <w:rPr>
          <w:noProof/>
        </w:rPr>
      </w:pPr>
      <w:r w:rsidRPr="001A12EA">
        <w:rPr>
          <w:noProof/>
        </w:rPr>
        <w:t>за определяне на технически стандарти за изпълнение за прилагането на Регламент (ЕС) № 575/2013 на Европейския парламент и на Съвета по отношение на публичното оповестяване от страна на институциите на информацията, посочена в осма част, дялове II и III от посочения регламент, и за отмяна на Регламент за изпълнение (ЕС) 2021/637 на Комисията</w:t>
      </w:r>
    </w:p>
    <w:p w:rsidR="0050796F" w:rsidRPr="001A12EA" w:rsidRDefault="001A12EA" w:rsidP="001A12EA">
      <w:pPr>
        <w:pStyle w:val="IntrtEEE"/>
        <w:rPr>
          <w:noProof/>
        </w:rPr>
      </w:pPr>
      <w:r w:rsidRPr="001A12EA">
        <w:rPr>
          <w:noProof/>
        </w:rPr>
        <w:t>(текст от значение за ЕИП)</w:t>
      </w:r>
    </w:p>
    <w:p w:rsidR="0050796F" w:rsidRPr="001A12EA" w:rsidRDefault="0050796F">
      <w:pPr>
        <w:pStyle w:val="Institutionquiagit"/>
        <w:rPr>
          <w:noProof/>
        </w:rPr>
      </w:pPr>
      <w:r w:rsidRPr="001A12EA">
        <w:rPr>
          <w:noProof/>
        </w:rPr>
        <w:t>ЕВРОПЕЙСКАТА КОМИСИЯ,</w:t>
      </w:r>
    </w:p>
    <w:p w:rsidR="0050796F" w:rsidRPr="001A12EA" w:rsidRDefault="0050796F">
      <w:pPr>
        <w:rPr>
          <w:noProof/>
        </w:rPr>
      </w:pPr>
      <w:r w:rsidRPr="001A12EA">
        <w:rPr>
          <w:noProof/>
        </w:rPr>
        <w:t>като взе предвид Договора за функционирането на Европейския съюз,</w:t>
      </w:r>
    </w:p>
    <w:p w:rsidR="000A5D79" w:rsidRPr="001A12EA" w:rsidRDefault="000A5D79" w:rsidP="000A5D79">
      <w:pPr>
        <w:rPr>
          <w:noProof/>
        </w:rPr>
      </w:pPr>
      <w:r w:rsidRPr="001A12EA">
        <w:rPr>
          <w:noProof/>
        </w:rPr>
        <w:t>като взе предвид Регламент (ЕС) № 575/2013 на Европейския парламент и на Съвета от 26 юни 2013 г. относно пруденциалните изисквания за кредитните институции и за изменение на Регламент (ЕС) № 648/2012</w:t>
      </w:r>
      <w:r w:rsidRPr="001A12EA">
        <w:rPr>
          <w:rStyle w:val="FootnoteReference"/>
          <w:noProof/>
        </w:rPr>
        <w:footnoteReference w:id="2"/>
      </w:r>
      <w:r w:rsidRPr="001A12EA">
        <w:rPr>
          <w:noProof/>
        </w:rPr>
        <w:t>, и по-специално член 434а, пета алинея от него,</w:t>
      </w:r>
    </w:p>
    <w:p w:rsidR="0050796F" w:rsidRPr="001A12EA" w:rsidRDefault="0050796F">
      <w:pPr>
        <w:rPr>
          <w:noProof/>
        </w:rPr>
      </w:pPr>
      <w:r w:rsidRPr="001A12EA">
        <w:rPr>
          <w:noProof/>
        </w:rPr>
        <w:t>като има предвид, че:</w:t>
      </w:r>
    </w:p>
    <w:p w:rsidR="00021AB3" w:rsidRPr="001A12EA" w:rsidRDefault="00135406" w:rsidP="00135406">
      <w:pPr>
        <w:pStyle w:val="ManualConsidrant"/>
        <w:rPr>
          <w:noProof/>
        </w:rPr>
      </w:pPr>
      <w:r w:rsidRPr="00135406">
        <w:rPr>
          <w:noProof/>
        </w:rPr>
        <w:t>(1)</w:t>
      </w:r>
      <w:r w:rsidRPr="00135406">
        <w:rPr>
          <w:noProof/>
        </w:rPr>
        <w:tab/>
      </w:r>
      <w:r w:rsidR="00021AB3" w:rsidRPr="001A12EA">
        <w:rPr>
          <w:noProof/>
        </w:rPr>
        <w:t>С Регламент за изпълнение (ЕС) 2021/637 на Комисията</w:t>
      </w:r>
      <w:r w:rsidR="00021AB3" w:rsidRPr="001A12EA">
        <w:rPr>
          <w:rStyle w:val="FootnoteReference"/>
          <w:noProof/>
        </w:rPr>
        <w:footnoteReference w:id="3"/>
      </w:r>
      <w:r w:rsidR="00021AB3" w:rsidRPr="001A12EA">
        <w:rPr>
          <w:noProof/>
        </w:rPr>
        <w:t xml:space="preserve"> бяха определени единни формати за оповестяването, за да се осигури единно прилагане на Регламент (ЕС) № 575/2013. С Регламент (ЕС) 2024/1623 на Европейския парламент и на Съвета</w:t>
      </w:r>
      <w:r w:rsidR="00021AB3" w:rsidRPr="001A12EA">
        <w:rPr>
          <w:rStyle w:val="FootnoteReference"/>
          <w:noProof/>
        </w:rPr>
        <w:footnoteReference w:id="4"/>
      </w:r>
      <w:r w:rsidR="00021AB3" w:rsidRPr="001A12EA">
        <w:rPr>
          <w:noProof/>
        </w:rPr>
        <w:t xml:space="preserve">  бе изменен Регламент (ЕС) № 575/2013 с цел включване на международните стандарти на Базелския комитет по банков надзор (БКБН), съдържащи се в третата Международна нормативна уредба за банките (наричана „Базел III“). Тези международни стандарти съдържат стандарти за оповестяването на информация за пруденциални цели, чието предназначение е повишаване на прозрачността и съгласуваността в областта на пруденциалните изисквания за кредитните институции. Затова е необходимо да се изменят правилата за единните формати за оповестяването, така че да се отразят посочените промени в изискванията, свързани със задълженията за оповестяване. </w:t>
      </w:r>
    </w:p>
    <w:p w:rsidR="000B02C7" w:rsidRPr="001A12EA" w:rsidRDefault="00135406" w:rsidP="00135406">
      <w:pPr>
        <w:pStyle w:val="ManualConsidrant"/>
        <w:rPr>
          <w:noProof/>
        </w:rPr>
      </w:pPr>
      <w:r w:rsidRPr="00135406">
        <w:rPr>
          <w:noProof/>
        </w:rPr>
        <w:t>(2)</w:t>
      </w:r>
      <w:r w:rsidRPr="00135406">
        <w:rPr>
          <w:noProof/>
        </w:rPr>
        <w:tab/>
      </w:r>
      <w:r w:rsidR="00374932" w:rsidRPr="001A12EA">
        <w:rPr>
          <w:noProof/>
        </w:rPr>
        <w:t xml:space="preserve">Когато институциите оповестяват информация за своите основни нормативни показатели, те следва да оповестяват своя наличен капитал, своите рисково претеглени активи, своя ливъридж, както и най-значимите показатели за ликвидност. </w:t>
      </w:r>
    </w:p>
    <w:p w:rsidR="009D26D8" w:rsidRPr="001A12EA" w:rsidRDefault="00135406" w:rsidP="00135406">
      <w:pPr>
        <w:pStyle w:val="ManualConsidrant"/>
        <w:rPr>
          <w:noProof/>
        </w:rPr>
      </w:pPr>
      <w:r w:rsidRPr="00135406">
        <w:rPr>
          <w:noProof/>
        </w:rPr>
        <w:t>(3)</w:t>
      </w:r>
      <w:r w:rsidRPr="00135406">
        <w:rPr>
          <w:noProof/>
        </w:rPr>
        <w:tab/>
      </w:r>
      <w:r w:rsidR="0021307C" w:rsidRPr="001A12EA">
        <w:rPr>
          <w:noProof/>
        </w:rPr>
        <w:t xml:space="preserve">За да могат да поемат загуби при положение на действащо предприятие или на недействащо предприятие, институциите имат потребност от собствен капитал в достатъчно количество и с достатъчно качество съгласно изискванията по член 92 от Регламент (ЕС) № 575/2013. Институциите следва да оповестяват информация за състава, количеството и качеството на своя собствен капитал, така че на заинтересованите страни да се даде възможност да оценяват способността на банките за поемане на загуби. </w:t>
      </w:r>
    </w:p>
    <w:p w:rsidR="008E4ACA" w:rsidRPr="001A12EA" w:rsidRDefault="00135406" w:rsidP="00135406">
      <w:pPr>
        <w:pStyle w:val="ManualConsidrant"/>
        <w:rPr>
          <w:noProof/>
        </w:rPr>
      </w:pPr>
      <w:r w:rsidRPr="00135406">
        <w:rPr>
          <w:noProof/>
        </w:rPr>
        <w:t>(4)</w:t>
      </w:r>
      <w:r w:rsidRPr="00135406">
        <w:rPr>
          <w:noProof/>
        </w:rPr>
        <w:tab/>
      </w:r>
      <w:r w:rsidR="001C319D" w:rsidRPr="001A12EA">
        <w:rPr>
          <w:noProof/>
        </w:rPr>
        <w:t>Оповестяването във връзка със спазването на изискването за антицикличен капиталов буфер следва да отразява факта, че предназначението на антицикличния капиталов буфер по дял VII, глава 4 от Директива 2013/36/ЕС на Европейския парламент и на Съвета</w:t>
      </w:r>
      <w:r w:rsidR="008B3F27" w:rsidRPr="001A12EA">
        <w:rPr>
          <w:rStyle w:val="FootnoteReference"/>
          <w:noProof/>
          <w:color w:val="000000"/>
        </w:rPr>
        <w:footnoteReference w:id="5"/>
      </w:r>
      <w:r w:rsidR="001C319D" w:rsidRPr="001A12EA">
        <w:rPr>
          <w:noProof/>
        </w:rPr>
        <w:t xml:space="preserve"> е да се гарантира, че капиталовите изисквания за банковия сектор са съобразени с макрофинансовата среда, в която работят кредитните институции. </w:t>
      </w:r>
    </w:p>
    <w:p w:rsidR="005246AE" w:rsidRPr="001A12EA" w:rsidRDefault="00135406" w:rsidP="00135406">
      <w:pPr>
        <w:pStyle w:val="ManualConsidrant"/>
        <w:rPr>
          <w:noProof/>
        </w:rPr>
      </w:pPr>
      <w:r w:rsidRPr="00135406">
        <w:rPr>
          <w:noProof/>
        </w:rPr>
        <w:t>(5)</w:t>
      </w:r>
      <w:r w:rsidRPr="00135406">
        <w:rPr>
          <w:noProof/>
        </w:rPr>
        <w:tab/>
      </w:r>
      <w:r w:rsidR="00230BAF" w:rsidRPr="001A12EA">
        <w:rPr>
          <w:noProof/>
        </w:rPr>
        <w:t xml:space="preserve">От решаващо значение е пазарът да има достъп до информация по въпроса дали дадена институция следва да се класифицира като </w:t>
      </w:r>
      <w:r w:rsidR="00230BAF" w:rsidRPr="001A12EA">
        <w:rPr>
          <w:noProof/>
          <w:color w:val="000000"/>
          <w:shd w:val="clear" w:color="auto" w:fill="FFFFFF"/>
        </w:rPr>
        <w:t>глобална системно значима институция (Г-СЗИ)</w:t>
      </w:r>
      <w:r w:rsidR="00230BAF" w:rsidRPr="001A12EA">
        <w:rPr>
          <w:noProof/>
        </w:rPr>
        <w:t>.</w:t>
      </w:r>
      <w:r w:rsidR="00230BAF" w:rsidRPr="001A12EA">
        <w:rPr>
          <w:noProof/>
          <w:color w:val="000000"/>
          <w:shd w:val="clear" w:color="auto" w:fill="FFFFFF"/>
        </w:rPr>
        <w:t xml:space="preserve"> Поради това институциите следва да оповестяват информация по въпроса дали са изпълнени показателите за значимост по член 131 от Директива 2013/36/ЕС. </w:t>
      </w:r>
    </w:p>
    <w:p w:rsidR="00AD2682" w:rsidRPr="001A12EA" w:rsidRDefault="00135406" w:rsidP="00135406">
      <w:pPr>
        <w:pStyle w:val="ManualConsidrant"/>
        <w:rPr>
          <w:noProof/>
        </w:rPr>
      </w:pPr>
      <w:r w:rsidRPr="00135406">
        <w:rPr>
          <w:noProof/>
        </w:rPr>
        <w:t>(6)</w:t>
      </w:r>
      <w:r w:rsidRPr="00135406">
        <w:rPr>
          <w:noProof/>
        </w:rPr>
        <w:tab/>
      </w:r>
      <w:r w:rsidR="001C319D" w:rsidRPr="001A12EA">
        <w:rPr>
          <w:noProof/>
        </w:rPr>
        <w:t xml:space="preserve">Следва да бъдат установени единни образци, за да се гарантира, че институциите оповестяват информация дали спазват изискванията за ликвидност, в т.ч. отношението на ликвидно покритие и отношението на нетно стабилно финансиране, по еднообразен и сравним начин. </w:t>
      </w:r>
    </w:p>
    <w:p w:rsidR="000A5D79" w:rsidRPr="001A12EA" w:rsidRDefault="00135406" w:rsidP="00135406">
      <w:pPr>
        <w:pStyle w:val="ManualConsidrant"/>
        <w:rPr>
          <w:noProof/>
          <w:szCs w:val="24"/>
        </w:rPr>
      </w:pPr>
      <w:r w:rsidRPr="00135406">
        <w:rPr>
          <w:noProof/>
        </w:rPr>
        <w:t>(7)</w:t>
      </w:r>
      <w:r w:rsidRPr="00135406">
        <w:rPr>
          <w:noProof/>
        </w:rPr>
        <w:tab/>
      </w:r>
      <w:r w:rsidR="00E07BF3" w:rsidRPr="001A12EA">
        <w:rPr>
          <w:noProof/>
        </w:rPr>
        <w:t>Необходимо е да се осигури логическа обвързаност и съгласуваност между задълженията за отчитане по Регламент (ЕС) № 575/2013 и задълженията по други законодателни актове на Съюза в областта на екологичните, социалните и управленските (ЕСУ) рискове, в частност Регламент (ЕС) 2020/852 на Европейския парламент и на Съвета</w:t>
      </w:r>
      <w:r w:rsidR="008E7046" w:rsidRPr="001A12EA">
        <w:rPr>
          <w:rStyle w:val="FootnoteReference"/>
          <w:noProof/>
          <w:szCs w:val="24"/>
        </w:rPr>
        <w:footnoteReference w:id="6"/>
      </w:r>
      <w:r w:rsidR="00E07BF3" w:rsidRPr="001A12EA">
        <w:rPr>
          <w:noProof/>
        </w:rPr>
        <w:t>. Затова правилата за оповестяване на тези рискове следва да бъдат съобразени с критериите, класификациите и определенията, установени в членове 2 и 3 от Регламент (ЕС) 2020/852. В частност, в тези правила следва да се вземат под внимание критериите за установяване и класифициране на екологично устойчивите икономически дейности, определени в Регламент (ЕС) 2020/852 на Европейския парламент и на Съвета и в Делегиран регламент (ЕС) 2020/1818 на Комисията</w:t>
      </w:r>
      <w:r w:rsidR="000A5D79" w:rsidRPr="001A12EA">
        <w:rPr>
          <w:rStyle w:val="FootnoteReference"/>
          <w:noProof/>
          <w:szCs w:val="24"/>
        </w:rPr>
        <w:footnoteReference w:id="7"/>
      </w:r>
      <w:r w:rsidR="00E07BF3" w:rsidRPr="001A12EA">
        <w:rPr>
          <w:noProof/>
        </w:rPr>
        <w:t>. По същата причина, когато институциите оповестяват информация за енергийните характеристики на своя портфейл от недвижими имоти, те следва да предоставят тази информация под формата на сертификат за енергийните характеристики съгласно определението в член 2, точка 12 от Директива 2010/31/ЕС на Европейския парламент и на Съвета</w:t>
      </w:r>
      <w:r w:rsidR="000A5D79" w:rsidRPr="001A12EA">
        <w:rPr>
          <w:rStyle w:val="FootnoteReference"/>
          <w:noProof/>
          <w:szCs w:val="24"/>
        </w:rPr>
        <w:footnoteReference w:id="8"/>
      </w:r>
      <w:r w:rsidR="00E07BF3" w:rsidRPr="001A12EA">
        <w:rPr>
          <w:noProof/>
        </w:rPr>
        <w:t xml:space="preserve">. </w:t>
      </w:r>
    </w:p>
    <w:p w:rsidR="000A5D79" w:rsidRPr="001A12EA" w:rsidRDefault="00135406" w:rsidP="00135406">
      <w:pPr>
        <w:pStyle w:val="ManualConsidrant"/>
        <w:rPr>
          <w:noProof/>
          <w:szCs w:val="24"/>
        </w:rPr>
      </w:pPr>
      <w:r w:rsidRPr="00135406">
        <w:rPr>
          <w:noProof/>
        </w:rPr>
        <w:t>(8)</w:t>
      </w:r>
      <w:r w:rsidRPr="00135406">
        <w:rPr>
          <w:noProof/>
        </w:rPr>
        <w:tab/>
      </w:r>
      <w:r w:rsidR="000A5D79" w:rsidRPr="001A12EA">
        <w:rPr>
          <w:noProof/>
        </w:rPr>
        <w:t>По силата на членове 19а и 29а от Директива 2013/34/ЕС на Европейския парламент и на Съвета</w:t>
      </w:r>
      <w:r w:rsidR="000A5D79" w:rsidRPr="001A12EA">
        <w:rPr>
          <w:rStyle w:val="FootnoteReference"/>
          <w:noProof/>
          <w:szCs w:val="24"/>
        </w:rPr>
        <w:footnoteReference w:id="9"/>
      </w:r>
      <w:r w:rsidR="000A5D79" w:rsidRPr="001A12EA">
        <w:rPr>
          <w:noProof/>
        </w:rPr>
        <w:t xml:space="preserve"> се изисква някои големи предприятия, които са предприятия от обществен интерес, или съответно предприятия от обществен интерес, които са предприятия – майки на голяма група, да включват в своя доклад на ръководството за дейността или в своя консолидиран доклад на ръководството за дейността информация относно въздействието на своята дейност върху екологичните и социалните въпроси и въпросите, свързани с наетите лица, зачитането на правата на човека, борбата с корупцията и подкупите. Това задължение обаче не се прилага за други предприятия. В резултат на това предприятията, които не са обхванати от членове 19а и 29а от Директива 2013/34/ЕС, не са задължени и може да не са в състояние да предоставят такава информация на институциите. Следователно от предприятията, които са контрагенти на институциите, може да се очаква да предоставят тази информация и данни само на доброволен принцип. </w:t>
      </w:r>
    </w:p>
    <w:p w:rsidR="003A1487" w:rsidRPr="001A12EA" w:rsidRDefault="00135406" w:rsidP="00135406">
      <w:pPr>
        <w:pStyle w:val="ManualConsidrant"/>
        <w:rPr>
          <w:noProof/>
          <w:color w:val="000000"/>
          <w:szCs w:val="24"/>
        </w:rPr>
      </w:pPr>
      <w:r w:rsidRPr="00135406">
        <w:rPr>
          <w:noProof/>
        </w:rPr>
        <w:t>(9)</w:t>
      </w:r>
      <w:r w:rsidRPr="00135406">
        <w:rPr>
          <w:noProof/>
        </w:rPr>
        <w:tab/>
      </w:r>
      <w:r w:rsidR="003A1487" w:rsidRPr="001A12EA">
        <w:rPr>
          <w:rStyle w:val="cf01"/>
          <w:rFonts w:ascii="Times New Roman" w:hAnsi="Times New Roman"/>
          <w:noProof/>
          <w:sz w:val="24"/>
        </w:rPr>
        <w:t>За да бъдат въведени стандартите по Базел III</w:t>
      </w:r>
      <w:r w:rsidR="003A1487" w:rsidRPr="001A12EA">
        <w:rPr>
          <w:noProof/>
        </w:rPr>
        <w:t xml:space="preserve">, </w:t>
      </w:r>
      <w:r w:rsidR="003A1487" w:rsidRPr="001A12EA">
        <w:rPr>
          <w:rStyle w:val="cf11"/>
          <w:rFonts w:ascii="Times New Roman" w:hAnsi="Times New Roman"/>
          <w:noProof/>
          <w:sz w:val="24"/>
        </w:rPr>
        <w:t>с Регламент (ЕС) 2024/1623 в член 92, параграф 3 от Регламент (ЕС) № 575/2013 бе въведена по-ниска долна граница за капиталовите изисквания въз основа на риска, изчислявани чрез вътрешни модели (наричана по-нататък „долна граница“), която е равна на процент от капиталовите изисквания, които биха се прилагали, ако се използваха стандартизирани подходи</w:t>
      </w:r>
      <w:r w:rsidR="003A1487" w:rsidRPr="001A12EA">
        <w:rPr>
          <w:noProof/>
        </w:rPr>
        <w:t>.</w:t>
      </w:r>
      <w:r w:rsidR="003A1487" w:rsidRPr="001A12EA">
        <w:rPr>
          <w:rStyle w:val="cf11"/>
          <w:rFonts w:ascii="Times New Roman" w:hAnsi="Times New Roman"/>
          <w:noProof/>
          <w:sz w:val="24"/>
        </w:rPr>
        <w:t xml:space="preserve"> Ето защо е целесъобразно промените да се отразят в съответните образци за оповестяване. Освен това, за да се осигури сравнение между капиталовите отношения (съотношения), изчислявани по стандартизирания подход и подхода на вътрешния модел, по равнището на риска и по класове експозиции за кредитния риск, следва да бъдат въведени два нови образеца.</w:t>
      </w:r>
      <w:r w:rsidR="003A1487" w:rsidRPr="001A12EA">
        <w:rPr>
          <w:noProof/>
          <w:color w:val="000000"/>
        </w:rPr>
        <w:t xml:space="preserve"> </w:t>
      </w:r>
    </w:p>
    <w:p w:rsidR="000A5D79" w:rsidRPr="001A12EA" w:rsidRDefault="00135406" w:rsidP="00135406">
      <w:pPr>
        <w:pStyle w:val="ManualConsidrant"/>
        <w:rPr>
          <w:noProof/>
          <w:color w:val="000000"/>
        </w:rPr>
      </w:pPr>
      <w:r w:rsidRPr="00135406">
        <w:rPr>
          <w:noProof/>
        </w:rPr>
        <w:t>(10)</w:t>
      </w:r>
      <w:r w:rsidRPr="00135406">
        <w:rPr>
          <w:noProof/>
        </w:rPr>
        <w:tab/>
      </w:r>
      <w:r w:rsidR="000A5D79" w:rsidRPr="001A12EA">
        <w:rPr>
          <w:noProof/>
        </w:rPr>
        <w:t xml:space="preserve">Във връзка с използването на стандартизирания подход (СП) за кредитния риск, с Регламент (ЕС) 2024/1623 в дял II, глава 2 от Регламент (ЕС) № 575/2013 бе въведено по-подробно определяне на рисковите тегла за различните експозиции, в т.ч. експозициите към институции, експозициите към предприятия, експозициите по специализирано кредитиране, експозициите на дребно, обезпечените с недвижим имот експозиции, експозициите по подчинен дълг, експозициите по капиталови инструменти и експозициите в неизпълнение. Необходимо е тези промени да се отразят в образците за оповестяване, а номерацията на редовете в тези образци да се уеднакви с използваната в съответните образци за оповестяване на БКБН. </w:t>
      </w:r>
    </w:p>
    <w:p w:rsidR="000A5D79" w:rsidRPr="001A12EA" w:rsidRDefault="00135406" w:rsidP="00135406">
      <w:pPr>
        <w:pStyle w:val="ManualConsidrant"/>
        <w:rPr>
          <w:noProof/>
          <w:color w:val="000000"/>
        </w:rPr>
      </w:pPr>
      <w:r w:rsidRPr="00135406">
        <w:rPr>
          <w:noProof/>
        </w:rPr>
        <w:t>(11)</w:t>
      </w:r>
      <w:r w:rsidRPr="00135406">
        <w:rPr>
          <w:noProof/>
        </w:rPr>
        <w:tab/>
      </w:r>
      <w:r w:rsidR="009E6EC8" w:rsidRPr="001A12EA">
        <w:rPr>
          <w:noProof/>
        </w:rPr>
        <w:t xml:space="preserve">С Регламент (ЕС) 2024/1623 в дял II, глава 3 от Регламент (ЕС) № 575/2013 бяха въведени – във връзка с използването на вътрешнорейтинговия подход (ВРП) за експозициите към кредитен риск – ограничения на класовете експозиции, за които може да се използва усъвършенстваният ВРП (УВРП) с цел изчисляване на капиталовите изисквания за кредитния риск. По-конкретно, за експозициите към институции сега може да се използва само базисният ВРП (БВРП), а за експозициите към капиталови инструменти – само стандартизираният подход, освен през преходния период. Освен това бяха създадени нови класове експозиции за „регионалните правителства или местните органи на властта“ и за „субектите от публичния сектор“, за да се осигури съгласувано третиране на тези експозиции и да се предотврати нежеланата променливост на съответните капиталови изисквания. Тези изменения следва да бъдат отразени в образците за оповестяване по отношение на използването на ВРП. Също така е необходимо структурата на образеца „Ефект на кредитните деривати, използвани като техники за редуциране на кредитния риск, върху рисково претеглените размери на експозициите“ да бъде уеднаквена спрямо номерацията на редовете, използвана в съответния образец за оповестяване на БКБН. </w:t>
      </w:r>
    </w:p>
    <w:p w:rsidR="000A5D79" w:rsidRPr="001A12EA" w:rsidRDefault="00135406" w:rsidP="00135406">
      <w:pPr>
        <w:pStyle w:val="ManualConsidrant"/>
        <w:rPr>
          <w:noProof/>
          <w:sz w:val="22"/>
        </w:rPr>
      </w:pPr>
      <w:r w:rsidRPr="00135406">
        <w:rPr>
          <w:noProof/>
        </w:rPr>
        <w:t>(12)</w:t>
      </w:r>
      <w:r w:rsidRPr="00135406">
        <w:rPr>
          <w:noProof/>
        </w:rPr>
        <w:tab/>
      </w:r>
      <w:r w:rsidR="00E365AC" w:rsidRPr="001A12EA">
        <w:rPr>
          <w:noProof/>
        </w:rPr>
        <w:t>С Регламент (ЕС) 2024/1623 в дял IV от Регламент (ЕС) № 575/2013 бе въведена нова уредба за изчисляване на капиталовите изисквания за пазарния риск въз основа на издадения от БКБН „Основен преглед на търговския портфейл“.</w:t>
      </w:r>
      <w:r w:rsidR="00E365AC" w:rsidRPr="001A12EA">
        <w:rPr>
          <w:noProof/>
          <w:color w:val="000000" w:themeColor="text1"/>
        </w:rPr>
        <w:t xml:space="preserve"> Това изменение бе необходимо с цел преодоляване на недостатъците, установени в сегашната уредба за капиталовите изисквания за пазарния риск по отношение на позициите в търговския портфейл. В съответствие с новата уредба институциите трябва да прилагат опростен стандартизиран подход, алтернативен стандартизиран подход или алтернативен подход на вътрешните модели, за да изчисляват капиталовите изисквания за пазарния риск. Тези изменения следва да бъдат отразени в образците за оповестяване чрез въвеждане на пълен набор от таблици и образци за оповестяване. Този нов набор от таблици и образци за оповестяване следва да влезе в действие, когато нормативната уредба за пазарния риск въз основа на издадения от БКБН „Основен преглед на търговския портфейл“ започне да се прилага в Съюза. Дотогава следва да продължи прилагането на приложимите към настоящия момент изисквания за оповестяване. За да се осигури цялостно разбиране за използването на новия подход, институциите, които използват алтернативния подход на вътрешните модели, следва да оповестяват – към датата на прилагане на новата уредба за оповестяването за първи път – количествената информация заедно с качествената информация. </w:t>
      </w:r>
    </w:p>
    <w:p w:rsidR="000A5D79" w:rsidRPr="001A12EA" w:rsidRDefault="00135406" w:rsidP="00135406">
      <w:pPr>
        <w:pStyle w:val="ManualConsidrant"/>
        <w:rPr>
          <w:noProof/>
        </w:rPr>
      </w:pPr>
      <w:r w:rsidRPr="00135406">
        <w:rPr>
          <w:noProof/>
        </w:rPr>
        <w:t>(13)</w:t>
      </w:r>
      <w:r w:rsidRPr="00135406">
        <w:rPr>
          <w:noProof/>
        </w:rPr>
        <w:tab/>
      </w:r>
      <w:r w:rsidR="00990CED" w:rsidRPr="001A12EA">
        <w:rPr>
          <w:noProof/>
        </w:rPr>
        <w:t>Следва да се установят единни формати за оповестяването, за да се осигури оповестяване на еднообразна и сравнима информация за рисковете от корекции на кредитната оценка (ККО). За целта е необходимо да се въведат нови образци и таблици за оповестяване с количествена и качествена информация за риска от ККО. Тези образци следва да бъдат съобразени с факта, че институциите, за които са в сила капиталови изисквания за ККО, може да прилагат стандартизирания, базисния или опростения подход или съчетание от тези подходи и че рискът от ККО следва да обхваща както риска от кредитния спред от контрагента на институцията, така и пазарния риск от портфейла от сделки, които институцията търгува с този контрагент.</w:t>
      </w:r>
    </w:p>
    <w:p w:rsidR="000A5D79" w:rsidRPr="001A12EA" w:rsidRDefault="00135406" w:rsidP="00135406">
      <w:pPr>
        <w:pStyle w:val="ManualConsidrant"/>
        <w:rPr>
          <w:noProof/>
          <w:color w:val="000000"/>
        </w:rPr>
      </w:pPr>
      <w:r w:rsidRPr="00135406">
        <w:rPr>
          <w:noProof/>
        </w:rPr>
        <w:t>(14)</w:t>
      </w:r>
      <w:r w:rsidRPr="00135406">
        <w:rPr>
          <w:noProof/>
        </w:rPr>
        <w:tab/>
      </w:r>
      <w:r w:rsidR="000A5D79" w:rsidRPr="001A12EA">
        <w:rPr>
          <w:noProof/>
        </w:rPr>
        <w:t xml:space="preserve">С Регламент (ЕС) 2024/1623 в дял III, глава 1 от </w:t>
      </w:r>
      <w:bookmarkStart w:id="1" w:name="_Hlk174954474"/>
      <w:r w:rsidR="000A5D79" w:rsidRPr="001A12EA">
        <w:rPr>
          <w:noProof/>
        </w:rPr>
        <w:t>Регламент (ЕС) № 575/2013</w:t>
      </w:r>
      <w:bookmarkEnd w:id="1"/>
      <w:r w:rsidR="000A5D79" w:rsidRPr="001A12EA">
        <w:rPr>
          <w:noProof/>
        </w:rPr>
        <w:t xml:space="preserve"> бе въведен нов единен подход, неосноваващ се на модели, за изчисляването на капиталовите изисквания за операционния риск, така че да се преодолее липсата на чувствителност към риска и на сравнимост на съществуващите подходи.</w:t>
      </w:r>
      <w:r w:rsidR="000A5D79" w:rsidRPr="001A12EA">
        <w:rPr>
          <w:noProof/>
          <w:color w:val="000000"/>
        </w:rPr>
        <w:t xml:space="preserve"> Въз основа на свободата на преценка, предвидена в стандартите Базел III, минималните капиталови изисквания на Съюза се базират само на изчисляването на компонента на бизнес индикатора (КБИ), докато историята на загубите се разглежда само за целите на оповестяването. </w:t>
      </w:r>
      <w:r w:rsidR="000A5D79" w:rsidRPr="001A12EA">
        <w:rPr>
          <w:noProof/>
        </w:rPr>
        <w:t>Тези изменения следва да бъдат отразени в образците за оповестяване, наред с другото чрез установяване на нови образци за предоставяне на информация за годишните оперативни загуби, понесени през последните 10 години, изчисляването на бизнес индикатора, компонентите и подкомпонентите и съответните капиталови изисквания и размери на рисковите експозиции.</w:t>
      </w:r>
    </w:p>
    <w:p w:rsidR="00A81627" w:rsidRPr="001A12EA" w:rsidRDefault="00135406" w:rsidP="00135406">
      <w:pPr>
        <w:pStyle w:val="ManualConsidrant"/>
        <w:rPr>
          <w:noProof/>
        </w:rPr>
      </w:pPr>
      <w:r w:rsidRPr="00135406">
        <w:rPr>
          <w:noProof/>
        </w:rPr>
        <w:t>(15)</w:t>
      </w:r>
      <w:r w:rsidRPr="00135406">
        <w:rPr>
          <w:noProof/>
        </w:rPr>
        <w:tab/>
      </w:r>
      <w:r w:rsidR="000A5D79" w:rsidRPr="001A12EA">
        <w:rPr>
          <w:noProof/>
        </w:rPr>
        <w:t>В член 501г, параграф 2 от Регламент (ЕС) № 575/2013 се предписва начинът, по който институциите трябва да изчисляват своите капиталови изисквания за експозициите си по криптоактиви до началната дата на прилагане на законодателния акт по член 501г, параграф 1 от посочения регламент. Ето защо е необходимо да се предвиди как институциите трябва да оповестяват своите експозиции по криптоактиви през преходния период.</w:t>
      </w:r>
    </w:p>
    <w:p w:rsidR="0072766F" w:rsidRPr="001A12EA" w:rsidRDefault="00135406" w:rsidP="00135406">
      <w:pPr>
        <w:pStyle w:val="ManualConsidrant"/>
        <w:rPr>
          <w:noProof/>
        </w:rPr>
      </w:pPr>
      <w:r w:rsidRPr="00135406">
        <w:rPr>
          <w:noProof/>
        </w:rPr>
        <w:t>(16)</w:t>
      </w:r>
      <w:r w:rsidRPr="00135406">
        <w:rPr>
          <w:noProof/>
        </w:rPr>
        <w:tab/>
      </w:r>
      <w:r w:rsidR="0072766F" w:rsidRPr="001A12EA">
        <w:rPr>
          <w:noProof/>
        </w:rPr>
        <w:t>С Регламент (ЕС) 2024/1623 бе изменен член 434а, параграф 1 от Регламент (ЕС) № 575/2013 и бе въведено изискване Европейският банков орган (ЕБО) да разработи информационнотехнологични (ИТ) решения, в т.ч. указания, които да бъдат използвани от институциите за оповестяванията, изисквани по силата на дялове II и III от посочения регламент. Съответно, в образците за оповестяване следва достатъчно ясно да се указват единичните данни и информацията, която институциите трябва да оповестяват, за да се гарантира, че ползвателите получават достъп до достатъчно изчерпателна и сравнима информация и че се запазва съгласуваността с международните стандарти за оповестяването. За да се осигури възможност за ЕБО да разработи подходящи ИТ решения, тези единни формати за оповестяването следва да не бъдат задължителни по отношение на своята структура и представяне. В частност, ЕБО следва да може да се отклонява от графичното представяне и табличната структура на образците за оповестяване, доколкото всички изисквани единични данни и информация са включени в ИТ решението.</w:t>
      </w:r>
    </w:p>
    <w:p w:rsidR="005F4989" w:rsidRPr="001A12EA" w:rsidRDefault="00135406" w:rsidP="00135406">
      <w:pPr>
        <w:pStyle w:val="ManualConsidrant"/>
        <w:rPr>
          <w:noProof/>
          <w:szCs w:val="24"/>
        </w:rPr>
      </w:pPr>
      <w:r w:rsidRPr="00135406">
        <w:rPr>
          <w:noProof/>
        </w:rPr>
        <w:t>(17)</w:t>
      </w:r>
      <w:r w:rsidRPr="00135406">
        <w:rPr>
          <w:noProof/>
        </w:rPr>
        <w:tab/>
      </w:r>
      <w:r w:rsidR="005F4989" w:rsidRPr="001A12EA">
        <w:rPr>
          <w:noProof/>
        </w:rPr>
        <w:t>За да бъдат снабдени институциите с пълен обединен набор от единни формати за оповестяването и да се осигури оповестяване на информация с високо качество, като същевременно се отразява подходът по изменения член 434а, параграф 1 от Регламент (ЕС) № 575/2013, е необходимо Регламент за изпълнение (ЕС) 2021/637 на Комисията да се отмени и да се замени с настоящия регламент.</w:t>
      </w:r>
    </w:p>
    <w:p w:rsidR="000A5D79" w:rsidRPr="001A12EA" w:rsidRDefault="00135406" w:rsidP="00135406">
      <w:pPr>
        <w:pStyle w:val="ManualConsidrant"/>
        <w:rPr>
          <w:noProof/>
          <w:sz w:val="22"/>
        </w:rPr>
      </w:pPr>
      <w:r w:rsidRPr="00135406">
        <w:rPr>
          <w:noProof/>
        </w:rPr>
        <w:t>(18)</w:t>
      </w:r>
      <w:r w:rsidRPr="00135406">
        <w:rPr>
          <w:noProof/>
        </w:rPr>
        <w:tab/>
      </w:r>
      <w:r w:rsidR="00DF17AE" w:rsidRPr="001A12EA">
        <w:rPr>
          <w:noProof/>
        </w:rPr>
        <w:t>За да се осигури навременно оповестяване на висококачествена информация от страна на институциите, следва да им се предостави достатъчно време, за да приспособят вътрешните си системи с оглед на промените в действащата уредба за оповестяването, отразени/включени в настоящия регламент.</w:t>
      </w:r>
    </w:p>
    <w:p w:rsidR="000A5D79" w:rsidRPr="001A12EA" w:rsidRDefault="00135406" w:rsidP="00135406">
      <w:pPr>
        <w:pStyle w:val="ManualConsidrant"/>
        <w:rPr>
          <w:noProof/>
        </w:rPr>
      </w:pPr>
      <w:r w:rsidRPr="00135406">
        <w:rPr>
          <w:noProof/>
        </w:rPr>
        <w:t>(19)</w:t>
      </w:r>
      <w:r w:rsidRPr="00135406">
        <w:rPr>
          <w:noProof/>
        </w:rPr>
        <w:tab/>
      </w:r>
      <w:r w:rsidR="000A5D79" w:rsidRPr="001A12EA">
        <w:rPr>
          <w:noProof/>
        </w:rPr>
        <w:t>Настоящият регламент е изготвен въз основа на проектите на технически стандарти за изпълнение, представени на Комисията от Европейския банков орган.</w:t>
      </w:r>
    </w:p>
    <w:p w:rsidR="000A5D79" w:rsidRPr="001A12EA" w:rsidRDefault="00135406" w:rsidP="00135406">
      <w:pPr>
        <w:pStyle w:val="ManualConsidrant"/>
        <w:rPr>
          <w:noProof/>
        </w:rPr>
      </w:pPr>
      <w:r w:rsidRPr="00135406">
        <w:rPr>
          <w:noProof/>
        </w:rPr>
        <w:t>(20)</w:t>
      </w:r>
      <w:r w:rsidRPr="00135406">
        <w:rPr>
          <w:noProof/>
        </w:rPr>
        <w:tab/>
      </w:r>
      <w:r w:rsidR="000A5D79" w:rsidRPr="001A12EA">
        <w:rPr>
          <w:noProof/>
        </w:rPr>
        <w:t>Европейският банков орган проведе открити обществени консултации по проектите на техническите стандарти за изпълнение, въз основа на които е изготвен настоящият регламент, анализира потенциалните разходи и ползи и поиска становище от Групата на участниците от банковия сектор, създадена с член 37 от Регламент (ЕС) № 1093/2010 на Европейския парламент и на Съвета</w:t>
      </w:r>
      <w:r w:rsidR="000A5D79" w:rsidRPr="001A12EA">
        <w:rPr>
          <w:rStyle w:val="FootnoteReference"/>
          <w:noProof/>
        </w:rPr>
        <w:footnoteReference w:id="10"/>
      </w:r>
      <w:r w:rsidR="000A5D79" w:rsidRPr="001A12EA">
        <w:rPr>
          <w:noProof/>
        </w:rPr>
        <w:t xml:space="preserve">, </w:t>
      </w:r>
    </w:p>
    <w:p w:rsidR="0050796F" w:rsidRPr="001A12EA" w:rsidRDefault="0050796F">
      <w:pPr>
        <w:pStyle w:val="Formuledadoption"/>
        <w:rPr>
          <w:noProof/>
        </w:rPr>
      </w:pPr>
      <w:r w:rsidRPr="001A12EA">
        <w:rPr>
          <w:noProof/>
        </w:rPr>
        <w:t>ПРИЕ НАСТОЯЩИЯ РЕГЛАМЕНТ:</w:t>
      </w:r>
    </w:p>
    <w:p w:rsidR="00905855" w:rsidRPr="001A12EA" w:rsidRDefault="00905855" w:rsidP="00905855">
      <w:pPr>
        <w:pStyle w:val="Titrearticle"/>
        <w:rPr>
          <w:noProof/>
        </w:rPr>
      </w:pPr>
      <w:r w:rsidRPr="001A12EA">
        <w:rPr>
          <w:noProof/>
        </w:rPr>
        <w:t>Член 1</w:t>
      </w:r>
    </w:p>
    <w:p w:rsidR="000A5D79" w:rsidRPr="001A12EA" w:rsidRDefault="000A5D79" w:rsidP="000A5D79">
      <w:pPr>
        <w:pStyle w:val="Titrearticle"/>
        <w:spacing w:before="120"/>
        <w:rPr>
          <w:b/>
          <w:i w:val="0"/>
          <w:noProof/>
        </w:rPr>
      </w:pPr>
      <w:r w:rsidRPr="001A12EA">
        <w:rPr>
          <w:b/>
          <w:i w:val="0"/>
          <w:noProof/>
        </w:rPr>
        <w:t>Оповестяване на основните показатели и обзор на рисково претеглените размери на експозициите</w:t>
      </w:r>
    </w:p>
    <w:p w:rsidR="000A5D79" w:rsidRPr="001A12EA" w:rsidRDefault="000A5D79" w:rsidP="00905855">
      <w:pPr>
        <w:rPr>
          <w:noProof/>
        </w:rPr>
      </w:pPr>
      <w:r w:rsidRPr="001A12EA">
        <w:rPr>
          <w:noProof/>
        </w:rPr>
        <w:t>Институциите оповестяват информацията по член 438, букви а) – г), е) и ж) и по член 447, букви а) – ж) от Регламент (ЕС) № 575/2013 по реда на раздел 1 „Оповестяване на обзор на управлението на риска, основните пруденциални показатели и рисково претеглените размери“ в приложение I.</w:t>
      </w:r>
    </w:p>
    <w:p w:rsidR="000A5D79" w:rsidRPr="001A12EA" w:rsidRDefault="000A5D79" w:rsidP="000A5D79">
      <w:pPr>
        <w:pStyle w:val="Titrearticle"/>
        <w:rPr>
          <w:noProof/>
        </w:rPr>
      </w:pPr>
      <w:r w:rsidRPr="001A12EA">
        <w:rPr>
          <w:noProof/>
        </w:rPr>
        <w:t>Член 2</w:t>
      </w:r>
    </w:p>
    <w:p w:rsidR="000A5D79" w:rsidRPr="001A12EA" w:rsidRDefault="000A5D79" w:rsidP="000A5D79">
      <w:pPr>
        <w:pStyle w:val="Titrearticle"/>
        <w:spacing w:before="120"/>
        <w:rPr>
          <w:b/>
          <w:i w:val="0"/>
          <w:noProof/>
        </w:rPr>
      </w:pPr>
      <w:r w:rsidRPr="001A12EA">
        <w:rPr>
          <w:b/>
          <w:i w:val="0"/>
          <w:noProof/>
        </w:rPr>
        <w:t>Оповестяване на целите и политиките за управлението на риска</w:t>
      </w:r>
    </w:p>
    <w:p w:rsidR="000A5D79" w:rsidRPr="001A12EA" w:rsidRDefault="000A5D79" w:rsidP="00905855">
      <w:pPr>
        <w:rPr>
          <w:noProof/>
        </w:rPr>
      </w:pPr>
      <w:r w:rsidRPr="001A12EA">
        <w:rPr>
          <w:noProof/>
        </w:rPr>
        <w:t>Институциите оповестяват информацията по член 435 от Регламент (ЕС) № 575/2013 по реда на раздел 2 „Оповестяване на целите и политиките за управлението на риска“ в приложение I.</w:t>
      </w:r>
    </w:p>
    <w:p w:rsidR="000A5D79" w:rsidRPr="001A12EA" w:rsidRDefault="000A5D79" w:rsidP="000A5D79">
      <w:pPr>
        <w:pStyle w:val="Titrearticle"/>
        <w:rPr>
          <w:noProof/>
        </w:rPr>
      </w:pPr>
      <w:r w:rsidRPr="001A12EA">
        <w:rPr>
          <w:noProof/>
        </w:rPr>
        <w:t>Член 3</w:t>
      </w:r>
    </w:p>
    <w:p w:rsidR="000A5D79" w:rsidRPr="001A12EA" w:rsidRDefault="000A5D79" w:rsidP="000A5D79">
      <w:pPr>
        <w:pStyle w:val="Titrearticle"/>
        <w:tabs>
          <w:tab w:val="left" w:pos="567"/>
        </w:tabs>
        <w:spacing w:before="120"/>
        <w:rPr>
          <w:b/>
          <w:i w:val="0"/>
          <w:noProof/>
        </w:rPr>
      </w:pPr>
      <w:r w:rsidRPr="001A12EA">
        <w:rPr>
          <w:b/>
          <w:i w:val="0"/>
          <w:noProof/>
        </w:rPr>
        <w:t xml:space="preserve">Оповестяване на обхвата на прилагане </w:t>
      </w:r>
    </w:p>
    <w:p w:rsidR="000A5D79" w:rsidRPr="001A12EA" w:rsidRDefault="000A5D79" w:rsidP="00905855">
      <w:pPr>
        <w:rPr>
          <w:noProof/>
        </w:rPr>
      </w:pPr>
      <w:r w:rsidRPr="001A12EA">
        <w:rPr>
          <w:noProof/>
        </w:rPr>
        <w:t xml:space="preserve">Институциите оповестяват информацията по член 436, букви б) – з) от Регламент (ЕС) № 575/2013 по реда на раздел 3 „Оповестяване на обхвата на прилагане“ в приложение I. </w:t>
      </w:r>
    </w:p>
    <w:p w:rsidR="000A5D79" w:rsidRPr="001A12EA" w:rsidRDefault="000A5D79" w:rsidP="000A5D79">
      <w:pPr>
        <w:pStyle w:val="Titrearticle"/>
        <w:rPr>
          <w:noProof/>
        </w:rPr>
      </w:pPr>
      <w:r w:rsidRPr="001A12EA">
        <w:rPr>
          <w:noProof/>
        </w:rPr>
        <w:t>Член 4</w:t>
      </w:r>
    </w:p>
    <w:p w:rsidR="000A5D79" w:rsidRPr="001A12EA" w:rsidRDefault="000A5D79" w:rsidP="000A5D79">
      <w:pPr>
        <w:pStyle w:val="Titrearticle"/>
        <w:spacing w:before="120"/>
        <w:rPr>
          <w:b/>
          <w:i w:val="0"/>
          <w:noProof/>
        </w:rPr>
      </w:pPr>
      <w:r w:rsidRPr="001A12EA">
        <w:rPr>
          <w:b/>
          <w:i w:val="0"/>
          <w:noProof/>
        </w:rPr>
        <w:t>Оповестяване на собствения капитал</w:t>
      </w:r>
    </w:p>
    <w:p w:rsidR="000A5D79" w:rsidRPr="001A12EA" w:rsidRDefault="000A5D79" w:rsidP="000A5D79">
      <w:pPr>
        <w:rPr>
          <w:noProof/>
        </w:rPr>
      </w:pPr>
      <w:r w:rsidRPr="001A12EA">
        <w:rPr>
          <w:noProof/>
        </w:rPr>
        <w:t>Институциите оповестяват информацията по член 437, букви а) – е) от Регламент (ЕС) № 575/2013 по реда на раздел 4 „Оповестяване на собствения капитал“ в приложение I.</w:t>
      </w:r>
    </w:p>
    <w:p w:rsidR="000A5D79" w:rsidRPr="001A12EA" w:rsidRDefault="000A5D79" w:rsidP="000A5D79">
      <w:pPr>
        <w:pStyle w:val="Titrearticle"/>
        <w:rPr>
          <w:noProof/>
        </w:rPr>
      </w:pPr>
      <w:r w:rsidRPr="001A12EA">
        <w:rPr>
          <w:noProof/>
        </w:rPr>
        <w:t xml:space="preserve">Член 5 </w:t>
      </w:r>
    </w:p>
    <w:p w:rsidR="000A5D79" w:rsidRPr="001A12EA" w:rsidRDefault="000A5D79" w:rsidP="000A5D79">
      <w:pPr>
        <w:pStyle w:val="Titrearticle"/>
        <w:spacing w:before="120"/>
        <w:rPr>
          <w:b/>
          <w:i w:val="0"/>
          <w:noProof/>
        </w:rPr>
      </w:pPr>
      <w:r w:rsidRPr="001A12EA">
        <w:rPr>
          <w:b/>
          <w:i w:val="0"/>
          <w:noProof/>
        </w:rPr>
        <w:t>Оповестяване на антицикличните капиталови буфери</w:t>
      </w:r>
    </w:p>
    <w:p w:rsidR="000A5D79" w:rsidRPr="001A12EA" w:rsidRDefault="000A5D79" w:rsidP="000A5D79">
      <w:pPr>
        <w:rPr>
          <w:noProof/>
        </w:rPr>
      </w:pPr>
      <w:r w:rsidRPr="001A12EA">
        <w:rPr>
          <w:noProof/>
        </w:rPr>
        <w:t xml:space="preserve">Институциите оповестяват информацията по член 440, букви а) и б) от Регламент (ЕС) № 575/2013 по реда на раздел 5 „Оповестяване на антицикличните капиталови буфери“ в приложение I. </w:t>
      </w:r>
    </w:p>
    <w:p w:rsidR="000A5D79" w:rsidRPr="001A12EA" w:rsidRDefault="000A5D79" w:rsidP="000A5D79">
      <w:pPr>
        <w:pStyle w:val="Titrearticle"/>
        <w:rPr>
          <w:noProof/>
        </w:rPr>
      </w:pPr>
      <w:r w:rsidRPr="001A12EA">
        <w:rPr>
          <w:noProof/>
        </w:rPr>
        <w:t>Член 6</w:t>
      </w:r>
    </w:p>
    <w:p w:rsidR="000A5D79" w:rsidRPr="001A12EA" w:rsidRDefault="000A5D79" w:rsidP="000A5D79">
      <w:pPr>
        <w:pStyle w:val="Titrearticle"/>
        <w:spacing w:before="120"/>
        <w:rPr>
          <w:b/>
          <w:i w:val="0"/>
          <w:noProof/>
        </w:rPr>
      </w:pPr>
      <w:r w:rsidRPr="001A12EA">
        <w:rPr>
          <w:b/>
          <w:i w:val="0"/>
          <w:noProof/>
        </w:rPr>
        <w:t>Оповестяване на отношението на ливъридж</w:t>
      </w:r>
    </w:p>
    <w:p w:rsidR="000A5D79" w:rsidRPr="001A12EA" w:rsidRDefault="000A5D79" w:rsidP="000A5D79">
      <w:pPr>
        <w:rPr>
          <w:noProof/>
        </w:rPr>
      </w:pPr>
      <w:r w:rsidRPr="001A12EA">
        <w:rPr>
          <w:noProof/>
        </w:rPr>
        <w:t xml:space="preserve">Институциите оповестяват информацията по член 451, параграф 1, букви а) – д) и член 451, параграфи 2 и 3 от Регламент (ЕС) </w:t>
      </w:r>
      <w:bookmarkStart w:id="2" w:name="_Hlk168653610"/>
      <w:r w:rsidRPr="001A12EA">
        <w:rPr>
          <w:noProof/>
        </w:rPr>
        <w:t>№ 575/2013 по реда на раздел 6 „Оповестяване на отношението на ливъридж“ в приложение I.</w:t>
      </w:r>
    </w:p>
    <w:bookmarkEnd w:id="2"/>
    <w:p w:rsidR="000A5D79" w:rsidRPr="001A12EA" w:rsidRDefault="000A5D79" w:rsidP="000A5D79">
      <w:pPr>
        <w:pStyle w:val="Titrearticle"/>
        <w:rPr>
          <w:noProof/>
        </w:rPr>
      </w:pPr>
      <w:r w:rsidRPr="001A12EA">
        <w:rPr>
          <w:noProof/>
        </w:rPr>
        <w:t xml:space="preserve">Член 7 </w:t>
      </w:r>
    </w:p>
    <w:p w:rsidR="000A5D79" w:rsidRPr="001A12EA" w:rsidRDefault="000A5D79" w:rsidP="000A5D79">
      <w:pPr>
        <w:pStyle w:val="Titrearticle"/>
        <w:spacing w:before="120"/>
        <w:rPr>
          <w:b/>
          <w:i w:val="0"/>
          <w:noProof/>
        </w:rPr>
      </w:pPr>
      <w:r w:rsidRPr="001A12EA">
        <w:rPr>
          <w:b/>
          <w:i w:val="0"/>
          <w:noProof/>
        </w:rPr>
        <w:t>Оповестяване на показателите за глобална системна значимост</w:t>
      </w:r>
    </w:p>
    <w:p w:rsidR="000A5D79" w:rsidRPr="001A12EA" w:rsidRDefault="00135406" w:rsidP="00135406">
      <w:pPr>
        <w:pStyle w:val="ManualNumPar1"/>
        <w:rPr>
          <w:noProof/>
        </w:rPr>
      </w:pPr>
      <w:r w:rsidRPr="00135406">
        <w:rPr>
          <w:noProof/>
        </w:rPr>
        <w:t>1.</w:t>
      </w:r>
      <w:r w:rsidRPr="00135406">
        <w:rPr>
          <w:noProof/>
        </w:rPr>
        <w:tab/>
      </w:r>
      <w:r w:rsidR="00FA266C" w:rsidRPr="001A12EA">
        <w:rPr>
          <w:noProof/>
        </w:rPr>
        <w:t>Глобалните системно значими институции (Г-СЗИ) оповестяват информацията за стойностите на използваните за определяне на техния рейтинг показатели по член 441 от Регламент (ЕС) № 575/2013, като използват единния формат за оповестяването по член 434а от посочения регламент. Г-СЗИ използват посочения формат за оповестяването за събиране на стойностите на показателите от компетентните органи по член 3, параграф 2 от Делегиран регламент (ЕС) № 1222/2014 на Комисията</w:t>
      </w:r>
      <w:r w:rsidR="004076A2" w:rsidRPr="001A12EA">
        <w:rPr>
          <w:rStyle w:val="FootnoteReference"/>
          <w:noProof/>
        </w:rPr>
        <w:footnoteReference w:id="11"/>
      </w:r>
      <w:r w:rsidR="00FA266C" w:rsidRPr="001A12EA">
        <w:rPr>
          <w:noProof/>
        </w:rPr>
        <w:t xml:space="preserve">, с изключение на спомагателните данни и символичните данни, събирани по силата на член 3, параграф 2 от посочения делегиран регламент. </w:t>
      </w:r>
    </w:p>
    <w:p w:rsidR="000A5D79" w:rsidRPr="001A12EA" w:rsidRDefault="00135406" w:rsidP="00135406">
      <w:pPr>
        <w:pStyle w:val="ManualNumPar1"/>
        <w:rPr>
          <w:noProof/>
        </w:rPr>
      </w:pPr>
      <w:r w:rsidRPr="00135406">
        <w:rPr>
          <w:noProof/>
        </w:rPr>
        <w:t>2.</w:t>
      </w:r>
      <w:r w:rsidRPr="00135406">
        <w:rPr>
          <w:noProof/>
        </w:rPr>
        <w:tab/>
      </w:r>
      <w:r w:rsidR="000A5D79" w:rsidRPr="001A12EA">
        <w:rPr>
          <w:noProof/>
        </w:rPr>
        <w:t>Г-СЗИ оповестяват информацията по параграф 1 в своя отчет по стълб 3 към края на годината. Г-СЗИ оповестяват наново информацията по параграф 1 в своя първи отчет по стълб 3 след окончателното подаване на стойностите на показателите до съответните компетентни органи, когато подадените данни се различават от данните, оповестени в отчета по стълб 3 към края на годината.</w:t>
      </w:r>
    </w:p>
    <w:p w:rsidR="000A5D79" w:rsidRPr="001A12EA" w:rsidRDefault="000A5D79" w:rsidP="000A5D79">
      <w:pPr>
        <w:pStyle w:val="Titrearticle"/>
        <w:rPr>
          <w:noProof/>
        </w:rPr>
      </w:pPr>
      <w:r w:rsidRPr="001A12EA">
        <w:rPr>
          <w:noProof/>
        </w:rPr>
        <w:t>Член 8</w:t>
      </w:r>
    </w:p>
    <w:p w:rsidR="000A5D79" w:rsidRPr="001A12EA" w:rsidRDefault="000A5D79" w:rsidP="000A5D79">
      <w:pPr>
        <w:pStyle w:val="Titrearticle"/>
        <w:spacing w:before="120"/>
        <w:rPr>
          <w:b/>
          <w:i w:val="0"/>
          <w:noProof/>
        </w:rPr>
      </w:pPr>
      <w:r w:rsidRPr="001A12EA">
        <w:rPr>
          <w:b/>
          <w:i w:val="0"/>
          <w:noProof/>
        </w:rPr>
        <w:t>Оповестяване на изискванията за ликвидност</w:t>
      </w:r>
    </w:p>
    <w:p w:rsidR="000A5D79" w:rsidRPr="001A12EA" w:rsidRDefault="000A5D79" w:rsidP="000A5D79">
      <w:pPr>
        <w:rPr>
          <w:i/>
          <w:noProof/>
        </w:rPr>
      </w:pPr>
      <w:r w:rsidRPr="001A12EA">
        <w:rPr>
          <w:noProof/>
        </w:rPr>
        <w:t>Институциите оповестяват информацията по член 435, параграф 1 и член 451а, параграфи 2, 3 и 4 от Регламент (ЕС) № 575/2013 по реда на раздел 7 „Оповестяване на изискванията за ликвидност“ в приложение I.</w:t>
      </w:r>
    </w:p>
    <w:p w:rsidR="000A5D79" w:rsidRPr="001A12EA" w:rsidRDefault="000A5D79" w:rsidP="000A5D79">
      <w:pPr>
        <w:pStyle w:val="Titrearticle"/>
        <w:rPr>
          <w:noProof/>
        </w:rPr>
      </w:pPr>
      <w:r w:rsidRPr="001A12EA">
        <w:rPr>
          <w:noProof/>
        </w:rPr>
        <w:t>Член 9</w:t>
      </w:r>
    </w:p>
    <w:p w:rsidR="000A5D79" w:rsidRPr="001A12EA" w:rsidRDefault="000A5D79" w:rsidP="000A5D79">
      <w:pPr>
        <w:pStyle w:val="Titrearticle"/>
        <w:spacing w:before="120"/>
        <w:rPr>
          <w:b/>
          <w:i w:val="0"/>
          <w:noProof/>
        </w:rPr>
      </w:pPr>
      <w:r w:rsidRPr="001A12EA">
        <w:rPr>
          <w:b/>
          <w:i w:val="0"/>
          <w:noProof/>
        </w:rPr>
        <w:t xml:space="preserve">Оповестяване на </w:t>
      </w:r>
      <w:bookmarkStart w:id="3" w:name="_Hlk163217184"/>
      <w:r w:rsidRPr="001A12EA">
        <w:rPr>
          <w:b/>
          <w:i w:val="0"/>
          <w:noProof/>
        </w:rPr>
        <w:t>експозициите към кредитен риск и към риск от разсейване, както и на кредитното качество</w:t>
      </w:r>
      <w:bookmarkEnd w:id="3"/>
    </w:p>
    <w:p w:rsidR="000A5D79" w:rsidRPr="001A12EA" w:rsidRDefault="00135406" w:rsidP="00135406">
      <w:pPr>
        <w:pStyle w:val="ManualNumPar1"/>
        <w:rPr>
          <w:noProof/>
        </w:rPr>
      </w:pPr>
      <w:r w:rsidRPr="00135406">
        <w:rPr>
          <w:noProof/>
        </w:rPr>
        <w:t>1.</w:t>
      </w:r>
      <w:r w:rsidRPr="00135406">
        <w:rPr>
          <w:noProof/>
        </w:rPr>
        <w:tab/>
      </w:r>
      <w:r w:rsidR="000A5D79" w:rsidRPr="001A12EA">
        <w:rPr>
          <w:noProof/>
        </w:rPr>
        <w:t>Институциите оповестяват информацията по член 435, параграф 1, букви а), б), г) и е) и по член 442 от Регламент (ЕС) № 575/2013 по реда на раздел 8 „Оповестяване на кредитното качество с оглед на риска“ в приложение I.</w:t>
      </w:r>
    </w:p>
    <w:p w:rsidR="000A5D79" w:rsidRPr="001A12EA" w:rsidRDefault="00135406" w:rsidP="00135406">
      <w:pPr>
        <w:pStyle w:val="ManualNumPar1"/>
        <w:rPr>
          <w:noProof/>
        </w:rPr>
      </w:pPr>
      <w:r w:rsidRPr="00135406">
        <w:rPr>
          <w:noProof/>
        </w:rPr>
        <w:t>2.</w:t>
      </w:r>
      <w:r w:rsidRPr="00135406">
        <w:rPr>
          <w:noProof/>
        </w:rPr>
        <w:tab/>
      </w:r>
      <w:r w:rsidR="000A5D79" w:rsidRPr="001A12EA">
        <w:rPr>
          <w:noProof/>
        </w:rPr>
        <w:t xml:space="preserve">Големите институции, чието отношение на брутната балансова стойност на заемите и авансите от обхвата на член 47а, параграф 3 от Регламент (ЕС) № 575/2013 към общата брутна балансова стойност на заемите и авансите от обхвата на член 47а, параграф 1 от посочения регламент е равно на 5 % или повече, оповестяват, освен информацията по параграф 1, също и допълнителна информация, за да спазят член 442, букви в) и е) от посочения регламент. Посочените институции оповестяват тази информация ежегодно. </w:t>
      </w:r>
    </w:p>
    <w:p w:rsidR="000A5D79" w:rsidRPr="001A12EA" w:rsidRDefault="00135406" w:rsidP="00135406">
      <w:pPr>
        <w:pStyle w:val="ManualNumPar1"/>
        <w:rPr>
          <w:noProof/>
        </w:rPr>
      </w:pPr>
      <w:r w:rsidRPr="00135406">
        <w:rPr>
          <w:noProof/>
        </w:rPr>
        <w:t>3.</w:t>
      </w:r>
      <w:r w:rsidRPr="00135406">
        <w:rPr>
          <w:noProof/>
        </w:rPr>
        <w:tab/>
      </w:r>
      <w:r w:rsidR="000A5D79" w:rsidRPr="001A12EA">
        <w:rPr>
          <w:noProof/>
        </w:rPr>
        <w:t>За целите на параграф 2 институциите изключват заемите и авансите, класифицирани като държани за продажба, паричните салда в централни банки и другите безсрочни депозити и от знаменателя, и от числителя на отношението.</w:t>
      </w:r>
    </w:p>
    <w:p w:rsidR="000A5D79" w:rsidRPr="001A12EA" w:rsidRDefault="00135406" w:rsidP="00135406">
      <w:pPr>
        <w:pStyle w:val="ManualNumPar1"/>
        <w:rPr>
          <w:noProof/>
        </w:rPr>
      </w:pPr>
      <w:r w:rsidRPr="00135406">
        <w:rPr>
          <w:noProof/>
        </w:rPr>
        <w:t>4.</w:t>
      </w:r>
      <w:r w:rsidRPr="00135406">
        <w:rPr>
          <w:noProof/>
        </w:rPr>
        <w:tab/>
      </w:r>
      <w:r w:rsidR="000A5D79" w:rsidRPr="001A12EA">
        <w:rPr>
          <w:noProof/>
        </w:rPr>
        <w:t>Институциите започват оповестяванията, изисквани по параграф 2, когато през две последователни тримесечия от четирите тримесечия, предхождащи референтната дата на оповестяване, достигнат или надхвърлят посочения в същия параграф праг от 5 %. За референтната дата на първото оповестяване институциите оповестяват съответната информация чрез образците, посочени в същия параграф, ако към тази референтна дата на оповестяването са надхвърлили прага от 5 %.</w:t>
      </w:r>
    </w:p>
    <w:p w:rsidR="000A5D79" w:rsidRPr="001A12EA" w:rsidRDefault="00135406" w:rsidP="00135406">
      <w:pPr>
        <w:pStyle w:val="ManualNumPar1"/>
        <w:rPr>
          <w:noProof/>
        </w:rPr>
      </w:pPr>
      <w:r w:rsidRPr="00135406">
        <w:rPr>
          <w:noProof/>
        </w:rPr>
        <w:t>5.</w:t>
      </w:r>
      <w:r w:rsidRPr="00135406">
        <w:rPr>
          <w:noProof/>
        </w:rPr>
        <w:tab/>
      </w:r>
      <w:r w:rsidR="000A5D79" w:rsidRPr="001A12EA">
        <w:rPr>
          <w:noProof/>
        </w:rPr>
        <w:t>Когато през три последователни тримесечия от четирите тримесечия, предхождащи референтната дата на оповестяването, институциите са били под прага от 5 %, тяхното задължение за оповестяване по силата на параграф 2 отпада.</w:t>
      </w:r>
    </w:p>
    <w:p w:rsidR="000A5D79" w:rsidRPr="001A12EA" w:rsidRDefault="000A5D79" w:rsidP="000A5D79">
      <w:pPr>
        <w:pStyle w:val="Titrearticle"/>
        <w:rPr>
          <w:noProof/>
        </w:rPr>
      </w:pPr>
      <w:r w:rsidRPr="001A12EA">
        <w:rPr>
          <w:noProof/>
        </w:rPr>
        <w:t>Член 10</w:t>
      </w:r>
    </w:p>
    <w:p w:rsidR="000A5D79" w:rsidRPr="001A12EA" w:rsidRDefault="000A5D79" w:rsidP="000A5D79">
      <w:pPr>
        <w:pStyle w:val="Titrearticle"/>
        <w:spacing w:before="120"/>
        <w:rPr>
          <w:b/>
          <w:i w:val="0"/>
          <w:noProof/>
        </w:rPr>
      </w:pPr>
      <w:r w:rsidRPr="001A12EA">
        <w:rPr>
          <w:b/>
          <w:i w:val="0"/>
          <w:noProof/>
        </w:rPr>
        <w:t xml:space="preserve">Оповестяване на използването на техники за редуциране на кредитния риск </w:t>
      </w:r>
    </w:p>
    <w:p w:rsidR="000A5D79" w:rsidRPr="001A12EA" w:rsidRDefault="000A5D79" w:rsidP="000A5D79">
      <w:pPr>
        <w:rPr>
          <w:noProof/>
        </w:rPr>
      </w:pPr>
      <w:r w:rsidRPr="001A12EA">
        <w:rPr>
          <w:noProof/>
        </w:rPr>
        <w:t>Институциите оповестяват информацията по член 453, букви а) – e) от Регламент (ЕС) № 575/2013 по реда на раздел 9 „Оповестяване на използването на техники за редуциране на кредитния риск“ в приложение I.</w:t>
      </w:r>
    </w:p>
    <w:p w:rsidR="000A5D79" w:rsidRPr="001A12EA" w:rsidRDefault="000A5D79" w:rsidP="000A5D79">
      <w:pPr>
        <w:pStyle w:val="Titrearticle"/>
        <w:rPr>
          <w:noProof/>
        </w:rPr>
      </w:pPr>
      <w:r w:rsidRPr="001A12EA">
        <w:rPr>
          <w:noProof/>
        </w:rPr>
        <w:t xml:space="preserve">Член 11 </w:t>
      </w:r>
    </w:p>
    <w:p w:rsidR="000A5D79" w:rsidRPr="001A12EA" w:rsidRDefault="000A5D79" w:rsidP="000A5D79">
      <w:pPr>
        <w:pStyle w:val="Titrearticle"/>
        <w:spacing w:before="120"/>
        <w:rPr>
          <w:b/>
          <w:i w:val="0"/>
          <w:noProof/>
        </w:rPr>
      </w:pPr>
      <w:r w:rsidRPr="001A12EA">
        <w:rPr>
          <w:b/>
          <w:i w:val="0"/>
          <w:noProof/>
        </w:rPr>
        <w:t>Оповестяване на използването на стандартизирания подход</w:t>
      </w:r>
    </w:p>
    <w:p w:rsidR="000A5D79" w:rsidRPr="001A12EA" w:rsidRDefault="000A5D79" w:rsidP="000A5D79">
      <w:pPr>
        <w:rPr>
          <w:noProof/>
        </w:rPr>
      </w:pPr>
      <w:r w:rsidRPr="001A12EA">
        <w:rPr>
          <w:noProof/>
        </w:rPr>
        <w:t>Институциите, които изчисляват рисково претеглените размери на експозициите по стандартизирания подход, оповестяват следната информация за използването на стандартизирания подход:</w:t>
      </w:r>
    </w:p>
    <w:p w:rsidR="000A5D79" w:rsidRPr="001A12EA" w:rsidRDefault="001A12EA" w:rsidP="001A12EA">
      <w:pPr>
        <w:pStyle w:val="Point0"/>
        <w:rPr>
          <w:noProof/>
        </w:rPr>
      </w:pPr>
      <w:r>
        <w:rPr>
          <w:noProof/>
        </w:rPr>
        <w:t>а)</w:t>
      </w:r>
      <w:r>
        <w:rPr>
          <w:noProof/>
        </w:rPr>
        <w:tab/>
      </w:r>
      <w:r w:rsidR="000A5D79" w:rsidRPr="001A12EA">
        <w:rPr>
          <w:noProof/>
        </w:rPr>
        <w:t>информацията по член 444, букви а) – д) и по член 453, букви ж), з) и и) от Регламент (ЕС) № 575/2013 – по реда на раздел 10 „Оповестяване на кредитния риск – стандартизиран подход“ в приложение I;</w:t>
      </w:r>
    </w:p>
    <w:p w:rsidR="000A5D79" w:rsidRPr="001A12EA" w:rsidRDefault="001A12EA" w:rsidP="001A12EA">
      <w:pPr>
        <w:pStyle w:val="Point0"/>
        <w:rPr>
          <w:noProof/>
        </w:rPr>
      </w:pPr>
      <w:r>
        <w:rPr>
          <w:noProof/>
        </w:rPr>
        <w:t>б)</w:t>
      </w:r>
      <w:r>
        <w:rPr>
          <w:noProof/>
        </w:rPr>
        <w:tab/>
      </w:r>
      <w:r w:rsidR="000A5D79" w:rsidRPr="001A12EA">
        <w:rPr>
          <w:noProof/>
        </w:rPr>
        <w:t xml:space="preserve">информацията за стойностите на експозициите, приспаднати от собствения капитал, по член 444, буква д) от Регламент (ЕС) № 575/2013 – по реда на раздел 4 „Оповестяване на собствения капитал“ в приложение I. </w:t>
      </w:r>
    </w:p>
    <w:p w:rsidR="000A5D79" w:rsidRPr="001A12EA" w:rsidRDefault="000A5D79" w:rsidP="000A5D79">
      <w:pPr>
        <w:pStyle w:val="Titrearticle"/>
        <w:rPr>
          <w:noProof/>
        </w:rPr>
      </w:pPr>
      <w:r w:rsidRPr="001A12EA">
        <w:rPr>
          <w:noProof/>
        </w:rPr>
        <w:t>Член 12</w:t>
      </w:r>
    </w:p>
    <w:p w:rsidR="000A5D79" w:rsidRPr="001A12EA" w:rsidRDefault="000A5D79" w:rsidP="000A5D79">
      <w:pPr>
        <w:pStyle w:val="Titrearticle"/>
        <w:spacing w:before="120"/>
        <w:rPr>
          <w:b/>
          <w:i w:val="0"/>
          <w:noProof/>
        </w:rPr>
      </w:pPr>
      <w:r w:rsidRPr="001A12EA">
        <w:rPr>
          <w:b/>
          <w:i w:val="0"/>
          <w:noProof/>
        </w:rPr>
        <w:t>Оповестяване на използването на вътрешнорейтинговия подход за кредитния риск</w:t>
      </w:r>
    </w:p>
    <w:p w:rsidR="000A5D79" w:rsidRPr="001A12EA" w:rsidRDefault="000A5D79" w:rsidP="000A5D79">
      <w:pPr>
        <w:rPr>
          <w:noProof/>
        </w:rPr>
      </w:pPr>
      <w:r w:rsidRPr="001A12EA">
        <w:rPr>
          <w:noProof/>
        </w:rPr>
        <w:t>Институциите, които изчисляват рисково претеглените размери на експозициите по вътрешнорейтинговия подход (ВРП), оповестяват информацията по член 438, буква з), член 452, букви а) – з) и член 453, букви ж) и й) от Регламент (ЕС) № 575/</w:t>
      </w:r>
      <w:bookmarkStart w:id="4" w:name="_Hlk168654209"/>
      <w:r w:rsidRPr="001A12EA">
        <w:rPr>
          <w:noProof/>
        </w:rPr>
        <w:t>2013 по реда на раздел 11 „Оповестяване на кредитния риск – вътрешнорейтингов подход“ в приложение I.</w:t>
      </w:r>
    </w:p>
    <w:bookmarkEnd w:id="4"/>
    <w:p w:rsidR="000A5D79" w:rsidRPr="001A12EA" w:rsidRDefault="000A5D79" w:rsidP="000A5D79">
      <w:pPr>
        <w:pStyle w:val="Titrearticle"/>
        <w:rPr>
          <w:noProof/>
        </w:rPr>
      </w:pPr>
      <w:r w:rsidRPr="001A12EA">
        <w:rPr>
          <w:noProof/>
        </w:rPr>
        <w:t>Член 13</w:t>
      </w:r>
    </w:p>
    <w:p w:rsidR="000A5D79" w:rsidRPr="001A12EA" w:rsidRDefault="000A5D79" w:rsidP="000A5D79">
      <w:pPr>
        <w:pStyle w:val="Titrearticle"/>
        <w:spacing w:before="120"/>
        <w:rPr>
          <w:b/>
          <w:i w:val="0"/>
          <w:noProof/>
        </w:rPr>
      </w:pPr>
      <w:r w:rsidRPr="001A12EA">
        <w:rPr>
          <w:b/>
          <w:i w:val="0"/>
          <w:noProof/>
        </w:rPr>
        <w:t>Оповестяване на експозициите по специализирано кредитиране и капиталови инструменти</w:t>
      </w:r>
    </w:p>
    <w:p w:rsidR="000A5D79" w:rsidRPr="001A12EA" w:rsidRDefault="000A5D79" w:rsidP="000A5D79">
      <w:pPr>
        <w:rPr>
          <w:noProof/>
        </w:rPr>
      </w:pPr>
      <w:r w:rsidRPr="001A12EA">
        <w:rPr>
          <w:noProof/>
        </w:rPr>
        <w:t>Институциите оповестяват информацията по член 438, буква д) от Регламент (ЕС) № 575/2013 по реда на раздел 12 „Оповестяване на експозициите по специализирано кредитиране и капиталови инструменти“ в приложение I.</w:t>
      </w:r>
    </w:p>
    <w:p w:rsidR="000A5D79" w:rsidRPr="001A12EA" w:rsidRDefault="000A5D79" w:rsidP="000A5D79">
      <w:pPr>
        <w:pStyle w:val="Titrearticle"/>
        <w:rPr>
          <w:noProof/>
        </w:rPr>
      </w:pPr>
      <w:r w:rsidRPr="001A12EA">
        <w:rPr>
          <w:noProof/>
        </w:rPr>
        <w:t>Член 14</w:t>
      </w:r>
    </w:p>
    <w:p w:rsidR="000A5D79" w:rsidRPr="001A12EA" w:rsidRDefault="000A5D79" w:rsidP="000A5D79">
      <w:pPr>
        <w:pStyle w:val="Titrearticle"/>
        <w:spacing w:before="120"/>
        <w:rPr>
          <w:b/>
          <w:i w:val="0"/>
          <w:noProof/>
        </w:rPr>
      </w:pPr>
      <w:r w:rsidRPr="001A12EA">
        <w:rPr>
          <w:b/>
          <w:i w:val="0"/>
          <w:noProof/>
        </w:rPr>
        <w:t>Оповестяване на експозициите към кредитен риск от контрагента</w:t>
      </w:r>
    </w:p>
    <w:p w:rsidR="000A5D79" w:rsidRPr="001A12EA" w:rsidRDefault="000A5D79" w:rsidP="000A5D79">
      <w:pPr>
        <w:rPr>
          <w:noProof/>
        </w:rPr>
      </w:pPr>
      <w:r w:rsidRPr="001A12EA">
        <w:rPr>
          <w:noProof/>
        </w:rPr>
        <w:t xml:space="preserve">Институциите оповестяват информацията по член 438, буква з) и член 439 от Регламент (ЕС) № 575/2013 по реда на раздел 13 „Оповестяване на кредитния риск от контрагента“ в приложение I. </w:t>
      </w:r>
    </w:p>
    <w:p w:rsidR="000A5D79" w:rsidRPr="001A12EA" w:rsidRDefault="000A5D79" w:rsidP="000A5D79">
      <w:pPr>
        <w:pStyle w:val="Titrearticle"/>
        <w:rPr>
          <w:noProof/>
        </w:rPr>
      </w:pPr>
      <w:r w:rsidRPr="001A12EA">
        <w:rPr>
          <w:noProof/>
        </w:rPr>
        <w:t>Член 15</w:t>
      </w:r>
    </w:p>
    <w:p w:rsidR="000A5D79" w:rsidRPr="001A12EA" w:rsidRDefault="000A5D79" w:rsidP="000A5D79">
      <w:pPr>
        <w:pStyle w:val="Titrearticle"/>
        <w:spacing w:before="120"/>
        <w:rPr>
          <w:b/>
          <w:i w:val="0"/>
          <w:noProof/>
        </w:rPr>
      </w:pPr>
      <w:r w:rsidRPr="001A12EA">
        <w:rPr>
          <w:b/>
          <w:i w:val="0"/>
          <w:noProof/>
        </w:rPr>
        <w:t xml:space="preserve">Оповестяване на </w:t>
      </w:r>
      <w:bookmarkStart w:id="5" w:name="_Hlk163217793"/>
      <w:r w:rsidRPr="001A12EA">
        <w:rPr>
          <w:b/>
          <w:i w:val="0"/>
          <w:noProof/>
        </w:rPr>
        <w:t xml:space="preserve">експозициите по секюритизиращи позиции </w:t>
      </w:r>
      <w:bookmarkEnd w:id="5"/>
    </w:p>
    <w:p w:rsidR="000A5D79" w:rsidRPr="001A12EA" w:rsidRDefault="000A5D79" w:rsidP="000A5D79">
      <w:pPr>
        <w:rPr>
          <w:noProof/>
        </w:rPr>
      </w:pPr>
      <w:r w:rsidRPr="001A12EA">
        <w:rPr>
          <w:noProof/>
        </w:rPr>
        <w:t>Институциите оповестяват информацията по член 449 от Регламент (ЕС) № 575/2013 по реда на раздел 14 „Оповестяване на експозициите по секюритизиращи позиции“ в приложение I.</w:t>
      </w:r>
    </w:p>
    <w:p w:rsidR="000A5D79" w:rsidRPr="001A12EA" w:rsidRDefault="000A5D79" w:rsidP="000A5D79">
      <w:pPr>
        <w:pStyle w:val="Titrearticle"/>
        <w:rPr>
          <w:noProof/>
        </w:rPr>
      </w:pPr>
      <w:r w:rsidRPr="001A12EA">
        <w:rPr>
          <w:noProof/>
        </w:rPr>
        <w:t>Член 16</w:t>
      </w:r>
    </w:p>
    <w:p w:rsidR="000A5D79" w:rsidRPr="001A12EA" w:rsidRDefault="000A5D79" w:rsidP="000A5D79">
      <w:pPr>
        <w:pStyle w:val="Titrearticle"/>
        <w:spacing w:before="120"/>
        <w:rPr>
          <w:b/>
          <w:i w:val="0"/>
          <w:noProof/>
        </w:rPr>
      </w:pPr>
      <w:r w:rsidRPr="001A12EA">
        <w:rPr>
          <w:b/>
          <w:i w:val="0"/>
          <w:noProof/>
        </w:rPr>
        <w:t>Оповестяване на използването на стандартизирания подход и на алтернативните вътрешни модели за пазарния риск</w:t>
      </w:r>
    </w:p>
    <w:p w:rsidR="000A5D79" w:rsidRPr="001A12EA" w:rsidRDefault="00135406" w:rsidP="00135406">
      <w:pPr>
        <w:pStyle w:val="ManualNumPar1"/>
        <w:rPr>
          <w:noProof/>
        </w:rPr>
      </w:pPr>
      <w:r w:rsidRPr="00135406">
        <w:rPr>
          <w:noProof/>
        </w:rPr>
        <w:t>1.</w:t>
      </w:r>
      <w:r w:rsidRPr="00135406">
        <w:rPr>
          <w:noProof/>
        </w:rPr>
        <w:tab/>
      </w:r>
      <w:r w:rsidR="000A5D79" w:rsidRPr="001A12EA">
        <w:rPr>
          <w:noProof/>
        </w:rPr>
        <w:t>Институциите оповестяват информацията по член 435, параграф 1, букви a) – г), член 438, член 445, параграфи 1 и 2, член 455, параграф 1, букви a) – е) и член 455, параграфи 2 и 3 от Регламент (ЕС) № 575/2013 по реда на раздел 15 „Оповестяване на пазарния риск“ в приложение I.</w:t>
      </w:r>
    </w:p>
    <w:p w:rsidR="000A5D79" w:rsidRPr="001A12EA" w:rsidRDefault="00135406" w:rsidP="00135406">
      <w:pPr>
        <w:pStyle w:val="ManualNumPar1"/>
        <w:rPr>
          <w:noProof/>
        </w:rPr>
      </w:pPr>
      <w:r w:rsidRPr="00135406">
        <w:rPr>
          <w:noProof/>
        </w:rPr>
        <w:t>2.</w:t>
      </w:r>
      <w:r w:rsidRPr="00135406">
        <w:rPr>
          <w:noProof/>
        </w:rPr>
        <w:tab/>
      </w:r>
      <w:r w:rsidR="000A5D79" w:rsidRPr="001A12EA">
        <w:rPr>
          <w:noProof/>
        </w:rPr>
        <w:t>До 31 декември 2025 г. институциите правят оповестяванията в съответствие с член 15 от Регламент за изпълнение (ЕС) 2021/637 на Комисията</w:t>
      </w:r>
      <w:r w:rsidR="000A5D79" w:rsidRPr="001A12EA">
        <w:rPr>
          <w:rStyle w:val="FootnoteReference"/>
          <w:rFonts w:eastAsia="Times New Roman"/>
          <w:noProof/>
          <w:lang w:eastAsia="en-GB" w:bidi="en-GB"/>
        </w:rPr>
        <w:footnoteReference w:id="12"/>
      </w:r>
      <w:r w:rsidR="000A5D79" w:rsidRPr="001A12EA">
        <w:rPr>
          <w:noProof/>
        </w:rPr>
        <w:t>.</w:t>
      </w:r>
    </w:p>
    <w:p w:rsidR="000A5D79" w:rsidRPr="001A12EA" w:rsidRDefault="00135406" w:rsidP="00135406">
      <w:pPr>
        <w:pStyle w:val="ManualNumPar1"/>
        <w:rPr>
          <w:noProof/>
        </w:rPr>
      </w:pPr>
      <w:r w:rsidRPr="00135406">
        <w:rPr>
          <w:noProof/>
        </w:rPr>
        <w:t>3.</w:t>
      </w:r>
      <w:r w:rsidRPr="00135406">
        <w:rPr>
          <w:noProof/>
        </w:rPr>
        <w:tab/>
      </w:r>
      <w:r w:rsidR="000A5D79" w:rsidRPr="001A12EA">
        <w:rPr>
          <w:noProof/>
        </w:rPr>
        <w:t xml:space="preserve">Към началната дата на използване на алтернативните подходи по член 325ащ от Регламент (ЕС) № 575/2013 институциите, които използват алтернативния подход на вътрешните модели за пазарния риск, оповестяват качествената информация по член 455, параграф 1, букви а) – е) от посочения регламент заедно с количествената информация по член 455, параграф 2 от него. </w:t>
      </w:r>
    </w:p>
    <w:p w:rsidR="000A5D79" w:rsidRPr="001A12EA" w:rsidRDefault="000A5D79" w:rsidP="00813A48">
      <w:pPr>
        <w:pStyle w:val="Titrearticle"/>
        <w:spacing w:before="120"/>
        <w:rPr>
          <w:noProof/>
        </w:rPr>
      </w:pPr>
      <w:r w:rsidRPr="001A12EA">
        <w:rPr>
          <w:noProof/>
        </w:rPr>
        <w:t>Член 17</w:t>
      </w:r>
    </w:p>
    <w:p w:rsidR="000A5D79" w:rsidRPr="001A12EA" w:rsidRDefault="000A5D79" w:rsidP="00813A48">
      <w:pPr>
        <w:pStyle w:val="Titrearticle"/>
        <w:spacing w:before="120"/>
        <w:rPr>
          <w:b/>
          <w:i w:val="0"/>
          <w:noProof/>
        </w:rPr>
      </w:pPr>
      <w:r w:rsidRPr="001A12EA">
        <w:rPr>
          <w:b/>
          <w:i w:val="0"/>
          <w:noProof/>
        </w:rPr>
        <w:t>Оповестяване на риска от корекция на кредитната оценка</w:t>
      </w:r>
    </w:p>
    <w:p w:rsidR="000A5D79" w:rsidRPr="001A12EA" w:rsidRDefault="000A5D79" w:rsidP="00905855">
      <w:pPr>
        <w:rPr>
          <w:noProof/>
        </w:rPr>
      </w:pPr>
      <w:r w:rsidRPr="001A12EA">
        <w:rPr>
          <w:noProof/>
        </w:rPr>
        <w:t>Институциите оповестяват информацията по член 438, букви г) и з), член 439, буква з) и член 445а от Регламент (ЕС) № 575/2013 по реда на раздел 16 „Оповестяване на корекцията на кредитната оценка“ в приложение I.</w:t>
      </w:r>
    </w:p>
    <w:p w:rsidR="000A5D79" w:rsidRPr="001A12EA" w:rsidRDefault="000A5D79" w:rsidP="000A5D79">
      <w:pPr>
        <w:pStyle w:val="Titrearticle"/>
        <w:rPr>
          <w:noProof/>
        </w:rPr>
      </w:pPr>
      <w:r w:rsidRPr="001A12EA">
        <w:rPr>
          <w:noProof/>
        </w:rPr>
        <w:t>Член 18</w:t>
      </w:r>
    </w:p>
    <w:p w:rsidR="000A5D79" w:rsidRPr="001A12EA" w:rsidRDefault="000A5D79" w:rsidP="000A5D79">
      <w:pPr>
        <w:pStyle w:val="Titrearticle"/>
        <w:spacing w:before="120"/>
        <w:rPr>
          <w:b/>
          <w:i w:val="0"/>
          <w:noProof/>
        </w:rPr>
      </w:pPr>
      <w:r w:rsidRPr="001A12EA">
        <w:rPr>
          <w:b/>
          <w:i w:val="0"/>
          <w:noProof/>
        </w:rPr>
        <w:t xml:space="preserve">Оповестяване на операционния риск </w:t>
      </w:r>
    </w:p>
    <w:p w:rsidR="000A5D79" w:rsidRPr="001A12EA" w:rsidRDefault="000A5D79" w:rsidP="000A5D79">
      <w:pPr>
        <w:rPr>
          <w:noProof/>
        </w:rPr>
      </w:pPr>
      <w:r w:rsidRPr="001A12EA">
        <w:rPr>
          <w:noProof/>
        </w:rPr>
        <w:t>Институциите оповестяват информацията по член 435, член 438, буква г) и член 446 от Регламент (ЕС) № 575/2013 по реда на раздел 17 „Оповестяване на операционния риск“ в приложение I.</w:t>
      </w:r>
    </w:p>
    <w:p w:rsidR="000A5D79" w:rsidRPr="001A12EA" w:rsidRDefault="000A5D79" w:rsidP="000A5D79">
      <w:pPr>
        <w:pStyle w:val="Titrearticle"/>
        <w:rPr>
          <w:noProof/>
        </w:rPr>
      </w:pPr>
      <w:r w:rsidRPr="001A12EA">
        <w:rPr>
          <w:noProof/>
        </w:rPr>
        <w:t xml:space="preserve">Член 19 </w:t>
      </w:r>
    </w:p>
    <w:p w:rsidR="000A5D79" w:rsidRPr="001A12EA" w:rsidRDefault="000A5D79" w:rsidP="000A5D79">
      <w:pPr>
        <w:pStyle w:val="Titrearticle"/>
        <w:spacing w:before="120"/>
        <w:rPr>
          <w:b/>
          <w:i w:val="0"/>
          <w:noProof/>
        </w:rPr>
      </w:pPr>
      <w:r w:rsidRPr="001A12EA">
        <w:rPr>
          <w:b/>
          <w:i w:val="0"/>
          <w:noProof/>
        </w:rPr>
        <w:t>Оповестяване на експозициите към лихвен риск по позициите, които не се държат в търговския портфейл</w:t>
      </w:r>
    </w:p>
    <w:p w:rsidR="000A5D79" w:rsidRPr="001A12EA" w:rsidRDefault="00135406" w:rsidP="00135406">
      <w:pPr>
        <w:pStyle w:val="ManualNumPar1"/>
        <w:rPr>
          <w:noProof/>
        </w:rPr>
      </w:pPr>
      <w:r w:rsidRPr="00135406">
        <w:rPr>
          <w:noProof/>
        </w:rPr>
        <w:t>1.</w:t>
      </w:r>
      <w:r w:rsidRPr="00135406">
        <w:rPr>
          <w:noProof/>
        </w:rPr>
        <w:tab/>
      </w:r>
      <w:r w:rsidR="000A5D79" w:rsidRPr="001A12EA">
        <w:rPr>
          <w:noProof/>
        </w:rPr>
        <w:t xml:space="preserve">Институциите оповестяват информацията по член 448, параграф 1, букви а) – ж) от Регламент (ЕС) № 575/2013 по реда на раздел 18 „Оповестяване на лихвения риск по дейностите извън търговския портфейл“ в приложение I. </w:t>
      </w:r>
    </w:p>
    <w:p w:rsidR="000A5D79" w:rsidRPr="001A12EA" w:rsidRDefault="00135406" w:rsidP="00135406">
      <w:pPr>
        <w:pStyle w:val="ManualNumPar1"/>
        <w:rPr>
          <w:noProof/>
        </w:rPr>
      </w:pPr>
      <w:r w:rsidRPr="00135406">
        <w:rPr>
          <w:noProof/>
        </w:rPr>
        <w:t>2.</w:t>
      </w:r>
      <w:r w:rsidRPr="00135406">
        <w:rPr>
          <w:noProof/>
        </w:rPr>
        <w:tab/>
      </w:r>
      <w:r w:rsidR="00725C62" w:rsidRPr="001A12EA">
        <w:rPr>
          <w:noProof/>
        </w:rPr>
        <w:t>Институциите, които оповестяват информация по силата на параграф 1 за първи път, не са длъжни да оповестяват тази информация по отношение на предходната референтна дата.</w:t>
      </w:r>
    </w:p>
    <w:p w:rsidR="000A5D79" w:rsidRPr="001A12EA" w:rsidRDefault="000A5D79" w:rsidP="00813A48">
      <w:pPr>
        <w:pStyle w:val="Titrearticle"/>
        <w:rPr>
          <w:noProof/>
        </w:rPr>
      </w:pPr>
      <w:r w:rsidRPr="001A12EA">
        <w:rPr>
          <w:noProof/>
        </w:rPr>
        <w:t>Член 20</w:t>
      </w:r>
    </w:p>
    <w:p w:rsidR="000A5D79" w:rsidRPr="001A12EA" w:rsidRDefault="000A5D79" w:rsidP="000A5D79">
      <w:pPr>
        <w:pStyle w:val="Titrearticle"/>
        <w:spacing w:before="120"/>
        <w:rPr>
          <w:b/>
          <w:i w:val="0"/>
          <w:noProof/>
        </w:rPr>
      </w:pPr>
      <w:r w:rsidRPr="001A12EA">
        <w:rPr>
          <w:b/>
          <w:i w:val="0"/>
          <w:noProof/>
        </w:rPr>
        <w:t>Оповестяване на политиката за възнагражденията</w:t>
      </w:r>
    </w:p>
    <w:p w:rsidR="000A5D79" w:rsidRPr="001A12EA" w:rsidRDefault="000A5D79" w:rsidP="00905855">
      <w:pPr>
        <w:rPr>
          <w:i/>
          <w:noProof/>
        </w:rPr>
      </w:pPr>
      <w:r w:rsidRPr="001A12EA">
        <w:rPr>
          <w:noProof/>
        </w:rPr>
        <w:t xml:space="preserve">Институциите оповестяват информацията по член 450 от Регламент (ЕС) № 575/2013 по реда на раздел 19 „Оповестяване на политиката за възнагражденията“ в приложение I. </w:t>
      </w:r>
    </w:p>
    <w:p w:rsidR="000A5D79" w:rsidRPr="001A12EA" w:rsidRDefault="000A5D79" w:rsidP="00115B95">
      <w:pPr>
        <w:pStyle w:val="Titrearticle"/>
        <w:rPr>
          <w:noProof/>
        </w:rPr>
      </w:pPr>
      <w:r w:rsidRPr="001A12EA">
        <w:rPr>
          <w:noProof/>
        </w:rPr>
        <w:t>Член 21</w:t>
      </w:r>
    </w:p>
    <w:p w:rsidR="000A5D79" w:rsidRPr="001A12EA" w:rsidRDefault="000A5D79" w:rsidP="000A5D79">
      <w:pPr>
        <w:pStyle w:val="Titrearticle"/>
        <w:spacing w:before="120"/>
        <w:rPr>
          <w:b/>
          <w:i w:val="0"/>
          <w:noProof/>
        </w:rPr>
      </w:pPr>
      <w:r w:rsidRPr="001A12EA">
        <w:rPr>
          <w:b/>
          <w:i w:val="0"/>
          <w:noProof/>
        </w:rPr>
        <w:t xml:space="preserve">Оповестяване на обременените с тежести и свободните от тежести активи </w:t>
      </w:r>
    </w:p>
    <w:p w:rsidR="000A5D79" w:rsidRPr="001A12EA" w:rsidRDefault="000A5D79" w:rsidP="00905855">
      <w:pPr>
        <w:rPr>
          <w:noProof/>
        </w:rPr>
      </w:pPr>
      <w:r w:rsidRPr="001A12EA">
        <w:rPr>
          <w:noProof/>
        </w:rPr>
        <w:t xml:space="preserve">Институциите оповестяват информацията по член 443 от Регламент (ЕС) № 575/2013 по реда на раздел 20 „Оповестяване на обременените с тежести и свободните от тежести активи“ в приложение I. </w:t>
      </w:r>
    </w:p>
    <w:p w:rsidR="000A5D79" w:rsidRPr="001A12EA" w:rsidRDefault="000A5D79" w:rsidP="00115B95">
      <w:pPr>
        <w:pStyle w:val="Titrearticle"/>
        <w:rPr>
          <w:noProof/>
        </w:rPr>
      </w:pPr>
      <w:r w:rsidRPr="001A12EA">
        <w:rPr>
          <w:noProof/>
        </w:rPr>
        <w:t xml:space="preserve">Член 22 </w:t>
      </w:r>
    </w:p>
    <w:p w:rsidR="000A5D79" w:rsidRPr="001A12EA" w:rsidRDefault="000A5D79" w:rsidP="000A5D79">
      <w:pPr>
        <w:pStyle w:val="Titrearticle"/>
        <w:spacing w:before="120"/>
        <w:rPr>
          <w:b/>
          <w:i w:val="0"/>
          <w:noProof/>
        </w:rPr>
      </w:pPr>
      <w:r w:rsidRPr="001A12EA">
        <w:rPr>
          <w:b/>
          <w:i w:val="0"/>
          <w:noProof/>
        </w:rPr>
        <w:t xml:space="preserve">Оповестяване на </w:t>
      </w:r>
      <w:bookmarkStart w:id="6" w:name="_Hlk163229421"/>
      <w:r w:rsidRPr="001A12EA">
        <w:rPr>
          <w:b/>
          <w:i w:val="0"/>
          <w:noProof/>
        </w:rPr>
        <w:t>екологичните, социалните и управленските (ЕСУ) рискове</w:t>
      </w:r>
      <w:bookmarkEnd w:id="6"/>
    </w:p>
    <w:p w:rsidR="000A5D79" w:rsidRPr="001A12EA" w:rsidRDefault="00135406" w:rsidP="00135406">
      <w:pPr>
        <w:pStyle w:val="ManualNumPar1"/>
        <w:rPr>
          <w:noProof/>
        </w:rPr>
      </w:pPr>
      <w:r w:rsidRPr="00135406">
        <w:rPr>
          <w:noProof/>
        </w:rPr>
        <w:t>1.</w:t>
      </w:r>
      <w:r w:rsidRPr="00135406">
        <w:rPr>
          <w:noProof/>
        </w:rPr>
        <w:tab/>
      </w:r>
      <w:r w:rsidR="000A5D79" w:rsidRPr="001A12EA">
        <w:rPr>
          <w:noProof/>
        </w:rPr>
        <w:t>Институциите оповестяват информацията по член 449а от Регламент (ЕС) № 575/2013 по реда на раздел 21 „Оповестяване за пруденциални цели на информация за екологичните, социалните и управленските (ЕСУ) рискове“ в приложение I. Посочената информация обхваща всичко долупосочено:</w:t>
      </w:r>
    </w:p>
    <w:p w:rsidR="000A5D79" w:rsidRPr="001A12EA" w:rsidRDefault="001A12EA" w:rsidP="001A12EA">
      <w:pPr>
        <w:pStyle w:val="Point1"/>
        <w:rPr>
          <w:noProof/>
        </w:rPr>
      </w:pPr>
      <w:r>
        <w:rPr>
          <w:noProof/>
        </w:rPr>
        <w:t>а)</w:t>
      </w:r>
      <w:r>
        <w:rPr>
          <w:noProof/>
        </w:rPr>
        <w:tab/>
      </w:r>
      <w:r w:rsidR="000A5D79" w:rsidRPr="001A12EA">
        <w:rPr>
          <w:noProof/>
        </w:rPr>
        <w:t xml:space="preserve">качествена информация за ЕСУ рисковете; </w:t>
      </w:r>
    </w:p>
    <w:p w:rsidR="000A5D79" w:rsidRPr="001A12EA" w:rsidRDefault="001A12EA" w:rsidP="001A12EA">
      <w:pPr>
        <w:pStyle w:val="Point1"/>
        <w:rPr>
          <w:noProof/>
        </w:rPr>
      </w:pPr>
      <w:r>
        <w:rPr>
          <w:noProof/>
        </w:rPr>
        <w:t>б)</w:t>
      </w:r>
      <w:r>
        <w:rPr>
          <w:noProof/>
        </w:rPr>
        <w:tab/>
      </w:r>
      <w:r w:rsidR="000A5D79" w:rsidRPr="001A12EA">
        <w:rPr>
          <w:noProof/>
        </w:rPr>
        <w:t xml:space="preserve">количествена информация за риска от прехода във връзка с изменението на климата; </w:t>
      </w:r>
    </w:p>
    <w:p w:rsidR="000A5D79" w:rsidRPr="001A12EA" w:rsidRDefault="001A12EA" w:rsidP="001A12EA">
      <w:pPr>
        <w:pStyle w:val="Point1"/>
        <w:rPr>
          <w:noProof/>
        </w:rPr>
      </w:pPr>
      <w:r>
        <w:rPr>
          <w:noProof/>
        </w:rPr>
        <w:t>в)</w:t>
      </w:r>
      <w:r>
        <w:rPr>
          <w:noProof/>
        </w:rPr>
        <w:tab/>
      </w:r>
      <w:r w:rsidR="000A5D79" w:rsidRPr="001A12EA">
        <w:rPr>
          <w:noProof/>
        </w:rPr>
        <w:t xml:space="preserve">количествена информация за физическите рискове, свързани с изменението на климата; </w:t>
      </w:r>
    </w:p>
    <w:p w:rsidR="000A5D79" w:rsidRPr="001A12EA" w:rsidRDefault="001A12EA" w:rsidP="001A12EA">
      <w:pPr>
        <w:pStyle w:val="Point1"/>
        <w:rPr>
          <w:noProof/>
        </w:rPr>
      </w:pPr>
      <w:r>
        <w:rPr>
          <w:noProof/>
        </w:rPr>
        <w:t>г)</w:t>
      </w:r>
      <w:r>
        <w:rPr>
          <w:noProof/>
        </w:rPr>
        <w:tab/>
      </w:r>
      <w:r w:rsidR="000A5D79" w:rsidRPr="001A12EA">
        <w:rPr>
          <w:noProof/>
        </w:rPr>
        <w:t>количествена информация за смекчаващите действия, свързани с икономически дейности, които се определят като екологично устойчиви по член 3 от Регламент (ЕС) 2020/852 на Европейския парламент и на Съвета, по отношение на контрагентите, за които се прилагат членове 19а или 29а от Директива 2013/34/ЕС, по отношение на домакинствата и по отношение на местните органи на властта съгласно част 1, точка 42, буква б) от приложение V към Регламент за изпълнение (ЕС) 2021/451 на Комисията</w:t>
      </w:r>
      <w:r w:rsidR="000A5D79" w:rsidRPr="001A12EA">
        <w:rPr>
          <w:rStyle w:val="FootnoteReference"/>
          <w:noProof/>
        </w:rPr>
        <w:footnoteReference w:id="13"/>
      </w:r>
      <w:r w:rsidR="000A5D79" w:rsidRPr="001A12EA">
        <w:rPr>
          <w:noProof/>
        </w:rPr>
        <w:t xml:space="preserve">; </w:t>
      </w:r>
    </w:p>
    <w:p w:rsidR="000A5D79" w:rsidRPr="001A12EA" w:rsidRDefault="001A12EA" w:rsidP="001A12EA">
      <w:pPr>
        <w:pStyle w:val="Point1"/>
        <w:rPr>
          <w:noProof/>
        </w:rPr>
      </w:pPr>
      <w:r>
        <w:rPr>
          <w:noProof/>
        </w:rPr>
        <w:t>д)</w:t>
      </w:r>
      <w:r>
        <w:rPr>
          <w:noProof/>
        </w:rPr>
        <w:tab/>
      </w:r>
      <w:r w:rsidR="000A5D79" w:rsidRPr="001A12EA">
        <w:rPr>
          <w:noProof/>
        </w:rPr>
        <w:t xml:space="preserve">количествена информация за другите смекчаващи действия и експозициите към рискове, свързани с изменението на климата, които не се определят като екологично устойчиви икономически дейности по член 3 от Регламент (ЕС) 2020/852, но подпомагат контрагентите в процеса на преход или адаптиране към изменението на климата по целите за смекчаване на изменението на климата и за адаптиране към него. </w:t>
      </w:r>
    </w:p>
    <w:p w:rsidR="000A5D79" w:rsidRPr="001A12EA" w:rsidRDefault="00135406" w:rsidP="00135406">
      <w:pPr>
        <w:pStyle w:val="ManualNumPar1"/>
        <w:rPr>
          <w:noProof/>
        </w:rPr>
      </w:pPr>
      <w:r w:rsidRPr="00135406">
        <w:rPr>
          <w:noProof/>
        </w:rPr>
        <w:t>2.</w:t>
      </w:r>
      <w:r w:rsidRPr="00135406">
        <w:rPr>
          <w:noProof/>
        </w:rPr>
        <w:tab/>
      </w:r>
      <w:r w:rsidR="000A5D79" w:rsidRPr="001A12EA">
        <w:rPr>
          <w:noProof/>
        </w:rPr>
        <w:t>Институциите може да изберат да оповестяват количествена информация за смекчаващите действия и експозициите по рискове, свързани с изменението на климата, във връзка с икономически дейности, които се определят като екологично устойчиви по член 3 от Регламент (ЕС) 2020/852, към контрагенти, които са нефинансови предприятия, за които не се прилагат задълженията за оповестяване по членове 19а или 29а от Директива 2013/34/ЕС и за които не се прилагат задълженията за оповестяване, предвидени в Регламент за изпълнение (ЕС) 2021/2178 на Комисията</w:t>
      </w:r>
      <w:r w:rsidR="000A5D79" w:rsidRPr="001A12EA">
        <w:rPr>
          <w:rStyle w:val="FootnoteReference"/>
          <w:noProof/>
        </w:rPr>
        <w:footnoteReference w:id="14"/>
      </w:r>
      <w:r w:rsidR="000A5D79" w:rsidRPr="001A12EA">
        <w:rPr>
          <w:noProof/>
        </w:rPr>
        <w:t>.</w:t>
      </w:r>
    </w:p>
    <w:p w:rsidR="000A5D79" w:rsidRPr="001A12EA" w:rsidRDefault="000A5D79" w:rsidP="00204A69">
      <w:pPr>
        <w:pStyle w:val="Text1"/>
        <w:rPr>
          <w:noProof/>
        </w:rPr>
      </w:pPr>
      <w:r w:rsidRPr="001A12EA">
        <w:rPr>
          <w:noProof/>
        </w:rPr>
        <w:t xml:space="preserve">За изчисляването на процента на експозициите по дейности, които отговарят на изискванията по член 3 от Регламент (ЕС) 2020/852 (съобразени с таксономията експозиции), към тези контрагенти, институциите: </w:t>
      </w:r>
    </w:p>
    <w:p w:rsidR="000A5D79" w:rsidRPr="001A12EA" w:rsidRDefault="001A12EA" w:rsidP="001A12EA">
      <w:pPr>
        <w:pStyle w:val="Point1"/>
        <w:rPr>
          <w:noProof/>
        </w:rPr>
      </w:pPr>
      <w:r>
        <w:rPr>
          <w:noProof/>
        </w:rPr>
        <w:t>а)</w:t>
      </w:r>
      <w:r>
        <w:rPr>
          <w:noProof/>
        </w:rPr>
        <w:tab/>
      </w:r>
      <w:r w:rsidR="000A5D79" w:rsidRPr="001A12EA">
        <w:rPr>
          <w:noProof/>
        </w:rPr>
        <w:t xml:space="preserve">може да използват информацията, която са получили от своите контрагенти на доброволна и двустранна основа при процесите на първоначално създаване на заеми и на редовен преглед и наблюдение на кредитите, ако такава информация е налична; </w:t>
      </w:r>
    </w:p>
    <w:p w:rsidR="000A5D79" w:rsidRPr="001A12EA" w:rsidRDefault="001A12EA" w:rsidP="001A12EA">
      <w:pPr>
        <w:pStyle w:val="Point1"/>
        <w:rPr>
          <w:noProof/>
        </w:rPr>
      </w:pPr>
      <w:r>
        <w:rPr>
          <w:noProof/>
        </w:rPr>
        <w:t>б)</w:t>
      </w:r>
      <w:r>
        <w:rPr>
          <w:noProof/>
        </w:rPr>
        <w:tab/>
      </w:r>
      <w:r w:rsidR="000A5D79" w:rsidRPr="001A12EA">
        <w:rPr>
          <w:noProof/>
        </w:rPr>
        <w:t>когато контрагентът не е в състояние или не желае да предостави съответните данни на двустранна основа, може да използват вътрешни приблизителни оценки и аналози, като в текстовото описание към образеца посочат кои вътрешни приблизителни оценки и аналози са използвани и до каква степен;</w:t>
      </w:r>
    </w:p>
    <w:p w:rsidR="000A5D79" w:rsidRPr="001A12EA" w:rsidRDefault="001A12EA" w:rsidP="001A12EA">
      <w:pPr>
        <w:pStyle w:val="Point1"/>
        <w:rPr>
          <w:noProof/>
        </w:rPr>
      </w:pPr>
      <w:r>
        <w:rPr>
          <w:noProof/>
        </w:rPr>
        <w:t>в)</w:t>
      </w:r>
      <w:r>
        <w:rPr>
          <w:noProof/>
        </w:rPr>
        <w:tab/>
      </w:r>
      <w:r w:rsidR="000A5D79" w:rsidRPr="001A12EA">
        <w:rPr>
          <w:noProof/>
        </w:rPr>
        <w:t xml:space="preserve">когато не са в състояние да съберат съответната информация на двустранна основа или не могат да използват вътрешни приблизителни оценки и аналози, или не могат да съберат тази информация или да използват приблизителните оценки и аналозите по начин, който не е твърде обременяващ за тях или за техните контрагенти, може да обяснят тази неспособност в текстовото описание към образеца. </w:t>
      </w:r>
    </w:p>
    <w:p w:rsidR="000A5D79" w:rsidRPr="001A12EA" w:rsidRDefault="000A5D79" w:rsidP="00204A69">
      <w:pPr>
        <w:pStyle w:val="Text1"/>
        <w:rPr>
          <w:noProof/>
        </w:rPr>
      </w:pPr>
      <w:r w:rsidRPr="001A12EA">
        <w:rPr>
          <w:noProof/>
        </w:rPr>
        <w:t xml:space="preserve">За целите на буква а) институциите информират контрагентите си, че предоставянето на такава информация е доброволно. </w:t>
      </w:r>
    </w:p>
    <w:p w:rsidR="000A5D79" w:rsidRPr="001A12EA" w:rsidRDefault="000A5D79" w:rsidP="00813A48">
      <w:pPr>
        <w:pStyle w:val="Titrearticle"/>
        <w:spacing w:before="120"/>
        <w:rPr>
          <w:noProof/>
        </w:rPr>
      </w:pPr>
      <w:r w:rsidRPr="001A12EA">
        <w:rPr>
          <w:noProof/>
        </w:rPr>
        <w:t>Член 23</w:t>
      </w:r>
    </w:p>
    <w:p w:rsidR="000A5D79" w:rsidRPr="001A12EA" w:rsidRDefault="00AB6551" w:rsidP="00813A48">
      <w:pPr>
        <w:pStyle w:val="Titrearticle"/>
        <w:spacing w:before="120"/>
        <w:rPr>
          <w:b/>
          <w:i w:val="0"/>
          <w:noProof/>
        </w:rPr>
      </w:pPr>
      <w:r w:rsidRPr="001A12EA">
        <w:rPr>
          <w:b/>
          <w:i w:val="0"/>
          <w:noProof/>
        </w:rPr>
        <w:t>Оповестяване на криптоактивите</w:t>
      </w:r>
    </w:p>
    <w:p w:rsidR="000A5D79" w:rsidRPr="001A12EA" w:rsidRDefault="000A5D79" w:rsidP="00905855">
      <w:pPr>
        <w:rPr>
          <w:noProof/>
        </w:rPr>
      </w:pPr>
      <w:r w:rsidRPr="001A12EA">
        <w:rPr>
          <w:noProof/>
        </w:rPr>
        <w:t xml:space="preserve">Институциите оповестяват информацията за изчислението на капиталовите изисквания за експозициите по криптоактиви </w:t>
      </w:r>
      <w:bookmarkStart w:id="7" w:name="_Hlk163582169"/>
      <w:r w:rsidRPr="001A12EA">
        <w:rPr>
          <w:noProof/>
        </w:rPr>
        <w:t>съгласно член 501г, параграф 2 от</w:t>
      </w:r>
      <w:bookmarkEnd w:id="7"/>
      <w:r w:rsidRPr="001A12EA">
        <w:rPr>
          <w:noProof/>
        </w:rPr>
        <w:t xml:space="preserve"> Регламент (ЕС) № 575/2013 по реда на раздел 22 „Оповестяване на експозициите по криптоактиви“ в приложение I.</w:t>
      </w:r>
    </w:p>
    <w:p w:rsidR="0066214E" w:rsidRPr="001A12EA" w:rsidRDefault="0066214E" w:rsidP="0066214E">
      <w:pPr>
        <w:spacing w:before="360"/>
        <w:jc w:val="center"/>
        <w:rPr>
          <w:i/>
          <w:iCs/>
          <w:noProof/>
        </w:rPr>
      </w:pPr>
      <w:r w:rsidRPr="001A12EA">
        <w:rPr>
          <w:i/>
          <w:noProof/>
        </w:rPr>
        <w:t>Член 24</w:t>
      </w:r>
    </w:p>
    <w:p w:rsidR="0066214E" w:rsidRPr="001A12EA" w:rsidRDefault="0066214E" w:rsidP="0066214E">
      <w:pPr>
        <w:jc w:val="center"/>
        <w:rPr>
          <w:b/>
          <w:bCs/>
          <w:noProof/>
        </w:rPr>
      </w:pPr>
      <w:r w:rsidRPr="001A12EA">
        <w:rPr>
          <w:b/>
          <w:noProof/>
        </w:rPr>
        <w:t xml:space="preserve">Информационнотехнологични (ИТ) решения </w:t>
      </w:r>
    </w:p>
    <w:p w:rsidR="00344DF8" w:rsidRPr="001A12EA" w:rsidRDefault="006C550D" w:rsidP="00BB0B33">
      <w:pPr>
        <w:rPr>
          <w:noProof/>
        </w:rPr>
      </w:pPr>
      <w:r w:rsidRPr="001A12EA">
        <w:rPr>
          <w:noProof/>
        </w:rPr>
        <w:t xml:space="preserve">ЕБО гарантира, че ИТ решенията, в т.ч. указанията, които се разработват за оповестяванията, изисквани по силата на дялове II и III от Регламент (ЕС) № 575/2013, са съобразени по всяко време с единните формати за оповестяването, установени в настоящия регламент, и включват всички единични данни и информация, посочени в образците за оповестяване. </w:t>
      </w:r>
    </w:p>
    <w:p w:rsidR="00344DF8" w:rsidRPr="001A12EA" w:rsidRDefault="00344DF8" w:rsidP="00BB0B33">
      <w:pPr>
        <w:rPr>
          <w:noProof/>
        </w:rPr>
      </w:pPr>
      <w:r w:rsidRPr="001A12EA">
        <w:rPr>
          <w:noProof/>
        </w:rPr>
        <w:t>ЕБО предоставя всички ИТ решения по първата алинея и всички свързани с тях указания на своя уебсайт. ЕБО непрекъснато актуализира тези ИТ решения и указания и ги предоставя на всички официални езици.</w:t>
      </w:r>
    </w:p>
    <w:p w:rsidR="000A5D79" w:rsidRPr="001A12EA" w:rsidRDefault="000A5D79" w:rsidP="000A5D79">
      <w:pPr>
        <w:pStyle w:val="Titrearticle"/>
        <w:rPr>
          <w:noProof/>
        </w:rPr>
      </w:pPr>
      <w:r w:rsidRPr="001A12EA">
        <w:rPr>
          <w:noProof/>
        </w:rPr>
        <w:t>Член 25</w:t>
      </w:r>
    </w:p>
    <w:p w:rsidR="000A5D79" w:rsidRPr="001A12EA" w:rsidRDefault="000A5D79" w:rsidP="000A5D79">
      <w:pPr>
        <w:pStyle w:val="Titrearticle"/>
        <w:spacing w:before="120"/>
        <w:rPr>
          <w:b/>
          <w:i w:val="0"/>
          <w:noProof/>
        </w:rPr>
      </w:pPr>
      <w:r w:rsidRPr="001A12EA">
        <w:rPr>
          <w:b/>
          <w:i w:val="0"/>
          <w:noProof/>
        </w:rPr>
        <w:t>Общи разпоредби за единните формати за оповестяването</w:t>
      </w:r>
    </w:p>
    <w:p w:rsidR="000A5D79" w:rsidRPr="001A12EA" w:rsidRDefault="00135406" w:rsidP="00135406">
      <w:pPr>
        <w:pStyle w:val="ManualNumPar1"/>
        <w:rPr>
          <w:noProof/>
        </w:rPr>
      </w:pPr>
      <w:r w:rsidRPr="00135406">
        <w:rPr>
          <w:noProof/>
        </w:rPr>
        <w:t>1.</w:t>
      </w:r>
      <w:r w:rsidRPr="00135406">
        <w:rPr>
          <w:noProof/>
        </w:rPr>
        <w:tab/>
      </w:r>
      <w:r w:rsidR="000A5D79" w:rsidRPr="001A12EA">
        <w:rPr>
          <w:noProof/>
        </w:rPr>
        <w:t>Номерацията на редовете или колоните в единните формати за оповестяването по приложение I, които се включват в ИТ решенията, разработени от ЕБО, не се променя, когато дадена институция пропусне едно или повече оповестявания съгласно член 432 от Регламент (ЕС) № 575/2013.</w:t>
      </w:r>
    </w:p>
    <w:p w:rsidR="000A5D79" w:rsidRPr="001A12EA" w:rsidRDefault="00135406" w:rsidP="00135406">
      <w:pPr>
        <w:pStyle w:val="ManualNumPar1"/>
        <w:rPr>
          <w:noProof/>
        </w:rPr>
      </w:pPr>
      <w:r w:rsidRPr="00135406">
        <w:rPr>
          <w:noProof/>
        </w:rPr>
        <w:t>2.</w:t>
      </w:r>
      <w:r w:rsidRPr="00135406">
        <w:rPr>
          <w:noProof/>
        </w:rPr>
        <w:tab/>
      </w:r>
      <w:r w:rsidR="000A5D79" w:rsidRPr="001A12EA">
        <w:rPr>
          <w:noProof/>
        </w:rPr>
        <w:t>В текстовото описание към съответния образец или таблица въз основа на ИТ решение институциите ясно посочват кои редове или колони не са попълнени и излагат причината за това неоповестяване.</w:t>
      </w:r>
    </w:p>
    <w:p w:rsidR="000A5D79" w:rsidRPr="001A12EA" w:rsidRDefault="00135406" w:rsidP="00135406">
      <w:pPr>
        <w:pStyle w:val="ManualNumPar1"/>
        <w:rPr>
          <w:noProof/>
        </w:rPr>
      </w:pPr>
      <w:r w:rsidRPr="00135406">
        <w:rPr>
          <w:noProof/>
        </w:rPr>
        <w:t>3.</w:t>
      </w:r>
      <w:r w:rsidRPr="00135406">
        <w:rPr>
          <w:noProof/>
        </w:rPr>
        <w:tab/>
      </w:r>
      <w:r w:rsidR="000A5D79" w:rsidRPr="001A12EA">
        <w:rPr>
          <w:noProof/>
        </w:rPr>
        <w:t>Информацията, изисквана по силата на член 431 от Регламент (ЕС) № 575/2013, трябва да е ясна и изчерпателна – така щото нейните ползватели да може да разбират оповестяваната количествена информация – и се поставя до образците, за които се отнася.</w:t>
      </w:r>
    </w:p>
    <w:p w:rsidR="000A5D79" w:rsidRPr="001A12EA" w:rsidRDefault="00135406" w:rsidP="00135406">
      <w:pPr>
        <w:pStyle w:val="ManualNumPar1"/>
        <w:rPr>
          <w:noProof/>
        </w:rPr>
      </w:pPr>
      <w:r w:rsidRPr="00135406">
        <w:rPr>
          <w:noProof/>
        </w:rPr>
        <w:t>4.</w:t>
      </w:r>
      <w:r w:rsidRPr="00135406">
        <w:rPr>
          <w:noProof/>
        </w:rPr>
        <w:tab/>
      </w:r>
      <w:r w:rsidR="000A5D79" w:rsidRPr="001A12EA">
        <w:rPr>
          <w:noProof/>
        </w:rPr>
        <w:t>Числовите стойности се представят, както следва:</w:t>
      </w:r>
    </w:p>
    <w:p w:rsidR="000A5D79" w:rsidRPr="001A12EA" w:rsidRDefault="001A12EA" w:rsidP="001A12EA">
      <w:pPr>
        <w:pStyle w:val="Point1"/>
        <w:rPr>
          <w:noProof/>
        </w:rPr>
      </w:pPr>
      <w:r>
        <w:rPr>
          <w:noProof/>
        </w:rPr>
        <w:t>а)</w:t>
      </w:r>
      <w:r>
        <w:rPr>
          <w:noProof/>
        </w:rPr>
        <w:tab/>
      </w:r>
      <w:r w:rsidR="000A5D79" w:rsidRPr="001A12EA">
        <w:rPr>
          <w:noProof/>
        </w:rPr>
        <w:t>количествените парични данни се оповестяват с минимална точност до милиони единици;</w:t>
      </w:r>
    </w:p>
    <w:p w:rsidR="000A5D79" w:rsidRPr="001A12EA" w:rsidRDefault="001A12EA" w:rsidP="001A12EA">
      <w:pPr>
        <w:pStyle w:val="Point1"/>
        <w:rPr>
          <w:noProof/>
        </w:rPr>
      </w:pPr>
      <w:r>
        <w:rPr>
          <w:noProof/>
        </w:rPr>
        <w:t>а)</w:t>
      </w:r>
      <w:r>
        <w:rPr>
          <w:noProof/>
        </w:rPr>
        <w:tab/>
      </w:r>
      <w:r w:rsidR="000A5D79" w:rsidRPr="001A12EA">
        <w:rPr>
          <w:noProof/>
        </w:rPr>
        <w:t>количествените процентни данни се оповестяват за единица с минимална точност до четири знака след десетичната запетая.</w:t>
      </w:r>
    </w:p>
    <w:p w:rsidR="000A5D79" w:rsidRPr="001A12EA" w:rsidRDefault="00757AA2" w:rsidP="00396A89">
      <w:pPr>
        <w:tabs>
          <w:tab w:val="left" w:pos="567"/>
        </w:tabs>
        <w:rPr>
          <w:noProof/>
        </w:rPr>
      </w:pPr>
      <w:r w:rsidRPr="001A12EA">
        <w:rPr>
          <w:noProof/>
        </w:rPr>
        <w:t>5.</w:t>
      </w:r>
      <w:r w:rsidRPr="001A12EA">
        <w:rPr>
          <w:noProof/>
        </w:rPr>
        <w:tab/>
        <w:t>Институциите предоставят и следната информация:</w:t>
      </w:r>
    </w:p>
    <w:p w:rsidR="000A5D79" w:rsidRPr="001A12EA" w:rsidRDefault="001A12EA" w:rsidP="001A12EA">
      <w:pPr>
        <w:pStyle w:val="Point1"/>
        <w:rPr>
          <w:noProof/>
        </w:rPr>
      </w:pPr>
      <w:r>
        <w:rPr>
          <w:noProof/>
        </w:rPr>
        <w:t>а)</w:t>
      </w:r>
      <w:r>
        <w:rPr>
          <w:noProof/>
        </w:rPr>
        <w:tab/>
      </w:r>
      <w:r w:rsidR="000A5D79" w:rsidRPr="001A12EA">
        <w:rPr>
          <w:noProof/>
        </w:rPr>
        <w:t xml:space="preserve">референтната дата на оповестяването и съответния референтен период; </w:t>
      </w:r>
    </w:p>
    <w:p w:rsidR="000A5D79" w:rsidRPr="001A12EA" w:rsidRDefault="001A12EA" w:rsidP="001A12EA">
      <w:pPr>
        <w:pStyle w:val="Point1"/>
        <w:rPr>
          <w:noProof/>
        </w:rPr>
      </w:pPr>
      <w:r>
        <w:rPr>
          <w:noProof/>
        </w:rPr>
        <w:t>б)</w:t>
      </w:r>
      <w:r>
        <w:rPr>
          <w:noProof/>
        </w:rPr>
        <w:tab/>
      </w:r>
      <w:r w:rsidR="000A5D79" w:rsidRPr="001A12EA">
        <w:rPr>
          <w:noProof/>
        </w:rPr>
        <w:t xml:space="preserve">отчетната валута; </w:t>
      </w:r>
    </w:p>
    <w:p w:rsidR="000A5D79" w:rsidRPr="001A12EA" w:rsidRDefault="001A12EA" w:rsidP="001A12EA">
      <w:pPr>
        <w:pStyle w:val="Point1"/>
        <w:rPr>
          <w:noProof/>
        </w:rPr>
      </w:pPr>
      <w:r>
        <w:rPr>
          <w:noProof/>
        </w:rPr>
        <w:t>в)</w:t>
      </w:r>
      <w:r>
        <w:rPr>
          <w:noProof/>
        </w:rPr>
        <w:tab/>
      </w:r>
      <w:r w:rsidR="000A5D79" w:rsidRPr="001A12EA">
        <w:rPr>
          <w:noProof/>
        </w:rPr>
        <w:t>наименованието на оповестяващата институция, а в съответните случаи и нейния идентификационен код на правния субект (ИКПС);</w:t>
      </w:r>
    </w:p>
    <w:p w:rsidR="000A5D79" w:rsidRPr="001A12EA" w:rsidRDefault="001A12EA" w:rsidP="001A12EA">
      <w:pPr>
        <w:pStyle w:val="Point1"/>
        <w:rPr>
          <w:noProof/>
        </w:rPr>
      </w:pPr>
      <w:r>
        <w:rPr>
          <w:noProof/>
        </w:rPr>
        <w:t>г)</w:t>
      </w:r>
      <w:r>
        <w:rPr>
          <w:noProof/>
        </w:rPr>
        <w:tab/>
      </w:r>
      <w:r w:rsidR="000A5D79" w:rsidRPr="001A12EA">
        <w:rPr>
          <w:noProof/>
        </w:rPr>
        <w:t>в съответните случаи – използвания счетоводен стандарт;</w:t>
      </w:r>
    </w:p>
    <w:p w:rsidR="000A5D79" w:rsidRPr="001A12EA" w:rsidRDefault="001A12EA" w:rsidP="001A12EA">
      <w:pPr>
        <w:pStyle w:val="Point1"/>
        <w:rPr>
          <w:noProof/>
        </w:rPr>
      </w:pPr>
      <w:r>
        <w:rPr>
          <w:noProof/>
        </w:rPr>
        <w:t>д)</w:t>
      </w:r>
      <w:r>
        <w:rPr>
          <w:noProof/>
        </w:rPr>
        <w:tab/>
      </w:r>
      <w:r w:rsidR="000A5D79" w:rsidRPr="001A12EA">
        <w:rPr>
          <w:noProof/>
        </w:rPr>
        <w:t>в съответните случаи – обхвата на консолидацията.</w:t>
      </w:r>
    </w:p>
    <w:p w:rsidR="007B2B7C" w:rsidRPr="001A12EA" w:rsidRDefault="007B2B7C" w:rsidP="007B2B7C">
      <w:pPr>
        <w:pStyle w:val="Titrearticle"/>
        <w:rPr>
          <w:noProof/>
        </w:rPr>
      </w:pPr>
      <w:r w:rsidRPr="001A12EA">
        <w:rPr>
          <w:noProof/>
        </w:rPr>
        <w:t>Член 26</w:t>
      </w:r>
    </w:p>
    <w:p w:rsidR="00AC044E" w:rsidRPr="001A12EA" w:rsidRDefault="00AC044E" w:rsidP="00CA4079">
      <w:pPr>
        <w:pStyle w:val="Titrearticle"/>
        <w:spacing w:before="120"/>
        <w:rPr>
          <w:b/>
          <w:noProof/>
        </w:rPr>
      </w:pPr>
      <w:r w:rsidRPr="001A12EA">
        <w:rPr>
          <w:b/>
          <w:i w:val="0"/>
          <w:noProof/>
        </w:rPr>
        <w:t>Оповестителни периоди и честота на оповестяването</w:t>
      </w:r>
    </w:p>
    <w:p w:rsidR="00970F90" w:rsidRPr="001A12EA" w:rsidRDefault="00135406" w:rsidP="00135406">
      <w:pPr>
        <w:pStyle w:val="ManualNumPar1"/>
        <w:rPr>
          <w:noProof/>
        </w:rPr>
      </w:pPr>
      <w:r w:rsidRPr="00135406">
        <w:rPr>
          <w:noProof/>
        </w:rPr>
        <w:t>1.</w:t>
      </w:r>
      <w:r w:rsidRPr="00135406">
        <w:rPr>
          <w:noProof/>
        </w:rPr>
        <w:tab/>
      </w:r>
      <w:r w:rsidR="00AC044E" w:rsidRPr="001A12EA">
        <w:rPr>
          <w:noProof/>
        </w:rPr>
        <w:t xml:space="preserve">Оповестителните периоди са тримесечни: T, T-1, T-2, T-3 и T-4. </w:t>
      </w:r>
    </w:p>
    <w:p w:rsidR="00AC044E" w:rsidRPr="001A12EA" w:rsidRDefault="00135406" w:rsidP="00135406">
      <w:pPr>
        <w:pStyle w:val="ManualNumPar1"/>
        <w:rPr>
          <w:noProof/>
        </w:rPr>
      </w:pPr>
      <w:r w:rsidRPr="00135406">
        <w:rPr>
          <w:noProof/>
        </w:rPr>
        <w:t>2.</w:t>
      </w:r>
      <w:r w:rsidRPr="00135406">
        <w:rPr>
          <w:noProof/>
        </w:rPr>
        <w:tab/>
      </w:r>
      <w:r w:rsidR="00D234F9" w:rsidRPr="001A12EA">
        <w:rPr>
          <w:noProof/>
        </w:rPr>
        <w:t xml:space="preserve">Редовете или колоните в единните формати за оповестяването по приложение I, които се включват в ИТ решенията, разработени от ЕБО, се попълват с честотата, предвидена в членове 433а, 433б и 433в от Регламент (ЕС) № 575/2013. </w:t>
      </w:r>
    </w:p>
    <w:p w:rsidR="00AC044E" w:rsidRPr="001A12EA" w:rsidRDefault="00135406" w:rsidP="00135406">
      <w:pPr>
        <w:pStyle w:val="ManualNumPar1"/>
        <w:rPr>
          <w:noProof/>
        </w:rPr>
      </w:pPr>
      <w:r w:rsidRPr="00135406">
        <w:rPr>
          <w:noProof/>
        </w:rPr>
        <w:t>3.</w:t>
      </w:r>
      <w:r w:rsidRPr="00135406">
        <w:rPr>
          <w:noProof/>
        </w:rPr>
        <w:tab/>
      </w:r>
      <w:r w:rsidR="00AC044E" w:rsidRPr="001A12EA">
        <w:rPr>
          <w:noProof/>
        </w:rPr>
        <w:t xml:space="preserve">Институциите, за които се прилага задължението за публикуване на оповестяваната информация, оповестяват информация със следната честота: </w:t>
      </w:r>
    </w:p>
    <w:p w:rsidR="00AC044E" w:rsidRPr="001A12EA" w:rsidRDefault="001A12EA" w:rsidP="001A12EA">
      <w:pPr>
        <w:pStyle w:val="Point1"/>
        <w:rPr>
          <w:noProof/>
        </w:rPr>
      </w:pPr>
      <w:r>
        <w:rPr>
          <w:noProof/>
        </w:rPr>
        <w:t>а)</w:t>
      </w:r>
      <w:r>
        <w:rPr>
          <w:noProof/>
        </w:rPr>
        <w:tab/>
      </w:r>
      <w:r w:rsidR="00AC044E" w:rsidRPr="001A12EA">
        <w:rPr>
          <w:noProof/>
        </w:rPr>
        <w:t xml:space="preserve">институциите, които оповестяват информацията, предвидена в приложение I, на тримесечие, предоставят данни за периодите T, T-1, T-2, T-3 и T-4; </w:t>
      </w:r>
    </w:p>
    <w:p w:rsidR="00AC044E" w:rsidRPr="001A12EA" w:rsidRDefault="001A12EA" w:rsidP="001A12EA">
      <w:pPr>
        <w:pStyle w:val="Point1"/>
        <w:rPr>
          <w:noProof/>
        </w:rPr>
      </w:pPr>
      <w:r>
        <w:rPr>
          <w:noProof/>
        </w:rPr>
        <w:t>б)</w:t>
      </w:r>
      <w:r>
        <w:rPr>
          <w:noProof/>
        </w:rPr>
        <w:tab/>
      </w:r>
      <w:r w:rsidR="00AC044E" w:rsidRPr="001A12EA">
        <w:rPr>
          <w:noProof/>
        </w:rPr>
        <w:t xml:space="preserve">институциите, които оповестяват информацията, предвидена в приложение I, на шестмесечие, предоставят данни за периодите T, T-2 и T-4; </w:t>
      </w:r>
    </w:p>
    <w:p w:rsidR="00AC044E" w:rsidRPr="001A12EA" w:rsidRDefault="001A12EA" w:rsidP="001A12EA">
      <w:pPr>
        <w:pStyle w:val="Point1"/>
        <w:rPr>
          <w:noProof/>
        </w:rPr>
      </w:pPr>
      <w:r>
        <w:rPr>
          <w:noProof/>
        </w:rPr>
        <w:t>в)</w:t>
      </w:r>
      <w:r>
        <w:rPr>
          <w:noProof/>
        </w:rPr>
        <w:tab/>
      </w:r>
      <w:r w:rsidR="00AC044E" w:rsidRPr="001A12EA">
        <w:rPr>
          <w:noProof/>
        </w:rPr>
        <w:t>институциите, които оповестяват ежегодно информацията, предвидена в приложение I, предоставят данни за периодите T и T-4.</w:t>
      </w:r>
    </w:p>
    <w:p w:rsidR="00AC044E" w:rsidRPr="001A12EA" w:rsidRDefault="00135406" w:rsidP="00135406">
      <w:pPr>
        <w:pStyle w:val="ManualNumPar1"/>
        <w:rPr>
          <w:noProof/>
        </w:rPr>
      </w:pPr>
      <w:r w:rsidRPr="00135406">
        <w:rPr>
          <w:noProof/>
        </w:rPr>
        <w:t>4.</w:t>
      </w:r>
      <w:r w:rsidRPr="00135406">
        <w:rPr>
          <w:noProof/>
        </w:rPr>
        <w:tab/>
      </w:r>
      <w:r w:rsidR="00AC044E" w:rsidRPr="001A12EA">
        <w:rPr>
          <w:noProof/>
        </w:rPr>
        <w:t>Институциите оповестяват датите, съответстващи на оповестителните периоди.</w:t>
      </w:r>
    </w:p>
    <w:p w:rsidR="00AC044E" w:rsidRPr="001A12EA" w:rsidRDefault="00135406" w:rsidP="00135406">
      <w:pPr>
        <w:pStyle w:val="ManualNumPar1"/>
        <w:rPr>
          <w:noProof/>
        </w:rPr>
      </w:pPr>
      <w:r w:rsidRPr="00135406">
        <w:rPr>
          <w:noProof/>
        </w:rPr>
        <w:t>5.</w:t>
      </w:r>
      <w:r w:rsidRPr="00135406">
        <w:rPr>
          <w:noProof/>
        </w:rPr>
        <w:tab/>
      </w:r>
      <w:r w:rsidR="00AC044E" w:rsidRPr="001A12EA">
        <w:rPr>
          <w:noProof/>
        </w:rPr>
        <w:t>Когато данните се оповестяват за първи път, не е необходимо да се оповестяват данни за предходни периоди.</w:t>
      </w:r>
    </w:p>
    <w:p w:rsidR="000A5D79" w:rsidRPr="001A12EA" w:rsidRDefault="000A5D79" w:rsidP="000A5D79">
      <w:pPr>
        <w:pStyle w:val="Titrearticle"/>
        <w:rPr>
          <w:noProof/>
        </w:rPr>
      </w:pPr>
      <w:r w:rsidRPr="001A12EA">
        <w:rPr>
          <w:noProof/>
        </w:rPr>
        <w:t>Член 27</w:t>
      </w:r>
    </w:p>
    <w:p w:rsidR="000A5D79" w:rsidRPr="001A12EA" w:rsidRDefault="000A5D79" w:rsidP="000A5D79">
      <w:pPr>
        <w:pStyle w:val="Titrearticle"/>
        <w:spacing w:before="120"/>
        <w:rPr>
          <w:b/>
          <w:i w:val="0"/>
          <w:noProof/>
        </w:rPr>
      </w:pPr>
      <w:r w:rsidRPr="001A12EA">
        <w:rPr>
          <w:b/>
          <w:i w:val="0"/>
          <w:noProof/>
        </w:rPr>
        <w:t>Отмяна</w:t>
      </w:r>
    </w:p>
    <w:p w:rsidR="00B00045" w:rsidRPr="001A12EA" w:rsidRDefault="00135406" w:rsidP="00135406">
      <w:pPr>
        <w:pStyle w:val="ManualNumPar1"/>
        <w:rPr>
          <w:noProof/>
        </w:rPr>
      </w:pPr>
      <w:r w:rsidRPr="00135406">
        <w:rPr>
          <w:noProof/>
        </w:rPr>
        <w:t>1.</w:t>
      </w:r>
      <w:r w:rsidRPr="00135406">
        <w:rPr>
          <w:noProof/>
        </w:rPr>
        <w:tab/>
      </w:r>
      <w:r w:rsidR="000A5D79" w:rsidRPr="001A12EA">
        <w:rPr>
          <w:noProof/>
        </w:rPr>
        <w:t xml:space="preserve">Регламент за изпълнение (ЕС) 2021/637 престава да се прилага от 1 януари 2025 г., с изключение на член 15 и приложения XXIX и XXX. Член 15 и приложения XXIX и XXX от Регламент за изпълнение (ЕС) 2021/637 продължават да се прилагат до 31 декември 2025 г. само за целите на член 16 от настоящия регламент. </w:t>
      </w:r>
    </w:p>
    <w:p w:rsidR="00B00045" w:rsidRPr="001A12EA" w:rsidRDefault="00135406" w:rsidP="00135406">
      <w:pPr>
        <w:pStyle w:val="ManualNumPar1"/>
        <w:rPr>
          <w:noProof/>
        </w:rPr>
      </w:pPr>
      <w:r w:rsidRPr="00135406">
        <w:rPr>
          <w:noProof/>
        </w:rPr>
        <w:t>2.</w:t>
      </w:r>
      <w:r w:rsidRPr="00135406">
        <w:rPr>
          <w:noProof/>
        </w:rPr>
        <w:tab/>
      </w:r>
      <w:r w:rsidR="00D87C7D" w:rsidRPr="001A12EA">
        <w:rPr>
          <w:noProof/>
        </w:rPr>
        <w:t xml:space="preserve">Регламент за изпълнение (ЕС) 2021/637 се отменя от 31 декември 2025 г. </w:t>
      </w:r>
    </w:p>
    <w:p w:rsidR="000A5D79" w:rsidRPr="001A12EA" w:rsidRDefault="00135406" w:rsidP="00135406">
      <w:pPr>
        <w:pStyle w:val="ManualNumPar1"/>
        <w:rPr>
          <w:noProof/>
        </w:rPr>
      </w:pPr>
      <w:r w:rsidRPr="00135406">
        <w:rPr>
          <w:noProof/>
        </w:rPr>
        <w:t>3.</w:t>
      </w:r>
      <w:r w:rsidRPr="00135406">
        <w:rPr>
          <w:noProof/>
        </w:rPr>
        <w:tab/>
      </w:r>
      <w:r w:rsidR="00056FFD" w:rsidRPr="001A12EA">
        <w:rPr>
          <w:noProof/>
        </w:rPr>
        <w:t>Позоваванията на отменения регламент се считат за позовавания на настоящия регламент и се четат съгласно таблицата на съответствието в приложение II.</w:t>
      </w:r>
    </w:p>
    <w:p w:rsidR="000A5D79" w:rsidRPr="001A12EA" w:rsidRDefault="000A5D79" w:rsidP="001F6539">
      <w:pPr>
        <w:pStyle w:val="Titrearticle"/>
        <w:rPr>
          <w:noProof/>
        </w:rPr>
      </w:pPr>
      <w:r w:rsidRPr="001A12EA">
        <w:rPr>
          <w:noProof/>
        </w:rPr>
        <w:t>Член 28</w:t>
      </w:r>
    </w:p>
    <w:p w:rsidR="000A5D79" w:rsidRPr="001A12EA" w:rsidRDefault="000A5D79" w:rsidP="000A5D79">
      <w:pPr>
        <w:pStyle w:val="Titrearticle"/>
        <w:spacing w:before="120"/>
        <w:rPr>
          <w:b/>
          <w:i w:val="0"/>
          <w:noProof/>
        </w:rPr>
      </w:pPr>
      <w:r w:rsidRPr="001A12EA">
        <w:rPr>
          <w:b/>
          <w:i w:val="0"/>
          <w:noProof/>
        </w:rPr>
        <w:t>Влизане в сила и прилагане</w:t>
      </w:r>
    </w:p>
    <w:p w:rsidR="000A5D79" w:rsidRPr="001A12EA" w:rsidRDefault="000A5D79" w:rsidP="000A5D79">
      <w:pPr>
        <w:rPr>
          <w:noProof/>
        </w:rPr>
      </w:pPr>
      <w:r w:rsidRPr="001A12EA">
        <w:rPr>
          <w:noProof/>
        </w:rPr>
        <w:t xml:space="preserve">Настоящият регламент влиза в сила на двадесетия ден след деня на публикуването му в </w:t>
      </w:r>
      <w:r w:rsidRPr="001A12EA">
        <w:rPr>
          <w:i/>
          <w:noProof/>
        </w:rPr>
        <w:t>Официален вестник на Европейския съюз</w:t>
      </w:r>
      <w:r w:rsidRPr="001A12EA">
        <w:rPr>
          <w:noProof/>
        </w:rPr>
        <w:t>.</w:t>
      </w:r>
    </w:p>
    <w:p w:rsidR="000A5D79" w:rsidRPr="001A12EA" w:rsidRDefault="000A5D79" w:rsidP="000A5D79">
      <w:pPr>
        <w:rPr>
          <w:noProof/>
        </w:rPr>
      </w:pPr>
      <w:r w:rsidRPr="001A12EA">
        <w:rPr>
          <w:noProof/>
        </w:rPr>
        <w:t xml:space="preserve">Той се прилага от 1 януари 2025 г. </w:t>
      </w:r>
    </w:p>
    <w:p w:rsidR="0050796F" w:rsidRPr="001A12EA" w:rsidRDefault="0050796F">
      <w:pPr>
        <w:pStyle w:val="Applicationdirecte"/>
        <w:rPr>
          <w:noProof/>
        </w:rPr>
      </w:pPr>
      <w:r w:rsidRPr="001A12EA">
        <w:rPr>
          <w:noProof/>
        </w:rPr>
        <w:t>Настоящият регламент е задължителен в своята цялост и се прилага пряко във всички държави членки.</w:t>
      </w:r>
    </w:p>
    <w:p w:rsidR="0050796F" w:rsidRPr="001A12EA" w:rsidRDefault="00C2077C" w:rsidP="002A43BF">
      <w:pPr>
        <w:pStyle w:val="Fait"/>
        <w:rPr>
          <w:noProof/>
        </w:rPr>
      </w:pPr>
      <w:r>
        <w:rPr>
          <w:noProof/>
        </w:rPr>
        <w:t>Съставено в Брюксел на 29.11.2024 година.</w:t>
      </w:r>
    </w:p>
    <w:p w:rsidR="0050796F" w:rsidRPr="001A12EA" w:rsidRDefault="0050796F" w:rsidP="002A43BF">
      <w:pPr>
        <w:pStyle w:val="Institutionquisigne"/>
        <w:rPr>
          <w:noProof/>
        </w:rPr>
      </w:pPr>
      <w:r w:rsidRPr="001A12EA">
        <w:rPr>
          <w:noProof/>
        </w:rPr>
        <w:tab/>
        <w:t>За Комисията</w:t>
      </w:r>
    </w:p>
    <w:p w:rsidR="0050796F" w:rsidRPr="001A12EA" w:rsidRDefault="00CC6815" w:rsidP="0050796F">
      <w:pPr>
        <w:pStyle w:val="Personnequisigne"/>
        <w:rPr>
          <w:noProof/>
        </w:rPr>
      </w:pPr>
      <w:r>
        <w:rPr>
          <w:noProof/>
        </w:rPr>
        <w:tab/>
        <w:t>Председател</w:t>
      </w:r>
      <w:r>
        <w:rPr>
          <w:noProof/>
        </w:rPr>
        <w:br/>
      </w:r>
      <w:r>
        <w:rPr>
          <w:noProof/>
        </w:rPr>
        <w:tab/>
        <w:t>Ursula VON DER LEYEN</w:t>
      </w:r>
    </w:p>
    <w:sectPr w:rsidR="0050796F" w:rsidRPr="001A12EA" w:rsidSect="00215886">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3F15" w:rsidRDefault="00153F15" w:rsidP="0050796F">
      <w:pPr>
        <w:spacing w:before="0" w:after="0"/>
      </w:pPr>
      <w:r>
        <w:separator/>
      </w:r>
    </w:p>
  </w:endnote>
  <w:endnote w:type="continuationSeparator" w:id="0">
    <w:p w:rsidR="00153F15" w:rsidRDefault="00153F15" w:rsidP="0050796F">
      <w:pPr>
        <w:spacing w:before="0" w:after="0"/>
      </w:pPr>
      <w:r>
        <w:continuationSeparator/>
      </w:r>
    </w:p>
  </w:endnote>
  <w:endnote w:type="continuationNotice" w:id="1">
    <w:p w:rsidR="00153F15" w:rsidRDefault="00153F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886" w:rsidRPr="00215886" w:rsidRDefault="00215886" w:rsidP="00215886">
    <w:pPr>
      <w:pStyle w:val="Footer"/>
      <w:rPr>
        <w:rFonts w:ascii="Arial" w:hAnsi="Arial" w:cs="Arial"/>
        <w:b/>
        <w:sz w:val="48"/>
      </w:rPr>
    </w:pPr>
    <w:r w:rsidRPr="00215886">
      <w:rPr>
        <w:rFonts w:ascii="Arial" w:hAnsi="Arial" w:cs="Arial"/>
        <w:b/>
        <w:sz w:val="48"/>
      </w:rPr>
      <w:t>BG</w:t>
    </w:r>
    <w:r w:rsidRPr="00215886">
      <w:rPr>
        <w:rFonts w:ascii="Arial" w:hAnsi="Arial" w:cs="Arial"/>
        <w:b/>
        <w:sz w:val="48"/>
      </w:rPr>
      <w:tab/>
    </w:r>
    <w:r w:rsidRPr="00215886">
      <w:rPr>
        <w:rFonts w:ascii="Arial" w:hAnsi="Arial" w:cs="Arial"/>
        <w:b/>
        <w:sz w:val="48"/>
      </w:rPr>
      <w:tab/>
    </w:r>
    <w:r w:rsidRPr="00215886">
      <w:tab/>
    </w:r>
    <w:r w:rsidRPr="00215886">
      <w:rPr>
        <w:rFonts w:ascii="Arial" w:hAnsi="Arial" w:cs="Arial"/>
        <w:b/>
        <w:sz w:val="48"/>
      </w:rPr>
      <w:t>BG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886" w:rsidRPr="00215886" w:rsidRDefault="00215886" w:rsidP="00215886">
    <w:pPr>
      <w:pStyle w:val="Footer"/>
      <w:rPr>
        <w:rFonts w:ascii="Arial" w:hAnsi="Arial" w:cs="Arial"/>
        <w:b/>
        <w:sz w:val="48"/>
      </w:rPr>
    </w:pPr>
    <w:r w:rsidRPr="00215886">
      <w:rPr>
        <w:rFonts w:ascii="Arial" w:hAnsi="Arial" w:cs="Arial"/>
        <w:b/>
        <w:sz w:val="48"/>
      </w:rPr>
      <w:t>BG</w:t>
    </w:r>
    <w:r w:rsidRPr="00215886">
      <w:rPr>
        <w:rFonts w:ascii="Arial" w:hAnsi="Arial" w:cs="Arial"/>
        <w:b/>
        <w:sz w:val="48"/>
      </w:rPr>
      <w:tab/>
    </w:r>
    <w:r w:rsidRPr="00215886">
      <w:rPr>
        <w:rFonts w:ascii="Arial" w:hAnsi="Arial" w:cs="Arial"/>
        <w:b/>
        <w:sz w:val="48"/>
      </w:rPr>
      <w:tab/>
    </w:r>
    <w:r w:rsidRPr="00215886">
      <w:tab/>
    </w:r>
    <w:r w:rsidRPr="00215886">
      <w:rPr>
        <w:rFonts w:ascii="Arial" w:hAnsi="Arial" w:cs="Arial"/>
        <w:b/>
        <w:sz w:val="48"/>
      </w:rPr>
      <w:t>BG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886" w:rsidRDefault="0021588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886" w:rsidRPr="00215886" w:rsidRDefault="00215886" w:rsidP="00215886">
    <w:pPr>
      <w:pStyle w:val="Footer"/>
      <w:rPr>
        <w:rFonts w:ascii="Arial" w:hAnsi="Arial" w:cs="Arial"/>
        <w:b/>
        <w:sz w:val="48"/>
      </w:rPr>
    </w:pPr>
    <w:r w:rsidRPr="00215886">
      <w:rPr>
        <w:rFonts w:ascii="Arial" w:hAnsi="Arial" w:cs="Arial"/>
        <w:b/>
        <w:sz w:val="48"/>
      </w:rPr>
      <w:t>BG</w:t>
    </w:r>
    <w:r w:rsidRPr="00215886">
      <w:rPr>
        <w:rFonts w:ascii="Arial" w:hAnsi="Arial" w:cs="Arial"/>
        <w:b/>
        <w:sz w:val="48"/>
      </w:rPr>
      <w:tab/>
    </w:r>
    <w:r>
      <w:fldChar w:fldCharType="begin"/>
    </w:r>
    <w:r>
      <w:instrText xml:space="preserve"> PAGE  \* MERGEFORMAT </w:instrText>
    </w:r>
    <w:r>
      <w:fldChar w:fldCharType="separate"/>
    </w:r>
    <w:r w:rsidR="002A43BF">
      <w:rPr>
        <w:noProof/>
      </w:rPr>
      <w:t>14</w:t>
    </w:r>
    <w:r>
      <w:fldChar w:fldCharType="end"/>
    </w:r>
    <w:r>
      <w:tab/>
    </w:r>
    <w:r w:rsidRPr="00215886">
      <w:tab/>
    </w:r>
    <w:r w:rsidRPr="00215886">
      <w:rPr>
        <w:rFonts w:ascii="Arial" w:hAnsi="Arial" w:cs="Arial"/>
        <w:b/>
        <w:sz w:val="48"/>
      </w:rPr>
      <w:t>BG</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886" w:rsidRDefault="00215886" w:rsidP="002158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3F15" w:rsidRDefault="00153F15" w:rsidP="0050796F">
      <w:pPr>
        <w:spacing w:before="0" w:after="0"/>
      </w:pPr>
      <w:r>
        <w:separator/>
      </w:r>
    </w:p>
  </w:footnote>
  <w:footnote w:type="continuationSeparator" w:id="0">
    <w:p w:rsidR="00153F15" w:rsidRDefault="00153F15" w:rsidP="0050796F">
      <w:pPr>
        <w:spacing w:before="0" w:after="0"/>
      </w:pPr>
      <w:r>
        <w:continuationSeparator/>
      </w:r>
    </w:p>
  </w:footnote>
  <w:footnote w:type="continuationNotice" w:id="1">
    <w:p w:rsidR="00153F15" w:rsidRDefault="00153F15">
      <w:pPr>
        <w:spacing w:before="0" w:after="0"/>
      </w:pPr>
    </w:p>
  </w:footnote>
  <w:footnote w:id="2">
    <w:p w:rsidR="000A5D79" w:rsidRPr="007A31CC" w:rsidRDefault="000A5D79" w:rsidP="00115B95">
      <w:pPr>
        <w:pStyle w:val="FootnoteText"/>
      </w:pPr>
      <w:r>
        <w:rPr>
          <w:rStyle w:val="FootnoteReference"/>
        </w:rPr>
        <w:footnoteRef/>
      </w:r>
      <w:r>
        <w:tab/>
        <w:t xml:space="preserve">ОВ L 176, 27.6.2013 г., стр. 1., ELI: </w:t>
      </w:r>
      <w:hyperlink r:id="rId1" w:tooltip="Предоставя достъп до този документ чрез неговия унифициран идентификатор на ресурс (URI) на европейския идентификатор на законодателството (ELI)." w:history="1">
        <w:r>
          <w:t>http://data.europa.eu/eli/reg/2013/575/oj</w:t>
        </w:r>
      </w:hyperlink>
      <w:r>
        <w:t>.</w:t>
      </w:r>
    </w:p>
  </w:footnote>
  <w:footnote w:id="3">
    <w:p w:rsidR="00021AB3" w:rsidRPr="00DA4EC3" w:rsidRDefault="00021AB3" w:rsidP="00021AB3">
      <w:pPr>
        <w:pStyle w:val="FootnoteText"/>
      </w:pPr>
      <w:r>
        <w:rPr>
          <w:rStyle w:val="FootnoteReference"/>
        </w:rPr>
        <w:footnoteRef/>
      </w:r>
      <w:r>
        <w:tab/>
        <w:t xml:space="preserve">Регламент за изпълнение (ЕС) 2021/637 на Комисията от 15 март 2021 г. за определяне на техническите стандарти за изпълнение за публичното оповестяване от страна на институциите на информацията, посочена в осма част, дялове II и III от Регламент (ЕС) № 575/2013 на Европейския парламент и на Съвета, и за отмяна на Регламент за изпълнение (ЕС) № 1423/2013 на Комисията, Делегиран регламент (ЕС) 2015/1555 на Комисията, Регламент за изпълнение (ЕС) 2016/200 на Комисията и Делегиран регламент (ЕС) 2017/2295 на Комисията (ОВ L 136, 21.4.2021 г., стр. 1, ELI: </w:t>
      </w:r>
      <w:hyperlink r:id="rId2" w:history="1">
        <w:r>
          <w:rPr>
            <w:rStyle w:val="Hyperlink"/>
          </w:rPr>
          <w:t>http://data.europa.eu/eli/reg_impl/2021/637/oj</w:t>
        </w:r>
      </w:hyperlink>
      <w:r>
        <w:t>).</w:t>
      </w:r>
    </w:p>
  </w:footnote>
  <w:footnote w:id="4">
    <w:p w:rsidR="00021AB3" w:rsidRPr="00DA4EC3" w:rsidRDefault="00021AB3" w:rsidP="00021AB3">
      <w:pPr>
        <w:pStyle w:val="FootnoteText"/>
      </w:pPr>
      <w:r>
        <w:rPr>
          <w:rStyle w:val="FootnoteReference"/>
        </w:rPr>
        <w:footnoteRef/>
      </w:r>
      <w:r>
        <w:tab/>
        <w:t xml:space="preserve">Регламент (ЕС) 2024/1623 на Европейския парламент и на Съвета от 31 май 2024 година за изменение на Регламент (ЕС) № 575/2013 по отношение на изискванията за кредитен риск, риск от корекция на кредитната оценка, операционен риск и пазарен риск, както и за долна граница на капиталовото изискване. (OВ L, 2024/1623, 19.6.2024 г., ELI: </w:t>
      </w:r>
      <w:hyperlink r:id="rId3" w:history="1">
        <w:r>
          <w:rPr>
            <w:rStyle w:val="Hyperlink"/>
          </w:rPr>
          <w:t>http://data.europa.eu/eli/reg/2024/1623/oj</w:t>
        </w:r>
      </w:hyperlink>
      <w:r>
        <w:t>).</w:t>
      </w:r>
    </w:p>
  </w:footnote>
  <w:footnote w:id="5">
    <w:p w:rsidR="008B3F27" w:rsidRPr="009A75BF" w:rsidRDefault="00BB0B33" w:rsidP="005269C8">
      <w:pPr>
        <w:pStyle w:val="FootnoteText"/>
      </w:pPr>
      <w:r w:rsidRPr="006B60DA">
        <w:rPr>
          <w:rStyle w:val="FootnoteReference"/>
        </w:rPr>
        <w:footnoteRef/>
      </w:r>
      <w:r w:rsidR="006B60DA">
        <w:tab/>
      </w:r>
      <w:r>
        <w:t xml:space="preserve">Директива 2013/36/ЕС на Европейския парламент и на Съвета от 26 юни 2013 г. относно достъпа до осъществяването на дейност от кредитните институции и относно пруденциалния надзор върху кредитните институции и инвестиционните посредници, за изменение на Директива 2002/87/ЕО и за отмяна на директиви 2006/48/ЕО и 2006/49/ЕО (текст от значение за ЕИП) (ОВ L 176, 27.6.2013 г., стр. 338, ELI: http://data.europa.eu/eli/dir/2013/36/oj). </w:t>
      </w:r>
    </w:p>
  </w:footnote>
  <w:footnote w:id="6">
    <w:p w:rsidR="008E7046" w:rsidRPr="008E7046" w:rsidRDefault="008E7046">
      <w:pPr>
        <w:pStyle w:val="FootnoteText"/>
      </w:pPr>
      <w:r>
        <w:rPr>
          <w:rStyle w:val="FootnoteReference"/>
        </w:rPr>
        <w:footnoteRef/>
      </w:r>
      <w:r>
        <w:tab/>
        <w:t>Регламент (ЕС) 2020/852 на Европейския парламент и на Съвета от 18 юни 2020 г. за създаване на рамка за улесняване на устойчивите инвестиции и за изменение на Регламент (ЕС) 2019/2088 (ОВ L 198, 22.6.2020 г., стр. 13, ELI: http://data.europa.eu/eli/reg/2020/852/oj).</w:t>
      </w:r>
    </w:p>
  </w:footnote>
  <w:footnote w:id="7">
    <w:p w:rsidR="000A5D79" w:rsidRDefault="000A5D79" w:rsidP="00115B95">
      <w:pPr>
        <w:pStyle w:val="FootnoteText"/>
      </w:pPr>
      <w:r>
        <w:rPr>
          <w:rStyle w:val="FootnoteReference"/>
        </w:rPr>
        <w:footnoteRef/>
      </w:r>
      <w:r>
        <w:tab/>
        <w:t>Делегиран регламент (ЕС) 2020/1818 на Комисията от 17 юли 2020 г. за допълнение на Регламент (ЕС) 2016/1011 на Европейския парламент и на Съвета по отношение на минималните стандарти за бенчмарковете на ЕС за климатичен преход и бенчмарковете на ЕС, съответстващи на Парижкото споразумение (ОВ L 406, 3.12.2020 г., стр. 17, ELI: http://data.europa.eu/eli/reg_del/2020/1818/oj).</w:t>
      </w:r>
    </w:p>
  </w:footnote>
  <w:footnote w:id="8">
    <w:p w:rsidR="000A5D79" w:rsidRDefault="000A5D79" w:rsidP="00115B95">
      <w:pPr>
        <w:pStyle w:val="FootnoteText"/>
      </w:pPr>
      <w:r>
        <w:rPr>
          <w:rStyle w:val="FootnoteReference"/>
        </w:rPr>
        <w:footnoteRef/>
      </w:r>
      <w:r>
        <w:tab/>
        <w:t>Директива 2010/31/ЕС на Европейския парламент и на Съвета от 19 май 2010 г. относно енергийните характеристики на сградите (преработена версия) (ОВ L 153, 18.6.2010 г., стр. 13, ELI: http://data.europa.eu/eli/dir/2010/31/oj).</w:t>
      </w:r>
    </w:p>
  </w:footnote>
  <w:footnote w:id="9">
    <w:p w:rsidR="000A5D79" w:rsidRDefault="000A5D79" w:rsidP="00115B95">
      <w:pPr>
        <w:pStyle w:val="FootnoteText"/>
      </w:pPr>
      <w:r>
        <w:rPr>
          <w:rStyle w:val="FootnoteReference"/>
        </w:rPr>
        <w:footnoteRef/>
      </w:r>
      <w:r>
        <w:tab/>
        <w:t>Директива 2013/34/ЕС на Европейския парламент и на Съвета от 26 юни 2013 г. относно годишните финансови отчети, консолидираните финансови отчети и свързаните доклади на някои видове предприятия и за изменение на Директива 2006/43/ЕО на Европейския парламент и на Съвета и за отмяна на Директиви 78/660/ЕИО и 83/349/ЕИО на Съвета (ОВ L 182, 29.6.2013 г., стр. 19, ELI: http://data.europa.eu/eli/dir/2013/34/oj).</w:t>
      </w:r>
    </w:p>
  </w:footnote>
  <w:footnote w:id="10">
    <w:p w:rsidR="000A5D79" w:rsidRPr="00587191" w:rsidRDefault="000A5D79" w:rsidP="00115B95">
      <w:pPr>
        <w:pStyle w:val="FootnoteText"/>
      </w:pPr>
      <w:r>
        <w:rPr>
          <w:rStyle w:val="FootnoteReference"/>
        </w:rPr>
        <w:footnoteRef/>
      </w:r>
      <w:r>
        <w:tab/>
        <w:t>Регламент (ЕС) № 1093/2010 на Европейския парламент и на Съвета от 24 ноември 2010 г. за създаване на Европейски надзорен орган (Европейски банков орган), за изменение на Решение № 716/2009/ЕО и за отмяна на Решение 2009/78/ЕО на Комисията (ОВ L 331, 15.12.2010 г., стр. 12, ELI: http://data.europa.eu/eli/reg/2010/1093/oj).</w:t>
      </w:r>
    </w:p>
  </w:footnote>
  <w:footnote w:id="11">
    <w:p w:rsidR="004076A2" w:rsidRPr="004076A2" w:rsidRDefault="004076A2" w:rsidP="009A75BF">
      <w:pPr>
        <w:pStyle w:val="FootnoteText"/>
      </w:pPr>
      <w:r>
        <w:rPr>
          <w:rStyle w:val="FootnoteReference"/>
        </w:rPr>
        <w:footnoteRef/>
      </w:r>
      <w:r>
        <w:tab/>
        <w:t>Делегиран регламент (ЕС) № 1222/2014 на Комисията от 8 октомври 2014 г. за допълване на Директива 2013/36/ЕС на Европейския парламент и на Съвета по отношение на регулаторните технически стандарти за уточняване на методиката за определяне на глобалните системно значими институции и за определяне на подкатегориите глобални институции със системно значение (ОВ L 330, 15.11.2014 г., стр. 27, ELI: http://data.europa.eu/eli/reg_del/2014/1222/oj).</w:t>
      </w:r>
    </w:p>
  </w:footnote>
  <w:footnote w:id="12">
    <w:p w:rsidR="000A5D79" w:rsidRPr="0010228D" w:rsidRDefault="000A5D79" w:rsidP="000A5D79">
      <w:pPr>
        <w:pStyle w:val="FootnoteText"/>
      </w:pPr>
      <w:r>
        <w:rPr>
          <w:rStyle w:val="FootnoteReference"/>
        </w:rPr>
        <w:footnoteRef/>
      </w:r>
      <w:r>
        <w:tab/>
      </w:r>
      <w:r>
        <w:rPr>
          <w:color w:val="333333"/>
          <w:shd w:val="clear" w:color="auto" w:fill="FFFFFF"/>
        </w:rPr>
        <w:t>Регламент за изпълнение (ЕС) 2022/2453 на Комисията от 30 ноември 2022 г. за изменение на техническите стандарти за изпълнение, определени в Регламент за изпълнение (ЕС) 2021/637, по отношение на оповестяването на екологичните, социалните и управленските рискове (OВ</w:t>
      </w:r>
      <w:r>
        <w:t xml:space="preserve"> L 324, 19.12.2022 г., стр. 1, ELI: </w:t>
      </w:r>
      <w:hyperlink r:id="rId4" w:tooltip="Предоставя достъп до този документ чрез неговия унифициран идентификатор на ресурс (URI) на европейския идентификатор на законодателството (ELI)." w:history="1">
        <w:r>
          <w:t>http://data.europa.eu/eli/reg_impl/2022/2453/oj</w:t>
        </w:r>
      </w:hyperlink>
      <w:r>
        <w:t>).</w:t>
      </w:r>
    </w:p>
  </w:footnote>
  <w:footnote w:id="13">
    <w:p w:rsidR="000A5D79" w:rsidRDefault="000A5D79" w:rsidP="00115B95">
      <w:pPr>
        <w:pStyle w:val="FootnoteText"/>
      </w:pPr>
      <w:r>
        <w:rPr>
          <w:rStyle w:val="FootnoteReference"/>
        </w:rPr>
        <w:footnoteRef/>
      </w:r>
      <w:r>
        <w:tab/>
        <w:t>Регламент за изпълнение (ЕС) 2021/451 на Комисията от 17 декември 2020 г. за определяне на техническите стандарти за изпълнение за прилагането на Регламент (ЕС) № 575/2013 на Европейския парламент и на Съвета по отношение на предоставянето на информация от институциите на надзорните органи и за отмяна на Регламент за изпълнение (ЕС) № 680/2014 (ОВ L 97, 19.3.2021 г., стр. 1, ELI: http://data.europa.eu/eli/reg_impl/2021/451/oj).</w:t>
      </w:r>
    </w:p>
  </w:footnote>
  <w:footnote w:id="14">
    <w:p w:rsidR="000A5D79" w:rsidRPr="00396A89" w:rsidRDefault="000A5D79" w:rsidP="009A75BF">
      <w:pPr>
        <w:pStyle w:val="FootnoteText"/>
      </w:pPr>
      <w:r>
        <w:rPr>
          <w:rStyle w:val="FootnoteReference"/>
        </w:rPr>
        <w:footnoteRef/>
      </w:r>
      <w:r>
        <w:tab/>
        <w:t>Делегиран регламент (ЕС) 2021/2178 на Комисията от 6 юли 2021 г. за допълнение на Регламент (ЕС) 2020/852 на Европейския парламент и на Съвета чрез определяне на съдържанието и представянето на информацията, която трябва да бъде оповестявана от предприятията, обхванати от член 19а или 29а от Директива 2013/34/ЕС, по отношение на екологично устойчивите икономически дейности, и чрез определяне на методиката за изпълнение на това задължение за оповестяване (ОВ L 443, 10.12.2021 г., стр. 9, ELI: http://data.europa.eu/eli/reg_del/2021/2178/oj).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886" w:rsidRDefault="002158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5886" w:rsidRDefault="002158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86BE90D6"/>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D10AE54"/>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CA8AAF2C"/>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5E9B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9AFEF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3EE62E6"/>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3C1EBCC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1"/>
  </w:num>
  <w:num w:numId="8">
    <w:abstractNumId w:val="0"/>
  </w:num>
  <w:num w:numId="9">
    <w:abstractNumId w:val="22"/>
    <w:lvlOverride w:ilvl="0">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12"/>
  </w:num>
  <w:num w:numId="20">
    <w:abstractNumId w:val="21"/>
  </w:num>
  <w:num w:numId="21">
    <w:abstractNumId w:val="11"/>
  </w:num>
  <w:num w:numId="22">
    <w:abstractNumId w:val="13"/>
  </w:num>
  <w:num w:numId="23">
    <w:abstractNumId w:val="14"/>
  </w:num>
  <w:num w:numId="24">
    <w:abstractNumId w:val="9"/>
  </w:num>
  <w:num w:numId="25">
    <w:abstractNumId w:val="20"/>
  </w:num>
  <w:num w:numId="26">
    <w:abstractNumId w:val="8"/>
  </w:num>
  <w:num w:numId="27">
    <w:abstractNumId w:val="15"/>
  </w:num>
  <w:num w:numId="28">
    <w:abstractNumId w:val="17"/>
  </w:num>
  <w:num w:numId="29">
    <w:abstractNumId w:val="18"/>
  </w:num>
  <w:num w:numId="30">
    <w:abstractNumId w:val="10"/>
  </w:num>
  <w:num w:numId="31">
    <w:abstractNumId w:val="16"/>
  </w:num>
  <w:num w:numId="32">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1-22 10:30:34"/>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67EF91C3-064A-4338-B830-DEC5AAFDDB33"/>
    <w:docVar w:name="LW_COVERPAGE_TYPE" w:val="1"/>
    <w:docVar w:name="LW_CROSSREFERENCE" w:val="&lt;UNUSED&gt;"/>
    <w:docVar w:name="LW_DATE.ADOPT.CP" w:val="\u1086?\u1090? 29.11.2024 \u1075?\u1086?\u1076?\u1080?\u1085?\u1072?"/>
    <w:docVar w:name="LW_DATE.ADOPT.CP_DATEFORMAT" w:val="\u1086?\u1090? %DATE% \u1075?\u1086?\u1076?\u1080?\u1085?\u1072?"/>
    <w:docVar w:name="LW_DATE.ADOPT.CP_ISODATE" w:val="2024-11-29"/>
    <w:docVar w:name="LW_DocType" w:val="COM"/>
    <w:docVar w:name="LW_EMISSION" w:val="29.11.2024"/>
    <w:docVar w:name="LW_EMISSION_ISODATE" w:val="2024-11-29"/>
    <w:docVar w:name="LW_EMISSION_LOCATION" w:val="BRX"/>
    <w:docVar w:name="LW_EMISSION_PREFIX" w:val="\u1041?\u1088?\u1102?\u1082?\u1089?\u1077?\u1083?, "/>
    <w:docVar w:name="LW_EMISSION_SUFFIX" w:val=" \u1075?."/>
    <w:docVar w:name="LW_ID_DOCMODEL" w:val="SJ-004"/>
    <w:docVar w:name="LW_ID_DOCSIGNATURE" w:val="SJ-004"/>
    <w:docVar w:name="LW_ID_DOCSTRUCTURE" w:val="COM/AA"/>
    <w:docVar w:name="LW_ID_DOCTYPE" w:val="SJ-004"/>
    <w:docVar w:name="LW_INTERETEEE.CP" w:val="(\u1090?\u1077?\u1082?\u1089?\u1090? \u1086?\u1090? \u1079?\u1085?\u1072?\u1095?\u1077?\u1085?\u1080?\u1077? \u1079?\u1072? \u1045?\u1048?\u1055?)"/>
    <w:docVar w:name="LW_LANGUE" w:val="BG"/>
    <w:docVar w:name="LW_LANGUESFAISANTFOI.CP" w:val="&lt;UNUSED&gt;"/>
    <w:docVar w:name="LW_LEVEL_OF_SENSITIVITY" w:val="Standard treatment"/>
    <w:docVar w:name="LW_NOM.INST" w:val="\u1045?\u1042?\u1056?\u1054?\u1055?\u1045?\u1049?\u1057?\u1050?\u1040? \u1050?\u1054?\u1052?\u1048?\u1057?\u1048?\u1071?"/>
    <w:docVar w:name="LW_NOM.INST_JOINTDOC" w:val="&lt;EMPTY&gt;"/>
    <w:docVar w:name="LW_PART_NBR" w:val="1"/>
    <w:docVar w:name="LW_PART_NBR_TOTAL" w:val="1"/>
    <w:docVar w:name="LW_REF.INST.NEW" w:val="C"/>
    <w:docVar w:name="LW_REF.INST.NEW_ADOPTED" w:val="final"/>
    <w:docVar w:name="LW_REF.INST.NEW_TEXT" w:val="(2024) 8373"/>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1079?\u1072? \u1086?\u1087?\u1088?\u1077?\u1076?\u1077?\u1083?\u1103?\u1085?\u1077? \u1085?\u1072? \u1090?\u1077?\u1093?\u1085?\u1080?\u1095?\u1077?\u1089?\u1082?\u1080? \u1089?\u1090?\u1072?\u1085?\u1076?\u1072?\u1088?\u1090?\u1080? \u1079?\u1072? \u1080?\u1079?\u1087?\u1098?\u1083?\u1085?\u1077?\u1085?\u1080?\u1077? \u1079?\u1072? \u1087?\u1088?\u1080?\u1083?\u1072?\u1075?\u1072?\u1085?\u1077?\u1090?\u1086? \u1085?\u1072? \u1056?\u1077?\u1075?\u1083?\u1072?\u1084?\u1077?\u1085?\u1090? (\u1045?\u1057?) \u8470? 575/2013 \u1085?\u1072? \u1045?\u1074?\u1088?\u1086?\u1087?\u1077?\u1081?\u1089?\u1082?\u1080?\u1103? \u1087?\u1072?\u1088?\u1083?\u1072?\u1084?\u1077?\u1085?\u1090? \u1080? \u1085?\u1072? \u1057?\u1098?\u1074?\u1077?\u1090?\u1072? \u1087?\u1086? \u1086?\u1090?\u1085?\u1086?\u1096?\u1077?\u1085?\u1080?\u1077? \u1085?\u1072? \u1087?\u1091?\u1073?\u1083?\u1080?\u1095?\u1085?\u1086?\u1090?\u1086? \u1086?\u1087?\u1086?\u1074?\u1077?\u1089?\u1090?\u1103?\u1074?\u1072?\u1085?\u1077? \u1086?\u1090? \u1089?\u1090?\u1088?\u1072?\u1085?\u1072? \u1085?\u1072? \u1080?\u1085?\u1089?\u1090?\u1080?\u1090?\u1091?\u1094?\u1080?\u1080?\u1090?\u1077? \u1085?\u1072? \u1080?\u1085?\u1092?\u1086?\u1088?\u1084?\u1072?\u1094?\u1080?\u1103?\u1090?\u1072?, \u1087?\u1086?\u1089?\u1086?\u1095?\u1077?\u1085?\u1072? \u1074? \u1086?\u1089?\u1084?\u1072? \u1095?\u1072?\u1089?\u1090?, \u1076?\u1103?\u1083?\u1086?\u1074?\u1077? II \u1080? III \u1086?\u1090? \u1087?\u1086?\u1089?\u1086?\u1095?\u1077?\u1085?\u1080?\u1103? \u1088?\u1077?\u1075?\u1083?\u1072?\u1084?\u1077?\u1085?\u1090?, \u1080? \u1079?\u1072? \u1086?\u1090?\u1084?\u1103?\u1085?\u1072? \u1085?\u1072? \u1056?\u1077?\u1075?\u1083?\u1072?\u1084?\u1077?\u1085?\u1090? \u1079?\u1072? \u1080?\u1079?\u1087?\u1098?\u1083?\u1085?\u1077?\u1085?\u1080?\u1077? (\u1045?\u1057?) 2021/637 \u1085?\u1072? \u1050?\u1086?\u1084?\u1080?\u1089?\u1080?\u1103?\u1090?\u1072?"/>
    <w:docVar w:name="LW_TYPE.DOC.CP" w:val="\u1056?\u1045?\u1043?\u1051?\u1040?\u1052?\u1045?\u1053?\u1058? \u1047?\u1040? \u1048?\u1047?\u1055?\u1066?\u1051?\u1053?\u1045?\u1053?\u1048?\u1045? (\u1045?\u1057?) .../\u8230? \u1053?\u1040? \u1050?\u1054?\u1052?\u1048?\u1057?\u1048?\u1071?\u1058?\u1040?"/>
    <w:docVar w:name="LwApiVersions" w:val="LW4CoDe 1.24.5.0; LW 9.0, Build 20240221"/>
  </w:docVars>
  <w:rsids>
    <w:rsidRoot w:val="0050796F"/>
    <w:rsid w:val="00000FB0"/>
    <w:rsid w:val="000069F5"/>
    <w:rsid w:val="00007267"/>
    <w:rsid w:val="000077D6"/>
    <w:rsid w:val="00010F8C"/>
    <w:rsid w:val="000112A9"/>
    <w:rsid w:val="0001301D"/>
    <w:rsid w:val="00015017"/>
    <w:rsid w:val="00015324"/>
    <w:rsid w:val="000209CD"/>
    <w:rsid w:val="00021AB3"/>
    <w:rsid w:val="00022D42"/>
    <w:rsid w:val="0002377C"/>
    <w:rsid w:val="00024BAD"/>
    <w:rsid w:val="000274F8"/>
    <w:rsid w:val="00027AF6"/>
    <w:rsid w:val="00033349"/>
    <w:rsid w:val="000362E8"/>
    <w:rsid w:val="00040ACA"/>
    <w:rsid w:val="00041E85"/>
    <w:rsid w:val="0004381D"/>
    <w:rsid w:val="00047A8E"/>
    <w:rsid w:val="00047D7A"/>
    <w:rsid w:val="00047FD5"/>
    <w:rsid w:val="00051490"/>
    <w:rsid w:val="00051509"/>
    <w:rsid w:val="00056FFD"/>
    <w:rsid w:val="000576D1"/>
    <w:rsid w:val="00060651"/>
    <w:rsid w:val="00070B46"/>
    <w:rsid w:val="00070FC9"/>
    <w:rsid w:val="00073D27"/>
    <w:rsid w:val="00075B3F"/>
    <w:rsid w:val="00080DE1"/>
    <w:rsid w:val="000836B2"/>
    <w:rsid w:val="000876ED"/>
    <w:rsid w:val="00091E1F"/>
    <w:rsid w:val="00092E7E"/>
    <w:rsid w:val="000961F5"/>
    <w:rsid w:val="000A0EBE"/>
    <w:rsid w:val="000A4375"/>
    <w:rsid w:val="000A4D0A"/>
    <w:rsid w:val="000A5D79"/>
    <w:rsid w:val="000A6330"/>
    <w:rsid w:val="000A72C3"/>
    <w:rsid w:val="000B02C7"/>
    <w:rsid w:val="000B0BA3"/>
    <w:rsid w:val="000B104E"/>
    <w:rsid w:val="000B19C9"/>
    <w:rsid w:val="000B246E"/>
    <w:rsid w:val="000B2E2C"/>
    <w:rsid w:val="000B3825"/>
    <w:rsid w:val="000B48E1"/>
    <w:rsid w:val="000B7A7D"/>
    <w:rsid w:val="000C0176"/>
    <w:rsid w:val="000C0E78"/>
    <w:rsid w:val="000C1A66"/>
    <w:rsid w:val="000C1DB7"/>
    <w:rsid w:val="000C2AE8"/>
    <w:rsid w:val="000C32A7"/>
    <w:rsid w:val="000C4361"/>
    <w:rsid w:val="000C665F"/>
    <w:rsid w:val="000C7571"/>
    <w:rsid w:val="000D2D47"/>
    <w:rsid w:val="000D426D"/>
    <w:rsid w:val="000D56AD"/>
    <w:rsid w:val="000D71EF"/>
    <w:rsid w:val="000D7867"/>
    <w:rsid w:val="000E2A21"/>
    <w:rsid w:val="000E4D43"/>
    <w:rsid w:val="000E633D"/>
    <w:rsid w:val="000E76CB"/>
    <w:rsid w:val="000F3681"/>
    <w:rsid w:val="000F3823"/>
    <w:rsid w:val="000F4F0C"/>
    <w:rsid w:val="001007AB"/>
    <w:rsid w:val="00101FC2"/>
    <w:rsid w:val="001031D7"/>
    <w:rsid w:val="001035BA"/>
    <w:rsid w:val="0010608B"/>
    <w:rsid w:val="00106979"/>
    <w:rsid w:val="00107611"/>
    <w:rsid w:val="00111E32"/>
    <w:rsid w:val="001129D5"/>
    <w:rsid w:val="001157D0"/>
    <w:rsid w:val="00115B95"/>
    <w:rsid w:val="00120290"/>
    <w:rsid w:val="001235B8"/>
    <w:rsid w:val="00125265"/>
    <w:rsid w:val="001264C4"/>
    <w:rsid w:val="00127569"/>
    <w:rsid w:val="00127E0D"/>
    <w:rsid w:val="001301F3"/>
    <w:rsid w:val="001315E0"/>
    <w:rsid w:val="0013240D"/>
    <w:rsid w:val="00134938"/>
    <w:rsid w:val="00135406"/>
    <w:rsid w:val="001359CA"/>
    <w:rsid w:val="0013680B"/>
    <w:rsid w:val="00140865"/>
    <w:rsid w:val="00141D7F"/>
    <w:rsid w:val="0014365C"/>
    <w:rsid w:val="00151BBC"/>
    <w:rsid w:val="00152894"/>
    <w:rsid w:val="00153F15"/>
    <w:rsid w:val="001548C4"/>
    <w:rsid w:val="001559A0"/>
    <w:rsid w:val="00155E24"/>
    <w:rsid w:val="00160D06"/>
    <w:rsid w:val="00161353"/>
    <w:rsid w:val="00161AED"/>
    <w:rsid w:val="00162CE7"/>
    <w:rsid w:val="00164225"/>
    <w:rsid w:val="00166668"/>
    <w:rsid w:val="00166A5F"/>
    <w:rsid w:val="00171501"/>
    <w:rsid w:val="00176700"/>
    <w:rsid w:val="001817FC"/>
    <w:rsid w:val="00182A12"/>
    <w:rsid w:val="00182DAE"/>
    <w:rsid w:val="0019475E"/>
    <w:rsid w:val="00194D53"/>
    <w:rsid w:val="0019512F"/>
    <w:rsid w:val="001965F3"/>
    <w:rsid w:val="001A12EA"/>
    <w:rsid w:val="001A170B"/>
    <w:rsid w:val="001A3EA8"/>
    <w:rsid w:val="001A4786"/>
    <w:rsid w:val="001A60C4"/>
    <w:rsid w:val="001A7790"/>
    <w:rsid w:val="001B0F13"/>
    <w:rsid w:val="001B1DF6"/>
    <w:rsid w:val="001B4620"/>
    <w:rsid w:val="001C319D"/>
    <w:rsid w:val="001C5687"/>
    <w:rsid w:val="001C77C7"/>
    <w:rsid w:val="001D0EF7"/>
    <w:rsid w:val="001D1885"/>
    <w:rsid w:val="001D4621"/>
    <w:rsid w:val="001D5F0F"/>
    <w:rsid w:val="001E0EB2"/>
    <w:rsid w:val="001E4487"/>
    <w:rsid w:val="001E4DA7"/>
    <w:rsid w:val="001E5262"/>
    <w:rsid w:val="001E6AAD"/>
    <w:rsid w:val="001F4A6B"/>
    <w:rsid w:val="001F564A"/>
    <w:rsid w:val="001F5E01"/>
    <w:rsid w:val="001F6539"/>
    <w:rsid w:val="00204571"/>
    <w:rsid w:val="00204A69"/>
    <w:rsid w:val="0020657E"/>
    <w:rsid w:val="00210AD7"/>
    <w:rsid w:val="00211141"/>
    <w:rsid w:val="0021307C"/>
    <w:rsid w:val="00214FE8"/>
    <w:rsid w:val="00215886"/>
    <w:rsid w:val="00215B8C"/>
    <w:rsid w:val="002207C4"/>
    <w:rsid w:val="00222119"/>
    <w:rsid w:val="00225DA0"/>
    <w:rsid w:val="00230BAF"/>
    <w:rsid w:val="00232A0E"/>
    <w:rsid w:val="002339D1"/>
    <w:rsid w:val="00234023"/>
    <w:rsid w:val="002344AB"/>
    <w:rsid w:val="00235E29"/>
    <w:rsid w:val="00237F28"/>
    <w:rsid w:val="00241BF0"/>
    <w:rsid w:val="00242BE2"/>
    <w:rsid w:val="00243ADE"/>
    <w:rsid w:val="00250816"/>
    <w:rsid w:val="00251078"/>
    <w:rsid w:val="002526FE"/>
    <w:rsid w:val="00255D7D"/>
    <w:rsid w:val="0025605E"/>
    <w:rsid w:val="00256D6C"/>
    <w:rsid w:val="00257B58"/>
    <w:rsid w:val="00266749"/>
    <w:rsid w:val="00267194"/>
    <w:rsid w:val="0027576C"/>
    <w:rsid w:val="002775F7"/>
    <w:rsid w:val="0028163C"/>
    <w:rsid w:val="00281B06"/>
    <w:rsid w:val="00282C75"/>
    <w:rsid w:val="0028395D"/>
    <w:rsid w:val="0028636F"/>
    <w:rsid w:val="00287065"/>
    <w:rsid w:val="00291D4D"/>
    <w:rsid w:val="002930E4"/>
    <w:rsid w:val="0029662F"/>
    <w:rsid w:val="002A01F0"/>
    <w:rsid w:val="002A0CE4"/>
    <w:rsid w:val="002A2739"/>
    <w:rsid w:val="002A2D5F"/>
    <w:rsid w:val="002A3BBF"/>
    <w:rsid w:val="002A43BF"/>
    <w:rsid w:val="002A6AE8"/>
    <w:rsid w:val="002B04BA"/>
    <w:rsid w:val="002B2AAC"/>
    <w:rsid w:val="002B53F1"/>
    <w:rsid w:val="002B63D5"/>
    <w:rsid w:val="002B6A4F"/>
    <w:rsid w:val="002C0059"/>
    <w:rsid w:val="002C0A5B"/>
    <w:rsid w:val="002C1819"/>
    <w:rsid w:val="002C40D6"/>
    <w:rsid w:val="002C4EEB"/>
    <w:rsid w:val="002C598A"/>
    <w:rsid w:val="002C6127"/>
    <w:rsid w:val="002C6BBC"/>
    <w:rsid w:val="002D1BF8"/>
    <w:rsid w:val="002D4DC9"/>
    <w:rsid w:val="002E0175"/>
    <w:rsid w:val="002E4605"/>
    <w:rsid w:val="002E49AF"/>
    <w:rsid w:val="002E716D"/>
    <w:rsid w:val="002E79F5"/>
    <w:rsid w:val="002F31C7"/>
    <w:rsid w:val="00301E58"/>
    <w:rsid w:val="00303350"/>
    <w:rsid w:val="003052F8"/>
    <w:rsid w:val="00311F17"/>
    <w:rsid w:val="00312788"/>
    <w:rsid w:val="00314052"/>
    <w:rsid w:val="00314060"/>
    <w:rsid w:val="0031606B"/>
    <w:rsid w:val="00331519"/>
    <w:rsid w:val="0033542F"/>
    <w:rsid w:val="00336386"/>
    <w:rsid w:val="00337D50"/>
    <w:rsid w:val="00343643"/>
    <w:rsid w:val="00343B81"/>
    <w:rsid w:val="00344CD6"/>
    <w:rsid w:val="00344DF8"/>
    <w:rsid w:val="00346326"/>
    <w:rsid w:val="0035198A"/>
    <w:rsid w:val="00352944"/>
    <w:rsid w:val="00352E4C"/>
    <w:rsid w:val="00361346"/>
    <w:rsid w:val="00362CAC"/>
    <w:rsid w:val="00366317"/>
    <w:rsid w:val="003731CE"/>
    <w:rsid w:val="00374932"/>
    <w:rsid w:val="00381856"/>
    <w:rsid w:val="0038199F"/>
    <w:rsid w:val="003846E8"/>
    <w:rsid w:val="00386BC8"/>
    <w:rsid w:val="003878CF"/>
    <w:rsid w:val="00391314"/>
    <w:rsid w:val="00394331"/>
    <w:rsid w:val="00396152"/>
    <w:rsid w:val="00396A89"/>
    <w:rsid w:val="00396ACD"/>
    <w:rsid w:val="00397356"/>
    <w:rsid w:val="00397788"/>
    <w:rsid w:val="00397CD8"/>
    <w:rsid w:val="003A1487"/>
    <w:rsid w:val="003A257C"/>
    <w:rsid w:val="003A46ED"/>
    <w:rsid w:val="003A66BC"/>
    <w:rsid w:val="003A69D8"/>
    <w:rsid w:val="003B31B7"/>
    <w:rsid w:val="003B577A"/>
    <w:rsid w:val="003B5834"/>
    <w:rsid w:val="003B6DFC"/>
    <w:rsid w:val="003C1DDF"/>
    <w:rsid w:val="003C5236"/>
    <w:rsid w:val="003C526A"/>
    <w:rsid w:val="003C5AF2"/>
    <w:rsid w:val="003C7232"/>
    <w:rsid w:val="003D4792"/>
    <w:rsid w:val="003D4D76"/>
    <w:rsid w:val="003D662A"/>
    <w:rsid w:val="003D6852"/>
    <w:rsid w:val="003E0015"/>
    <w:rsid w:val="003E015D"/>
    <w:rsid w:val="003E0228"/>
    <w:rsid w:val="003E34DC"/>
    <w:rsid w:val="003E55A8"/>
    <w:rsid w:val="003E5E00"/>
    <w:rsid w:val="003E7EA9"/>
    <w:rsid w:val="003F775D"/>
    <w:rsid w:val="0040479E"/>
    <w:rsid w:val="004052A7"/>
    <w:rsid w:val="00405A1E"/>
    <w:rsid w:val="0040634B"/>
    <w:rsid w:val="00407308"/>
    <w:rsid w:val="004076A2"/>
    <w:rsid w:val="00412E45"/>
    <w:rsid w:val="00415609"/>
    <w:rsid w:val="00427C49"/>
    <w:rsid w:val="00430665"/>
    <w:rsid w:val="004311CE"/>
    <w:rsid w:val="00432106"/>
    <w:rsid w:val="00433CAF"/>
    <w:rsid w:val="00435120"/>
    <w:rsid w:val="00436C87"/>
    <w:rsid w:val="00437AA5"/>
    <w:rsid w:val="004460EC"/>
    <w:rsid w:val="00446A1A"/>
    <w:rsid w:val="00447444"/>
    <w:rsid w:val="004479F8"/>
    <w:rsid w:val="00452C2E"/>
    <w:rsid w:val="00454645"/>
    <w:rsid w:val="00463412"/>
    <w:rsid w:val="00464D4A"/>
    <w:rsid w:val="00464D5A"/>
    <w:rsid w:val="0046681F"/>
    <w:rsid w:val="00467400"/>
    <w:rsid w:val="00471145"/>
    <w:rsid w:val="004714B8"/>
    <w:rsid w:val="00476361"/>
    <w:rsid w:val="00477271"/>
    <w:rsid w:val="00492396"/>
    <w:rsid w:val="0049533A"/>
    <w:rsid w:val="004953EC"/>
    <w:rsid w:val="004A563B"/>
    <w:rsid w:val="004B2B9D"/>
    <w:rsid w:val="004B34BB"/>
    <w:rsid w:val="004B3857"/>
    <w:rsid w:val="004B5BAC"/>
    <w:rsid w:val="004B7689"/>
    <w:rsid w:val="004B76C0"/>
    <w:rsid w:val="004C0825"/>
    <w:rsid w:val="004C1DDA"/>
    <w:rsid w:val="004C601F"/>
    <w:rsid w:val="004C6ADB"/>
    <w:rsid w:val="004D0913"/>
    <w:rsid w:val="004D44FC"/>
    <w:rsid w:val="004D5906"/>
    <w:rsid w:val="004D5A14"/>
    <w:rsid w:val="004D748D"/>
    <w:rsid w:val="004E0783"/>
    <w:rsid w:val="004E19F9"/>
    <w:rsid w:val="004F6E1D"/>
    <w:rsid w:val="004F7590"/>
    <w:rsid w:val="005004D2"/>
    <w:rsid w:val="00501F11"/>
    <w:rsid w:val="00502328"/>
    <w:rsid w:val="0050451F"/>
    <w:rsid w:val="0050611A"/>
    <w:rsid w:val="005064EA"/>
    <w:rsid w:val="0050796F"/>
    <w:rsid w:val="00517205"/>
    <w:rsid w:val="00517265"/>
    <w:rsid w:val="00521EF0"/>
    <w:rsid w:val="005246AE"/>
    <w:rsid w:val="00526923"/>
    <w:rsid w:val="005269C8"/>
    <w:rsid w:val="00530FC2"/>
    <w:rsid w:val="00542487"/>
    <w:rsid w:val="00543DBA"/>
    <w:rsid w:val="005454C9"/>
    <w:rsid w:val="005503D2"/>
    <w:rsid w:val="00552735"/>
    <w:rsid w:val="00554E8A"/>
    <w:rsid w:val="005577AE"/>
    <w:rsid w:val="00561E20"/>
    <w:rsid w:val="00562D91"/>
    <w:rsid w:val="00564EFA"/>
    <w:rsid w:val="00566B35"/>
    <w:rsid w:val="00570745"/>
    <w:rsid w:val="00570F4D"/>
    <w:rsid w:val="005769A7"/>
    <w:rsid w:val="005803F8"/>
    <w:rsid w:val="00582810"/>
    <w:rsid w:val="005833F6"/>
    <w:rsid w:val="00583A6D"/>
    <w:rsid w:val="00586EB6"/>
    <w:rsid w:val="00594988"/>
    <w:rsid w:val="0059501E"/>
    <w:rsid w:val="00595540"/>
    <w:rsid w:val="00596995"/>
    <w:rsid w:val="00596B86"/>
    <w:rsid w:val="00597BBD"/>
    <w:rsid w:val="005A05A4"/>
    <w:rsid w:val="005A235F"/>
    <w:rsid w:val="005A2E65"/>
    <w:rsid w:val="005A3A85"/>
    <w:rsid w:val="005A3ED4"/>
    <w:rsid w:val="005A4D52"/>
    <w:rsid w:val="005A5735"/>
    <w:rsid w:val="005B02E3"/>
    <w:rsid w:val="005B2185"/>
    <w:rsid w:val="005B38AF"/>
    <w:rsid w:val="005B4BD6"/>
    <w:rsid w:val="005B570B"/>
    <w:rsid w:val="005B5FA6"/>
    <w:rsid w:val="005B6FC3"/>
    <w:rsid w:val="005B7F7B"/>
    <w:rsid w:val="005C15D9"/>
    <w:rsid w:val="005C36EA"/>
    <w:rsid w:val="005C5A20"/>
    <w:rsid w:val="005D69A1"/>
    <w:rsid w:val="005F01D8"/>
    <w:rsid w:val="005F25C7"/>
    <w:rsid w:val="005F3DE6"/>
    <w:rsid w:val="005F4989"/>
    <w:rsid w:val="005F630E"/>
    <w:rsid w:val="005F6CA2"/>
    <w:rsid w:val="00600299"/>
    <w:rsid w:val="006028C7"/>
    <w:rsid w:val="00604051"/>
    <w:rsid w:val="0060710B"/>
    <w:rsid w:val="00610944"/>
    <w:rsid w:val="00612DEB"/>
    <w:rsid w:val="006130A2"/>
    <w:rsid w:val="0061386A"/>
    <w:rsid w:val="0061450E"/>
    <w:rsid w:val="00615826"/>
    <w:rsid w:val="00616D7C"/>
    <w:rsid w:val="00624DFA"/>
    <w:rsid w:val="00630666"/>
    <w:rsid w:val="00636098"/>
    <w:rsid w:val="00637F70"/>
    <w:rsid w:val="00640DDD"/>
    <w:rsid w:val="00641099"/>
    <w:rsid w:val="00644792"/>
    <w:rsid w:val="00644BCC"/>
    <w:rsid w:val="00645AFA"/>
    <w:rsid w:val="0065010D"/>
    <w:rsid w:val="00655492"/>
    <w:rsid w:val="00655A55"/>
    <w:rsid w:val="006605A1"/>
    <w:rsid w:val="00660DF2"/>
    <w:rsid w:val="0066214E"/>
    <w:rsid w:val="006647D9"/>
    <w:rsid w:val="006654AB"/>
    <w:rsid w:val="006678C0"/>
    <w:rsid w:val="00667F54"/>
    <w:rsid w:val="00672586"/>
    <w:rsid w:val="0067320C"/>
    <w:rsid w:val="00674F8E"/>
    <w:rsid w:val="006759F5"/>
    <w:rsid w:val="0067631C"/>
    <w:rsid w:val="00686D4D"/>
    <w:rsid w:val="00686EB3"/>
    <w:rsid w:val="00687B1D"/>
    <w:rsid w:val="0069026D"/>
    <w:rsid w:val="00691F15"/>
    <w:rsid w:val="0069343B"/>
    <w:rsid w:val="006946F7"/>
    <w:rsid w:val="00695511"/>
    <w:rsid w:val="006A1C11"/>
    <w:rsid w:val="006A1FE4"/>
    <w:rsid w:val="006A2955"/>
    <w:rsid w:val="006A7BDF"/>
    <w:rsid w:val="006B0168"/>
    <w:rsid w:val="006B152D"/>
    <w:rsid w:val="006B43EE"/>
    <w:rsid w:val="006B5DBD"/>
    <w:rsid w:val="006B60DA"/>
    <w:rsid w:val="006B658A"/>
    <w:rsid w:val="006B724B"/>
    <w:rsid w:val="006C0519"/>
    <w:rsid w:val="006C4BBF"/>
    <w:rsid w:val="006C550D"/>
    <w:rsid w:val="006C57B1"/>
    <w:rsid w:val="006C661C"/>
    <w:rsid w:val="006D1555"/>
    <w:rsid w:val="006D6269"/>
    <w:rsid w:val="006D682C"/>
    <w:rsid w:val="006E0026"/>
    <w:rsid w:val="006E6917"/>
    <w:rsid w:val="006E6BD4"/>
    <w:rsid w:val="006E749C"/>
    <w:rsid w:val="006E7AEF"/>
    <w:rsid w:val="006E7AF2"/>
    <w:rsid w:val="006E7D85"/>
    <w:rsid w:val="006F14BD"/>
    <w:rsid w:val="006F7645"/>
    <w:rsid w:val="006F7ADB"/>
    <w:rsid w:val="006F7EFE"/>
    <w:rsid w:val="0070079D"/>
    <w:rsid w:val="00700BA6"/>
    <w:rsid w:val="0070180D"/>
    <w:rsid w:val="00703978"/>
    <w:rsid w:val="007075CB"/>
    <w:rsid w:val="00707E4B"/>
    <w:rsid w:val="0071402D"/>
    <w:rsid w:val="007177B7"/>
    <w:rsid w:val="007179FE"/>
    <w:rsid w:val="00722C47"/>
    <w:rsid w:val="00725C62"/>
    <w:rsid w:val="007268CF"/>
    <w:rsid w:val="007268DC"/>
    <w:rsid w:val="0072766F"/>
    <w:rsid w:val="0073240B"/>
    <w:rsid w:val="00732444"/>
    <w:rsid w:val="00735345"/>
    <w:rsid w:val="00735E8E"/>
    <w:rsid w:val="00741362"/>
    <w:rsid w:val="00741DBC"/>
    <w:rsid w:val="007429E5"/>
    <w:rsid w:val="00744B77"/>
    <w:rsid w:val="007457E7"/>
    <w:rsid w:val="00746C9C"/>
    <w:rsid w:val="00746D41"/>
    <w:rsid w:val="0075063E"/>
    <w:rsid w:val="00750D64"/>
    <w:rsid w:val="00751195"/>
    <w:rsid w:val="00751BBF"/>
    <w:rsid w:val="007542EC"/>
    <w:rsid w:val="007554C4"/>
    <w:rsid w:val="00757AA2"/>
    <w:rsid w:val="00757E8E"/>
    <w:rsid w:val="007700F7"/>
    <w:rsid w:val="00771606"/>
    <w:rsid w:val="00772668"/>
    <w:rsid w:val="007737C0"/>
    <w:rsid w:val="007738B7"/>
    <w:rsid w:val="00773B7B"/>
    <w:rsid w:val="0077596D"/>
    <w:rsid w:val="00775CC1"/>
    <w:rsid w:val="0077621D"/>
    <w:rsid w:val="007864D6"/>
    <w:rsid w:val="0079076A"/>
    <w:rsid w:val="00797C7C"/>
    <w:rsid w:val="007A0847"/>
    <w:rsid w:val="007A6A99"/>
    <w:rsid w:val="007B2B7C"/>
    <w:rsid w:val="007B2E5F"/>
    <w:rsid w:val="007B6013"/>
    <w:rsid w:val="007B6C7F"/>
    <w:rsid w:val="007C16FC"/>
    <w:rsid w:val="007C6CED"/>
    <w:rsid w:val="007C755E"/>
    <w:rsid w:val="007C7A6B"/>
    <w:rsid w:val="007D0861"/>
    <w:rsid w:val="007D14DA"/>
    <w:rsid w:val="007E010B"/>
    <w:rsid w:val="007E0167"/>
    <w:rsid w:val="007E0FD4"/>
    <w:rsid w:val="007E2935"/>
    <w:rsid w:val="007E3A81"/>
    <w:rsid w:val="007E59A5"/>
    <w:rsid w:val="007E5DA0"/>
    <w:rsid w:val="007F14CA"/>
    <w:rsid w:val="007F4313"/>
    <w:rsid w:val="00802FC2"/>
    <w:rsid w:val="00804C4A"/>
    <w:rsid w:val="00810BF8"/>
    <w:rsid w:val="008111E3"/>
    <w:rsid w:val="00813A48"/>
    <w:rsid w:val="00815C43"/>
    <w:rsid w:val="00816C93"/>
    <w:rsid w:val="00817D72"/>
    <w:rsid w:val="00826B24"/>
    <w:rsid w:val="00827998"/>
    <w:rsid w:val="00830A1D"/>
    <w:rsid w:val="008325EB"/>
    <w:rsid w:val="00833C90"/>
    <w:rsid w:val="00844D01"/>
    <w:rsid w:val="00852653"/>
    <w:rsid w:val="008540AD"/>
    <w:rsid w:val="008602E5"/>
    <w:rsid w:val="008606E4"/>
    <w:rsid w:val="00860E0C"/>
    <w:rsid w:val="0086165A"/>
    <w:rsid w:val="00861D04"/>
    <w:rsid w:val="0086347E"/>
    <w:rsid w:val="008653BB"/>
    <w:rsid w:val="00866565"/>
    <w:rsid w:val="008728B7"/>
    <w:rsid w:val="00873AA9"/>
    <w:rsid w:val="00873E95"/>
    <w:rsid w:val="00874142"/>
    <w:rsid w:val="00874AB8"/>
    <w:rsid w:val="00876154"/>
    <w:rsid w:val="008769DA"/>
    <w:rsid w:val="00883B30"/>
    <w:rsid w:val="0088645D"/>
    <w:rsid w:val="00887EA9"/>
    <w:rsid w:val="008907B3"/>
    <w:rsid w:val="00891B00"/>
    <w:rsid w:val="00892C00"/>
    <w:rsid w:val="008A04AE"/>
    <w:rsid w:val="008A1AE7"/>
    <w:rsid w:val="008A2837"/>
    <w:rsid w:val="008A3187"/>
    <w:rsid w:val="008A3E28"/>
    <w:rsid w:val="008A65C5"/>
    <w:rsid w:val="008B0A3D"/>
    <w:rsid w:val="008B3F27"/>
    <w:rsid w:val="008B4B17"/>
    <w:rsid w:val="008B76A1"/>
    <w:rsid w:val="008C18A2"/>
    <w:rsid w:val="008C273C"/>
    <w:rsid w:val="008C2A46"/>
    <w:rsid w:val="008D069F"/>
    <w:rsid w:val="008D16DA"/>
    <w:rsid w:val="008D1E9B"/>
    <w:rsid w:val="008D6BC6"/>
    <w:rsid w:val="008E0969"/>
    <w:rsid w:val="008E2694"/>
    <w:rsid w:val="008E403E"/>
    <w:rsid w:val="008E41C5"/>
    <w:rsid w:val="008E4ACA"/>
    <w:rsid w:val="008E5B9F"/>
    <w:rsid w:val="008E6F4C"/>
    <w:rsid w:val="008E7046"/>
    <w:rsid w:val="008F04DA"/>
    <w:rsid w:val="008F3B46"/>
    <w:rsid w:val="008F502C"/>
    <w:rsid w:val="008F7B6C"/>
    <w:rsid w:val="008F7D68"/>
    <w:rsid w:val="009057AF"/>
    <w:rsid w:val="00905855"/>
    <w:rsid w:val="009102DA"/>
    <w:rsid w:val="00917A49"/>
    <w:rsid w:val="0092250D"/>
    <w:rsid w:val="009230BF"/>
    <w:rsid w:val="00930C76"/>
    <w:rsid w:val="009328EE"/>
    <w:rsid w:val="00940731"/>
    <w:rsid w:val="00940879"/>
    <w:rsid w:val="00940DBC"/>
    <w:rsid w:val="00941F77"/>
    <w:rsid w:val="0094242F"/>
    <w:rsid w:val="00945861"/>
    <w:rsid w:val="00946EF2"/>
    <w:rsid w:val="009523E9"/>
    <w:rsid w:val="00967E39"/>
    <w:rsid w:val="009705F7"/>
    <w:rsid w:val="00970F90"/>
    <w:rsid w:val="009727DA"/>
    <w:rsid w:val="00972D29"/>
    <w:rsid w:val="009733BD"/>
    <w:rsid w:val="00974F9A"/>
    <w:rsid w:val="00983F1B"/>
    <w:rsid w:val="009858DF"/>
    <w:rsid w:val="0098656F"/>
    <w:rsid w:val="009872CE"/>
    <w:rsid w:val="00990CED"/>
    <w:rsid w:val="0099163C"/>
    <w:rsid w:val="0099166A"/>
    <w:rsid w:val="009954BA"/>
    <w:rsid w:val="009957C5"/>
    <w:rsid w:val="00996E1A"/>
    <w:rsid w:val="009975FE"/>
    <w:rsid w:val="009A0704"/>
    <w:rsid w:val="009A4411"/>
    <w:rsid w:val="009A46FE"/>
    <w:rsid w:val="009A5BB5"/>
    <w:rsid w:val="009A631B"/>
    <w:rsid w:val="009A65D2"/>
    <w:rsid w:val="009A75BF"/>
    <w:rsid w:val="009A79AD"/>
    <w:rsid w:val="009B0D15"/>
    <w:rsid w:val="009B2AC3"/>
    <w:rsid w:val="009B3BA9"/>
    <w:rsid w:val="009B75C6"/>
    <w:rsid w:val="009C1B17"/>
    <w:rsid w:val="009C4E0E"/>
    <w:rsid w:val="009D26D8"/>
    <w:rsid w:val="009D3412"/>
    <w:rsid w:val="009D44A3"/>
    <w:rsid w:val="009D4BF0"/>
    <w:rsid w:val="009D6056"/>
    <w:rsid w:val="009D6DAC"/>
    <w:rsid w:val="009E02EA"/>
    <w:rsid w:val="009E0DB2"/>
    <w:rsid w:val="009E284A"/>
    <w:rsid w:val="009E2FDA"/>
    <w:rsid w:val="009E443B"/>
    <w:rsid w:val="009E6EC8"/>
    <w:rsid w:val="009F03A7"/>
    <w:rsid w:val="009F27B5"/>
    <w:rsid w:val="009F3E32"/>
    <w:rsid w:val="009F5A97"/>
    <w:rsid w:val="00A0182F"/>
    <w:rsid w:val="00A02EB6"/>
    <w:rsid w:val="00A04FCA"/>
    <w:rsid w:val="00A059E8"/>
    <w:rsid w:val="00A108DF"/>
    <w:rsid w:val="00A10A47"/>
    <w:rsid w:val="00A10EE7"/>
    <w:rsid w:val="00A1287B"/>
    <w:rsid w:val="00A12E73"/>
    <w:rsid w:val="00A1355E"/>
    <w:rsid w:val="00A169BD"/>
    <w:rsid w:val="00A21269"/>
    <w:rsid w:val="00A23F09"/>
    <w:rsid w:val="00A2727F"/>
    <w:rsid w:val="00A27EDE"/>
    <w:rsid w:val="00A35F93"/>
    <w:rsid w:val="00A36859"/>
    <w:rsid w:val="00A45012"/>
    <w:rsid w:val="00A4711B"/>
    <w:rsid w:val="00A50AE1"/>
    <w:rsid w:val="00A51BB3"/>
    <w:rsid w:val="00A561F6"/>
    <w:rsid w:val="00A565C7"/>
    <w:rsid w:val="00A573B1"/>
    <w:rsid w:val="00A5769E"/>
    <w:rsid w:val="00A60EDB"/>
    <w:rsid w:val="00A64E45"/>
    <w:rsid w:val="00A6793E"/>
    <w:rsid w:val="00A74725"/>
    <w:rsid w:val="00A76B27"/>
    <w:rsid w:val="00A81627"/>
    <w:rsid w:val="00A90F2D"/>
    <w:rsid w:val="00A913F9"/>
    <w:rsid w:val="00AA2477"/>
    <w:rsid w:val="00AA55AA"/>
    <w:rsid w:val="00AA5E7B"/>
    <w:rsid w:val="00AB5E13"/>
    <w:rsid w:val="00AB6551"/>
    <w:rsid w:val="00AB778C"/>
    <w:rsid w:val="00AC044E"/>
    <w:rsid w:val="00AC1D68"/>
    <w:rsid w:val="00AC56C6"/>
    <w:rsid w:val="00AC7B65"/>
    <w:rsid w:val="00AD2682"/>
    <w:rsid w:val="00AD436A"/>
    <w:rsid w:val="00AD5937"/>
    <w:rsid w:val="00AD6103"/>
    <w:rsid w:val="00AE1046"/>
    <w:rsid w:val="00AE2D1A"/>
    <w:rsid w:val="00AE5A02"/>
    <w:rsid w:val="00AE6FB7"/>
    <w:rsid w:val="00AF01FC"/>
    <w:rsid w:val="00AF14C5"/>
    <w:rsid w:val="00AF28FF"/>
    <w:rsid w:val="00AF44DC"/>
    <w:rsid w:val="00AF6006"/>
    <w:rsid w:val="00AF621E"/>
    <w:rsid w:val="00AF6721"/>
    <w:rsid w:val="00AF6CF8"/>
    <w:rsid w:val="00B00045"/>
    <w:rsid w:val="00B01183"/>
    <w:rsid w:val="00B01623"/>
    <w:rsid w:val="00B03407"/>
    <w:rsid w:val="00B05871"/>
    <w:rsid w:val="00B061C2"/>
    <w:rsid w:val="00B11090"/>
    <w:rsid w:val="00B12C81"/>
    <w:rsid w:val="00B13741"/>
    <w:rsid w:val="00B177AF"/>
    <w:rsid w:val="00B1788F"/>
    <w:rsid w:val="00B17F93"/>
    <w:rsid w:val="00B22C04"/>
    <w:rsid w:val="00B33B89"/>
    <w:rsid w:val="00B34DB1"/>
    <w:rsid w:val="00B362FE"/>
    <w:rsid w:val="00B37665"/>
    <w:rsid w:val="00B37A44"/>
    <w:rsid w:val="00B4214D"/>
    <w:rsid w:val="00B42361"/>
    <w:rsid w:val="00B43C2A"/>
    <w:rsid w:val="00B5176F"/>
    <w:rsid w:val="00B523EC"/>
    <w:rsid w:val="00B57CA8"/>
    <w:rsid w:val="00B60E18"/>
    <w:rsid w:val="00B6392E"/>
    <w:rsid w:val="00B736C5"/>
    <w:rsid w:val="00B75066"/>
    <w:rsid w:val="00B84FE8"/>
    <w:rsid w:val="00B87BF8"/>
    <w:rsid w:val="00B93E7E"/>
    <w:rsid w:val="00B94928"/>
    <w:rsid w:val="00B961CD"/>
    <w:rsid w:val="00BA0A6A"/>
    <w:rsid w:val="00BA1348"/>
    <w:rsid w:val="00BA3705"/>
    <w:rsid w:val="00BA3B0E"/>
    <w:rsid w:val="00BB0B33"/>
    <w:rsid w:val="00BB274A"/>
    <w:rsid w:val="00BB483B"/>
    <w:rsid w:val="00BB4F0C"/>
    <w:rsid w:val="00BB5813"/>
    <w:rsid w:val="00BB6DB9"/>
    <w:rsid w:val="00BC06D8"/>
    <w:rsid w:val="00BC5857"/>
    <w:rsid w:val="00BC6372"/>
    <w:rsid w:val="00BD2201"/>
    <w:rsid w:val="00BD3FF8"/>
    <w:rsid w:val="00BD56E2"/>
    <w:rsid w:val="00BE6222"/>
    <w:rsid w:val="00BE63C4"/>
    <w:rsid w:val="00BF0F18"/>
    <w:rsid w:val="00BF1D75"/>
    <w:rsid w:val="00BF5738"/>
    <w:rsid w:val="00BF70FB"/>
    <w:rsid w:val="00C00EA1"/>
    <w:rsid w:val="00C02610"/>
    <w:rsid w:val="00C0379C"/>
    <w:rsid w:val="00C058E2"/>
    <w:rsid w:val="00C100FA"/>
    <w:rsid w:val="00C115C8"/>
    <w:rsid w:val="00C14EEB"/>
    <w:rsid w:val="00C17381"/>
    <w:rsid w:val="00C2077C"/>
    <w:rsid w:val="00C2116E"/>
    <w:rsid w:val="00C22EA0"/>
    <w:rsid w:val="00C2311A"/>
    <w:rsid w:val="00C2483D"/>
    <w:rsid w:val="00C26DFD"/>
    <w:rsid w:val="00C26FAE"/>
    <w:rsid w:val="00C27A1C"/>
    <w:rsid w:val="00C27A3E"/>
    <w:rsid w:val="00C32FD4"/>
    <w:rsid w:val="00C34620"/>
    <w:rsid w:val="00C35DB7"/>
    <w:rsid w:val="00C3731F"/>
    <w:rsid w:val="00C50A20"/>
    <w:rsid w:val="00C54B03"/>
    <w:rsid w:val="00C56C89"/>
    <w:rsid w:val="00C61156"/>
    <w:rsid w:val="00C6315E"/>
    <w:rsid w:val="00C63883"/>
    <w:rsid w:val="00C657EC"/>
    <w:rsid w:val="00C71FAA"/>
    <w:rsid w:val="00C74573"/>
    <w:rsid w:val="00C75B7D"/>
    <w:rsid w:val="00C7752D"/>
    <w:rsid w:val="00C77C23"/>
    <w:rsid w:val="00C83D6E"/>
    <w:rsid w:val="00C901AD"/>
    <w:rsid w:val="00C93F85"/>
    <w:rsid w:val="00C953DC"/>
    <w:rsid w:val="00C956E2"/>
    <w:rsid w:val="00C96ECC"/>
    <w:rsid w:val="00C97B13"/>
    <w:rsid w:val="00CA0135"/>
    <w:rsid w:val="00CA0E78"/>
    <w:rsid w:val="00CA4079"/>
    <w:rsid w:val="00CC51EB"/>
    <w:rsid w:val="00CC5836"/>
    <w:rsid w:val="00CC6815"/>
    <w:rsid w:val="00CD5034"/>
    <w:rsid w:val="00CD61A3"/>
    <w:rsid w:val="00CD73C2"/>
    <w:rsid w:val="00CE0FC5"/>
    <w:rsid w:val="00CE1CE2"/>
    <w:rsid w:val="00CE2121"/>
    <w:rsid w:val="00CE21CE"/>
    <w:rsid w:val="00CE79CD"/>
    <w:rsid w:val="00CF102C"/>
    <w:rsid w:val="00CF33E4"/>
    <w:rsid w:val="00CF5E3E"/>
    <w:rsid w:val="00CF72EB"/>
    <w:rsid w:val="00D026BB"/>
    <w:rsid w:val="00D027F4"/>
    <w:rsid w:val="00D04B67"/>
    <w:rsid w:val="00D052F8"/>
    <w:rsid w:val="00D05C00"/>
    <w:rsid w:val="00D11A7C"/>
    <w:rsid w:val="00D13F76"/>
    <w:rsid w:val="00D15E58"/>
    <w:rsid w:val="00D1643B"/>
    <w:rsid w:val="00D16942"/>
    <w:rsid w:val="00D16B46"/>
    <w:rsid w:val="00D234F9"/>
    <w:rsid w:val="00D2543E"/>
    <w:rsid w:val="00D25BAC"/>
    <w:rsid w:val="00D2697C"/>
    <w:rsid w:val="00D269D3"/>
    <w:rsid w:val="00D303FF"/>
    <w:rsid w:val="00D305B3"/>
    <w:rsid w:val="00D35231"/>
    <w:rsid w:val="00D4425A"/>
    <w:rsid w:val="00D44EBA"/>
    <w:rsid w:val="00D500C4"/>
    <w:rsid w:val="00D5020C"/>
    <w:rsid w:val="00D52CFD"/>
    <w:rsid w:val="00D54C66"/>
    <w:rsid w:val="00D54CE7"/>
    <w:rsid w:val="00D54EA4"/>
    <w:rsid w:val="00D561DA"/>
    <w:rsid w:val="00D56210"/>
    <w:rsid w:val="00D57586"/>
    <w:rsid w:val="00D60CCE"/>
    <w:rsid w:val="00D70100"/>
    <w:rsid w:val="00D71014"/>
    <w:rsid w:val="00D73CDC"/>
    <w:rsid w:val="00D75580"/>
    <w:rsid w:val="00D807CF"/>
    <w:rsid w:val="00D80E5A"/>
    <w:rsid w:val="00D82837"/>
    <w:rsid w:val="00D83497"/>
    <w:rsid w:val="00D859E2"/>
    <w:rsid w:val="00D87C7D"/>
    <w:rsid w:val="00D94F22"/>
    <w:rsid w:val="00DA08DC"/>
    <w:rsid w:val="00DA2CE5"/>
    <w:rsid w:val="00DB1E67"/>
    <w:rsid w:val="00DB48CC"/>
    <w:rsid w:val="00DB49B6"/>
    <w:rsid w:val="00DB4B20"/>
    <w:rsid w:val="00DC0366"/>
    <w:rsid w:val="00DC15E0"/>
    <w:rsid w:val="00DC674A"/>
    <w:rsid w:val="00DD155F"/>
    <w:rsid w:val="00DD4A05"/>
    <w:rsid w:val="00DD4C35"/>
    <w:rsid w:val="00DD5D5C"/>
    <w:rsid w:val="00DD6FE0"/>
    <w:rsid w:val="00DE2817"/>
    <w:rsid w:val="00DE2959"/>
    <w:rsid w:val="00DE6E03"/>
    <w:rsid w:val="00DF17AE"/>
    <w:rsid w:val="00DF6210"/>
    <w:rsid w:val="00DF6FD4"/>
    <w:rsid w:val="00E039E0"/>
    <w:rsid w:val="00E03BEC"/>
    <w:rsid w:val="00E0509A"/>
    <w:rsid w:val="00E05174"/>
    <w:rsid w:val="00E07235"/>
    <w:rsid w:val="00E07BF3"/>
    <w:rsid w:val="00E10143"/>
    <w:rsid w:val="00E1506E"/>
    <w:rsid w:val="00E24B10"/>
    <w:rsid w:val="00E24F54"/>
    <w:rsid w:val="00E25A89"/>
    <w:rsid w:val="00E27B66"/>
    <w:rsid w:val="00E30314"/>
    <w:rsid w:val="00E33C9F"/>
    <w:rsid w:val="00E365AC"/>
    <w:rsid w:val="00E366F6"/>
    <w:rsid w:val="00E37559"/>
    <w:rsid w:val="00E43F05"/>
    <w:rsid w:val="00E43F7B"/>
    <w:rsid w:val="00E448F3"/>
    <w:rsid w:val="00E467E0"/>
    <w:rsid w:val="00E5126D"/>
    <w:rsid w:val="00E54A14"/>
    <w:rsid w:val="00E55E4E"/>
    <w:rsid w:val="00E61444"/>
    <w:rsid w:val="00E65E1D"/>
    <w:rsid w:val="00E6703E"/>
    <w:rsid w:val="00E830AF"/>
    <w:rsid w:val="00E83E0E"/>
    <w:rsid w:val="00E905CB"/>
    <w:rsid w:val="00E91918"/>
    <w:rsid w:val="00E92AC7"/>
    <w:rsid w:val="00E944E9"/>
    <w:rsid w:val="00E979AB"/>
    <w:rsid w:val="00E97BA7"/>
    <w:rsid w:val="00EA5C34"/>
    <w:rsid w:val="00EB25A5"/>
    <w:rsid w:val="00EB281A"/>
    <w:rsid w:val="00EB5D58"/>
    <w:rsid w:val="00EB7B0E"/>
    <w:rsid w:val="00EB7C82"/>
    <w:rsid w:val="00EC133E"/>
    <w:rsid w:val="00EC39BC"/>
    <w:rsid w:val="00ED6B6F"/>
    <w:rsid w:val="00ED7228"/>
    <w:rsid w:val="00ED7ED5"/>
    <w:rsid w:val="00EE073D"/>
    <w:rsid w:val="00EE140B"/>
    <w:rsid w:val="00EE2E33"/>
    <w:rsid w:val="00EE38BE"/>
    <w:rsid w:val="00EF3088"/>
    <w:rsid w:val="00EF3A39"/>
    <w:rsid w:val="00EF6921"/>
    <w:rsid w:val="00EF6C67"/>
    <w:rsid w:val="00EF7DCB"/>
    <w:rsid w:val="00F018D8"/>
    <w:rsid w:val="00F037BF"/>
    <w:rsid w:val="00F04D4C"/>
    <w:rsid w:val="00F0762A"/>
    <w:rsid w:val="00F12A48"/>
    <w:rsid w:val="00F14254"/>
    <w:rsid w:val="00F15EAA"/>
    <w:rsid w:val="00F16E27"/>
    <w:rsid w:val="00F21677"/>
    <w:rsid w:val="00F2245D"/>
    <w:rsid w:val="00F2617A"/>
    <w:rsid w:val="00F33A23"/>
    <w:rsid w:val="00F35910"/>
    <w:rsid w:val="00F35F5C"/>
    <w:rsid w:val="00F40C1D"/>
    <w:rsid w:val="00F4144D"/>
    <w:rsid w:val="00F41DB3"/>
    <w:rsid w:val="00F429B8"/>
    <w:rsid w:val="00F5075A"/>
    <w:rsid w:val="00F55610"/>
    <w:rsid w:val="00F60EF8"/>
    <w:rsid w:val="00F61454"/>
    <w:rsid w:val="00F628E6"/>
    <w:rsid w:val="00F715CE"/>
    <w:rsid w:val="00F721E8"/>
    <w:rsid w:val="00F749E4"/>
    <w:rsid w:val="00F770BC"/>
    <w:rsid w:val="00F772E0"/>
    <w:rsid w:val="00F82617"/>
    <w:rsid w:val="00F85696"/>
    <w:rsid w:val="00F86C80"/>
    <w:rsid w:val="00F90F9C"/>
    <w:rsid w:val="00F928E9"/>
    <w:rsid w:val="00F97ECE"/>
    <w:rsid w:val="00FA266C"/>
    <w:rsid w:val="00FA5CB0"/>
    <w:rsid w:val="00FA6956"/>
    <w:rsid w:val="00FA6BA6"/>
    <w:rsid w:val="00FA6E22"/>
    <w:rsid w:val="00FB3164"/>
    <w:rsid w:val="00FB4ACB"/>
    <w:rsid w:val="00FC2396"/>
    <w:rsid w:val="00FC5493"/>
    <w:rsid w:val="00FC64BE"/>
    <w:rsid w:val="00FD6C5F"/>
    <w:rsid w:val="00FE1B09"/>
    <w:rsid w:val="00FE605D"/>
    <w:rsid w:val="00FE6936"/>
    <w:rsid w:val="00FF0FCE"/>
    <w:rsid w:val="00FF6D7D"/>
    <w:rsid w:val="2B5BD7A7"/>
    <w:rsid w:val="3E868911"/>
    <w:rsid w:val="4053BD12"/>
    <w:rsid w:val="47157F0A"/>
    <w:rsid w:val="593180F0"/>
    <w:rsid w:val="5B655C3D"/>
    <w:rsid w:val="5BFD343A"/>
    <w:rsid w:val="6EBD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8C4EA100-9620-4B15-8622-FC80857E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bg-BG"/>
    </w:rPr>
  </w:style>
  <w:style w:type="paragraph" w:styleId="Heading1">
    <w:name w:val="heading 1"/>
    <w:basedOn w:val="Normal"/>
    <w:next w:val="Text1"/>
    <w:link w:val="Heading1Char"/>
    <w:uiPriority w:val="9"/>
    <w:qFormat/>
    <w:pPr>
      <w:keepNext/>
      <w:numPr>
        <w:numId w:val="2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2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25"/>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25"/>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25"/>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25"/>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25"/>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0796F"/>
    <w:pPr>
      <w:numPr>
        <w:numId w:val="1"/>
      </w:numPr>
    </w:pPr>
    <w:rPr>
      <w:rFonts w:eastAsia="Times New Roman"/>
      <w:lang w:eastAsia="en-GB"/>
    </w:rPr>
  </w:style>
  <w:style w:type="character" w:styleId="Hyperlink">
    <w:name w:val="Hyperlink"/>
    <w:basedOn w:val="DefaultParagraphFont"/>
    <w:uiPriority w:val="99"/>
    <w:rsid w:val="000A5D79"/>
    <w:rPr>
      <w:color w:val="0000FF" w:themeColor="hyperlink"/>
      <w:u w:val="single"/>
    </w:rPr>
  </w:style>
  <w:style w:type="paragraph" w:styleId="ListParagraph">
    <w:name w:val="List Paragraph"/>
    <w:basedOn w:val="Normal"/>
    <w:link w:val="ListParagraphChar"/>
    <w:uiPriority w:val="34"/>
    <w:qFormat/>
    <w:rsid w:val="000A5D79"/>
    <w:pPr>
      <w:ind w:left="720"/>
      <w:contextualSpacing/>
    </w:pPr>
  </w:style>
  <w:style w:type="character" w:customStyle="1" w:styleId="ListParagraphChar">
    <w:name w:val="List Paragraph Char"/>
    <w:link w:val="ListParagraph"/>
    <w:uiPriority w:val="34"/>
    <w:rsid w:val="000A5D79"/>
    <w:rPr>
      <w:rFonts w:ascii="Times New Roman" w:hAnsi="Times New Roman" w:cs="Times New Roman"/>
      <w:sz w:val="24"/>
      <w:lang w:val="bg-BG"/>
    </w:rPr>
  </w:style>
  <w:style w:type="paragraph" w:styleId="Caption">
    <w:name w:val="caption"/>
    <w:basedOn w:val="Normal"/>
    <w:next w:val="Normal"/>
    <w:uiPriority w:val="35"/>
    <w:semiHidden/>
    <w:unhideWhenUsed/>
    <w:qFormat/>
    <w:rsid w:val="00C7752D"/>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C7752D"/>
    <w:pPr>
      <w:spacing w:after="0"/>
    </w:pPr>
  </w:style>
  <w:style w:type="paragraph" w:styleId="ListBullet2">
    <w:name w:val="List Bullet 2"/>
    <w:basedOn w:val="Normal"/>
    <w:uiPriority w:val="99"/>
    <w:semiHidden/>
    <w:unhideWhenUsed/>
    <w:rsid w:val="00C7752D"/>
    <w:pPr>
      <w:numPr>
        <w:numId w:val="2"/>
      </w:numPr>
      <w:contextualSpacing/>
    </w:pPr>
  </w:style>
  <w:style w:type="paragraph" w:styleId="ListBullet3">
    <w:name w:val="List Bullet 3"/>
    <w:basedOn w:val="Normal"/>
    <w:uiPriority w:val="99"/>
    <w:semiHidden/>
    <w:unhideWhenUsed/>
    <w:rsid w:val="00C7752D"/>
    <w:pPr>
      <w:numPr>
        <w:numId w:val="3"/>
      </w:numPr>
      <w:contextualSpacing/>
    </w:pPr>
  </w:style>
  <w:style w:type="paragraph" w:styleId="ListBullet4">
    <w:name w:val="List Bullet 4"/>
    <w:basedOn w:val="Normal"/>
    <w:uiPriority w:val="99"/>
    <w:semiHidden/>
    <w:unhideWhenUsed/>
    <w:rsid w:val="00C7752D"/>
    <w:pPr>
      <w:numPr>
        <w:numId w:val="4"/>
      </w:numPr>
      <w:contextualSpacing/>
    </w:pPr>
  </w:style>
  <w:style w:type="paragraph" w:styleId="ListNumber">
    <w:name w:val="List Number"/>
    <w:basedOn w:val="Normal"/>
    <w:uiPriority w:val="99"/>
    <w:semiHidden/>
    <w:unhideWhenUsed/>
    <w:rsid w:val="00C7752D"/>
    <w:pPr>
      <w:numPr>
        <w:numId w:val="5"/>
      </w:numPr>
      <w:contextualSpacing/>
    </w:pPr>
  </w:style>
  <w:style w:type="paragraph" w:styleId="ListNumber2">
    <w:name w:val="List Number 2"/>
    <w:basedOn w:val="Normal"/>
    <w:uiPriority w:val="99"/>
    <w:semiHidden/>
    <w:unhideWhenUsed/>
    <w:rsid w:val="00C7752D"/>
    <w:pPr>
      <w:numPr>
        <w:numId w:val="6"/>
      </w:numPr>
      <w:contextualSpacing/>
    </w:pPr>
  </w:style>
  <w:style w:type="paragraph" w:styleId="ListNumber3">
    <w:name w:val="List Number 3"/>
    <w:basedOn w:val="Normal"/>
    <w:uiPriority w:val="99"/>
    <w:semiHidden/>
    <w:unhideWhenUsed/>
    <w:rsid w:val="00C7752D"/>
    <w:pPr>
      <w:numPr>
        <w:numId w:val="7"/>
      </w:numPr>
      <w:contextualSpacing/>
    </w:pPr>
  </w:style>
  <w:style w:type="paragraph" w:styleId="ListNumber4">
    <w:name w:val="List Number 4"/>
    <w:basedOn w:val="Normal"/>
    <w:uiPriority w:val="99"/>
    <w:semiHidden/>
    <w:unhideWhenUsed/>
    <w:rsid w:val="00C7752D"/>
    <w:pPr>
      <w:numPr>
        <w:numId w:val="8"/>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bg-BG"/>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B1788F"/>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B1788F"/>
    <w:rPr>
      <w:b/>
      <w:bCs/>
    </w:rPr>
  </w:style>
  <w:style w:type="character" w:customStyle="1" w:styleId="CommentSubjectChar">
    <w:name w:val="Comment Subject Char"/>
    <w:basedOn w:val="CommentTextChar"/>
    <w:link w:val="CommentSubject"/>
    <w:uiPriority w:val="99"/>
    <w:semiHidden/>
    <w:rsid w:val="00B1788F"/>
    <w:rPr>
      <w:rFonts w:ascii="Times New Roman" w:hAnsi="Times New Roman" w:cs="Times New Roman"/>
      <w:b/>
      <w:bCs/>
      <w:sz w:val="20"/>
      <w:szCs w:val="20"/>
      <w:lang w:val="bg-BG"/>
    </w:rPr>
  </w:style>
  <w:style w:type="character" w:styleId="Emphasis">
    <w:name w:val="Emphasis"/>
    <w:basedOn w:val="DefaultParagraphFont"/>
    <w:uiPriority w:val="20"/>
    <w:qFormat/>
    <w:rsid w:val="00115B95"/>
    <w:rPr>
      <w:i/>
      <w:iCs/>
    </w:rPr>
  </w:style>
  <w:style w:type="character" w:customStyle="1" w:styleId="UnresolvedMention">
    <w:name w:val="Unresolved Mention"/>
    <w:basedOn w:val="DefaultParagraphFont"/>
    <w:uiPriority w:val="99"/>
    <w:semiHidden/>
    <w:unhideWhenUsed/>
    <w:rsid w:val="005A2E65"/>
    <w:rPr>
      <w:color w:val="605E5C"/>
      <w:shd w:val="clear" w:color="auto" w:fill="E1DFDD"/>
    </w:rPr>
  </w:style>
  <w:style w:type="character" w:customStyle="1" w:styleId="Mention">
    <w:name w:val="Mention"/>
    <w:basedOn w:val="DefaultParagraphFont"/>
    <w:uiPriority w:val="99"/>
    <w:unhideWhenUsed/>
    <w:rsid w:val="00B523EC"/>
    <w:rPr>
      <w:color w:val="2B579A"/>
      <w:shd w:val="clear" w:color="auto" w:fill="E1DFDD"/>
    </w:rPr>
  </w:style>
  <w:style w:type="paragraph" w:customStyle="1" w:styleId="oj-normal">
    <w:name w:val="oj-normal"/>
    <w:basedOn w:val="Normal"/>
    <w:rsid w:val="007A0847"/>
    <w:pPr>
      <w:spacing w:before="100" w:beforeAutospacing="1" w:after="100" w:afterAutospacing="1"/>
      <w:jc w:val="left"/>
    </w:pPr>
    <w:rPr>
      <w:rFonts w:eastAsia="Times New Roman"/>
      <w:szCs w:val="24"/>
      <w:lang w:eastAsia="fr-BE"/>
    </w:rPr>
  </w:style>
  <w:style w:type="character" w:customStyle="1" w:styleId="oj-super">
    <w:name w:val="oj-super"/>
    <w:basedOn w:val="DefaultParagraphFont"/>
    <w:rsid w:val="007A0847"/>
  </w:style>
  <w:style w:type="paragraph" w:customStyle="1" w:styleId="pf0">
    <w:name w:val="pf0"/>
    <w:basedOn w:val="Normal"/>
    <w:rsid w:val="00655A55"/>
    <w:pPr>
      <w:spacing w:before="100" w:beforeAutospacing="1" w:after="100" w:afterAutospacing="1"/>
      <w:jc w:val="left"/>
    </w:pPr>
    <w:rPr>
      <w:rFonts w:eastAsia="Times New Roman"/>
      <w:szCs w:val="24"/>
      <w:lang w:eastAsia="fr-BE"/>
    </w:rPr>
  </w:style>
  <w:style w:type="character" w:customStyle="1" w:styleId="cf01">
    <w:name w:val="cf01"/>
    <w:basedOn w:val="DefaultParagraphFont"/>
    <w:rsid w:val="00655A55"/>
    <w:rPr>
      <w:rFonts w:ascii="Segoe UI" w:hAnsi="Segoe UI" w:cs="Segoe UI" w:hint="default"/>
      <w:i/>
      <w:iCs/>
      <w:sz w:val="18"/>
      <w:szCs w:val="18"/>
    </w:rPr>
  </w:style>
  <w:style w:type="character" w:customStyle="1" w:styleId="cf11">
    <w:name w:val="cf11"/>
    <w:basedOn w:val="DefaultParagraphFont"/>
    <w:rsid w:val="003A1487"/>
    <w:rPr>
      <w:rFonts w:ascii="Segoe UI" w:hAnsi="Segoe UI" w:cs="Segoe UI" w:hint="default"/>
      <w:sz w:val="18"/>
      <w:szCs w:val="18"/>
    </w:rPr>
  </w:style>
  <w:style w:type="character" w:customStyle="1" w:styleId="cf21">
    <w:name w:val="cf21"/>
    <w:basedOn w:val="DefaultParagraphFont"/>
    <w:rsid w:val="003A1487"/>
    <w:rPr>
      <w:rFonts w:ascii="Segoe UI" w:hAnsi="Segoe UI" w:cs="Segoe UI" w:hint="default"/>
      <w:sz w:val="18"/>
      <w:szCs w:val="18"/>
      <w:shd w:val="clear" w:color="auto" w:fill="FFFF00"/>
    </w:rPr>
  </w:style>
  <w:style w:type="character" w:customStyle="1" w:styleId="HeaderChar">
    <w:name w:val="Header Char"/>
    <w:basedOn w:val="DefaultParagraphFont"/>
    <w:link w:val="Header"/>
    <w:uiPriority w:val="99"/>
    <w:rsid w:val="00215886"/>
    <w:rPr>
      <w:rFonts w:ascii="Times New Roman" w:hAnsi="Times New Roman" w:cs="Times New Roman"/>
      <w:sz w:val="24"/>
      <w:lang w:val="bg-BG"/>
    </w:rPr>
  </w:style>
  <w:style w:type="character" w:customStyle="1" w:styleId="FooterChar">
    <w:name w:val="Footer Char"/>
    <w:basedOn w:val="DefaultParagraphFont"/>
    <w:link w:val="Footer"/>
    <w:uiPriority w:val="99"/>
    <w:rsid w:val="00215886"/>
    <w:rPr>
      <w:rFonts w:ascii="Times New Roman" w:hAnsi="Times New Roman" w:cs="Times New Roman"/>
      <w:sz w:val="24"/>
      <w:lang w:val="bg-BG"/>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bg-BG"/>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bg-BG"/>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bg-BG"/>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bg-BG"/>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bg-BG"/>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bg-BG"/>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bg-BG"/>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215886"/>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215886"/>
    <w:pPr>
      <w:spacing w:before="0"/>
      <w:jc w:val="right"/>
    </w:pPr>
    <w:rPr>
      <w:sz w:val="28"/>
    </w:rPr>
  </w:style>
  <w:style w:type="paragraph" w:customStyle="1" w:styleId="FooterSensitivity">
    <w:name w:val="Footer Sensitivity"/>
    <w:basedOn w:val="Normal"/>
    <w:rsid w:val="00215886"/>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18"/>
      </w:numPr>
    </w:pPr>
  </w:style>
  <w:style w:type="paragraph" w:customStyle="1" w:styleId="Tiret1">
    <w:name w:val="Tiret 1"/>
    <w:basedOn w:val="Point1"/>
    <w:pPr>
      <w:numPr>
        <w:numId w:val="19"/>
      </w:numPr>
    </w:pPr>
  </w:style>
  <w:style w:type="paragraph" w:customStyle="1" w:styleId="Tiret2">
    <w:name w:val="Tiret 2"/>
    <w:basedOn w:val="Point2"/>
    <w:pPr>
      <w:numPr>
        <w:numId w:val="20"/>
      </w:numPr>
    </w:pPr>
  </w:style>
  <w:style w:type="paragraph" w:customStyle="1" w:styleId="Tiret3">
    <w:name w:val="Tiret 3"/>
    <w:basedOn w:val="Point3"/>
    <w:pPr>
      <w:numPr>
        <w:numId w:val="21"/>
      </w:numPr>
    </w:pPr>
  </w:style>
  <w:style w:type="paragraph" w:customStyle="1" w:styleId="Tiret4">
    <w:name w:val="Tiret 4"/>
    <w:basedOn w:val="Point4"/>
    <w:pPr>
      <w:numPr>
        <w:numId w:val="22"/>
      </w:numPr>
    </w:pPr>
  </w:style>
  <w:style w:type="paragraph" w:customStyle="1" w:styleId="Tiret5">
    <w:name w:val="Tiret 5"/>
    <w:basedOn w:val="Point5"/>
    <w:pPr>
      <w:numPr>
        <w:numId w:val="23"/>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24"/>
      </w:numPr>
    </w:pPr>
  </w:style>
  <w:style w:type="paragraph" w:customStyle="1" w:styleId="NumPar2">
    <w:name w:val="NumPar 2"/>
    <w:basedOn w:val="Normal"/>
    <w:next w:val="Text1"/>
    <w:pPr>
      <w:numPr>
        <w:ilvl w:val="1"/>
        <w:numId w:val="24"/>
      </w:numPr>
    </w:pPr>
  </w:style>
  <w:style w:type="paragraph" w:customStyle="1" w:styleId="NumPar3">
    <w:name w:val="NumPar 3"/>
    <w:basedOn w:val="Normal"/>
    <w:next w:val="Text1"/>
    <w:pPr>
      <w:numPr>
        <w:ilvl w:val="2"/>
        <w:numId w:val="24"/>
      </w:numPr>
    </w:pPr>
  </w:style>
  <w:style w:type="paragraph" w:customStyle="1" w:styleId="NumPar4">
    <w:name w:val="NumPar 4"/>
    <w:basedOn w:val="Normal"/>
    <w:next w:val="Text1"/>
    <w:pPr>
      <w:numPr>
        <w:ilvl w:val="3"/>
        <w:numId w:val="24"/>
      </w:numPr>
    </w:pPr>
  </w:style>
  <w:style w:type="paragraph" w:customStyle="1" w:styleId="NumPar5">
    <w:name w:val="NumPar 5"/>
    <w:basedOn w:val="Normal"/>
    <w:next w:val="Text2"/>
    <w:pPr>
      <w:numPr>
        <w:ilvl w:val="4"/>
        <w:numId w:val="24"/>
      </w:numPr>
    </w:pPr>
  </w:style>
  <w:style w:type="paragraph" w:customStyle="1" w:styleId="NumPar6">
    <w:name w:val="NumPar 6"/>
    <w:basedOn w:val="Normal"/>
    <w:next w:val="Text2"/>
    <w:pPr>
      <w:numPr>
        <w:ilvl w:val="5"/>
        <w:numId w:val="24"/>
      </w:numPr>
    </w:pPr>
  </w:style>
  <w:style w:type="paragraph" w:customStyle="1" w:styleId="NumPar7">
    <w:name w:val="NumPar 7"/>
    <w:basedOn w:val="Normal"/>
    <w:next w:val="Text2"/>
    <w:pPr>
      <w:numPr>
        <w:ilvl w:val="6"/>
        <w:numId w:val="24"/>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26"/>
      </w:numPr>
    </w:pPr>
  </w:style>
  <w:style w:type="paragraph" w:customStyle="1" w:styleId="Point1number">
    <w:name w:val="Point 1 (number)"/>
    <w:basedOn w:val="Normal"/>
    <w:pPr>
      <w:numPr>
        <w:ilvl w:val="2"/>
        <w:numId w:val="26"/>
      </w:numPr>
    </w:pPr>
  </w:style>
  <w:style w:type="paragraph" w:customStyle="1" w:styleId="Point2number">
    <w:name w:val="Point 2 (number)"/>
    <w:basedOn w:val="Normal"/>
    <w:pPr>
      <w:numPr>
        <w:ilvl w:val="4"/>
        <w:numId w:val="26"/>
      </w:numPr>
    </w:pPr>
  </w:style>
  <w:style w:type="paragraph" w:customStyle="1" w:styleId="Point3number">
    <w:name w:val="Point 3 (number)"/>
    <w:basedOn w:val="Normal"/>
    <w:pPr>
      <w:numPr>
        <w:ilvl w:val="6"/>
        <w:numId w:val="26"/>
      </w:numPr>
    </w:pPr>
  </w:style>
  <w:style w:type="paragraph" w:customStyle="1" w:styleId="Point0letter">
    <w:name w:val="Point 0 (letter)"/>
    <w:basedOn w:val="Normal"/>
    <w:pPr>
      <w:numPr>
        <w:ilvl w:val="1"/>
        <w:numId w:val="26"/>
      </w:numPr>
    </w:pPr>
  </w:style>
  <w:style w:type="paragraph" w:customStyle="1" w:styleId="Point1letter">
    <w:name w:val="Point 1 (letter)"/>
    <w:basedOn w:val="Normal"/>
    <w:pPr>
      <w:numPr>
        <w:ilvl w:val="3"/>
        <w:numId w:val="26"/>
      </w:numPr>
    </w:pPr>
  </w:style>
  <w:style w:type="paragraph" w:customStyle="1" w:styleId="Point2letter">
    <w:name w:val="Point 2 (letter)"/>
    <w:basedOn w:val="Normal"/>
    <w:pPr>
      <w:numPr>
        <w:ilvl w:val="5"/>
        <w:numId w:val="26"/>
      </w:numPr>
    </w:pPr>
  </w:style>
  <w:style w:type="paragraph" w:customStyle="1" w:styleId="Point3letter">
    <w:name w:val="Point 3 (letter)"/>
    <w:basedOn w:val="Normal"/>
    <w:pPr>
      <w:numPr>
        <w:ilvl w:val="7"/>
        <w:numId w:val="26"/>
      </w:numPr>
    </w:pPr>
  </w:style>
  <w:style w:type="paragraph" w:customStyle="1" w:styleId="Point4letter">
    <w:name w:val="Point 4 (letter)"/>
    <w:basedOn w:val="Normal"/>
    <w:pPr>
      <w:numPr>
        <w:ilvl w:val="8"/>
        <w:numId w:val="26"/>
      </w:numPr>
    </w:pPr>
  </w:style>
  <w:style w:type="paragraph" w:customStyle="1" w:styleId="Bullet0">
    <w:name w:val="Bullet 0"/>
    <w:basedOn w:val="Normal"/>
    <w:pPr>
      <w:numPr>
        <w:numId w:val="27"/>
      </w:numPr>
    </w:pPr>
  </w:style>
  <w:style w:type="paragraph" w:customStyle="1" w:styleId="Bullet1">
    <w:name w:val="Bullet 1"/>
    <w:basedOn w:val="Normal"/>
    <w:pPr>
      <w:numPr>
        <w:numId w:val="28"/>
      </w:numPr>
    </w:pPr>
  </w:style>
  <w:style w:type="paragraph" w:customStyle="1" w:styleId="Bullet2">
    <w:name w:val="Bullet 2"/>
    <w:basedOn w:val="Normal"/>
    <w:pPr>
      <w:numPr>
        <w:numId w:val="29"/>
      </w:numPr>
    </w:pPr>
  </w:style>
  <w:style w:type="paragraph" w:customStyle="1" w:styleId="Bullet3">
    <w:name w:val="Bullet 3"/>
    <w:basedOn w:val="Normal"/>
    <w:pPr>
      <w:numPr>
        <w:numId w:val="30"/>
      </w:numPr>
    </w:pPr>
  </w:style>
  <w:style w:type="paragraph" w:customStyle="1" w:styleId="Bullet4">
    <w:name w:val="Bullet 4"/>
    <w:basedOn w:val="Normal"/>
    <w:pPr>
      <w:numPr>
        <w:numId w:val="31"/>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2"/>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215886"/>
    <w:pPr>
      <w:tabs>
        <w:tab w:val="center" w:pos="4535"/>
        <w:tab w:val="right" w:pos="9071"/>
      </w:tabs>
      <w:spacing w:before="0"/>
    </w:pPr>
  </w:style>
  <w:style w:type="paragraph" w:customStyle="1" w:styleId="HeaderLandscape">
    <w:name w:val="HeaderLandscape"/>
    <w:basedOn w:val="Normal"/>
    <w:rsid w:val="00215886"/>
    <w:pPr>
      <w:tabs>
        <w:tab w:val="center" w:pos="7285"/>
        <w:tab w:val="right" w:pos="14003"/>
      </w:tabs>
      <w:spacing w:before="0"/>
    </w:pPr>
  </w:style>
  <w:style w:type="paragraph" w:styleId="Footer">
    <w:name w:val="footer"/>
    <w:basedOn w:val="Normal"/>
    <w:link w:val="FooterChar"/>
    <w:uiPriority w:val="99"/>
    <w:unhideWhenUsed/>
    <w:rsid w:val="00215886"/>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215886"/>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602210">
      <w:bodyDiv w:val="1"/>
      <w:marLeft w:val="0"/>
      <w:marRight w:val="0"/>
      <w:marTop w:val="0"/>
      <w:marBottom w:val="0"/>
      <w:divBdr>
        <w:top w:val="none" w:sz="0" w:space="0" w:color="auto"/>
        <w:left w:val="none" w:sz="0" w:space="0" w:color="auto"/>
        <w:bottom w:val="none" w:sz="0" w:space="0" w:color="auto"/>
        <w:right w:val="none" w:sz="0" w:space="0" w:color="auto"/>
      </w:divBdr>
    </w:div>
    <w:div w:id="660616499">
      <w:bodyDiv w:val="1"/>
      <w:marLeft w:val="0"/>
      <w:marRight w:val="0"/>
      <w:marTop w:val="0"/>
      <w:marBottom w:val="0"/>
      <w:divBdr>
        <w:top w:val="none" w:sz="0" w:space="0" w:color="auto"/>
        <w:left w:val="none" w:sz="0" w:space="0" w:color="auto"/>
        <w:bottom w:val="none" w:sz="0" w:space="0" w:color="auto"/>
        <w:right w:val="none" w:sz="0" w:space="0" w:color="auto"/>
      </w:divBdr>
    </w:div>
    <w:div w:id="737170144">
      <w:bodyDiv w:val="1"/>
      <w:marLeft w:val="0"/>
      <w:marRight w:val="0"/>
      <w:marTop w:val="0"/>
      <w:marBottom w:val="0"/>
      <w:divBdr>
        <w:top w:val="none" w:sz="0" w:space="0" w:color="auto"/>
        <w:left w:val="none" w:sz="0" w:space="0" w:color="auto"/>
        <w:bottom w:val="none" w:sz="0" w:space="0" w:color="auto"/>
        <w:right w:val="none" w:sz="0" w:space="0" w:color="auto"/>
      </w:divBdr>
    </w:div>
    <w:div w:id="894970974">
      <w:bodyDiv w:val="1"/>
      <w:marLeft w:val="0"/>
      <w:marRight w:val="0"/>
      <w:marTop w:val="0"/>
      <w:marBottom w:val="0"/>
      <w:divBdr>
        <w:top w:val="none" w:sz="0" w:space="0" w:color="auto"/>
        <w:left w:val="none" w:sz="0" w:space="0" w:color="auto"/>
        <w:bottom w:val="none" w:sz="0" w:space="0" w:color="auto"/>
        <w:right w:val="none" w:sz="0" w:space="0" w:color="auto"/>
      </w:divBdr>
    </w:div>
    <w:div w:id="1187523922">
      <w:bodyDiv w:val="1"/>
      <w:marLeft w:val="0"/>
      <w:marRight w:val="0"/>
      <w:marTop w:val="0"/>
      <w:marBottom w:val="0"/>
      <w:divBdr>
        <w:top w:val="none" w:sz="0" w:space="0" w:color="auto"/>
        <w:left w:val="none" w:sz="0" w:space="0" w:color="auto"/>
        <w:bottom w:val="none" w:sz="0" w:space="0" w:color="auto"/>
        <w:right w:val="none" w:sz="0" w:space="0" w:color="auto"/>
      </w:divBdr>
    </w:div>
    <w:div w:id="1248999150">
      <w:bodyDiv w:val="1"/>
      <w:marLeft w:val="0"/>
      <w:marRight w:val="0"/>
      <w:marTop w:val="0"/>
      <w:marBottom w:val="0"/>
      <w:divBdr>
        <w:top w:val="none" w:sz="0" w:space="0" w:color="auto"/>
        <w:left w:val="none" w:sz="0" w:space="0" w:color="auto"/>
        <w:bottom w:val="none" w:sz="0" w:space="0" w:color="auto"/>
        <w:right w:val="none" w:sz="0" w:space="0" w:color="auto"/>
      </w:divBdr>
      <w:divsChild>
        <w:div w:id="1932929728">
          <w:marLeft w:val="0"/>
          <w:marRight w:val="0"/>
          <w:marTop w:val="0"/>
          <w:marBottom w:val="0"/>
          <w:divBdr>
            <w:top w:val="none" w:sz="0" w:space="0" w:color="auto"/>
            <w:left w:val="none" w:sz="0" w:space="0" w:color="auto"/>
            <w:bottom w:val="none" w:sz="0" w:space="0" w:color="auto"/>
            <w:right w:val="none" w:sz="0" w:space="0" w:color="auto"/>
          </w:divBdr>
          <w:divsChild>
            <w:div w:id="1646355319">
              <w:marLeft w:val="0"/>
              <w:marRight w:val="0"/>
              <w:marTop w:val="0"/>
              <w:marBottom w:val="0"/>
              <w:divBdr>
                <w:top w:val="none" w:sz="0" w:space="0" w:color="auto"/>
                <w:left w:val="none" w:sz="0" w:space="0" w:color="auto"/>
                <w:bottom w:val="none" w:sz="0" w:space="0" w:color="auto"/>
                <w:right w:val="none" w:sz="0" w:space="0" w:color="auto"/>
              </w:divBdr>
              <w:divsChild>
                <w:div w:id="1285693608">
                  <w:marLeft w:val="0"/>
                  <w:marRight w:val="0"/>
                  <w:marTop w:val="0"/>
                  <w:marBottom w:val="0"/>
                  <w:divBdr>
                    <w:top w:val="none" w:sz="0" w:space="0" w:color="auto"/>
                    <w:left w:val="none" w:sz="0" w:space="0" w:color="auto"/>
                    <w:bottom w:val="none" w:sz="0" w:space="0" w:color="auto"/>
                    <w:right w:val="none" w:sz="0" w:space="0" w:color="auto"/>
                  </w:divBdr>
                  <w:divsChild>
                    <w:div w:id="136872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8316141">
      <w:bodyDiv w:val="1"/>
      <w:marLeft w:val="0"/>
      <w:marRight w:val="0"/>
      <w:marTop w:val="0"/>
      <w:marBottom w:val="0"/>
      <w:divBdr>
        <w:top w:val="none" w:sz="0" w:space="0" w:color="auto"/>
        <w:left w:val="none" w:sz="0" w:space="0" w:color="auto"/>
        <w:bottom w:val="none" w:sz="0" w:space="0" w:color="auto"/>
        <w:right w:val="none" w:sz="0" w:space="0" w:color="auto"/>
      </w:divBdr>
    </w:div>
    <w:div w:id="1411849140">
      <w:bodyDiv w:val="1"/>
      <w:marLeft w:val="0"/>
      <w:marRight w:val="0"/>
      <w:marTop w:val="0"/>
      <w:marBottom w:val="0"/>
      <w:divBdr>
        <w:top w:val="none" w:sz="0" w:space="0" w:color="auto"/>
        <w:left w:val="none" w:sz="0" w:space="0" w:color="auto"/>
        <w:bottom w:val="none" w:sz="0" w:space="0" w:color="auto"/>
        <w:right w:val="none" w:sz="0" w:space="0" w:color="auto"/>
      </w:divBdr>
    </w:div>
    <w:div w:id="1990985860">
      <w:bodyDiv w:val="1"/>
      <w:marLeft w:val="0"/>
      <w:marRight w:val="0"/>
      <w:marTop w:val="0"/>
      <w:marBottom w:val="0"/>
      <w:divBdr>
        <w:top w:val="none" w:sz="0" w:space="0" w:color="auto"/>
        <w:left w:val="none" w:sz="0" w:space="0" w:color="auto"/>
        <w:bottom w:val="none" w:sz="0" w:space="0" w:color="auto"/>
        <w:right w:val="none" w:sz="0" w:space="0" w:color="auto"/>
      </w:divBdr>
      <w:divsChild>
        <w:div w:id="1363437395">
          <w:marLeft w:val="0"/>
          <w:marRight w:val="0"/>
          <w:marTop w:val="0"/>
          <w:marBottom w:val="0"/>
          <w:divBdr>
            <w:top w:val="none" w:sz="0" w:space="0" w:color="auto"/>
            <w:left w:val="none" w:sz="0" w:space="0" w:color="auto"/>
            <w:bottom w:val="none" w:sz="0" w:space="0" w:color="auto"/>
            <w:right w:val="none" w:sz="0" w:space="0" w:color="auto"/>
          </w:divBdr>
          <w:divsChild>
            <w:div w:id="1453940061">
              <w:marLeft w:val="0"/>
              <w:marRight w:val="0"/>
              <w:marTop w:val="0"/>
              <w:marBottom w:val="0"/>
              <w:divBdr>
                <w:top w:val="none" w:sz="0" w:space="0" w:color="auto"/>
                <w:left w:val="none" w:sz="0" w:space="0" w:color="auto"/>
                <w:bottom w:val="none" w:sz="0" w:space="0" w:color="auto"/>
                <w:right w:val="none" w:sz="0" w:space="0" w:color="auto"/>
              </w:divBdr>
              <w:divsChild>
                <w:div w:id="845172270">
                  <w:marLeft w:val="0"/>
                  <w:marRight w:val="0"/>
                  <w:marTop w:val="0"/>
                  <w:marBottom w:val="0"/>
                  <w:divBdr>
                    <w:top w:val="none" w:sz="0" w:space="0" w:color="auto"/>
                    <w:left w:val="none" w:sz="0" w:space="0" w:color="auto"/>
                    <w:bottom w:val="none" w:sz="0" w:space="0" w:color="auto"/>
                    <w:right w:val="none" w:sz="0" w:space="0" w:color="auto"/>
                  </w:divBdr>
                  <w:divsChild>
                    <w:div w:id="1502045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24/1623/oj" TargetMode="External"/><Relationship Id="rId2" Type="http://schemas.openxmlformats.org/officeDocument/2006/relationships/hyperlink" Target="http://data.europa.eu/eli/reg_impl/2021/637/oj" TargetMode="External"/><Relationship Id="rId1" Type="http://schemas.openxmlformats.org/officeDocument/2006/relationships/hyperlink" Target="http://data.europa.eu/eli/reg/2013/575/oj" TargetMode="External"/><Relationship Id="rId4" Type="http://schemas.openxmlformats.org/officeDocument/2006/relationships/hyperlink" Target="http://data.europa.eu/eli/reg_impl/2022/245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4952D-607B-4CD9-A920-5D7A3398EAE1}">
  <ds:schemaRefs>
    <ds:schemaRef ds:uri="http://purl.org/dc/elements/1.1/"/>
    <ds:schemaRef ds:uri="http://schemas.microsoft.com/office/2006/documentManagement/types"/>
    <ds:schemaRef ds:uri="http://purl.org/dc/terms/"/>
    <ds:schemaRef ds:uri="http://schemas.microsoft.com/office/infopath/2007/PartnerControls"/>
    <ds:schemaRef ds:uri="http://www.w3.org/XML/1998/namespace"/>
    <ds:schemaRef ds:uri="144c03d0-0f03-451f-9d46-5279004462a4"/>
    <ds:schemaRef ds:uri="http://purl.org/dc/dcmitype/"/>
    <ds:schemaRef ds:uri="http://schemas.openxmlformats.org/package/2006/metadata/core-properties"/>
    <ds:schemaRef ds:uri="f7bb8512-91eb-4bfd-be42-d6f021407e9a"/>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976C36D1-9C3A-4143-8F40-65D99F65AE70}">
  <ds:schemaRefs>
    <ds:schemaRef ds:uri="http://schemas.microsoft.com/sharepoint/v3/contenttype/forms"/>
  </ds:schemaRefs>
</ds:datastoreItem>
</file>

<file path=customXml/itemProps3.xml><?xml version="1.0" encoding="utf-8"?>
<ds:datastoreItem xmlns:ds="http://schemas.openxmlformats.org/officeDocument/2006/customXml" ds:itemID="{21448D3E-389D-41FC-882B-AE048720A6F7}"/>
</file>

<file path=customXml/itemProps4.xml><?xml version="1.0" encoding="utf-8"?>
<ds:datastoreItem xmlns:ds="http://schemas.openxmlformats.org/officeDocument/2006/customXml" ds:itemID="{60D191F3-75D6-4212-93AB-31BD504BF307}">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10</TotalTime>
  <Pages>11</Pages>
  <Words>4584</Words>
  <Characters>26132</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30655</CharactersWithSpaces>
  <SharedDoc>false</SharedDoc>
  <HLinks>
    <vt:vector size="72" baseType="variant">
      <vt:variant>
        <vt:i4>1769520</vt:i4>
      </vt:variant>
      <vt:variant>
        <vt:i4>72</vt:i4>
      </vt:variant>
      <vt:variant>
        <vt:i4>0</vt:i4>
      </vt:variant>
      <vt:variant>
        <vt:i4>5</vt:i4>
      </vt:variant>
      <vt:variant>
        <vt:lpwstr>http://data.europa.eu/eli/reg_impl/2022/2453/oj</vt:lpwstr>
      </vt:variant>
      <vt:variant>
        <vt:lpwstr/>
      </vt:variant>
      <vt:variant>
        <vt:i4>4259864</vt:i4>
      </vt:variant>
      <vt:variant>
        <vt:i4>0</vt:i4>
      </vt:variant>
      <vt:variant>
        <vt:i4>0</vt:i4>
      </vt:variant>
      <vt:variant>
        <vt:i4>5</vt:i4>
      </vt:variant>
      <vt:variant>
        <vt:lpwstr>http://data.europa.eu/eli/reg/2013/575/oj</vt:lpwstr>
      </vt:variant>
      <vt:variant>
        <vt:lpwstr/>
      </vt:variant>
      <vt:variant>
        <vt:i4>393331</vt:i4>
      </vt:variant>
      <vt:variant>
        <vt:i4>27</vt:i4>
      </vt:variant>
      <vt:variant>
        <vt:i4>0</vt:i4>
      </vt:variant>
      <vt:variant>
        <vt:i4>5</vt:i4>
      </vt:variant>
      <vt:variant>
        <vt:lpwstr>mailto:Georg-Josef.PUNTUS@ec.europa.eu</vt:lpwstr>
      </vt:variant>
      <vt:variant>
        <vt:lpwstr/>
      </vt:variant>
      <vt:variant>
        <vt:i4>5701750</vt:i4>
      </vt:variant>
      <vt:variant>
        <vt:i4>24</vt:i4>
      </vt:variant>
      <vt:variant>
        <vt:i4>0</vt:i4>
      </vt:variant>
      <vt:variant>
        <vt:i4>5</vt:i4>
      </vt:variant>
      <vt:variant>
        <vt:lpwstr>mailto:Edoardo.RULLI@ec.europa.eu</vt:lpwstr>
      </vt:variant>
      <vt:variant>
        <vt:lpwstr/>
      </vt:variant>
      <vt:variant>
        <vt:i4>5701750</vt:i4>
      </vt:variant>
      <vt:variant>
        <vt:i4>21</vt:i4>
      </vt:variant>
      <vt:variant>
        <vt:i4>0</vt:i4>
      </vt:variant>
      <vt:variant>
        <vt:i4>5</vt:i4>
      </vt:variant>
      <vt:variant>
        <vt:lpwstr>mailto:Edoardo.RULLI@ec.europa.eu</vt:lpwstr>
      </vt:variant>
      <vt:variant>
        <vt:lpwstr/>
      </vt:variant>
      <vt:variant>
        <vt:i4>5701750</vt:i4>
      </vt:variant>
      <vt:variant>
        <vt:i4>18</vt:i4>
      </vt:variant>
      <vt:variant>
        <vt:i4>0</vt:i4>
      </vt:variant>
      <vt:variant>
        <vt:i4>5</vt:i4>
      </vt:variant>
      <vt:variant>
        <vt:lpwstr>mailto:Edoardo.RULLI@ec.europa.eu</vt:lpwstr>
      </vt:variant>
      <vt:variant>
        <vt:lpwstr/>
      </vt:variant>
      <vt:variant>
        <vt:i4>5701750</vt:i4>
      </vt:variant>
      <vt:variant>
        <vt:i4>15</vt:i4>
      </vt:variant>
      <vt:variant>
        <vt:i4>0</vt:i4>
      </vt:variant>
      <vt:variant>
        <vt:i4>5</vt:i4>
      </vt:variant>
      <vt:variant>
        <vt:lpwstr>mailto:Edoardo.RULLI@ec.europa.eu</vt:lpwstr>
      </vt:variant>
      <vt:variant>
        <vt:lpwstr/>
      </vt:variant>
      <vt:variant>
        <vt:i4>5701750</vt:i4>
      </vt:variant>
      <vt:variant>
        <vt:i4>12</vt:i4>
      </vt:variant>
      <vt:variant>
        <vt:i4>0</vt:i4>
      </vt:variant>
      <vt:variant>
        <vt:i4>5</vt:i4>
      </vt:variant>
      <vt:variant>
        <vt:lpwstr>mailto:Edoardo.RULLI@ec.europa.eu</vt:lpwstr>
      </vt:variant>
      <vt:variant>
        <vt:lpwstr/>
      </vt:variant>
      <vt:variant>
        <vt:i4>5701750</vt:i4>
      </vt:variant>
      <vt:variant>
        <vt:i4>9</vt:i4>
      </vt:variant>
      <vt:variant>
        <vt:i4>0</vt:i4>
      </vt:variant>
      <vt:variant>
        <vt:i4>5</vt:i4>
      </vt:variant>
      <vt:variant>
        <vt:lpwstr>mailto:Edoardo.RULLI@ec.europa.eu</vt:lpwstr>
      </vt:variant>
      <vt:variant>
        <vt:lpwstr/>
      </vt:variant>
      <vt:variant>
        <vt:i4>5701750</vt:i4>
      </vt:variant>
      <vt:variant>
        <vt:i4>6</vt:i4>
      </vt:variant>
      <vt:variant>
        <vt:i4>0</vt:i4>
      </vt:variant>
      <vt:variant>
        <vt:i4>5</vt:i4>
      </vt:variant>
      <vt:variant>
        <vt:lpwstr>mailto:Edoardo.RULLI@ec.europa.eu</vt:lpwstr>
      </vt:variant>
      <vt:variant>
        <vt:lpwstr/>
      </vt:variant>
      <vt:variant>
        <vt:i4>5701750</vt:i4>
      </vt:variant>
      <vt:variant>
        <vt:i4>3</vt:i4>
      </vt:variant>
      <vt:variant>
        <vt:i4>0</vt:i4>
      </vt:variant>
      <vt:variant>
        <vt:i4>5</vt:i4>
      </vt:variant>
      <vt:variant>
        <vt:lpwstr>mailto:Edoardo.RULLI@ec.europa.eu</vt:lpwstr>
      </vt:variant>
      <vt:variant>
        <vt:lpwstr/>
      </vt:variant>
      <vt:variant>
        <vt:i4>6684715</vt:i4>
      </vt:variant>
      <vt:variant>
        <vt:i4>0</vt:i4>
      </vt:variant>
      <vt:variant>
        <vt:i4>0</vt:i4>
      </vt:variant>
      <vt:variant>
        <vt:i4>5</vt:i4>
      </vt:variant>
      <vt:variant>
        <vt:lpwstr>https://webgate.ec.europa.eu/fpfis/wikis/pages/viewpage.action?pageId=343284579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46</cp:revision>
  <dcterms:created xsi:type="dcterms:W3CDTF">2024-09-12T14:20:00Z</dcterms:created>
  <dcterms:modified xsi:type="dcterms:W3CDTF">2024-11-22T09:30:00Z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5d116b55,4f92f2a,940a748,1ecab066,41bb3f61,65103471</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2024-06-20T16:16:49Z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2b9edaa4-900d-4d40-b6d2-64bd8bcd67af</vt:lpwstr>
  </property>
  <property fmtid="{D5CDD505-2E9C-101B-9397-08002B2CF9AE}" pid="19" name="MSIP_Label_6bd9ddd1-4d20-43f6-abfa-fc3c07406f94_ContentBits">
    <vt:lpwstr>0</vt:lpwstr>
  </property>
  <property fmtid="{D5CDD505-2E9C-101B-9397-08002B2CF9AE}" pid="20" name="ContentTypeId">
    <vt:lpwstr>0x010100A640DC13EB184F4EBE5AA21BE9F247DB</vt:lpwstr>
  </property>
  <property fmtid="{D5CDD505-2E9C-101B-9397-08002B2CF9AE}" pid="21" name="DQCStatus">
    <vt:lpwstr>Green (DQC version 03)</vt:lpwstr>
  </property>
</Properties>
</file>