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A9066F" w:rsidRDefault="002A3A02" w:rsidP="002A3A02">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AF3D012F-EBC0-4024-A7F3-4DFB7B0020D8" style="width:455.25pt;height:414pt">
            <v:imagedata r:id="rId11" o:title=""/>
          </v:shape>
        </w:pict>
      </w:r>
    </w:p>
    <w:p w:rsidR="0050796F" w:rsidRPr="00A9066F" w:rsidRDefault="0050796F">
      <w:pPr>
        <w:rPr>
          <w:noProof/>
        </w:rPr>
        <w:sectPr w:rsidR="0050796F" w:rsidRPr="00A9066F" w:rsidSect="002A3A02">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A9066F" w:rsidRDefault="00A9066F" w:rsidP="00A9066F">
      <w:pPr>
        <w:pStyle w:val="Typedudocument"/>
        <w:rPr>
          <w:noProof/>
        </w:rPr>
      </w:pPr>
      <w:bookmarkStart w:id="0" w:name="_GoBack"/>
      <w:bookmarkEnd w:id="0"/>
      <w:r w:rsidRPr="00A9066F">
        <w:rPr>
          <w:noProof/>
        </w:rPr>
        <w:lastRenderedPageBreak/>
        <w:t>PROVEDBENA UREDBA KOMISIJE (EU) …/...</w:t>
      </w:r>
    </w:p>
    <w:p w:rsidR="0050796F" w:rsidRPr="00A9066F" w:rsidRDefault="006C1FAD" w:rsidP="00A9066F">
      <w:pPr>
        <w:pStyle w:val="Datedadoption"/>
        <w:rPr>
          <w:noProof/>
        </w:rPr>
      </w:pPr>
      <w:r>
        <w:rPr>
          <w:noProof/>
        </w:rPr>
        <w:t>оd 29.11.2024.</w:t>
      </w:r>
    </w:p>
    <w:p w:rsidR="0050796F" w:rsidRPr="00A9066F" w:rsidRDefault="00A9066F" w:rsidP="00A9066F">
      <w:pPr>
        <w:pStyle w:val="Titreobjet"/>
        <w:rPr>
          <w:noProof/>
        </w:rPr>
      </w:pPr>
      <w:r w:rsidRPr="00A9066F">
        <w:rPr>
          <w:noProof/>
        </w:rPr>
        <w:t>o utvrđivanju provedbenih tehničkih standarda za primjenu Uredbe (EU) br. 575/2013 Europskog parlamenta i Vijeća u pogledu informacija iz dijela osmog glava II. i III. te uredbe koje institucije javno objavljuju i stavljanju izvan snage Provedbene uredbe Komisije (EU) 2021/637</w:t>
      </w:r>
    </w:p>
    <w:p w:rsidR="0050796F" w:rsidRPr="00A9066F" w:rsidRDefault="00A9066F" w:rsidP="00A9066F">
      <w:pPr>
        <w:pStyle w:val="IntrtEEE"/>
        <w:rPr>
          <w:noProof/>
        </w:rPr>
      </w:pPr>
      <w:r w:rsidRPr="00A9066F">
        <w:rPr>
          <w:noProof/>
        </w:rPr>
        <w:t>(Tekst značajan za EGP)</w:t>
      </w:r>
    </w:p>
    <w:p w:rsidR="0050796F" w:rsidRPr="00A9066F" w:rsidRDefault="0050796F">
      <w:pPr>
        <w:pStyle w:val="Institutionquiagit"/>
        <w:rPr>
          <w:noProof/>
        </w:rPr>
      </w:pPr>
      <w:r w:rsidRPr="00A9066F">
        <w:rPr>
          <w:noProof/>
        </w:rPr>
        <w:t>EUROPSKA KOMISIJA,</w:t>
      </w:r>
    </w:p>
    <w:p w:rsidR="0050796F" w:rsidRPr="00A9066F" w:rsidRDefault="0050796F">
      <w:pPr>
        <w:rPr>
          <w:noProof/>
        </w:rPr>
      </w:pPr>
      <w:r w:rsidRPr="00A9066F">
        <w:rPr>
          <w:noProof/>
          <w:color w:val="000000"/>
        </w:rPr>
        <w:t>uzimajući u obzir Ugovor o funkcioniranju Europske unije</w:t>
      </w:r>
      <w:r w:rsidRPr="00A9066F">
        <w:rPr>
          <w:noProof/>
        </w:rPr>
        <w:t>,</w:t>
      </w:r>
    </w:p>
    <w:p w:rsidR="000A5D79" w:rsidRPr="00A9066F" w:rsidRDefault="000A5D79" w:rsidP="000A5D79">
      <w:pPr>
        <w:rPr>
          <w:noProof/>
        </w:rPr>
      </w:pPr>
      <w:r w:rsidRPr="00A9066F">
        <w:rPr>
          <w:noProof/>
        </w:rPr>
        <w:t xml:space="preserve">uzimajući u obzir Uredbu (EU) br. 575/2013 Europskog parlamenta i Vijeća od </w:t>
      </w:r>
      <w:r w:rsidRPr="00A9066F">
        <w:rPr>
          <w:noProof/>
          <w:color w:val="000000"/>
        </w:rPr>
        <w:t>26. lipnja 2013.</w:t>
      </w:r>
      <w:r w:rsidRPr="00A9066F">
        <w:rPr>
          <w:noProof/>
        </w:rPr>
        <w:t xml:space="preserve"> o bonitetnim zahtjevima za kreditne institucije i o izmjeni Uredbe (EU) br. 648/2012</w:t>
      </w:r>
      <w:r w:rsidRPr="00A9066F">
        <w:rPr>
          <w:rStyle w:val="FootnoteReference"/>
          <w:noProof/>
        </w:rPr>
        <w:footnoteReference w:id="2"/>
      </w:r>
      <w:r w:rsidRPr="00A9066F">
        <w:rPr>
          <w:noProof/>
        </w:rPr>
        <w:t>, a posebno njezin članak 434.a peti stavak,</w:t>
      </w:r>
    </w:p>
    <w:p w:rsidR="0050796F" w:rsidRPr="00A9066F" w:rsidRDefault="0050796F">
      <w:pPr>
        <w:rPr>
          <w:noProof/>
        </w:rPr>
      </w:pPr>
      <w:r w:rsidRPr="00A9066F">
        <w:rPr>
          <w:noProof/>
        </w:rPr>
        <w:t>budući da:</w:t>
      </w:r>
    </w:p>
    <w:p w:rsidR="00021AB3" w:rsidRPr="00A9066F" w:rsidRDefault="002A54DA" w:rsidP="002A54DA">
      <w:pPr>
        <w:pStyle w:val="ManualConsidrant"/>
        <w:rPr>
          <w:noProof/>
        </w:rPr>
      </w:pPr>
      <w:r w:rsidRPr="002A54DA">
        <w:rPr>
          <w:noProof/>
        </w:rPr>
        <w:t>(1)</w:t>
      </w:r>
      <w:r w:rsidRPr="002A54DA">
        <w:rPr>
          <w:noProof/>
        </w:rPr>
        <w:tab/>
      </w:r>
      <w:r w:rsidR="00021AB3" w:rsidRPr="00A9066F">
        <w:rPr>
          <w:noProof/>
        </w:rPr>
        <w:t>Provedbenom uredbom Komisije (EU) 2021/637</w:t>
      </w:r>
      <w:r w:rsidR="00021AB3" w:rsidRPr="00A9066F">
        <w:rPr>
          <w:rStyle w:val="FootnoteReference"/>
          <w:noProof/>
        </w:rPr>
        <w:footnoteReference w:id="3"/>
      </w:r>
      <w:r w:rsidR="00021AB3" w:rsidRPr="00A9066F">
        <w:rPr>
          <w:noProof/>
        </w:rPr>
        <w:t xml:space="preserve"> utvrđeni su jedinstveni formati za objavu kako bi se osigurala ujednačena primjena Uredbe (EU) br. 575/2013. Uredbom (EU) 2024/1623 Europskog parlamenta i Vijeća </w:t>
      </w:r>
      <w:r w:rsidR="00021AB3" w:rsidRPr="00A9066F">
        <w:rPr>
          <w:rStyle w:val="FootnoteReference"/>
          <w:noProof/>
        </w:rPr>
        <w:footnoteReference w:id="4"/>
      </w:r>
      <w:r w:rsidR="00021AB3" w:rsidRPr="00A9066F">
        <w:rPr>
          <w:noProof/>
        </w:rPr>
        <w:t xml:space="preserve"> izmijenjena je Uredba (EU) br. 575/2013 kako bi se u tu uredbu uključili međunarodni standardi trećeg međunarodnog regulatornog okvira za banke („Basel III”) Bazelskog odbora za nadzor banaka. Ti međunarodni standardi sadržavaju bonitetne standarde za objavu za poboljšanje transparentnosti i dosljednosti u području bonitetnih zahtjeva za kreditne institucije. Stoga je potrebno izmijeniti pravila o jedinstvenim formatima za objavu kako bi se te promjene uzele u obzir u specifikacijama koje se odnose na obveze objave. </w:t>
      </w:r>
    </w:p>
    <w:p w:rsidR="000B02C7" w:rsidRPr="00A9066F" w:rsidRDefault="002A54DA" w:rsidP="002A54DA">
      <w:pPr>
        <w:pStyle w:val="ManualConsidrant"/>
        <w:rPr>
          <w:noProof/>
        </w:rPr>
      </w:pPr>
      <w:r w:rsidRPr="002A54DA">
        <w:rPr>
          <w:noProof/>
        </w:rPr>
        <w:t>(2)</w:t>
      </w:r>
      <w:r w:rsidRPr="002A54DA">
        <w:rPr>
          <w:noProof/>
        </w:rPr>
        <w:tab/>
      </w:r>
      <w:r w:rsidR="00374932" w:rsidRPr="00A9066F">
        <w:rPr>
          <w:noProof/>
        </w:rPr>
        <w:t xml:space="preserve">Informacije koje institucije objavljuju o svojim ključnim regulatornim pokazateljima trebale bi sadržavati objavu dostupnog kapitala institucije, njezine rizikom ponderirane imovine, njezine financijske poluge kao i najnovijih relevantnih pokazatelja likvidnosti. </w:t>
      </w:r>
    </w:p>
    <w:p w:rsidR="009D26D8" w:rsidRPr="00A9066F" w:rsidRDefault="002A54DA" w:rsidP="002A54DA">
      <w:pPr>
        <w:pStyle w:val="ManualConsidrant"/>
        <w:rPr>
          <w:noProof/>
        </w:rPr>
      </w:pPr>
      <w:r w:rsidRPr="002A54DA">
        <w:rPr>
          <w:noProof/>
        </w:rPr>
        <w:t>(3)</w:t>
      </w:r>
      <w:r w:rsidRPr="002A54DA">
        <w:rPr>
          <w:noProof/>
        </w:rPr>
        <w:tab/>
      </w:r>
      <w:r w:rsidR="0021307C" w:rsidRPr="00A9066F">
        <w:rPr>
          <w:noProof/>
        </w:rPr>
        <w:t xml:space="preserve">Kako bi mogle apsorbirati gubitke u redovnom poslovanju ili u slučaju prestanka poslovanja, institucije trebaju regulatorni kapital dostatne količine i kvalitete, kako je propisano člankom 92. Uredbe (EU) br. 575/2013. Institucije bi trebale objaviti informacije o sastavu, količini i kvaliteti svojeg regulatornog kapitala, kako bi dionici mogli procijeniti sposobnost banaka za apsorbiranje gubitaka. </w:t>
      </w:r>
    </w:p>
    <w:p w:rsidR="008E4ACA" w:rsidRPr="00A9066F" w:rsidRDefault="002A54DA" w:rsidP="002A54DA">
      <w:pPr>
        <w:pStyle w:val="ManualConsidrant"/>
        <w:rPr>
          <w:noProof/>
        </w:rPr>
      </w:pPr>
      <w:r w:rsidRPr="002A54DA">
        <w:rPr>
          <w:noProof/>
        </w:rPr>
        <w:t>(4)</w:t>
      </w:r>
      <w:r w:rsidRPr="002A54DA">
        <w:rPr>
          <w:noProof/>
        </w:rPr>
        <w:tab/>
      </w:r>
      <w:r w:rsidR="001C319D" w:rsidRPr="00A9066F">
        <w:rPr>
          <w:noProof/>
        </w:rPr>
        <w:t>Objava usklađenosti sa zahtjevom za protuciklički zaštitni sloj kapitala trebala bi jasno naznačiti da je cilj protucikličkog zaštitnog sloja kapitala iz glave VII. poglavlja 4. Direktive 2013/36/EU Europskog parlamenta i Vijeća</w:t>
      </w:r>
      <w:r w:rsidR="001C319D" w:rsidRPr="00A9066F">
        <w:rPr>
          <w:rStyle w:val="FootnoteReference"/>
          <w:noProof/>
          <w:color w:val="000000"/>
        </w:rPr>
        <w:footnoteReference w:id="5"/>
      </w:r>
      <w:r w:rsidR="001C319D" w:rsidRPr="00A9066F">
        <w:rPr>
          <w:noProof/>
        </w:rPr>
        <w:t xml:space="preserve"> osigurati da kapitalni zahtjevi za bankarski sektor uzimaju u obzir makrofinancijsko okružje u kojem kreditne institucije posluju. </w:t>
      </w:r>
    </w:p>
    <w:p w:rsidR="005246AE" w:rsidRPr="00A9066F" w:rsidRDefault="002A54DA" w:rsidP="002A54DA">
      <w:pPr>
        <w:pStyle w:val="ManualConsidrant"/>
        <w:rPr>
          <w:noProof/>
        </w:rPr>
      </w:pPr>
      <w:r w:rsidRPr="002A54DA">
        <w:rPr>
          <w:noProof/>
        </w:rPr>
        <w:t>(5)</w:t>
      </w:r>
      <w:r w:rsidRPr="002A54DA">
        <w:rPr>
          <w:noProof/>
        </w:rPr>
        <w:tab/>
      </w:r>
      <w:r w:rsidR="00230BAF" w:rsidRPr="00A9066F">
        <w:rPr>
          <w:noProof/>
        </w:rPr>
        <w:t xml:space="preserve">Ključno je da tržište ima pristup informacijama o tome treba li instituciju razvrstati u </w:t>
      </w:r>
      <w:r w:rsidR="00230BAF" w:rsidRPr="00A9066F">
        <w:rPr>
          <w:noProof/>
          <w:shd w:val="clear" w:color="auto" w:fill="FFFFFF"/>
        </w:rPr>
        <w:t xml:space="preserve">globalne sistemski važne institucije (GSV institucije). Stoga bi institucije trebale objaviti informacije o tome jesu li ispunjeni pokazatelji značaja iz članka 131. Direktive 2013/36/EU. </w:t>
      </w:r>
    </w:p>
    <w:p w:rsidR="00AD2682" w:rsidRPr="00A9066F" w:rsidRDefault="002A54DA" w:rsidP="002A54DA">
      <w:pPr>
        <w:pStyle w:val="ManualConsidrant"/>
        <w:rPr>
          <w:noProof/>
        </w:rPr>
      </w:pPr>
      <w:r w:rsidRPr="002A54DA">
        <w:rPr>
          <w:noProof/>
        </w:rPr>
        <w:t>(6)</w:t>
      </w:r>
      <w:r w:rsidRPr="002A54DA">
        <w:rPr>
          <w:noProof/>
        </w:rPr>
        <w:tab/>
      </w:r>
      <w:r w:rsidR="001C319D" w:rsidRPr="00A9066F">
        <w:rPr>
          <w:noProof/>
        </w:rPr>
        <w:t xml:space="preserve">Trebalo bi utvrditi jedinstvene obrasce kako bi se osiguralo da institucije na ujednačen i usporediv način objavljuju informacije o svojoj usklađenosti s likvidnosnim zahtjevima, uključujući koeficijent likvidnosne pokrivenosti i omjer neto stabilnih izvora financiranja. </w:t>
      </w:r>
    </w:p>
    <w:p w:rsidR="000A5D79" w:rsidRPr="00A9066F" w:rsidRDefault="002A54DA" w:rsidP="002A54DA">
      <w:pPr>
        <w:pStyle w:val="ManualConsidrant"/>
        <w:rPr>
          <w:noProof/>
          <w:szCs w:val="24"/>
        </w:rPr>
      </w:pPr>
      <w:r w:rsidRPr="002A54DA">
        <w:rPr>
          <w:noProof/>
        </w:rPr>
        <w:t>(7)</w:t>
      </w:r>
      <w:r w:rsidRPr="002A54DA">
        <w:rPr>
          <w:noProof/>
        </w:rPr>
        <w:tab/>
      </w:r>
      <w:r w:rsidR="00E07BF3" w:rsidRPr="00A9066F">
        <w:rPr>
          <w:noProof/>
        </w:rPr>
        <w:t>Potrebno je osigurati usklađenost i dosljednost između obveza izvješćivanja iz Uredbe (EU) br. 575/2013 i drugog zakonodavstva Unije u području ESG rizika, a osobito Uredbe (EU) 2020/852 Europskog parlamenta i Vijeća</w:t>
      </w:r>
      <w:r w:rsidR="00E07BF3" w:rsidRPr="00A9066F">
        <w:rPr>
          <w:rStyle w:val="FootnoteReference"/>
          <w:noProof/>
          <w:szCs w:val="24"/>
        </w:rPr>
        <w:footnoteReference w:id="6"/>
      </w:r>
      <w:r w:rsidR="00E07BF3" w:rsidRPr="00A9066F">
        <w:rPr>
          <w:noProof/>
        </w:rPr>
        <w:t>. U pravilima o objavi ESG rizika stoga bi trebalo uzeti u obzir kriterije, klasifikacije i definicije utvrđene u člancima 2. i 3. Uredbe 2020/852. U tim bi pravilima osobito trebalo uzeti u obzir kriterije za utvrđivanje i klasifikaciju okolišno održivih ekonomskih djelatnosti, kako su utvrđeni u Uredbi (EU) 2020/852 Europskog parlamenta i Vijeća i Delegiranoj uredbi Komisije (EU) 2020/1818</w:t>
      </w:r>
      <w:r w:rsidR="00E07BF3" w:rsidRPr="00A9066F">
        <w:rPr>
          <w:rStyle w:val="FootnoteReference"/>
          <w:noProof/>
          <w:szCs w:val="24"/>
        </w:rPr>
        <w:footnoteReference w:id="7"/>
      </w:r>
      <w:r w:rsidR="00E07BF3" w:rsidRPr="00A9066F">
        <w:rPr>
          <w:noProof/>
        </w:rPr>
        <w:t>. Iz istog razloga, pri objavi informacija o energetskoj učinkovitosti svojeg portfelja nekretnina institucije bi te informacije trebale dostaviti u obliku energetskog certifikata, kako je definiran u članku 2. točki 12. Direktive 2010/31/EU Europskog parlamenta i Vijeća</w:t>
      </w:r>
      <w:r w:rsidR="00E07BF3" w:rsidRPr="00A9066F">
        <w:rPr>
          <w:rStyle w:val="FootnoteReference"/>
          <w:noProof/>
          <w:szCs w:val="24"/>
        </w:rPr>
        <w:footnoteReference w:id="8"/>
      </w:r>
      <w:r w:rsidR="00E07BF3" w:rsidRPr="00A9066F">
        <w:rPr>
          <w:noProof/>
        </w:rPr>
        <w:t xml:space="preserve">. </w:t>
      </w:r>
    </w:p>
    <w:p w:rsidR="000A5D79" w:rsidRPr="00A9066F" w:rsidRDefault="002A54DA" w:rsidP="002A54DA">
      <w:pPr>
        <w:pStyle w:val="ManualConsidrant"/>
        <w:rPr>
          <w:noProof/>
          <w:szCs w:val="24"/>
        </w:rPr>
      </w:pPr>
      <w:r w:rsidRPr="002A54DA">
        <w:rPr>
          <w:noProof/>
        </w:rPr>
        <w:t>(8)</w:t>
      </w:r>
      <w:r w:rsidRPr="002A54DA">
        <w:rPr>
          <w:noProof/>
        </w:rPr>
        <w:tab/>
      </w:r>
      <w:r w:rsidR="000A5D79" w:rsidRPr="00A9066F">
        <w:rPr>
          <w:noProof/>
        </w:rPr>
        <w:t>Člancima 19.a i 29.a Direktive 2013/34/EU Europskog parlamenta i Vijeća</w:t>
      </w:r>
      <w:r w:rsidR="000A5D79" w:rsidRPr="00A9066F">
        <w:rPr>
          <w:rStyle w:val="FootnoteReference"/>
          <w:noProof/>
          <w:szCs w:val="24"/>
        </w:rPr>
        <w:footnoteReference w:id="9"/>
      </w:r>
      <w:r w:rsidR="000A5D79" w:rsidRPr="00A9066F">
        <w:rPr>
          <w:noProof/>
        </w:rPr>
        <w:t xml:space="preserve"> propisano je da su velika poduzeća koja su subjekti od javnog interesa odnosno subjekti od javnog interesa koji su matična poduzeća velike grupe dužna u svoje izvješće poslovodstva ili konsolidirano izvješće poslovodstva uključiti informacije o utjecaju svoje djelatnosti na okolišna, socijalna i kadrovska pitanja, poštovanje ljudskih prava, borbu protiv korupcije i pitanja u vezi s podmićivanjem. Međutim, ta se obveza ne odnosi na druga poduzeća. Zbog toga poduzeća na koja se ne primjenjuju članci 19.a i 29.a Direktive 2013/34/EU nisu dužna objavljivati takve informacije i možda ne mogu institucijama pružiti takve informacije. Stoga se od tih poduzeća kada su druge ugovorne strane institucija može očekivati da takve informacije i podatke pružaju samo dobrovoljno. </w:t>
      </w:r>
    </w:p>
    <w:p w:rsidR="003A1487" w:rsidRPr="00A9066F" w:rsidRDefault="002A54DA" w:rsidP="002A54DA">
      <w:pPr>
        <w:pStyle w:val="ManualConsidrant"/>
        <w:rPr>
          <w:noProof/>
          <w:color w:val="000000"/>
          <w:szCs w:val="24"/>
        </w:rPr>
      </w:pPr>
      <w:r w:rsidRPr="002A54DA">
        <w:rPr>
          <w:noProof/>
        </w:rPr>
        <w:t>(9)</w:t>
      </w:r>
      <w:r w:rsidRPr="002A54DA">
        <w:rPr>
          <w:noProof/>
        </w:rPr>
        <w:tab/>
      </w:r>
      <w:r w:rsidR="003A1487" w:rsidRPr="00A9066F">
        <w:rPr>
          <w:rStyle w:val="cf01"/>
          <w:rFonts w:ascii="Times New Roman" w:hAnsi="Times New Roman"/>
          <w:noProof/>
          <w:sz w:val="24"/>
        </w:rPr>
        <w:t xml:space="preserve">Radi provedbe standarda Basel III, </w:t>
      </w:r>
      <w:r w:rsidR="003A1487" w:rsidRPr="00A9066F">
        <w:rPr>
          <w:rStyle w:val="cf11"/>
          <w:rFonts w:ascii="Times New Roman" w:hAnsi="Times New Roman"/>
          <w:noProof/>
          <w:sz w:val="24"/>
        </w:rPr>
        <w:t>Uredbom (EU) 2024/1623 u članak 92. stavak 3. Uredbe (EU) br. 575/2013 uvedeno je niže ograničenje kapitalnih zahtjeva na temelju rizika koje je izračunato primjenom internih modela („minimalna donja granica”) koje je jednako postotku kapitalnih zahtjeva koji bi se primjenjivali da se primjenjuju standardizirani pristupi. Stoga je primjereno da se te promjene uzmu u obzir u relevantnim obrascima za objavu. Osim toga, kako bi se omogućila usporedba omjera kapitala zasnovanih na riziku izračunatih u skladu sa standardiziranim pristupom i onih izračunatih u skladu s pristupom internih modela, na razini rizika i, za kreditni rizik na razini kategorija izloženosti, trebalo bi uvesti dva nova obrasca za objave.</w:t>
      </w:r>
      <w:r w:rsidR="003A1487" w:rsidRPr="00A9066F">
        <w:rPr>
          <w:noProof/>
          <w:color w:val="000000"/>
        </w:rPr>
        <w:t xml:space="preserve"> </w:t>
      </w:r>
    </w:p>
    <w:p w:rsidR="000A5D79" w:rsidRPr="00A9066F" w:rsidRDefault="002A54DA" w:rsidP="002A54DA">
      <w:pPr>
        <w:pStyle w:val="ManualConsidrant"/>
        <w:rPr>
          <w:noProof/>
          <w:color w:val="000000"/>
        </w:rPr>
      </w:pPr>
      <w:r w:rsidRPr="002A54DA">
        <w:rPr>
          <w:noProof/>
        </w:rPr>
        <w:t>(10)</w:t>
      </w:r>
      <w:r w:rsidRPr="002A54DA">
        <w:rPr>
          <w:noProof/>
        </w:rPr>
        <w:tab/>
      </w:r>
      <w:r w:rsidR="000A5D79" w:rsidRPr="00A9066F">
        <w:rPr>
          <w:noProof/>
          <w:color w:val="000000"/>
        </w:rPr>
        <w:t xml:space="preserve">U vezi s primjenom </w:t>
      </w:r>
      <w:r w:rsidR="000A5D79" w:rsidRPr="00A9066F">
        <w:rPr>
          <w:noProof/>
        </w:rPr>
        <w:t>standardiziranog pristupa za kreditni rizik</w:t>
      </w:r>
      <w:r w:rsidR="000A5D79" w:rsidRPr="00A9066F">
        <w:rPr>
          <w:noProof/>
          <w:color w:val="000000"/>
        </w:rPr>
        <w:t>, Uredbom (EU) 2024/1623 u glavu II. poglavlje 2. Uredbe (EU) br. 575/2013</w:t>
      </w:r>
      <w:r w:rsidR="000A5D79" w:rsidRPr="00A9066F">
        <w:rPr>
          <w:noProof/>
        </w:rPr>
        <w:t xml:space="preserve"> uveden je detaljniji tretman pondera rizika za različite izloženosti, uključujući izloženosti prema institucijama, izloženosti prema trgovačkim društvima, izloženosti u obliku specijaliziranog kreditiranja, izloženosti prema stanovništvu, izloženosti osigurane nekretninama, podređene dužničke izloženosti, izloženosti na osnovi vlasničkih ulaganja i izloženosti u statusu neispunjavanja obveza. Te izmjene treba uzeti u obrascima za objavu i uskladiti označivanje redaka u tim obrascima za objavu s onima koji se koriste u odgovarajućim obrascima za objavu Bazelskog odbora za nadzor banaka. </w:t>
      </w:r>
    </w:p>
    <w:p w:rsidR="000A5D79" w:rsidRPr="00A9066F" w:rsidRDefault="002A54DA" w:rsidP="002A54DA">
      <w:pPr>
        <w:pStyle w:val="ManualConsidrant"/>
        <w:rPr>
          <w:noProof/>
          <w:color w:val="000000"/>
        </w:rPr>
      </w:pPr>
      <w:r w:rsidRPr="002A54DA">
        <w:rPr>
          <w:noProof/>
        </w:rPr>
        <w:t>(11)</w:t>
      </w:r>
      <w:r w:rsidRPr="002A54DA">
        <w:rPr>
          <w:noProof/>
        </w:rPr>
        <w:tab/>
      </w:r>
      <w:r w:rsidR="009E6EC8" w:rsidRPr="00A9066F">
        <w:rPr>
          <w:noProof/>
        </w:rPr>
        <w:t xml:space="preserve">U vezi s primjenom pristupa zasnovanog na internim rejting sustavima („IRB”) za izloženosti kreditnom riziku, Uredbom (EU) 2024/1623 u poglavlje 3. glavu II. Uredbe (EU) br. 575/2013 uvedeno je ograničenje kategorija izloženosti na koje se može primijeniti napredni IRB pristup (A-IRB) za izračun kapitalnih zahtjeva za kreditni rizik. Konkretno, za izloženosti prema institucijama sada se može primijeniti samo osnovni IRB pristup (F-IRB), a za izloženosti na osnovi vlasničkih ulaganja dopuštena je samo primjena standardiziranog pristupa, osim u prijelaznom razdoblju. Osim toga, uspostavljene su nove kategorije izloženosti za „jedinice područne (regionalne) i lokalne samouprave” i „subjekte javnog sektora” kako bi se osigurao dosljedan tretman tih izloženosti i izbjegla neželjena varijabilnost povezanih kapitalnih zahtjeva. Te bi izmjene trebalo uzeti u obzir u obrascima za objavu informacija o primjeni IRB pristupa. Potrebno je uskladiti i strukturu obrasca o RWEA-u kreditnih izvedenica koje se upotrebljavaju kao tehnike smanjenja kreditnog rizika (CRM) s označivanjem redaka koji se upotrebljavaju u odgovarajućem obrascu za objavu BCBS-a. </w:t>
      </w:r>
    </w:p>
    <w:p w:rsidR="000A5D79" w:rsidRPr="00A9066F" w:rsidRDefault="002A54DA" w:rsidP="002A54DA">
      <w:pPr>
        <w:pStyle w:val="ManualConsidrant"/>
        <w:rPr>
          <w:noProof/>
          <w:sz w:val="22"/>
        </w:rPr>
      </w:pPr>
      <w:r w:rsidRPr="002A54DA">
        <w:rPr>
          <w:noProof/>
        </w:rPr>
        <w:t>(12)</w:t>
      </w:r>
      <w:r w:rsidRPr="002A54DA">
        <w:rPr>
          <w:noProof/>
        </w:rPr>
        <w:tab/>
      </w:r>
      <w:r w:rsidR="00E365AC" w:rsidRPr="00A9066F">
        <w:rPr>
          <w:noProof/>
          <w:color w:val="000000"/>
        </w:rPr>
        <w:t xml:space="preserve">Uredbom (EU) 2024/1623 u glavu IV. </w:t>
      </w:r>
      <w:r w:rsidR="00E365AC" w:rsidRPr="00A9066F">
        <w:rPr>
          <w:noProof/>
        </w:rPr>
        <w:t xml:space="preserve">Uredbe (EU) br. 575/2013 uveden je novi okvir za izračun kapitalnih zahtjeva za tržišni rizik na temelju BCBS-ovog temeljitog preispitivanja knjige trgovanja (FRTB). Ta je izmjena bila potrebna kako bi se uklonili nedostaci utvrđeni u postojećem okviru kapitalnih zahtjeva za tržišni rizik za pozicije iz knjige trgovanja. U skladu s novim okvirom institucije će za izračun kapitalnih zahtjeva za tržišni rizik primjenjivati pojednostavnjeni standardizirani pristup, alternativni standardizirani pristup ili alternativni pristup internih modela. Te bi izmjene trebalo uzeti u obzir u obrascima za objavu tako što će se uvesti sveobuhvatan skup tablica i obrazaca za objavu. Taj novi skup tablica i predložaka za objavu trebao bi biti na snazi kad se regulatorni okvir za tržišni rizik na temelju bazelskih standarda FRTB-a počne primjenjivati u Uniji. U međuvremenu bi se i dalje trebali primjenjivati aktualni zahtjevi za objavu. Kako bi se u potpunosti pojasnila primjena tog novog pristupa, institucije koje primjenjuju alternativni pristup internih modela trebale bi na prvi datum primjene novog okvira za objavu objaviti kvantitativne informacije zajedno s kvalitativnim informacijama. </w:t>
      </w:r>
    </w:p>
    <w:p w:rsidR="000A5D79" w:rsidRPr="00A9066F" w:rsidRDefault="002A54DA" w:rsidP="002A54DA">
      <w:pPr>
        <w:pStyle w:val="ManualConsidrant"/>
        <w:rPr>
          <w:noProof/>
        </w:rPr>
      </w:pPr>
      <w:r w:rsidRPr="002A54DA">
        <w:rPr>
          <w:noProof/>
        </w:rPr>
        <w:t>(13)</w:t>
      </w:r>
      <w:r w:rsidRPr="002A54DA">
        <w:rPr>
          <w:noProof/>
        </w:rPr>
        <w:tab/>
      </w:r>
      <w:r w:rsidR="00990CED" w:rsidRPr="00A9066F">
        <w:rPr>
          <w:noProof/>
        </w:rPr>
        <w:t>Trebalo bi utvrditi jedinstvene formate za objavu kako bi se osigurala ujednačena i usporediva objava o rizicima prilagodbe kreditnom vrednovanju („CVA”). Zbog toga je potrebno uvesti nove obrasce i tablice za objavu kvantitativnih i kvalitativnih informacija o CVA riziku. U tim bi obrascima trebalo uzeti u obzir da institucije na koje se primjenjuju kapitalni zahtjevi za CVA mogu primjenjivati standardizirani, osnovni ili pojednostavnjeni pristup ili kombinaciju tih pristupa te da bi CVA rizik trebao obuhvaćati i rizik kreditne marže druge ugovorne strane institucije i tržišni rizik portfelja transakcija kojima institucija trguje s tom drugom ugovornom stranom.</w:t>
      </w:r>
    </w:p>
    <w:p w:rsidR="000A5D79" w:rsidRPr="00A9066F" w:rsidRDefault="002A54DA" w:rsidP="002A54DA">
      <w:pPr>
        <w:pStyle w:val="ManualConsidrant"/>
        <w:rPr>
          <w:noProof/>
        </w:rPr>
      </w:pPr>
      <w:r w:rsidRPr="002A54DA">
        <w:rPr>
          <w:noProof/>
        </w:rPr>
        <w:t>(14)</w:t>
      </w:r>
      <w:r w:rsidRPr="002A54DA">
        <w:rPr>
          <w:noProof/>
        </w:rPr>
        <w:tab/>
      </w:r>
      <w:r w:rsidR="000A5D79" w:rsidRPr="00A9066F">
        <w:rPr>
          <w:noProof/>
        </w:rPr>
        <w:t xml:space="preserve">Uredbom (EU) 2024/1623 u glavu III. poglavlje 1. </w:t>
      </w:r>
      <w:bookmarkStart w:id="1" w:name="_Hlk174954474"/>
      <w:r w:rsidR="000A5D79" w:rsidRPr="00A9066F">
        <w:rPr>
          <w:noProof/>
        </w:rPr>
        <w:t>Uredbe (EU) br. 575/2013</w:t>
      </w:r>
      <w:bookmarkEnd w:id="1"/>
      <w:r w:rsidR="000A5D79" w:rsidRPr="00A9066F">
        <w:rPr>
          <w:noProof/>
        </w:rPr>
        <w:t xml:space="preserve"> uveden je novi jedinstveni pristup koji se ne temelji na modelu za potrebe izračuna kapitalnih zahtjeva za operativni rizik kako bi se odgovorilo na nedostatnu osjetljivost na rizike i nedovoljnu usporedivost postojećih pristupa. Na temelju diskrecijskog prava uključenog u standarde Basel III, minimalni kapitalni zahtjevi Unije temelje se isključivo na izračunu komponente pokazatelja poslovanja (BIC), dok se povijest gubitaka uzima u obzir samo za potrebe objava. Te bi izmjene trebale biti vidljive u obrascima za objavu informacija, među ostalim utvrđivanjem novih obrazaca za davanje informacija o godišnjim operativnim gubicima nastalima u posljednjih deset godina, izračunu pokazatelja poslovanja, komponenata i podkomponenata i povezanim kapitalnim zahtjevima i iznosima izloženosti riziku.</w:t>
      </w:r>
    </w:p>
    <w:p w:rsidR="00A81627" w:rsidRPr="00A9066F" w:rsidRDefault="002A54DA" w:rsidP="002A54DA">
      <w:pPr>
        <w:pStyle w:val="ManualConsidrant"/>
        <w:rPr>
          <w:noProof/>
        </w:rPr>
      </w:pPr>
      <w:r w:rsidRPr="002A54DA">
        <w:rPr>
          <w:noProof/>
        </w:rPr>
        <w:t>(15)</w:t>
      </w:r>
      <w:r w:rsidRPr="002A54DA">
        <w:rPr>
          <w:noProof/>
        </w:rPr>
        <w:tab/>
      </w:r>
      <w:r w:rsidR="000A5D79" w:rsidRPr="00A9066F">
        <w:rPr>
          <w:noProof/>
        </w:rPr>
        <w:t>U članku 501.d stavku 2. Uredbe (EU) br. 575/2013 propisano je na koji način institucije trebaju izračunavati svoje kapitalne zahtjeve za izloženosti prema kriptoimovini do datuma primjene zakonodavnog akta iz članka 501.d stavka 1. te uredbe. Stoga je potrebno utvrditi kako institucije trebaju objaviti svoje izloženosti prema kriptoimovini u tom prijelaznom razdoblju.</w:t>
      </w:r>
    </w:p>
    <w:p w:rsidR="0072766F" w:rsidRPr="00A9066F" w:rsidRDefault="002A54DA" w:rsidP="002A54DA">
      <w:pPr>
        <w:pStyle w:val="ManualConsidrant"/>
        <w:rPr>
          <w:noProof/>
        </w:rPr>
      </w:pPr>
      <w:r w:rsidRPr="002A54DA">
        <w:rPr>
          <w:noProof/>
        </w:rPr>
        <w:t>(16)</w:t>
      </w:r>
      <w:r w:rsidRPr="002A54DA">
        <w:rPr>
          <w:noProof/>
        </w:rPr>
        <w:tab/>
      </w:r>
      <w:r w:rsidR="0072766F" w:rsidRPr="00A9066F">
        <w:rPr>
          <w:noProof/>
        </w:rPr>
        <w:t xml:space="preserve">Uredbom (EU) 2024/1623 izmijenjen je članak 434.a stavak 1. Uredbe (EU) br. 575/2013 i uveden zahtjev da EBA izradi IT rješenja, uključujući </w:t>
      </w:r>
      <w:r w:rsidR="0072766F" w:rsidRPr="00A9066F">
        <w:rPr>
          <w:noProof/>
          <w:color w:val="000000"/>
        </w:rPr>
        <w:t>upute</w:t>
      </w:r>
      <w:r w:rsidR="0072766F" w:rsidRPr="00A9066F">
        <w:rPr>
          <w:noProof/>
        </w:rPr>
        <w:t xml:space="preserve">, koje će institucije koristiti za objave informacija propisanih u glavama II. i III. te uredbe. U skladu s tim u obrascima za objavu trebalo bi dovoljno jasno navesti podatke i informacije koje institucije moraju objaviti kako bi se korisnicima osigurao pristup dostatnim sveobuhvatnim i usporedivim informacijama te kako bi se zadržala dosljednost s međunarodnim standardima o objavama. Kako bi se EBA-i omogućila izrada odgovarajućih IT rješenja, ne bi trebalo propisivati strukturu i format tih jedinstvenih obrazaca za objavu. EBI bi osobito trebalo omogućiti da odstupi od grafičkog prikaza i tablične strukture obrazaca za objavu sve dok su </w:t>
      </w:r>
      <w:r w:rsidR="0072766F" w:rsidRPr="00A9066F">
        <w:rPr>
          <w:noProof/>
          <w:color w:val="000000"/>
        </w:rPr>
        <w:t>svi propisani podaci i informacije uključeni u IT rješenje.</w:t>
      </w:r>
    </w:p>
    <w:p w:rsidR="005F4989" w:rsidRPr="00A9066F" w:rsidRDefault="002A54DA" w:rsidP="002A54DA">
      <w:pPr>
        <w:pStyle w:val="ManualConsidrant"/>
        <w:rPr>
          <w:noProof/>
          <w:szCs w:val="24"/>
        </w:rPr>
      </w:pPr>
      <w:r w:rsidRPr="002A54DA">
        <w:rPr>
          <w:noProof/>
        </w:rPr>
        <w:t>(17)</w:t>
      </w:r>
      <w:r w:rsidRPr="002A54DA">
        <w:rPr>
          <w:noProof/>
        </w:rPr>
        <w:tab/>
      </w:r>
      <w:r w:rsidR="005F4989" w:rsidRPr="00A9066F">
        <w:rPr>
          <w:noProof/>
        </w:rPr>
        <w:t>Kako bi se institucijama pružio sveobuhvatan integrirani skup jedinstvenih formata za objavu i osigurale visokokvalitetne objave, a u isto vrijeme poštovao pristup na temelju revidiranog članka 434. stavka 1. Uredbe br. 575/2013, potrebno je staviti izvan snage Provedbenu uredbu Komisije (EU) 2021/637 i zamijeniti je ovom uredbom.</w:t>
      </w:r>
    </w:p>
    <w:p w:rsidR="000A5D79" w:rsidRPr="00A9066F" w:rsidRDefault="002A54DA" w:rsidP="002A54DA">
      <w:pPr>
        <w:pStyle w:val="ManualConsidrant"/>
        <w:rPr>
          <w:noProof/>
          <w:sz w:val="22"/>
        </w:rPr>
      </w:pPr>
      <w:r w:rsidRPr="002A54DA">
        <w:rPr>
          <w:noProof/>
        </w:rPr>
        <w:t>(18)</w:t>
      </w:r>
      <w:r w:rsidRPr="002A54DA">
        <w:rPr>
          <w:noProof/>
        </w:rPr>
        <w:tab/>
      </w:r>
      <w:r w:rsidR="00DF17AE" w:rsidRPr="00A9066F">
        <w:rPr>
          <w:noProof/>
        </w:rPr>
        <w:t>Radi osiguranja pravovremenih i kvalitetnih objava, institucijama bi trebalo dati dovoljno vremena da svoje interne sustave prilagode zbog promjena postojećeg okvira za objave koje su uzete u obzir / uključene u ovoj Uredbi.</w:t>
      </w:r>
    </w:p>
    <w:p w:rsidR="000A5D79" w:rsidRPr="00A9066F" w:rsidRDefault="002A54DA" w:rsidP="002A54DA">
      <w:pPr>
        <w:pStyle w:val="ManualConsidrant"/>
        <w:rPr>
          <w:noProof/>
        </w:rPr>
      </w:pPr>
      <w:r w:rsidRPr="002A54DA">
        <w:rPr>
          <w:noProof/>
        </w:rPr>
        <w:t>(19)</w:t>
      </w:r>
      <w:r w:rsidRPr="002A54DA">
        <w:rPr>
          <w:noProof/>
        </w:rPr>
        <w:tab/>
      </w:r>
      <w:r w:rsidR="000A5D79" w:rsidRPr="00A9066F">
        <w:rPr>
          <w:noProof/>
        </w:rPr>
        <w:t>Ova Uredba temelji se na nacrtu provedbenih tehničkih standarda koji je Komisiji dostavilo Europsko nadzorno tijelo za bankarstvo.</w:t>
      </w:r>
    </w:p>
    <w:p w:rsidR="000A5D79" w:rsidRPr="00A9066F" w:rsidRDefault="002A54DA" w:rsidP="002A54DA">
      <w:pPr>
        <w:pStyle w:val="ManualConsidrant"/>
        <w:rPr>
          <w:noProof/>
        </w:rPr>
      </w:pPr>
      <w:r w:rsidRPr="002A54DA">
        <w:rPr>
          <w:noProof/>
        </w:rPr>
        <w:t>(20)</w:t>
      </w:r>
      <w:r w:rsidRPr="002A54DA">
        <w:rPr>
          <w:noProof/>
        </w:rPr>
        <w:tab/>
      </w:r>
      <w:r w:rsidR="000A5D79" w:rsidRPr="00A9066F">
        <w:rPr>
          <w:noProof/>
        </w:rPr>
        <w:t>Europsko nadzorno tijelo za bankarstvo provelo je otvoreno javno savjetovanje o nacrtu provedbenih tehničkih standarda na kojem se temelji ova Uredba, analiziralo je moguće povezane troškove i koristi te zatražilo savjet Interesne skupine za bankarstvo osnovane u skladu s člankom 37. Uredbe (EU) br. 1093/2010 Europskog parlamenta i Vijeća</w:t>
      </w:r>
      <w:r w:rsidR="000A5D79" w:rsidRPr="00A9066F">
        <w:rPr>
          <w:rStyle w:val="FootnoteReference"/>
          <w:noProof/>
        </w:rPr>
        <w:footnoteReference w:id="10"/>
      </w:r>
      <w:r w:rsidR="000A5D79" w:rsidRPr="00A9066F">
        <w:rPr>
          <w:noProof/>
        </w:rPr>
        <w:t xml:space="preserve">, </w:t>
      </w:r>
    </w:p>
    <w:p w:rsidR="0050796F" w:rsidRPr="00A9066F" w:rsidRDefault="0050796F">
      <w:pPr>
        <w:pStyle w:val="Formuledadoption"/>
        <w:rPr>
          <w:noProof/>
        </w:rPr>
      </w:pPr>
      <w:r w:rsidRPr="00A9066F">
        <w:rPr>
          <w:noProof/>
        </w:rPr>
        <w:t>DONIJELA JE OVU UREDBU:</w:t>
      </w:r>
    </w:p>
    <w:p w:rsidR="00905855" w:rsidRPr="00A9066F" w:rsidRDefault="00905855" w:rsidP="00905855">
      <w:pPr>
        <w:pStyle w:val="Titrearticle"/>
        <w:rPr>
          <w:noProof/>
        </w:rPr>
      </w:pPr>
      <w:r w:rsidRPr="00A9066F">
        <w:rPr>
          <w:noProof/>
        </w:rPr>
        <w:t>Članak 1.</w:t>
      </w:r>
    </w:p>
    <w:p w:rsidR="000A5D79" w:rsidRPr="00A9066F" w:rsidRDefault="000A5D79" w:rsidP="000A5D79">
      <w:pPr>
        <w:pStyle w:val="Titrearticle"/>
        <w:spacing w:before="120"/>
        <w:rPr>
          <w:b/>
          <w:i w:val="0"/>
          <w:noProof/>
        </w:rPr>
      </w:pPr>
      <w:r w:rsidRPr="00A9066F">
        <w:rPr>
          <w:b/>
          <w:i w:val="0"/>
          <w:noProof/>
        </w:rPr>
        <w:t>Objava ključnih pokazatelja i pregleda iznosa izloženosti ponderiranih rizikom</w:t>
      </w:r>
    </w:p>
    <w:p w:rsidR="000A5D79" w:rsidRPr="00A9066F" w:rsidRDefault="000A5D79" w:rsidP="00905855">
      <w:pPr>
        <w:rPr>
          <w:noProof/>
        </w:rPr>
      </w:pPr>
      <w:r w:rsidRPr="00A9066F">
        <w:rPr>
          <w:noProof/>
        </w:rPr>
        <w:t>Institucije objavljuju informacije iz članka 438. točaka od (a) do (d), (f) i (g) i članka 447. točaka od (a) do (g) Uredbe (EU) br. 575/2013 kako je navedeno u dijelu 1. – „Objava pregleda upravljanja rizicima, ključnih bonitetnih pokazatelja i iznosa izloženosti ponderiranih rizikom” u Prilogu I.</w:t>
      </w:r>
    </w:p>
    <w:p w:rsidR="000A5D79" w:rsidRPr="00A9066F" w:rsidRDefault="000A5D79" w:rsidP="000A5D79">
      <w:pPr>
        <w:pStyle w:val="Titrearticle"/>
        <w:rPr>
          <w:noProof/>
        </w:rPr>
      </w:pPr>
      <w:r w:rsidRPr="00A9066F">
        <w:rPr>
          <w:noProof/>
        </w:rPr>
        <w:t>Članak 2.</w:t>
      </w:r>
    </w:p>
    <w:p w:rsidR="000A5D79" w:rsidRPr="00A9066F" w:rsidRDefault="000A5D79" w:rsidP="000A5D79">
      <w:pPr>
        <w:pStyle w:val="Titrearticle"/>
        <w:spacing w:before="120"/>
        <w:rPr>
          <w:b/>
          <w:i w:val="0"/>
          <w:noProof/>
        </w:rPr>
      </w:pPr>
      <w:r w:rsidRPr="00A9066F">
        <w:rPr>
          <w:b/>
          <w:i w:val="0"/>
          <w:noProof/>
        </w:rPr>
        <w:t>Objava ciljeva i politika upravljanja rizicima</w:t>
      </w:r>
    </w:p>
    <w:p w:rsidR="000A5D79" w:rsidRPr="00A9066F" w:rsidRDefault="000A5D79" w:rsidP="00905855">
      <w:pPr>
        <w:rPr>
          <w:noProof/>
        </w:rPr>
      </w:pPr>
      <w:r w:rsidRPr="00A9066F">
        <w:rPr>
          <w:noProof/>
        </w:rPr>
        <w:t>Institucije objavljuju informacije iz članka 435. Uredbe (EU) br. 575/2013 kako je navedeno u dijelu 2. – „Objava ciljeva i politika upravljanja rizicima” u Prilogu I.</w:t>
      </w:r>
    </w:p>
    <w:p w:rsidR="000A5D79" w:rsidRPr="00A9066F" w:rsidRDefault="000A5D79" w:rsidP="000A5D79">
      <w:pPr>
        <w:pStyle w:val="Titrearticle"/>
        <w:rPr>
          <w:noProof/>
        </w:rPr>
      </w:pPr>
      <w:r w:rsidRPr="00A9066F">
        <w:rPr>
          <w:noProof/>
        </w:rPr>
        <w:t>Članak 3.</w:t>
      </w:r>
    </w:p>
    <w:p w:rsidR="000A5D79" w:rsidRPr="00A9066F" w:rsidRDefault="000A5D79" w:rsidP="000A5D79">
      <w:pPr>
        <w:pStyle w:val="Titrearticle"/>
        <w:tabs>
          <w:tab w:val="left" w:pos="567"/>
        </w:tabs>
        <w:spacing w:before="120"/>
        <w:rPr>
          <w:b/>
          <w:i w:val="0"/>
          <w:noProof/>
        </w:rPr>
      </w:pPr>
      <w:r w:rsidRPr="00A9066F">
        <w:rPr>
          <w:b/>
          <w:i w:val="0"/>
          <w:noProof/>
        </w:rPr>
        <w:t xml:space="preserve">Objava opsega primjene </w:t>
      </w:r>
    </w:p>
    <w:p w:rsidR="000A5D79" w:rsidRPr="00A9066F" w:rsidRDefault="000A5D79" w:rsidP="00905855">
      <w:pPr>
        <w:rPr>
          <w:noProof/>
        </w:rPr>
      </w:pPr>
      <w:r w:rsidRPr="00A9066F">
        <w:rPr>
          <w:noProof/>
        </w:rPr>
        <w:t xml:space="preserve">Institucije objavljuju informacije iz članka 436. točaka od (b) do (h) Uredbe (EU) br. 575/2013 kako je navedeno u dijelu 3. – „Objava opsega primjene” u Prilogu I. </w:t>
      </w:r>
    </w:p>
    <w:p w:rsidR="000A5D79" w:rsidRPr="00A9066F" w:rsidRDefault="000A5D79" w:rsidP="000A5D79">
      <w:pPr>
        <w:pStyle w:val="Titrearticle"/>
        <w:rPr>
          <w:noProof/>
        </w:rPr>
      </w:pPr>
      <w:r w:rsidRPr="00A9066F">
        <w:rPr>
          <w:noProof/>
        </w:rPr>
        <w:t>Članak 4.</w:t>
      </w:r>
    </w:p>
    <w:p w:rsidR="000A5D79" w:rsidRPr="00A9066F" w:rsidRDefault="000A5D79" w:rsidP="000A5D79">
      <w:pPr>
        <w:pStyle w:val="Titrearticle"/>
        <w:spacing w:before="120"/>
        <w:rPr>
          <w:b/>
          <w:i w:val="0"/>
          <w:noProof/>
        </w:rPr>
      </w:pPr>
      <w:r w:rsidRPr="00A9066F">
        <w:rPr>
          <w:b/>
          <w:i w:val="0"/>
          <w:noProof/>
        </w:rPr>
        <w:t>Objava regulatornog kapitala</w:t>
      </w:r>
    </w:p>
    <w:p w:rsidR="000A5D79" w:rsidRPr="00A9066F" w:rsidRDefault="000A5D79" w:rsidP="000A5D79">
      <w:pPr>
        <w:rPr>
          <w:noProof/>
        </w:rPr>
      </w:pPr>
      <w:r w:rsidRPr="00A9066F">
        <w:rPr>
          <w:noProof/>
        </w:rPr>
        <w:t>Institucije objavljuju informacije iz članka 437. točaka od (a) do (f) Uredbe (EU) br. 575/2013 kako je navedeno u dijelu 4. – „Objava regulatornog kapitala” u Prilogu I.</w:t>
      </w:r>
    </w:p>
    <w:p w:rsidR="000A5D79" w:rsidRPr="00A9066F" w:rsidRDefault="000A5D79" w:rsidP="000A5D79">
      <w:pPr>
        <w:pStyle w:val="Titrearticle"/>
        <w:rPr>
          <w:noProof/>
        </w:rPr>
      </w:pPr>
      <w:r w:rsidRPr="00A9066F">
        <w:rPr>
          <w:noProof/>
        </w:rPr>
        <w:t xml:space="preserve">Članak 5. </w:t>
      </w:r>
    </w:p>
    <w:p w:rsidR="000A5D79" w:rsidRPr="00A9066F" w:rsidRDefault="000A5D79" w:rsidP="000A5D79">
      <w:pPr>
        <w:pStyle w:val="Titrearticle"/>
        <w:spacing w:before="120"/>
        <w:rPr>
          <w:b/>
          <w:i w:val="0"/>
          <w:noProof/>
        </w:rPr>
      </w:pPr>
      <w:r w:rsidRPr="00A9066F">
        <w:rPr>
          <w:b/>
          <w:i w:val="0"/>
          <w:noProof/>
        </w:rPr>
        <w:t>Objava protucikličkih zaštitnih slojeva kapitala</w:t>
      </w:r>
    </w:p>
    <w:p w:rsidR="000A5D79" w:rsidRPr="00A9066F" w:rsidRDefault="000A5D79" w:rsidP="000A5D79">
      <w:pPr>
        <w:rPr>
          <w:noProof/>
        </w:rPr>
      </w:pPr>
      <w:r w:rsidRPr="00A9066F">
        <w:rPr>
          <w:noProof/>
        </w:rPr>
        <w:t xml:space="preserve">Institucije objavljuju informacije iz članka 440. točaka (a) i (b) Uredbe (EU) br. 575/2013 kako je navedeno u dijelu 5. – „Objava protucikličkih zaštitnih slojeva kapitala” u Prilogu I. </w:t>
      </w:r>
    </w:p>
    <w:p w:rsidR="000A5D79" w:rsidRPr="00A9066F" w:rsidRDefault="000A5D79" w:rsidP="000A5D79">
      <w:pPr>
        <w:pStyle w:val="Titrearticle"/>
        <w:rPr>
          <w:noProof/>
        </w:rPr>
      </w:pPr>
      <w:r w:rsidRPr="00A9066F">
        <w:rPr>
          <w:noProof/>
        </w:rPr>
        <w:t>Članak 6.</w:t>
      </w:r>
    </w:p>
    <w:p w:rsidR="000A5D79" w:rsidRPr="00A9066F" w:rsidRDefault="000A5D79" w:rsidP="000A5D79">
      <w:pPr>
        <w:pStyle w:val="Titrearticle"/>
        <w:spacing w:before="120"/>
        <w:rPr>
          <w:b/>
          <w:i w:val="0"/>
          <w:noProof/>
        </w:rPr>
      </w:pPr>
      <w:r w:rsidRPr="00A9066F">
        <w:rPr>
          <w:b/>
          <w:i w:val="0"/>
          <w:noProof/>
        </w:rPr>
        <w:t>Objava omjera financijske poluge</w:t>
      </w:r>
    </w:p>
    <w:p w:rsidR="000A5D79" w:rsidRPr="00A9066F" w:rsidRDefault="000A5D79" w:rsidP="000A5D79">
      <w:pPr>
        <w:rPr>
          <w:noProof/>
        </w:rPr>
      </w:pPr>
      <w:r w:rsidRPr="00A9066F">
        <w:rPr>
          <w:noProof/>
        </w:rPr>
        <w:t xml:space="preserve">Institucije objavljuju informacije iz članka 451. stavka 1. točaka od (a) do (e) i članka 451. stavaka 2. i 3. Uredbe (EU) br. 575/2013 </w:t>
      </w:r>
      <w:bookmarkStart w:id="2" w:name="_Hlk168653610"/>
      <w:r w:rsidRPr="00A9066F">
        <w:rPr>
          <w:noProof/>
        </w:rPr>
        <w:t>kako je navedeno u dijelu 6. – „Objava omjera financijske poluge” u Prilogu I.</w:t>
      </w:r>
    </w:p>
    <w:bookmarkEnd w:id="2"/>
    <w:p w:rsidR="000A5D79" w:rsidRPr="00A9066F" w:rsidRDefault="000A5D79" w:rsidP="000A5D79">
      <w:pPr>
        <w:pStyle w:val="Titrearticle"/>
        <w:rPr>
          <w:noProof/>
        </w:rPr>
      </w:pPr>
      <w:r w:rsidRPr="00A9066F">
        <w:rPr>
          <w:noProof/>
        </w:rPr>
        <w:t xml:space="preserve">Članak 7. </w:t>
      </w:r>
    </w:p>
    <w:p w:rsidR="000A5D79" w:rsidRPr="00A9066F" w:rsidRDefault="000A5D79" w:rsidP="000A5D79">
      <w:pPr>
        <w:pStyle w:val="Titrearticle"/>
        <w:spacing w:before="120"/>
        <w:rPr>
          <w:b/>
          <w:i w:val="0"/>
          <w:noProof/>
        </w:rPr>
      </w:pPr>
      <w:r w:rsidRPr="00A9066F">
        <w:rPr>
          <w:b/>
          <w:i w:val="0"/>
          <w:noProof/>
        </w:rPr>
        <w:t>Objava pokazatelja globalne sistemske značajnosti</w:t>
      </w:r>
    </w:p>
    <w:p w:rsidR="000A5D79" w:rsidRPr="00A9066F" w:rsidRDefault="002A54DA" w:rsidP="002A54DA">
      <w:pPr>
        <w:pStyle w:val="ManualNumPar1"/>
        <w:rPr>
          <w:noProof/>
        </w:rPr>
      </w:pPr>
      <w:r w:rsidRPr="002A54DA">
        <w:rPr>
          <w:noProof/>
        </w:rPr>
        <w:t>1.</w:t>
      </w:r>
      <w:r w:rsidRPr="002A54DA">
        <w:rPr>
          <w:noProof/>
        </w:rPr>
        <w:tab/>
      </w:r>
      <w:r w:rsidR="00FA266C" w:rsidRPr="00A9066F">
        <w:rPr>
          <w:noProof/>
        </w:rPr>
        <w:t>Globalne sistemski važne institucije (GSV institucije) objavljuju informacije o vrijednostima pokazatelja upotrijebljenih za utvrđivanje njihovih rezultata iz članka 441. Uredbe (EU) br. 575/2013 u jedinstvenom formatu za objavu iz članka 434.a te uredbe. GSV institucije taj format za objavu upotrebljavaju za vrijednosti pokazatelja koje prikupljaju relevantna tijela, kako je utvrđeno u članku 3. stavku 2. Delegirane uredbe Komisije (EU) br. 1222/2014</w:t>
      </w:r>
      <w:r w:rsidR="00FA266C" w:rsidRPr="00A9066F">
        <w:rPr>
          <w:rStyle w:val="FootnoteReference"/>
          <w:noProof/>
        </w:rPr>
        <w:footnoteReference w:id="11"/>
      </w:r>
      <w:r w:rsidR="00FA266C" w:rsidRPr="00A9066F">
        <w:rPr>
          <w:noProof/>
        </w:rPr>
        <w:t xml:space="preserve">, uz iznimku bilo kakvih pomoćnih podataka i bilješki koji se prikupljaju u skladu s člankom 3. stavkom 2. te delegirane uredbe. </w:t>
      </w:r>
    </w:p>
    <w:p w:rsidR="000A5D79" w:rsidRPr="00A9066F" w:rsidRDefault="002A54DA" w:rsidP="002A54DA">
      <w:pPr>
        <w:pStyle w:val="ManualNumPar1"/>
        <w:rPr>
          <w:noProof/>
        </w:rPr>
      </w:pPr>
      <w:r w:rsidRPr="002A54DA">
        <w:rPr>
          <w:noProof/>
        </w:rPr>
        <w:t>2.</w:t>
      </w:r>
      <w:r w:rsidRPr="002A54DA">
        <w:rPr>
          <w:noProof/>
        </w:rPr>
        <w:tab/>
      </w:r>
      <w:r w:rsidR="000A5D79" w:rsidRPr="00A9066F">
        <w:rPr>
          <w:noProof/>
        </w:rPr>
        <w:t>GSV institucije informacije iz stavka 1. objavljuju u svojem završnom godišnjem izvješću o trećem stupu. GSV institucije ponovno objavljuju informacije iz stavka 1. u svojem izvješću o trećem stupu nakon konačne dostave vrijednosti pokazatelja relevantnim nadležnim tijelima ako se dostavljene vrijednosti razlikuju od vrijednosti objavljenih u završnom godišnjem izvješću o trećem stupu.</w:t>
      </w:r>
    </w:p>
    <w:p w:rsidR="000A5D79" w:rsidRPr="00A9066F" w:rsidRDefault="000A5D79" w:rsidP="000A5D79">
      <w:pPr>
        <w:pStyle w:val="Titrearticle"/>
        <w:rPr>
          <w:noProof/>
        </w:rPr>
      </w:pPr>
      <w:r w:rsidRPr="00A9066F">
        <w:rPr>
          <w:noProof/>
        </w:rPr>
        <w:t>Članak 8.</w:t>
      </w:r>
    </w:p>
    <w:p w:rsidR="000A5D79" w:rsidRPr="00A9066F" w:rsidRDefault="000A5D79" w:rsidP="000A5D79">
      <w:pPr>
        <w:pStyle w:val="Titrearticle"/>
        <w:spacing w:before="120"/>
        <w:rPr>
          <w:b/>
          <w:i w:val="0"/>
          <w:noProof/>
        </w:rPr>
      </w:pPr>
      <w:r w:rsidRPr="00A9066F">
        <w:rPr>
          <w:b/>
          <w:i w:val="0"/>
          <w:noProof/>
        </w:rPr>
        <w:t>Objava likvidnosnih zahtjeva</w:t>
      </w:r>
    </w:p>
    <w:p w:rsidR="000A5D79" w:rsidRPr="00A9066F" w:rsidRDefault="000A5D79" w:rsidP="000A5D79">
      <w:pPr>
        <w:rPr>
          <w:i/>
          <w:noProof/>
        </w:rPr>
      </w:pPr>
      <w:r w:rsidRPr="00A9066F">
        <w:rPr>
          <w:noProof/>
        </w:rPr>
        <w:t>Institucije objavljuju informacije iz članka 435. stavka 1. i članka 451.a stavaka 2., 3. i 4. Uredbe (EU) br. 575/2013 kako je navedeno u dijelu 7. – „Objava likvidnosnih zahtjeva” u Prilogu I.</w:t>
      </w:r>
    </w:p>
    <w:p w:rsidR="000A5D79" w:rsidRPr="00A9066F" w:rsidRDefault="000A5D79" w:rsidP="000A5D79">
      <w:pPr>
        <w:pStyle w:val="Titrearticle"/>
        <w:rPr>
          <w:noProof/>
        </w:rPr>
      </w:pPr>
      <w:r w:rsidRPr="00A9066F">
        <w:rPr>
          <w:noProof/>
        </w:rPr>
        <w:t>Članak 9.</w:t>
      </w:r>
    </w:p>
    <w:p w:rsidR="000A5D79" w:rsidRPr="00A9066F" w:rsidRDefault="000A5D79" w:rsidP="000A5D79">
      <w:pPr>
        <w:pStyle w:val="Titrearticle"/>
        <w:spacing w:before="120"/>
        <w:rPr>
          <w:b/>
          <w:i w:val="0"/>
          <w:noProof/>
        </w:rPr>
      </w:pPr>
      <w:r w:rsidRPr="00A9066F">
        <w:rPr>
          <w:b/>
          <w:i w:val="0"/>
          <w:noProof/>
        </w:rPr>
        <w:t xml:space="preserve">Objava </w:t>
      </w:r>
      <w:bookmarkStart w:id="3" w:name="_Hlk163217184"/>
      <w:r w:rsidRPr="00A9066F">
        <w:rPr>
          <w:b/>
          <w:i w:val="0"/>
          <w:noProof/>
        </w:rPr>
        <w:t>izloženosti kreditnom riziku i razrjeđivačkom riziku i objava kreditne kvalitete</w:t>
      </w:r>
      <w:bookmarkEnd w:id="3"/>
    </w:p>
    <w:p w:rsidR="000A5D79" w:rsidRPr="00A9066F" w:rsidRDefault="002A54DA" w:rsidP="002A54DA">
      <w:pPr>
        <w:pStyle w:val="ManualNumPar1"/>
        <w:rPr>
          <w:noProof/>
        </w:rPr>
      </w:pPr>
      <w:r w:rsidRPr="002A54DA">
        <w:rPr>
          <w:noProof/>
        </w:rPr>
        <w:t>1.</w:t>
      </w:r>
      <w:r w:rsidRPr="002A54DA">
        <w:rPr>
          <w:noProof/>
        </w:rPr>
        <w:tab/>
      </w:r>
      <w:r w:rsidR="000A5D79" w:rsidRPr="00A9066F">
        <w:rPr>
          <w:noProof/>
        </w:rPr>
        <w:t>Institucije objavljuju informacije iz članka 435. stavka 1. točaka (a), (b), (d) i (f) i članka 442. Uredbe (EU) br. 575/2013 kako je navedeno u dijelu 8. – „Objava kreditne kvalitete s obzirom na kreditni rizik” u Prilogu I.</w:t>
      </w:r>
    </w:p>
    <w:p w:rsidR="000A5D79" w:rsidRPr="00A9066F" w:rsidRDefault="002A54DA" w:rsidP="002A54DA">
      <w:pPr>
        <w:pStyle w:val="ManualNumPar1"/>
        <w:rPr>
          <w:noProof/>
        </w:rPr>
      </w:pPr>
      <w:r w:rsidRPr="002A54DA">
        <w:rPr>
          <w:noProof/>
        </w:rPr>
        <w:t>2.</w:t>
      </w:r>
      <w:r w:rsidRPr="002A54DA">
        <w:rPr>
          <w:noProof/>
        </w:rPr>
        <w:tab/>
      </w:r>
      <w:r w:rsidR="000A5D79" w:rsidRPr="00A9066F">
        <w:rPr>
          <w:noProof/>
        </w:rPr>
        <w:t xml:space="preserve">Velike institucije kojima je omjer između bruto knjigovodstvene vrijednosti kredita i predujmova iz članka 47.a stavka 3. Uredbe (EU) br. 575/2013 i ukupne bruto knjigovodstvene vrijednosti kredita i predujmova iz članka 47.a stavka 1. te uredbe jednak ili veći od 5 %, osim informacija iz stavka 1. objavljuju dodatne informacije u skladu s člankom 442. točkama (c) i (f) te uredbe. Te institucije informacije objavljuju na godišnjoj osnovi. </w:t>
      </w:r>
    </w:p>
    <w:p w:rsidR="000A5D79" w:rsidRPr="00A9066F" w:rsidRDefault="002A54DA" w:rsidP="002A54DA">
      <w:pPr>
        <w:pStyle w:val="ManualNumPar1"/>
        <w:rPr>
          <w:noProof/>
        </w:rPr>
      </w:pPr>
      <w:r w:rsidRPr="002A54DA">
        <w:rPr>
          <w:noProof/>
        </w:rPr>
        <w:t>3.</w:t>
      </w:r>
      <w:r w:rsidRPr="002A54DA">
        <w:rPr>
          <w:noProof/>
        </w:rPr>
        <w:tab/>
      </w:r>
      <w:r w:rsidR="000A5D79" w:rsidRPr="00A9066F">
        <w:rPr>
          <w:noProof/>
        </w:rPr>
        <w:t>Za potrebe stavka 2. institucije isključuju kredite i predujmove klasificirane kao namijenjene za prodaju, sredstva u središnjim bankama i druge depozite po viđenju iz nazivnika i brojnika omjera.</w:t>
      </w:r>
    </w:p>
    <w:p w:rsidR="000A5D79" w:rsidRPr="00A9066F" w:rsidRDefault="002A54DA" w:rsidP="002A54DA">
      <w:pPr>
        <w:pStyle w:val="ManualNumPar1"/>
        <w:rPr>
          <w:noProof/>
        </w:rPr>
      </w:pPr>
      <w:r w:rsidRPr="002A54DA">
        <w:rPr>
          <w:noProof/>
        </w:rPr>
        <w:t>4.</w:t>
      </w:r>
      <w:r w:rsidRPr="002A54DA">
        <w:rPr>
          <w:noProof/>
        </w:rPr>
        <w:tab/>
      </w:r>
      <w:r w:rsidR="000A5D79" w:rsidRPr="00A9066F">
        <w:rPr>
          <w:noProof/>
        </w:rPr>
        <w:t>Institucije počinju objavljivati informacije u skladu sa stavkom 2. ako dosegnu ili premaše prag od 5 % iz tog stavka u dva uzastopna tromjesečja tijekom četiri tromjesečja prije referentnog datuma objave. Na referentni datum prve objave institucije te informacije objavljuju koristeći obrasce iz tog stavka ako su na taj referentni datum objave premašile prag od 5 %.</w:t>
      </w:r>
    </w:p>
    <w:p w:rsidR="000A5D79" w:rsidRPr="00A9066F" w:rsidRDefault="002A54DA" w:rsidP="002A54DA">
      <w:pPr>
        <w:pStyle w:val="ManualNumPar1"/>
        <w:rPr>
          <w:noProof/>
        </w:rPr>
      </w:pPr>
      <w:r w:rsidRPr="002A54DA">
        <w:rPr>
          <w:noProof/>
        </w:rPr>
        <w:t>5.</w:t>
      </w:r>
      <w:r w:rsidRPr="002A54DA">
        <w:rPr>
          <w:noProof/>
        </w:rPr>
        <w:tab/>
      </w:r>
      <w:r w:rsidR="000A5D79" w:rsidRPr="00A9066F">
        <w:rPr>
          <w:noProof/>
        </w:rPr>
        <w:t>Institucije više nisu dužne objavljivati informacije u skladu sa stavkom 2. ako tri uzastopna tromjesečja tijekom četiri tromjesečja prije referentnog datuma objave ne dosegnu prag od 5 %.</w:t>
      </w:r>
    </w:p>
    <w:p w:rsidR="000A5D79" w:rsidRPr="00A9066F" w:rsidRDefault="000A5D79" w:rsidP="000A5D79">
      <w:pPr>
        <w:pStyle w:val="Titrearticle"/>
        <w:rPr>
          <w:noProof/>
        </w:rPr>
      </w:pPr>
      <w:r w:rsidRPr="00A9066F">
        <w:rPr>
          <w:noProof/>
        </w:rPr>
        <w:t>Članak 10.</w:t>
      </w:r>
    </w:p>
    <w:p w:rsidR="000A5D79" w:rsidRPr="00A9066F" w:rsidRDefault="000A5D79" w:rsidP="000A5D79">
      <w:pPr>
        <w:pStyle w:val="Titrearticle"/>
        <w:spacing w:before="120"/>
        <w:rPr>
          <w:b/>
          <w:i w:val="0"/>
          <w:noProof/>
        </w:rPr>
      </w:pPr>
      <w:r w:rsidRPr="00A9066F">
        <w:rPr>
          <w:b/>
          <w:i w:val="0"/>
          <w:noProof/>
        </w:rPr>
        <w:t xml:space="preserve">Objava primjene tehnika smanjenja kreditnog rizika </w:t>
      </w:r>
    </w:p>
    <w:p w:rsidR="000A5D79" w:rsidRPr="00A9066F" w:rsidRDefault="000A5D79" w:rsidP="000A5D79">
      <w:pPr>
        <w:rPr>
          <w:noProof/>
        </w:rPr>
      </w:pPr>
      <w:r w:rsidRPr="00A9066F">
        <w:rPr>
          <w:noProof/>
        </w:rPr>
        <w:t>Institucije objavljuju informacije iz članka 453. točaka od (a) do (f) Uredbe (EU) br. 575/2013 kako je navedeno u dijelu 9. – „Objava tehnika smanjenja kreditnog rizika” u Prilogu I.</w:t>
      </w:r>
    </w:p>
    <w:p w:rsidR="000A5D79" w:rsidRPr="00A9066F" w:rsidRDefault="000A5D79" w:rsidP="000A5D79">
      <w:pPr>
        <w:pStyle w:val="Titrearticle"/>
        <w:rPr>
          <w:noProof/>
        </w:rPr>
      </w:pPr>
      <w:r w:rsidRPr="00A9066F">
        <w:rPr>
          <w:noProof/>
        </w:rPr>
        <w:t xml:space="preserve">Članak 11. </w:t>
      </w:r>
    </w:p>
    <w:p w:rsidR="000A5D79" w:rsidRPr="00A9066F" w:rsidRDefault="000A5D79" w:rsidP="000A5D79">
      <w:pPr>
        <w:pStyle w:val="Titrearticle"/>
        <w:spacing w:before="120"/>
        <w:rPr>
          <w:b/>
          <w:i w:val="0"/>
          <w:noProof/>
        </w:rPr>
      </w:pPr>
      <w:r w:rsidRPr="00A9066F">
        <w:rPr>
          <w:b/>
          <w:i w:val="0"/>
          <w:noProof/>
        </w:rPr>
        <w:t>Objava primjene standardiziranog pristupa</w:t>
      </w:r>
    </w:p>
    <w:p w:rsidR="000A5D79" w:rsidRPr="00A9066F" w:rsidRDefault="000A5D79" w:rsidP="000A5D79">
      <w:pPr>
        <w:rPr>
          <w:noProof/>
        </w:rPr>
      </w:pPr>
      <w:r w:rsidRPr="00A9066F">
        <w:rPr>
          <w:noProof/>
        </w:rPr>
        <w:t>Institucije koje izračunavaju iznose izloženosti ponderiranih rizikom u skladu sa standardiziranim pristupom objavljuju sljedeće informacije</w:t>
      </w:r>
      <w:r w:rsidRPr="00A9066F">
        <w:rPr>
          <w:b/>
          <w:noProof/>
        </w:rPr>
        <w:t xml:space="preserve"> </w:t>
      </w:r>
      <w:r w:rsidRPr="00A9066F">
        <w:rPr>
          <w:noProof/>
        </w:rPr>
        <w:t>o primjeni standardiziranog pristupa:</w:t>
      </w:r>
    </w:p>
    <w:p w:rsidR="000A5D79" w:rsidRPr="00A9066F" w:rsidRDefault="002A54DA" w:rsidP="002A54DA">
      <w:pPr>
        <w:pStyle w:val="Point0"/>
        <w:rPr>
          <w:noProof/>
        </w:rPr>
      </w:pPr>
      <w:r w:rsidRPr="002A54DA">
        <w:rPr>
          <w:noProof/>
        </w:rPr>
        <w:t>(a)</w:t>
      </w:r>
      <w:r w:rsidRPr="002A54DA">
        <w:rPr>
          <w:noProof/>
        </w:rPr>
        <w:tab/>
      </w:r>
      <w:r w:rsidR="000A5D79" w:rsidRPr="00A9066F">
        <w:rPr>
          <w:noProof/>
        </w:rPr>
        <w:t>informacije iz članka 444. točaka od (a) do (e) i informacije iz članka 453. točaka (g), (h) i (i)) Uredbe (EU) br. 575/2013 kako je navedeno u dijelu 10. – „Objava standardiziranog pristupa kreditnom riziku” u Prilogu I.</w:t>
      </w:r>
    </w:p>
    <w:p w:rsidR="000A5D79" w:rsidRPr="00A9066F" w:rsidRDefault="002A54DA" w:rsidP="002A54DA">
      <w:pPr>
        <w:pStyle w:val="Point0"/>
        <w:rPr>
          <w:noProof/>
        </w:rPr>
      </w:pPr>
      <w:r w:rsidRPr="002A54DA">
        <w:rPr>
          <w:noProof/>
        </w:rPr>
        <w:t>(b)</w:t>
      </w:r>
      <w:r w:rsidRPr="002A54DA">
        <w:rPr>
          <w:noProof/>
        </w:rPr>
        <w:tab/>
      </w:r>
      <w:r w:rsidR="000A5D79" w:rsidRPr="00A9066F">
        <w:rPr>
          <w:noProof/>
        </w:rPr>
        <w:t xml:space="preserve">informacije o vrijednostima izloženosti oduzetima od regulatornog kapitala iz članka 444. točke (e) Uredbe (EU) br. 575/2013 kako je navedeno u dijelu 4. – „Objava regulatornog kapitala” u Prilogu I. </w:t>
      </w:r>
    </w:p>
    <w:p w:rsidR="000A5D79" w:rsidRPr="00A9066F" w:rsidRDefault="000A5D79" w:rsidP="000A5D79">
      <w:pPr>
        <w:pStyle w:val="Titrearticle"/>
        <w:rPr>
          <w:noProof/>
        </w:rPr>
      </w:pPr>
      <w:r w:rsidRPr="00A9066F">
        <w:rPr>
          <w:noProof/>
        </w:rPr>
        <w:t>Članak 12.</w:t>
      </w:r>
    </w:p>
    <w:p w:rsidR="000A5D79" w:rsidRPr="00A9066F" w:rsidRDefault="000A5D79" w:rsidP="000A5D79">
      <w:pPr>
        <w:pStyle w:val="Titrearticle"/>
        <w:spacing w:before="120"/>
        <w:rPr>
          <w:b/>
          <w:i w:val="0"/>
          <w:noProof/>
        </w:rPr>
      </w:pPr>
      <w:r w:rsidRPr="00A9066F">
        <w:rPr>
          <w:b/>
          <w:i w:val="0"/>
          <w:noProof/>
        </w:rPr>
        <w:t>Objava primjene IRB pristupa na kreditni rizik</w:t>
      </w:r>
    </w:p>
    <w:p w:rsidR="000A5D79" w:rsidRPr="00A9066F" w:rsidRDefault="000A5D79" w:rsidP="000A5D79">
      <w:pPr>
        <w:rPr>
          <w:noProof/>
        </w:rPr>
      </w:pPr>
      <w:r w:rsidRPr="00A9066F">
        <w:rPr>
          <w:noProof/>
        </w:rPr>
        <w:t>Institucije koje izračunavaju iznose izloženosti ponderirane rizikom u skladu s IRB pristupom objavljuju informacije iz članka 438. točke (h), članka 452. točaka od (a) do (h) i članka 453. točaka (g) i (j) Uredbe (EU) br. 575/</w:t>
      </w:r>
      <w:bookmarkStart w:id="4" w:name="_Hlk168654209"/>
      <w:r w:rsidRPr="00A9066F">
        <w:rPr>
          <w:noProof/>
        </w:rPr>
        <w:t>2013 kako je navedeno u dijelu 11. – „Objava IRB pristupa kreditnom riziku” u Prilogu I.</w:t>
      </w:r>
    </w:p>
    <w:bookmarkEnd w:id="4"/>
    <w:p w:rsidR="000A5D79" w:rsidRPr="00A9066F" w:rsidRDefault="000A5D79" w:rsidP="000A5D79">
      <w:pPr>
        <w:pStyle w:val="Titrearticle"/>
        <w:rPr>
          <w:noProof/>
        </w:rPr>
      </w:pPr>
      <w:r w:rsidRPr="00A9066F">
        <w:rPr>
          <w:noProof/>
        </w:rPr>
        <w:t>Članak 13.</w:t>
      </w:r>
    </w:p>
    <w:p w:rsidR="000A5D79" w:rsidRPr="00A9066F" w:rsidRDefault="000A5D79" w:rsidP="000A5D79">
      <w:pPr>
        <w:pStyle w:val="Titrearticle"/>
        <w:spacing w:before="120"/>
        <w:rPr>
          <w:b/>
          <w:i w:val="0"/>
          <w:noProof/>
        </w:rPr>
      </w:pPr>
      <w:r w:rsidRPr="00A9066F">
        <w:rPr>
          <w:b/>
          <w:i w:val="0"/>
          <w:noProof/>
        </w:rPr>
        <w:t>Objava izloženosti u obliku specijaliziranog financiranja i izloženosti na osnovi vlasničkih ulaganja</w:t>
      </w:r>
    </w:p>
    <w:p w:rsidR="000A5D79" w:rsidRPr="00A9066F" w:rsidRDefault="000A5D79" w:rsidP="000A5D79">
      <w:pPr>
        <w:rPr>
          <w:noProof/>
        </w:rPr>
      </w:pPr>
      <w:r w:rsidRPr="00A9066F">
        <w:rPr>
          <w:noProof/>
        </w:rPr>
        <w:t>Institucije objavljuju informacije iz članka 438. točke (e) Uredbe (EU) br. 575/2013 kako je navedeno u dijelu 12. – „Objava izloženosti u obliku specijaliziranog financiranja i izloženosti na osnovi vlasničkih ulaganja” u Prilogu I.</w:t>
      </w:r>
    </w:p>
    <w:p w:rsidR="000A5D79" w:rsidRPr="00A9066F" w:rsidRDefault="000A5D79" w:rsidP="000A5D79">
      <w:pPr>
        <w:pStyle w:val="Titrearticle"/>
        <w:rPr>
          <w:noProof/>
        </w:rPr>
      </w:pPr>
      <w:r w:rsidRPr="00A9066F">
        <w:rPr>
          <w:noProof/>
        </w:rPr>
        <w:t>Članak 14.</w:t>
      </w:r>
    </w:p>
    <w:p w:rsidR="000A5D79" w:rsidRPr="00A9066F" w:rsidRDefault="000A5D79" w:rsidP="000A5D79">
      <w:pPr>
        <w:pStyle w:val="Titrearticle"/>
        <w:spacing w:before="120"/>
        <w:rPr>
          <w:b/>
          <w:i w:val="0"/>
          <w:noProof/>
        </w:rPr>
      </w:pPr>
      <w:r w:rsidRPr="00A9066F">
        <w:rPr>
          <w:b/>
          <w:i w:val="0"/>
          <w:noProof/>
        </w:rPr>
        <w:t>Objava izloženosti kreditnom riziku druge ugovorne strane</w:t>
      </w:r>
    </w:p>
    <w:p w:rsidR="000A5D79" w:rsidRPr="00A9066F" w:rsidRDefault="000A5D79" w:rsidP="000A5D79">
      <w:pPr>
        <w:rPr>
          <w:noProof/>
        </w:rPr>
      </w:pPr>
      <w:r w:rsidRPr="00A9066F">
        <w:rPr>
          <w:noProof/>
        </w:rPr>
        <w:t xml:space="preserve">Institucije objavljuju informacije iz članka 438. točke (h) i članka 439. Uredbe (EU) br. 575/2013 kako je navedeno u dijelu 13. – „Objava kreditnog rizika druge ugovorne strane” u Prilogu I. </w:t>
      </w:r>
    </w:p>
    <w:p w:rsidR="000A5D79" w:rsidRPr="00A9066F" w:rsidRDefault="000A5D79" w:rsidP="000A5D79">
      <w:pPr>
        <w:pStyle w:val="Titrearticle"/>
        <w:rPr>
          <w:noProof/>
        </w:rPr>
      </w:pPr>
      <w:r w:rsidRPr="00A9066F">
        <w:rPr>
          <w:noProof/>
        </w:rPr>
        <w:t>Članak 15.</w:t>
      </w:r>
    </w:p>
    <w:p w:rsidR="000A5D79" w:rsidRPr="00A9066F" w:rsidRDefault="000A5D79" w:rsidP="000A5D79">
      <w:pPr>
        <w:pStyle w:val="Titrearticle"/>
        <w:spacing w:before="120"/>
        <w:rPr>
          <w:b/>
          <w:i w:val="0"/>
          <w:noProof/>
        </w:rPr>
      </w:pPr>
      <w:r w:rsidRPr="00A9066F">
        <w:rPr>
          <w:b/>
          <w:i w:val="0"/>
          <w:noProof/>
        </w:rPr>
        <w:t>Objava</w:t>
      </w:r>
      <w:bookmarkStart w:id="5" w:name="_Hlk163217793"/>
      <w:r w:rsidRPr="00A9066F">
        <w:rPr>
          <w:b/>
          <w:i w:val="0"/>
          <w:noProof/>
        </w:rPr>
        <w:t xml:space="preserve"> izloženosti sekuritizacijskim pozicijama </w:t>
      </w:r>
      <w:bookmarkEnd w:id="5"/>
    </w:p>
    <w:p w:rsidR="000A5D79" w:rsidRPr="00A9066F" w:rsidRDefault="000A5D79" w:rsidP="000A5D79">
      <w:pPr>
        <w:rPr>
          <w:noProof/>
        </w:rPr>
      </w:pPr>
      <w:r w:rsidRPr="00A9066F">
        <w:rPr>
          <w:noProof/>
        </w:rPr>
        <w:t>Institucije objavljuju informacije iz članka 449. Uredbe (EU) br. 575/2013 kako je navedeno u dijelu 14. – „Objava izloženosti sekuritizacijskim pozicijama” u Prilogu I.</w:t>
      </w:r>
    </w:p>
    <w:p w:rsidR="000A5D79" w:rsidRPr="00A9066F" w:rsidRDefault="000A5D79" w:rsidP="000A5D79">
      <w:pPr>
        <w:pStyle w:val="Titrearticle"/>
        <w:rPr>
          <w:noProof/>
        </w:rPr>
      </w:pPr>
      <w:r w:rsidRPr="00A9066F">
        <w:rPr>
          <w:noProof/>
        </w:rPr>
        <w:t>Članak 16.</w:t>
      </w:r>
    </w:p>
    <w:p w:rsidR="000A5D79" w:rsidRPr="00A9066F" w:rsidRDefault="000A5D79" w:rsidP="000A5D79">
      <w:pPr>
        <w:pStyle w:val="Titrearticle"/>
        <w:spacing w:before="120"/>
        <w:rPr>
          <w:b/>
          <w:i w:val="0"/>
          <w:noProof/>
        </w:rPr>
      </w:pPr>
      <w:r w:rsidRPr="00A9066F">
        <w:rPr>
          <w:b/>
          <w:i w:val="0"/>
          <w:noProof/>
        </w:rPr>
        <w:t>Objava primjene standardiziranog pristupa i alternativnih internih modela za tržišni rizik</w:t>
      </w:r>
    </w:p>
    <w:p w:rsidR="000A5D79" w:rsidRPr="00A9066F" w:rsidRDefault="002A54DA" w:rsidP="002A54DA">
      <w:pPr>
        <w:pStyle w:val="ManualNumPar1"/>
        <w:rPr>
          <w:noProof/>
        </w:rPr>
      </w:pPr>
      <w:r w:rsidRPr="002A54DA">
        <w:rPr>
          <w:noProof/>
        </w:rPr>
        <w:t>1.</w:t>
      </w:r>
      <w:r w:rsidRPr="002A54DA">
        <w:rPr>
          <w:noProof/>
        </w:rPr>
        <w:tab/>
      </w:r>
      <w:r w:rsidR="000A5D79" w:rsidRPr="00A9066F">
        <w:rPr>
          <w:noProof/>
        </w:rPr>
        <w:t>Institucije objavljuju informacije iz članka 435. stavka 1. točaka od (a) do (d), članka 438., članka 445. stavaka 1. i 2., članka 455. stavka 1. točaka od (a) do (f) i članka 455. stavaka 2. i 3. Uredbe (EU) br. 575/2013 kako je navedeno u dijelu 15. – „Objava tržišnog rizika” u Prilogu I.</w:t>
      </w:r>
    </w:p>
    <w:p w:rsidR="000A5D79" w:rsidRPr="00A9066F" w:rsidRDefault="002A54DA" w:rsidP="002A54DA">
      <w:pPr>
        <w:pStyle w:val="ManualNumPar1"/>
        <w:rPr>
          <w:noProof/>
        </w:rPr>
      </w:pPr>
      <w:r w:rsidRPr="002A54DA">
        <w:rPr>
          <w:noProof/>
        </w:rPr>
        <w:t>2.</w:t>
      </w:r>
      <w:r w:rsidRPr="002A54DA">
        <w:rPr>
          <w:noProof/>
        </w:rPr>
        <w:tab/>
      </w:r>
      <w:r w:rsidR="000A5D79" w:rsidRPr="00A9066F">
        <w:rPr>
          <w:noProof/>
        </w:rPr>
        <w:t>Institucije su dužne do 31. prosinca 2025. objaviti informacije u skladu s člankom 15. Provedbene uredbe Komisije (EU) 2021/637</w:t>
      </w:r>
      <w:r w:rsidR="000A5D79" w:rsidRPr="00A9066F">
        <w:rPr>
          <w:rStyle w:val="FootnoteReference"/>
          <w:rFonts w:eastAsia="Times New Roman"/>
          <w:noProof/>
          <w:lang w:eastAsia="en-GB" w:bidi="en-GB"/>
        </w:rPr>
        <w:footnoteReference w:id="12"/>
      </w:r>
      <w:r w:rsidR="000A5D79" w:rsidRPr="00A9066F">
        <w:rPr>
          <w:noProof/>
        </w:rPr>
        <w:t>.</w:t>
      </w:r>
    </w:p>
    <w:p w:rsidR="000A5D79" w:rsidRPr="00A9066F" w:rsidRDefault="002A54DA" w:rsidP="002A54DA">
      <w:pPr>
        <w:pStyle w:val="ManualNumPar1"/>
        <w:rPr>
          <w:noProof/>
        </w:rPr>
      </w:pPr>
      <w:r w:rsidRPr="002A54DA">
        <w:rPr>
          <w:noProof/>
        </w:rPr>
        <w:t>3.</w:t>
      </w:r>
      <w:r w:rsidRPr="002A54DA">
        <w:rPr>
          <w:noProof/>
        </w:rPr>
        <w:tab/>
      </w:r>
      <w:r w:rsidR="000A5D79" w:rsidRPr="00A9066F">
        <w:rPr>
          <w:noProof/>
        </w:rPr>
        <w:t xml:space="preserve">Na prvi datum primjene alternativnih pristupa iz članka 325.az Uredbe (EU) br. 575/2013 institucije koje primjenjuju alternativni pristup internih modela za tržišni rizik objavljuju kvalitativne informacije iz članka 455. stavka 1. točaka (a) do (f) Uredbe (EU) br. 575/2013 zajedno s kvantitativnim informacijama iz članka 455. stavka 2. te uredbe. </w:t>
      </w:r>
    </w:p>
    <w:p w:rsidR="000A5D79" w:rsidRPr="00A9066F" w:rsidRDefault="000A5D79" w:rsidP="00813A48">
      <w:pPr>
        <w:pStyle w:val="Titrearticle"/>
        <w:spacing w:before="120"/>
        <w:rPr>
          <w:noProof/>
        </w:rPr>
      </w:pPr>
      <w:r w:rsidRPr="00A9066F">
        <w:rPr>
          <w:noProof/>
        </w:rPr>
        <w:t>Članak 17.</w:t>
      </w:r>
    </w:p>
    <w:p w:rsidR="000A5D79" w:rsidRPr="00A9066F" w:rsidRDefault="000A5D79" w:rsidP="00813A48">
      <w:pPr>
        <w:pStyle w:val="Titrearticle"/>
        <w:spacing w:before="120"/>
        <w:rPr>
          <w:b/>
          <w:i w:val="0"/>
          <w:noProof/>
        </w:rPr>
      </w:pPr>
      <w:r w:rsidRPr="00A9066F">
        <w:rPr>
          <w:b/>
          <w:i w:val="0"/>
          <w:noProof/>
        </w:rPr>
        <w:t>Objava rizika prilagodbe kreditnom vrednovanju</w:t>
      </w:r>
    </w:p>
    <w:p w:rsidR="000A5D79" w:rsidRPr="00A9066F" w:rsidRDefault="000A5D79" w:rsidP="00905855">
      <w:pPr>
        <w:rPr>
          <w:noProof/>
        </w:rPr>
      </w:pPr>
      <w:r w:rsidRPr="00A9066F">
        <w:rPr>
          <w:noProof/>
        </w:rPr>
        <w:t>Institucije objavljuju informacije iz članka 438. točaka (d) i (h), članka 439. točke (h) i članka 445.a Uredbe (EU) br. 575/2013 kako je navedeno u dijelu 16. – „Objava prilagodbe kreditnom vrednovanju” u Prilogu I.</w:t>
      </w:r>
    </w:p>
    <w:p w:rsidR="000A5D79" w:rsidRPr="00A9066F" w:rsidRDefault="000A5D79" w:rsidP="000A5D79">
      <w:pPr>
        <w:pStyle w:val="Titrearticle"/>
        <w:rPr>
          <w:noProof/>
        </w:rPr>
      </w:pPr>
      <w:r w:rsidRPr="00A9066F">
        <w:rPr>
          <w:noProof/>
        </w:rPr>
        <w:t>Članak 18.</w:t>
      </w:r>
    </w:p>
    <w:p w:rsidR="000A5D79" w:rsidRPr="00A9066F" w:rsidRDefault="000A5D79" w:rsidP="000A5D79">
      <w:pPr>
        <w:pStyle w:val="Titrearticle"/>
        <w:spacing w:before="120"/>
        <w:rPr>
          <w:b/>
          <w:i w:val="0"/>
          <w:noProof/>
        </w:rPr>
      </w:pPr>
      <w:r w:rsidRPr="00A9066F">
        <w:rPr>
          <w:b/>
          <w:i w:val="0"/>
          <w:noProof/>
        </w:rPr>
        <w:t xml:space="preserve">Objava operativnog rizika </w:t>
      </w:r>
    </w:p>
    <w:p w:rsidR="000A5D79" w:rsidRPr="00A9066F" w:rsidRDefault="000A5D79" w:rsidP="000A5D79">
      <w:pPr>
        <w:rPr>
          <w:noProof/>
        </w:rPr>
      </w:pPr>
      <w:r w:rsidRPr="00A9066F">
        <w:rPr>
          <w:noProof/>
        </w:rPr>
        <w:t>Institucije objavljuju informacije iz članka 435., članka 438. točke (d) i članka 446. Uredbe (EU) br. 575/2013 kako je navedeno u dijelu 17. – „Objava operativnog rizika” u Prilogu I.</w:t>
      </w:r>
    </w:p>
    <w:p w:rsidR="000A5D79" w:rsidRPr="00A9066F" w:rsidRDefault="000A5D79" w:rsidP="000A5D79">
      <w:pPr>
        <w:pStyle w:val="Titrearticle"/>
        <w:rPr>
          <w:noProof/>
        </w:rPr>
      </w:pPr>
      <w:r w:rsidRPr="00A9066F">
        <w:rPr>
          <w:noProof/>
        </w:rPr>
        <w:t xml:space="preserve">Članak 19. </w:t>
      </w:r>
    </w:p>
    <w:p w:rsidR="000A5D79" w:rsidRPr="00A9066F" w:rsidRDefault="000A5D79" w:rsidP="000A5D79">
      <w:pPr>
        <w:pStyle w:val="Titrearticle"/>
        <w:spacing w:before="120"/>
        <w:rPr>
          <w:b/>
          <w:i w:val="0"/>
          <w:noProof/>
        </w:rPr>
      </w:pPr>
      <w:r w:rsidRPr="00A9066F">
        <w:rPr>
          <w:b/>
          <w:i w:val="0"/>
          <w:noProof/>
        </w:rPr>
        <w:t>Objava izloženosti kamatnom riziku za pozicije koje se ne drže u knjizi trgovanja</w:t>
      </w:r>
    </w:p>
    <w:p w:rsidR="000A5D79" w:rsidRPr="00A9066F" w:rsidRDefault="002A54DA" w:rsidP="002A54DA">
      <w:pPr>
        <w:pStyle w:val="ManualNumPar1"/>
        <w:rPr>
          <w:noProof/>
        </w:rPr>
      </w:pPr>
      <w:r w:rsidRPr="002A54DA">
        <w:rPr>
          <w:noProof/>
        </w:rPr>
        <w:t>1.</w:t>
      </w:r>
      <w:r w:rsidRPr="002A54DA">
        <w:rPr>
          <w:noProof/>
        </w:rPr>
        <w:tab/>
      </w:r>
      <w:r w:rsidR="000A5D79" w:rsidRPr="00A9066F">
        <w:rPr>
          <w:noProof/>
        </w:rPr>
        <w:t xml:space="preserve">Institucije objavljuju informacije iz članka 448. stavka 1. točaka od (a) do (g) Uredbe (EU) br. 575/2013 kako je navedeno u dijelu 18. – „Objava kamatnog rizika za pozicije koje se ne drže u knjizi trgovanja” u Prilogu I. </w:t>
      </w:r>
    </w:p>
    <w:p w:rsidR="000A5D79" w:rsidRPr="00A9066F" w:rsidRDefault="002A54DA" w:rsidP="002A54DA">
      <w:pPr>
        <w:pStyle w:val="ManualNumPar1"/>
        <w:rPr>
          <w:noProof/>
        </w:rPr>
      </w:pPr>
      <w:r w:rsidRPr="002A54DA">
        <w:rPr>
          <w:noProof/>
        </w:rPr>
        <w:t>2.</w:t>
      </w:r>
      <w:r w:rsidRPr="002A54DA">
        <w:rPr>
          <w:noProof/>
        </w:rPr>
        <w:tab/>
      </w:r>
      <w:r w:rsidR="00725C62" w:rsidRPr="00A9066F">
        <w:rPr>
          <w:noProof/>
        </w:rPr>
        <w:t>Institucije koje prvi put objavljuju informacije u skladu sa stavkom 1. nisu dužne objaviti informacije koje se odnose na prethodni referentni datum.</w:t>
      </w:r>
    </w:p>
    <w:p w:rsidR="000A5D79" w:rsidRPr="00A9066F" w:rsidRDefault="000A5D79" w:rsidP="00813A48">
      <w:pPr>
        <w:pStyle w:val="Titrearticle"/>
        <w:rPr>
          <w:noProof/>
        </w:rPr>
      </w:pPr>
      <w:r w:rsidRPr="00A9066F">
        <w:rPr>
          <w:noProof/>
        </w:rPr>
        <w:t>Članak 20.</w:t>
      </w:r>
    </w:p>
    <w:p w:rsidR="000A5D79" w:rsidRPr="00A9066F" w:rsidRDefault="000A5D79" w:rsidP="000A5D79">
      <w:pPr>
        <w:pStyle w:val="Titrearticle"/>
        <w:spacing w:before="120"/>
        <w:rPr>
          <w:b/>
          <w:i w:val="0"/>
          <w:noProof/>
        </w:rPr>
      </w:pPr>
      <w:r w:rsidRPr="00A9066F">
        <w:rPr>
          <w:b/>
          <w:i w:val="0"/>
          <w:noProof/>
        </w:rPr>
        <w:t>Objava politike primitaka</w:t>
      </w:r>
    </w:p>
    <w:p w:rsidR="000A5D79" w:rsidRPr="00A9066F" w:rsidRDefault="000A5D79" w:rsidP="00905855">
      <w:pPr>
        <w:rPr>
          <w:i/>
          <w:noProof/>
        </w:rPr>
      </w:pPr>
      <w:r w:rsidRPr="00A9066F">
        <w:rPr>
          <w:noProof/>
        </w:rPr>
        <w:t xml:space="preserve">Institucije objavljuju informacije iz članka 450. Uredbe (EU) br. 575/2013 kako je navedeno u dijelu 19. – „Objava politike primitaka” u Prilogu I. </w:t>
      </w:r>
    </w:p>
    <w:p w:rsidR="000A5D79" w:rsidRPr="00A9066F" w:rsidRDefault="000A5D79" w:rsidP="00115B95">
      <w:pPr>
        <w:pStyle w:val="Titrearticle"/>
        <w:rPr>
          <w:noProof/>
        </w:rPr>
      </w:pPr>
      <w:r w:rsidRPr="00A9066F">
        <w:rPr>
          <w:noProof/>
        </w:rPr>
        <w:t>Članak 21.</w:t>
      </w:r>
    </w:p>
    <w:p w:rsidR="000A5D79" w:rsidRPr="00A9066F" w:rsidRDefault="000A5D79" w:rsidP="000A5D79">
      <w:pPr>
        <w:pStyle w:val="Titrearticle"/>
        <w:spacing w:before="120"/>
        <w:rPr>
          <w:b/>
          <w:i w:val="0"/>
          <w:noProof/>
        </w:rPr>
      </w:pPr>
      <w:r w:rsidRPr="00A9066F">
        <w:rPr>
          <w:b/>
          <w:i w:val="0"/>
          <w:noProof/>
        </w:rPr>
        <w:t xml:space="preserve">Objava opterećene i neopterećene imovine </w:t>
      </w:r>
    </w:p>
    <w:p w:rsidR="000A5D79" w:rsidRPr="00A9066F" w:rsidRDefault="000A5D79" w:rsidP="00905855">
      <w:pPr>
        <w:rPr>
          <w:noProof/>
        </w:rPr>
      </w:pPr>
      <w:r w:rsidRPr="00A9066F">
        <w:rPr>
          <w:noProof/>
        </w:rPr>
        <w:t xml:space="preserve">Institucije objavljuju informacije iz članka 443. Uredbe (EU) br. 575/2013 kako je navedeno u dijelu 20. – „Objava opterećene i neopterećene imovine” u Prilogu I. </w:t>
      </w:r>
    </w:p>
    <w:p w:rsidR="000A5D79" w:rsidRPr="00A9066F" w:rsidRDefault="000A5D79" w:rsidP="00115B95">
      <w:pPr>
        <w:pStyle w:val="Titrearticle"/>
        <w:rPr>
          <w:noProof/>
        </w:rPr>
      </w:pPr>
      <w:r w:rsidRPr="00A9066F">
        <w:rPr>
          <w:noProof/>
        </w:rPr>
        <w:t xml:space="preserve">Članak 22. </w:t>
      </w:r>
    </w:p>
    <w:p w:rsidR="000A5D79" w:rsidRPr="00A9066F" w:rsidRDefault="000A5D79" w:rsidP="000A5D79">
      <w:pPr>
        <w:pStyle w:val="Titrearticle"/>
        <w:spacing w:before="120"/>
        <w:rPr>
          <w:b/>
          <w:i w:val="0"/>
          <w:noProof/>
        </w:rPr>
      </w:pPr>
      <w:r w:rsidRPr="00A9066F">
        <w:rPr>
          <w:b/>
          <w:i w:val="0"/>
          <w:noProof/>
        </w:rPr>
        <w:t xml:space="preserve">Objava </w:t>
      </w:r>
      <w:bookmarkStart w:id="6" w:name="_Hlk163229421"/>
      <w:r w:rsidRPr="00A9066F">
        <w:rPr>
          <w:b/>
          <w:i w:val="0"/>
          <w:noProof/>
        </w:rPr>
        <w:t xml:space="preserve">informacija o okolišnim, društvenim i upravljačkim rizicima </w:t>
      </w:r>
      <w:bookmarkEnd w:id="6"/>
      <w:r w:rsidRPr="00A9066F">
        <w:rPr>
          <w:b/>
          <w:i w:val="0"/>
          <w:noProof/>
        </w:rPr>
        <w:t>(ESG rizici)</w:t>
      </w:r>
    </w:p>
    <w:p w:rsidR="000A5D79" w:rsidRPr="00A9066F" w:rsidRDefault="002A54DA" w:rsidP="002A54DA">
      <w:pPr>
        <w:pStyle w:val="ManualNumPar1"/>
        <w:rPr>
          <w:noProof/>
        </w:rPr>
      </w:pPr>
      <w:r w:rsidRPr="002A54DA">
        <w:rPr>
          <w:noProof/>
        </w:rPr>
        <w:t>1.</w:t>
      </w:r>
      <w:r w:rsidRPr="002A54DA">
        <w:rPr>
          <w:noProof/>
        </w:rPr>
        <w:tab/>
      </w:r>
      <w:r w:rsidR="000A5D79" w:rsidRPr="00A9066F">
        <w:rPr>
          <w:noProof/>
        </w:rPr>
        <w:t>Institucije objavljuju informacije iz članka 449.a Uredbe (EU) br. 575/2013 kako je navedeno u dijelu 21. – „Objava bonitetnih objava o ESG rizicima” u Prilogu I. Te informacije obuhvaćaju sve navedeno:</w:t>
      </w:r>
    </w:p>
    <w:p w:rsidR="000A5D79" w:rsidRPr="00A9066F" w:rsidRDefault="002A54DA" w:rsidP="002A54DA">
      <w:pPr>
        <w:pStyle w:val="Point1"/>
        <w:rPr>
          <w:noProof/>
        </w:rPr>
      </w:pPr>
      <w:r w:rsidRPr="002A54DA">
        <w:rPr>
          <w:noProof/>
        </w:rPr>
        <w:t>(a)</w:t>
      </w:r>
      <w:r w:rsidRPr="002A54DA">
        <w:rPr>
          <w:noProof/>
        </w:rPr>
        <w:tab/>
      </w:r>
      <w:r w:rsidR="000A5D79" w:rsidRPr="00A9066F">
        <w:rPr>
          <w:noProof/>
        </w:rPr>
        <w:t xml:space="preserve">kvalitativne informacije o okolišnim, društvenim i upravljačkim rizicima; </w:t>
      </w:r>
    </w:p>
    <w:p w:rsidR="000A5D79" w:rsidRPr="00A9066F" w:rsidRDefault="002A54DA" w:rsidP="002A54DA">
      <w:pPr>
        <w:pStyle w:val="Point1"/>
        <w:rPr>
          <w:noProof/>
        </w:rPr>
      </w:pPr>
      <w:r w:rsidRPr="002A54DA">
        <w:rPr>
          <w:noProof/>
        </w:rPr>
        <w:t>(b)</w:t>
      </w:r>
      <w:r w:rsidRPr="002A54DA">
        <w:rPr>
          <w:noProof/>
        </w:rPr>
        <w:tab/>
      </w:r>
      <w:r w:rsidR="000A5D79" w:rsidRPr="00A9066F">
        <w:rPr>
          <w:noProof/>
        </w:rPr>
        <w:t xml:space="preserve">kvantitativne informacije o tranzicijskom riziku klimatskih promjena; </w:t>
      </w:r>
    </w:p>
    <w:p w:rsidR="000A5D79" w:rsidRPr="00A9066F" w:rsidRDefault="002A54DA" w:rsidP="002A54DA">
      <w:pPr>
        <w:pStyle w:val="Point1"/>
        <w:rPr>
          <w:noProof/>
        </w:rPr>
      </w:pPr>
      <w:r w:rsidRPr="002A54DA">
        <w:rPr>
          <w:noProof/>
        </w:rPr>
        <w:t>(c)</w:t>
      </w:r>
      <w:r w:rsidRPr="002A54DA">
        <w:rPr>
          <w:noProof/>
        </w:rPr>
        <w:tab/>
      </w:r>
      <w:r w:rsidR="000A5D79" w:rsidRPr="00A9066F">
        <w:rPr>
          <w:noProof/>
        </w:rPr>
        <w:t xml:space="preserve">kvantitativne informacije o fizičkim rizicima klimatskih promjena; </w:t>
      </w:r>
    </w:p>
    <w:p w:rsidR="000A5D79" w:rsidRPr="00A9066F" w:rsidRDefault="002A54DA" w:rsidP="002A54DA">
      <w:pPr>
        <w:pStyle w:val="Point1"/>
        <w:rPr>
          <w:noProof/>
        </w:rPr>
      </w:pPr>
      <w:r w:rsidRPr="002A54DA">
        <w:rPr>
          <w:noProof/>
        </w:rPr>
        <w:t>(d)</w:t>
      </w:r>
      <w:r w:rsidRPr="002A54DA">
        <w:rPr>
          <w:noProof/>
        </w:rPr>
        <w:tab/>
      </w:r>
      <w:r w:rsidR="000A5D79" w:rsidRPr="00A9066F">
        <w:rPr>
          <w:noProof/>
        </w:rPr>
        <w:t>kvantitativne informacije o mjerama ublažavanja povezanima s ekonomskim djelatnostima koje se smatraju okolišno održivima na temelju članka 3. Uredbe (EU) 2020/852 Europskog parlamenta i Vijeća prema drugim ugovornim stranama na koje se primjenjuje članak 19.a ili članak 29.a Direktive 2013/34/EU, prema kućanstvima i prema tijelima lokalne samouprave, kako je navedeno u dijelu 1. točki 42. podtočki (b) Priloga V. Provedbenoj uredbi Komisije (EU) 2021/451</w:t>
      </w:r>
      <w:r w:rsidR="000A5D79" w:rsidRPr="00A9066F">
        <w:rPr>
          <w:rStyle w:val="FootnoteReference"/>
          <w:noProof/>
        </w:rPr>
        <w:footnoteReference w:id="13"/>
      </w:r>
      <w:r w:rsidR="000A5D79" w:rsidRPr="00A9066F">
        <w:rPr>
          <w:noProof/>
        </w:rPr>
        <w:t xml:space="preserve">; </w:t>
      </w:r>
    </w:p>
    <w:p w:rsidR="000A5D79" w:rsidRPr="00A9066F" w:rsidRDefault="002A54DA" w:rsidP="002A54DA">
      <w:pPr>
        <w:pStyle w:val="Point1"/>
        <w:rPr>
          <w:noProof/>
        </w:rPr>
      </w:pPr>
      <w:r w:rsidRPr="002A54DA">
        <w:rPr>
          <w:noProof/>
        </w:rPr>
        <w:t>(e)</w:t>
      </w:r>
      <w:r w:rsidRPr="002A54DA">
        <w:rPr>
          <w:noProof/>
        </w:rPr>
        <w:tab/>
      </w:r>
      <w:r w:rsidR="000A5D79" w:rsidRPr="00A9066F">
        <w:rPr>
          <w:noProof/>
        </w:rPr>
        <w:t xml:space="preserve">kvantitativne informacije o drugim mjerama ublažavanja i izloženostima rizicima klimatskih promjena koje se ne smatraju okolišno održivim ekonomskim djelatnostima na temelju članka 3. Uredbe (EU) 2020/852, ali kojima se druge ugovorne strane podupiru u procesu tranzicije ili prilagodbe s obzirom na ciljeve ublažavanja klimatskih promjena i prilagodbe klimatskim promjenama. </w:t>
      </w:r>
    </w:p>
    <w:p w:rsidR="000A5D79" w:rsidRPr="00A9066F" w:rsidRDefault="002A54DA" w:rsidP="002A54DA">
      <w:pPr>
        <w:pStyle w:val="ManualNumPar1"/>
        <w:rPr>
          <w:noProof/>
        </w:rPr>
      </w:pPr>
      <w:r w:rsidRPr="002A54DA">
        <w:rPr>
          <w:noProof/>
        </w:rPr>
        <w:t>2.</w:t>
      </w:r>
      <w:r w:rsidRPr="002A54DA">
        <w:rPr>
          <w:noProof/>
        </w:rPr>
        <w:tab/>
      </w:r>
      <w:r w:rsidR="000A5D79" w:rsidRPr="00A9066F">
        <w:rPr>
          <w:noProof/>
        </w:rPr>
        <w:t>Institucije mogu odlučiti objaviti kvantitativne informacije o mjerama ublažavanja i izloženostima rizicima klimatskih promjena povezanima s ekonomskim djelatnostima koje se smatraju okolišno održivima na temelju članka 3. Uredbe (EU) 2020/852 prema drugim ugovornim stranama koje su nefinancijska društva, na koje se ne primjenjuju obveze objavljivanja utvrđene u članku 19.a ili članku 29.a Direktive 2013/34/EU i na koje se ne primjenjuju obveze objavljivanja utvrđene u Provedbenoj uredbi Komisije (EU) 2021/2178</w:t>
      </w:r>
      <w:r w:rsidR="000A5D79" w:rsidRPr="00A9066F">
        <w:rPr>
          <w:rStyle w:val="FootnoteReference"/>
          <w:noProof/>
        </w:rPr>
        <w:footnoteReference w:id="14"/>
      </w:r>
      <w:r w:rsidR="000A5D79" w:rsidRPr="00A9066F">
        <w:rPr>
          <w:noProof/>
        </w:rPr>
        <w:t>.</w:t>
      </w:r>
    </w:p>
    <w:p w:rsidR="000A5D79" w:rsidRPr="00A9066F" w:rsidRDefault="000A5D79" w:rsidP="00204A69">
      <w:pPr>
        <w:pStyle w:val="Text1"/>
        <w:rPr>
          <w:noProof/>
        </w:rPr>
      </w:pPr>
      <w:r w:rsidRPr="00A9066F">
        <w:rPr>
          <w:noProof/>
        </w:rPr>
        <w:t xml:space="preserve">Za izračunavanje postotka izloženosti djelatnostima koje su u skladu sa zahtjevima iz članka 3. Uredbe (EU) 2020/852 (izloženosti usklađene s taksonomijom) prema tim drugim ugovornim stranama, institucije: </w:t>
      </w:r>
    </w:p>
    <w:p w:rsidR="000A5D79" w:rsidRPr="00A9066F" w:rsidRDefault="002A54DA" w:rsidP="002A54DA">
      <w:pPr>
        <w:pStyle w:val="Point1"/>
        <w:rPr>
          <w:noProof/>
        </w:rPr>
      </w:pPr>
      <w:r w:rsidRPr="002A54DA">
        <w:rPr>
          <w:noProof/>
        </w:rPr>
        <w:t>(a)</w:t>
      </w:r>
      <w:r w:rsidRPr="002A54DA">
        <w:rPr>
          <w:noProof/>
        </w:rPr>
        <w:tab/>
      </w:r>
      <w:r w:rsidR="000A5D79" w:rsidRPr="00A9066F">
        <w:rPr>
          <w:noProof/>
        </w:rPr>
        <w:t xml:space="preserve">mogu upotrijebiti, ako su dostupne, informacije dobivene od svojih drugih ugovornih strana na dobrovoljnoj i bilateralnoj osnovi u okviru postupka odobravanja kredita, redovnog pregleda kredita i postupka praćenja; </w:t>
      </w:r>
    </w:p>
    <w:p w:rsidR="000A5D79" w:rsidRPr="00A9066F" w:rsidRDefault="002A54DA" w:rsidP="002A54DA">
      <w:pPr>
        <w:pStyle w:val="Point1"/>
        <w:rPr>
          <w:noProof/>
        </w:rPr>
      </w:pPr>
      <w:r w:rsidRPr="002A54DA">
        <w:rPr>
          <w:noProof/>
        </w:rPr>
        <w:t>(b)</w:t>
      </w:r>
      <w:r w:rsidRPr="002A54DA">
        <w:rPr>
          <w:noProof/>
        </w:rPr>
        <w:tab/>
      </w:r>
      <w:r w:rsidR="000A5D79" w:rsidRPr="00A9066F">
        <w:rPr>
          <w:noProof/>
        </w:rPr>
        <w:t>ako druga ugovorna strana ne može ili nije voljna dostaviti predmetne podatke na bilateralnoj osnovi, mogu upotrijebiti interne procjene i zamjenske vrijednosti, a u opisu koji se prilaže obrascu objasniti u kojoj su mjeri korištene te interne procjene i zamjenske vrijednosti te o kojim je internim procjenama i zamjenskim vrijednostima riječ;</w:t>
      </w:r>
    </w:p>
    <w:p w:rsidR="000A5D79" w:rsidRPr="00A9066F" w:rsidRDefault="002A54DA" w:rsidP="002A54DA">
      <w:pPr>
        <w:pStyle w:val="Point1"/>
        <w:rPr>
          <w:noProof/>
        </w:rPr>
      </w:pPr>
      <w:r w:rsidRPr="002A54DA">
        <w:rPr>
          <w:noProof/>
        </w:rPr>
        <w:t>(c)</w:t>
      </w:r>
      <w:r w:rsidRPr="002A54DA">
        <w:rPr>
          <w:noProof/>
        </w:rPr>
        <w:tab/>
      </w:r>
      <w:r w:rsidR="000A5D79" w:rsidRPr="00A9066F">
        <w:rPr>
          <w:noProof/>
        </w:rPr>
        <w:t xml:space="preserve">ako ne mogu prikupiti predmetne informacije na bilateralnoj osnovi ili ne mogu upotrijebiti interne procjene i zamjenske vrijednosti ili ako ne mogu prikupiti te informacije niti upotrijebiti te procjene i zamjenske vrijednosti na način koji ne uzrokuje prekomjerno opterećenje za njih ili njihove druge ugovorne strane, to mogu objasniti u opisu koji se prilaže obrascu. </w:t>
      </w:r>
    </w:p>
    <w:p w:rsidR="000A5D79" w:rsidRPr="00A9066F" w:rsidRDefault="000A5D79" w:rsidP="00204A69">
      <w:pPr>
        <w:pStyle w:val="Text1"/>
        <w:rPr>
          <w:noProof/>
        </w:rPr>
      </w:pPr>
      <w:r w:rsidRPr="00A9066F">
        <w:rPr>
          <w:noProof/>
        </w:rPr>
        <w:t xml:space="preserve">Za potrebe točke (a) institucije obavješćuju svoje druge ugovorne strane da je pružanje takvih informacija dobrovoljno. </w:t>
      </w:r>
    </w:p>
    <w:p w:rsidR="000A5D79" w:rsidRPr="00A9066F" w:rsidRDefault="000A5D79" w:rsidP="00813A48">
      <w:pPr>
        <w:pStyle w:val="Titrearticle"/>
        <w:spacing w:before="120"/>
        <w:rPr>
          <w:noProof/>
        </w:rPr>
      </w:pPr>
      <w:r w:rsidRPr="00A9066F">
        <w:rPr>
          <w:noProof/>
        </w:rPr>
        <w:t>Članak 23.</w:t>
      </w:r>
    </w:p>
    <w:p w:rsidR="000A5D79" w:rsidRPr="00A9066F" w:rsidRDefault="00AB6551" w:rsidP="00813A48">
      <w:pPr>
        <w:pStyle w:val="Titrearticle"/>
        <w:spacing w:before="120"/>
        <w:rPr>
          <w:b/>
          <w:i w:val="0"/>
          <w:noProof/>
        </w:rPr>
      </w:pPr>
      <w:r w:rsidRPr="00A9066F">
        <w:rPr>
          <w:b/>
          <w:i w:val="0"/>
          <w:noProof/>
        </w:rPr>
        <w:t>Objava kriptoimovine</w:t>
      </w:r>
    </w:p>
    <w:p w:rsidR="000A5D79" w:rsidRPr="00A9066F" w:rsidRDefault="000A5D79" w:rsidP="00905855">
      <w:pPr>
        <w:rPr>
          <w:noProof/>
        </w:rPr>
      </w:pPr>
      <w:r w:rsidRPr="00A9066F">
        <w:rPr>
          <w:noProof/>
        </w:rPr>
        <w:t xml:space="preserve">Institucije objavljuju informacije za izračun regulatornog kapitala za izloženosti prema kriptoimovini </w:t>
      </w:r>
      <w:bookmarkStart w:id="7" w:name="_Hlk163582169"/>
      <w:r w:rsidRPr="00A9066F">
        <w:rPr>
          <w:noProof/>
        </w:rPr>
        <w:t xml:space="preserve">u skladu s člankom 501.d stavkom 2. </w:t>
      </w:r>
      <w:bookmarkEnd w:id="7"/>
      <w:r w:rsidRPr="00A9066F">
        <w:rPr>
          <w:noProof/>
        </w:rPr>
        <w:t>Uredbe (EU) br. 575/2013 kako je navedeno u dijelu 22. – „Objava izloženosti prema kriptoimovini” u Prilogu I.</w:t>
      </w:r>
    </w:p>
    <w:p w:rsidR="0066214E" w:rsidRPr="00A9066F" w:rsidRDefault="0066214E" w:rsidP="0066214E">
      <w:pPr>
        <w:spacing w:before="360"/>
        <w:jc w:val="center"/>
        <w:rPr>
          <w:i/>
          <w:iCs/>
          <w:noProof/>
        </w:rPr>
      </w:pPr>
      <w:r w:rsidRPr="00A9066F">
        <w:rPr>
          <w:i/>
          <w:noProof/>
        </w:rPr>
        <w:t>Članak 24.</w:t>
      </w:r>
    </w:p>
    <w:p w:rsidR="0066214E" w:rsidRPr="00A9066F" w:rsidRDefault="0066214E" w:rsidP="0066214E">
      <w:pPr>
        <w:jc w:val="center"/>
        <w:rPr>
          <w:b/>
          <w:bCs/>
          <w:noProof/>
        </w:rPr>
      </w:pPr>
      <w:r w:rsidRPr="00A9066F">
        <w:rPr>
          <w:b/>
          <w:noProof/>
        </w:rPr>
        <w:t xml:space="preserve">IT rješenja </w:t>
      </w:r>
    </w:p>
    <w:p w:rsidR="00344DF8" w:rsidRPr="00A9066F" w:rsidRDefault="006C550D" w:rsidP="00BB0B33">
      <w:pPr>
        <w:rPr>
          <w:noProof/>
        </w:rPr>
      </w:pPr>
      <w:r w:rsidRPr="00A9066F">
        <w:rPr>
          <w:noProof/>
        </w:rPr>
        <w:t xml:space="preserve">EBA osigurava da su IT rješenja, uključujući upute, koja su izrađena za objave propisane u poglavljima II. i III. Uredbe (EU) br. 575/2013, u svakom trenutku u skladu s jedinstvenim formatima za objavu utvrđenima u ovoj Uredbi te da uključuju sve podatke i informacije navedene u obrascima za objavu. </w:t>
      </w:r>
    </w:p>
    <w:p w:rsidR="00344DF8" w:rsidRPr="00A9066F" w:rsidRDefault="00344DF8" w:rsidP="00BB0B33">
      <w:pPr>
        <w:rPr>
          <w:noProof/>
        </w:rPr>
      </w:pPr>
      <w:r w:rsidRPr="00A9066F">
        <w:rPr>
          <w:noProof/>
        </w:rPr>
        <w:t>EBA na svojim internetskim stranicama stavlja na raspolaganje IT rješenja iz prvog stavka i sve povezane upute. EBA ta IT rješenja i upute ažurira i stavlja na raspolaganje na svim službenim jezicima.</w:t>
      </w:r>
    </w:p>
    <w:p w:rsidR="000A5D79" w:rsidRPr="00A9066F" w:rsidRDefault="000A5D79" w:rsidP="000A5D79">
      <w:pPr>
        <w:pStyle w:val="Titrearticle"/>
        <w:rPr>
          <w:noProof/>
        </w:rPr>
      </w:pPr>
      <w:r w:rsidRPr="00A9066F">
        <w:rPr>
          <w:noProof/>
        </w:rPr>
        <w:t>Članak 25.</w:t>
      </w:r>
    </w:p>
    <w:p w:rsidR="000A5D79" w:rsidRPr="00A9066F" w:rsidRDefault="000A5D79" w:rsidP="000A5D79">
      <w:pPr>
        <w:pStyle w:val="Titrearticle"/>
        <w:spacing w:before="120"/>
        <w:rPr>
          <w:b/>
          <w:i w:val="0"/>
          <w:noProof/>
        </w:rPr>
      </w:pPr>
      <w:r w:rsidRPr="00A9066F">
        <w:rPr>
          <w:b/>
          <w:i w:val="0"/>
          <w:noProof/>
        </w:rPr>
        <w:t>Opće odredbe o jedinstvenim formatima za objavu</w:t>
      </w:r>
    </w:p>
    <w:p w:rsidR="000A5D79" w:rsidRPr="00A9066F" w:rsidRDefault="002A54DA" w:rsidP="002A54DA">
      <w:pPr>
        <w:pStyle w:val="ManualNumPar1"/>
        <w:rPr>
          <w:noProof/>
        </w:rPr>
      </w:pPr>
      <w:r w:rsidRPr="002A54DA">
        <w:rPr>
          <w:noProof/>
        </w:rPr>
        <w:t>1.</w:t>
      </w:r>
      <w:r w:rsidRPr="002A54DA">
        <w:rPr>
          <w:noProof/>
        </w:rPr>
        <w:tab/>
      </w:r>
      <w:r w:rsidR="000A5D79" w:rsidRPr="00A9066F">
        <w:rPr>
          <w:noProof/>
        </w:rPr>
        <w:t xml:space="preserve">Označivanje redaka ili stupaca u </w:t>
      </w:r>
      <w:r w:rsidR="000A5D79" w:rsidRPr="00A9066F">
        <w:rPr>
          <w:noProof/>
          <w:color w:val="000000"/>
        </w:rPr>
        <w:t xml:space="preserve">jedinstvenim formatima za objavu iz Priloga I. koji su uvršteni </w:t>
      </w:r>
      <w:r w:rsidR="000A5D79" w:rsidRPr="00A9066F">
        <w:rPr>
          <w:noProof/>
        </w:rPr>
        <w:t>u IT rješenja koja je izradila EBA ne mijenja se ako institucija izostavi objavu jedne ili više informacija u skladu s člankom 432. Uredbe (EU) br. 575/2013.</w:t>
      </w:r>
    </w:p>
    <w:p w:rsidR="000A5D79" w:rsidRPr="00A9066F" w:rsidRDefault="002A54DA" w:rsidP="002A54DA">
      <w:pPr>
        <w:pStyle w:val="ManualNumPar1"/>
        <w:rPr>
          <w:noProof/>
        </w:rPr>
      </w:pPr>
      <w:r w:rsidRPr="002A54DA">
        <w:rPr>
          <w:noProof/>
        </w:rPr>
        <w:t>2.</w:t>
      </w:r>
      <w:r w:rsidRPr="002A54DA">
        <w:rPr>
          <w:noProof/>
        </w:rPr>
        <w:tab/>
      </w:r>
      <w:r w:rsidR="000A5D79" w:rsidRPr="00A9066F">
        <w:rPr>
          <w:noProof/>
        </w:rPr>
        <w:t>Institucije u tekstu priloženom navedenom obrascu ili tablici, temeljenima na IT rješenju, jasno navode koji redci ili stupci nisu ispunjeni i razlog za izostavljanje objave.</w:t>
      </w:r>
    </w:p>
    <w:p w:rsidR="000A5D79" w:rsidRPr="00A9066F" w:rsidRDefault="002A54DA" w:rsidP="002A54DA">
      <w:pPr>
        <w:pStyle w:val="ManualNumPar1"/>
        <w:rPr>
          <w:noProof/>
        </w:rPr>
      </w:pPr>
      <w:r w:rsidRPr="002A54DA">
        <w:rPr>
          <w:noProof/>
        </w:rPr>
        <w:t>3.</w:t>
      </w:r>
      <w:r w:rsidRPr="002A54DA">
        <w:rPr>
          <w:noProof/>
        </w:rPr>
        <w:tab/>
      </w:r>
      <w:r w:rsidR="000A5D79" w:rsidRPr="00A9066F">
        <w:rPr>
          <w:noProof/>
        </w:rPr>
        <w:t>Informacije propisane člankom 431. Uredbe (EU) br. 575/2013 moraju biti jasne i sveobuhvatne kako bi njihovi korisnici razumjeli kvantitativne objave i prilažu se uz obrasce na koje se odnose.</w:t>
      </w:r>
    </w:p>
    <w:p w:rsidR="000A5D79" w:rsidRPr="00A9066F" w:rsidRDefault="002A54DA" w:rsidP="002A54DA">
      <w:pPr>
        <w:pStyle w:val="ManualNumPar1"/>
        <w:rPr>
          <w:noProof/>
        </w:rPr>
      </w:pPr>
      <w:r w:rsidRPr="002A54DA">
        <w:rPr>
          <w:noProof/>
        </w:rPr>
        <w:t>4.</w:t>
      </w:r>
      <w:r w:rsidRPr="002A54DA">
        <w:rPr>
          <w:noProof/>
        </w:rPr>
        <w:tab/>
      </w:r>
      <w:r w:rsidR="000A5D79" w:rsidRPr="00A9066F">
        <w:rPr>
          <w:noProof/>
        </w:rPr>
        <w:t>Numeričke vrijednosti iskazuju se kako slijedi:</w:t>
      </w:r>
    </w:p>
    <w:p w:rsidR="000A5D79" w:rsidRPr="00A9066F" w:rsidRDefault="002A54DA" w:rsidP="002A54DA">
      <w:pPr>
        <w:pStyle w:val="Point1"/>
        <w:rPr>
          <w:noProof/>
        </w:rPr>
      </w:pPr>
      <w:r w:rsidRPr="002A54DA">
        <w:rPr>
          <w:noProof/>
        </w:rPr>
        <w:t>(a)</w:t>
      </w:r>
      <w:r w:rsidRPr="002A54DA">
        <w:rPr>
          <w:noProof/>
        </w:rPr>
        <w:tab/>
      </w:r>
      <w:r w:rsidR="000A5D79" w:rsidRPr="00A9066F">
        <w:rPr>
          <w:noProof/>
        </w:rPr>
        <w:t>kvantitativni monetarni podaci objavljuju se minimalno na razini milijuna jedinica;</w:t>
      </w:r>
    </w:p>
    <w:p w:rsidR="000A5D79" w:rsidRPr="00A9066F" w:rsidRDefault="002A54DA" w:rsidP="002A54DA">
      <w:pPr>
        <w:pStyle w:val="Point1"/>
        <w:rPr>
          <w:noProof/>
        </w:rPr>
      </w:pPr>
      <w:r w:rsidRPr="002A54DA">
        <w:rPr>
          <w:noProof/>
        </w:rPr>
        <w:t>(a)</w:t>
      </w:r>
      <w:r w:rsidRPr="002A54DA">
        <w:rPr>
          <w:noProof/>
        </w:rPr>
        <w:tab/>
      </w:r>
      <w:r w:rsidR="000A5D79" w:rsidRPr="00A9066F">
        <w:rPr>
          <w:noProof/>
        </w:rPr>
        <w:t>kvantitativni podaci koji se objavljuju kao „postotak” iskazuju se po jedinici minimalno s četiri decimalna mjesta.</w:t>
      </w:r>
    </w:p>
    <w:p w:rsidR="000A5D79" w:rsidRPr="00A9066F" w:rsidRDefault="00757AA2" w:rsidP="00396A89">
      <w:pPr>
        <w:tabs>
          <w:tab w:val="left" w:pos="567"/>
        </w:tabs>
        <w:rPr>
          <w:noProof/>
        </w:rPr>
      </w:pPr>
      <w:r w:rsidRPr="00A9066F">
        <w:rPr>
          <w:noProof/>
        </w:rPr>
        <w:t>5.</w:t>
      </w:r>
      <w:r w:rsidRPr="00A9066F">
        <w:rPr>
          <w:noProof/>
        </w:rPr>
        <w:tab/>
        <w:t>Institucije navode i sljedeće informacije:</w:t>
      </w:r>
    </w:p>
    <w:p w:rsidR="000A5D79" w:rsidRPr="00A9066F" w:rsidRDefault="002A54DA" w:rsidP="002A54DA">
      <w:pPr>
        <w:pStyle w:val="Point1"/>
        <w:rPr>
          <w:noProof/>
        </w:rPr>
      </w:pPr>
      <w:r w:rsidRPr="002A54DA">
        <w:rPr>
          <w:noProof/>
        </w:rPr>
        <w:t>(a)</w:t>
      </w:r>
      <w:r w:rsidRPr="002A54DA">
        <w:rPr>
          <w:noProof/>
        </w:rPr>
        <w:tab/>
      </w:r>
      <w:r w:rsidR="000A5D79" w:rsidRPr="00A9066F">
        <w:rPr>
          <w:noProof/>
        </w:rPr>
        <w:t xml:space="preserve">referentni datum i referentno razdoblje objave; </w:t>
      </w:r>
    </w:p>
    <w:p w:rsidR="000A5D79" w:rsidRPr="00A9066F" w:rsidRDefault="002A54DA" w:rsidP="002A54DA">
      <w:pPr>
        <w:pStyle w:val="Point1"/>
        <w:rPr>
          <w:noProof/>
        </w:rPr>
      </w:pPr>
      <w:r w:rsidRPr="002A54DA">
        <w:rPr>
          <w:noProof/>
        </w:rPr>
        <w:t>(b)</w:t>
      </w:r>
      <w:r w:rsidRPr="002A54DA">
        <w:rPr>
          <w:noProof/>
        </w:rPr>
        <w:tab/>
      </w:r>
      <w:r w:rsidR="000A5D79" w:rsidRPr="00A9066F">
        <w:rPr>
          <w:noProof/>
        </w:rPr>
        <w:t xml:space="preserve">valutu izvješćivanja; </w:t>
      </w:r>
    </w:p>
    <w:p w:rsidR="000A5D79" w:rsidRPr="00A9066F" w:rsidRDefault="002A54DA" w:rsidP="002A54DA">
      <w:pPr>
        <w:pStyle w:val="Point1"/>
        <w:rPr>
          <w:noProof/>
        </w:rPr>
      </w:pPr>
      <w:r w:rsidRPr="002A54DA">
        <w:rPr>
          <w:noProof/>
        </w:rPr>
        <w:t>(c)</w:t>
      </w:r>
      <w:r w:rsidRPr="002A54DA">
        <w:rPr>
          <w:noProof/>
        </w:rPr>
        <w:tab/>
      </w:r>
      <w:r w:rsidR="000A5D79" w:rsidRPr="00A9066F">
        <w:rPr>
          <w:noProof/>
        </w:rPr>
        <w:t>ime i, prema potrebi, identifikacijsku oznaku pravnog subjekta (LEI) institucije koja objavljuje podatke;</w:t>
      </w:r>
    </w:p>
    <w:p w:rsidR="000A5D79" w:rsidRPr="00A9066F" w:rsidRDefault="002A54DA" w:rsidP="002A54DA">
      <w:pPr>
        <w:pStyle w:val="Point1"/>
        <w:rPr>
          <w:noProof/>
        </w:rPr>
      </w:pPr>
      <w:r w:rsidRPr="002A54DA">
        <w:rPr>
          <w:noProof/>
        </w:rPr>
        <w:t>(d)</w:t>
      </w:r>
      <w:r w:rsidRPr="002A54DA">
        <w:rPr>
          <w:noProof/>
        </w:rPr>
        <w:tab/>
      </w:r>
      <w:r w:rsidR="000A5D79" w:rsidRPr="00A9066F">
        <w:rPr>
          <w:noProof/>
        </w:rPr>
        <w:t>prema potrebi, primijenjeni računovodstveni standard;</w:t>
      </w:r>
    </w:p>
    <w:p w:rsidR="000A5D79" w:rsidRPr="00A9066F" w:rsidRDefault="002A54DA" w:rsidP="002A54DA">
      <w:pPr>
        <w:pStyle w:val="Point1"/>
        <w:rPr>
          <w:noProof/>
        </w:rPr>
      </w:pPr>
      <w:r w:rsidRPr="002A54DA">
        <w:rPr>
          <w:noProof/>
        </w:rPr>
        <w:t>(e)</w:t>
      </w:r>
      <w:r w:rsidRPr="002A54DA">
        <w:rPr>
          <w:noProof/>
        </w:rPr>
        <w:tab/>
      </w:r>
      <w:r w:rsidR="000A5D79" w:rsidRPr="00A9066F">
        <w:rPr>
          <w:noProof/>
        </w:rPr>
        <w:t>prema potrebi, opseg konsolidacije.</w:t>
      </w:r>
    </w:p>
    <w:p w:rsidR="007B2B7C" w:rsidRPr="00A9066F" w:rsidRDefault="007B2B7C" w:rsidP="007B2B7C">
      <w:pPr>
        <w:pStyle w:val="Titrearticle"/>
        <w:rPr>
          <w:noProof/>
        </w:rPr>
      </w:pPr>
      <w:r w:rsidRPr="00A9066F">
        <w:rPr>
          <w:noProof/>
        </w:rPr>
        <w:t>Članak 26.</w:t>
      </w:r>
    </w:p>
    <w:p w:rsidR="00AC044E" w:rsidRPr="00A9066F" w:rsidRDefault="00AC044E" w:rsidP="00CA4079">
      <w:pPr>
        <w:pStyle w:val="Titrearticle"/>
        <w:spacing w:before="120"/>
        <w:rPr>
          <w:b/>
          <w:noProof/>
        </w:rPr>
      </w:pPr>
      <w:r w:rsidRPr="00A9066F">
        <w:rPr>
          <w:b/>
          <w:i w:val="0"/>
          <w:noProof/>
        </w:rPr>
        <w:t>Razdoblje objave i učestalost</w:t>
      </w:r>
    </w:p>
    <w:p w:rsidR="00970F90" w:rsidRPr="00A9066F" w:rsidRDefault="002A54DA" w:rsidP="002A54DA">
      <w:pPr>
        <w:pStyle w:val="ManualNumPar1"/>
        <w:rPr>
          <w:noProof/>
        </w:rPr>
      </w:pPr>
      <w:r w:rsidRPr="002A54DA">
        <w:rPr>
          <w:noProof/>
        </w:rPr>
        <w:t>1.</w:t>
      </w:r>
      <w:r w:rsidRPr="002A54DA">
        <w:rPr>
          <w:noProof/>
        </w:rPr>
        <w:tab/>
      </w:r>
      <w:r w:rsidR="00AC044E" w:rsidRPr="00A9066F">
        <w:rPr>
          <w:noProof/>
        </w:rPr>
        <w:t xml:space="preserve">Razdoblja objave definirana su kao tromjesečna razdoblja T, T-1, T-2, T-3 i T-4. </w:t>
      </w:r>
    </w:p>
    <w:p w:rsidR="00AC044E" w:rsidRPr="00A9066F" w:rsidRDefault="002A54DA" w:rsidP="002A54DA">
      <w:pPr>
        <w:pStyle w:val="ManualNumPar1"/>
        <w:rPr>
          <w:noProof/>
        </w:rPr>
      </w:pPr>
      <w:r w:rsidRPr="002A54DA">
        <w:rPr>
          <w:noProof/>
        </w:rPr>
        <w:t>2.</w:t>
      </w:r>
      <w:r w:rsidRPr="002A54DA">
        <w:rPr>
          <w:noProof/>
        </w:rPr>
        <w:tab/>
      </w:r>
      <w:r w:rsidR="00D234F9" w:rsidRPr="00A9066F">
        <w:rPr>
          <w:noProof/>
        </w:rPr>
        <w:t xml:space="preserve">Redci ili stupci u </w:t>
      </w:r>
      <w:r w:rsidR="00D234F9" w:rsidRPr="00A9066F">
        <w:rPr>
          <w:noProof/>
          <w:color w:val="000000"/>
        </w:rPr>
        <w:t>jedinstvenim formatima za objavu iz Priloga I. koji su uključeni u</w:t>
      </w:r>
      <w:r w:rsidR="00D234F9" w:rsidRPr="00A9066F">
        <w:rPr>
          <w:noProof/>
        </w:rPr>
        <w:t xml:space="preserve"> IT rješenja koja je izradila EBA ispunjavaju se u skladu s učestalosti objave iz članaka 433.a, 433.b i 433.c Uredbe (EU) br. 575/2013. </w:t>
      </w:r>
    </w:p>
    <w:p w:rsidR="00AC044E" w:rsidRPr="00A9066F" w:rsidRDefault="002A54DA" w:rsidP="002A54DA">
      <w:pPr>
        <w:pStyle w:val="ManualNumPar1"/>
        <w:rPr>
          <w:noProof/>
        </w:rPr>
      </w:pPr>
      <w:r w:rsidRPr="002A54DA">
        <w:rPr>
          <w:noProof/>
        </w:rPr>
        <w:t>3.</w:t>
      </w:r>
      <w:r w:rsidRPr="002A54DA">
        <w:rPr>
          <w:noProof/>
        </w:rPr>
        <w:tab/>
      </w:r>
      <w:r w:rsidR="00AC044E" w:rsidRPr="00A9066F">
        <w:rPr>
          <w:noProof/>
        </w:rPr>
        <w:t xml:space="preserve">Institucije na koje se primjenjuje obveza objava objavljuju informacije sljedećom učestalošću: </w:t>
      </w:r>
    </w:p>
    <w:p w:rsidR="00AC044E" w:rsidRPr="00A9066F" w:rsidRDefault="002A54DA" w:rsidP="002A54DA">
      <w:pPr>
        <w:pStyle w:val="Point1"/>
        <w:rPr>
          <w:noProof/>
        </w:rPr>
      </w:pPr>
      <w:r w:rsidRPr="002A54DA">
        <w:rPr>
          <w:noProof/>
        </w:rPr>
        <w:t>(a)</w:t>
      </w:r>
      <w:r w:rsidRPr="002A54DA">
        <w:rPr>
          <w:noProof/>
        </w:rPr>
        <w:tab/>
      </w:r>
      <w:r w:rsidR="00AC044E" w:rsidRPr="00A9066F">
        <w:rPr>
          <w:noProof/>
        </w:rPr>
        <w:t xml:space="preserve">Institucije koje informacije sadržane u Prilogu I. objavljuju na tromjesečnoj osnovi iskazuju podatke za razdoblja T, T-1, T-2, T-3 i T-4; </w:t>
      </w:r>
    </w:p>
    <w:p w:rsidR="00AC044E" w:rsidRPr="00A9066F" w:rsidRDefault="002A54DA" w:rsidP="002A54DA">
      <w:pPr>
        <w:pStyle w:val="Point1"/>
        <w:rPr>
          <w:noProof/>
        </w:rPr>
      </w:pPr>
      <w:r w:rsidRPr="002A54DA">
        <w:rPr>
          <w:noProof/>
        </w:rPr>
        <w:t>(b)</w:t>
      </w:r>
      <w:r w:rsidRPr="002A54DA">
        <w:rPr>
          <w:noProof/>
        </w:rPr>
        <w:tab/>
      </w:r>
      <w:r w:rsidR="00AC044E" w:rsidRPr="00A9066F">
        <w:rPr>
          <w:noProof/>
        </w:rPr>
        <w:t xml:space="preserve">Institucije koje informacije sadržane u Prilogu I. objavljuju na polugodišnjoj osnovi iskazuju podatke za razdoblja T, T-2 i T-4; </w:t>
      </w:r>
    </w:p>
    <w:p w:rsidR="00AC044E" w:rsidRPr="00A9066F" w:rsidRDefault="002A54DA" w:rsidP="002A54DA">
      <w:pPr>
        <w:pStyle w:val="Point1"/>
        <w:rPr>
          <w:noProof/>
        </w:rPr>
      </w:pPr>
      <w:r w:rsidRPr="002A54DA">
        <w:rPr>
          <w:noProof/>
        </w:rPr>
        <w:t>(c)</w:t>
      </w:r>
      <w:r w:rsidRPr="002A54DA">
        <w:rPr>
          <w:noProof/>
        </w:rPr>
        <w:tab/>
      </w:r>
      <w:r w:rsidR="00AC044E" w:rsidRPr="00A9066F">
        <w:rPr>
          <w:noProof/>
        </w:rPr>
        <w:t>Institucije koje informacije sadržane u Prilogu I. objavljuju na godišnjoj osnovi iskazuju podatke za razdoblja T i T-4.</w:t>
      </w:r>
    </w:p>
    <w:p w:rsidR="00AC044E" w:rsidRPr="00A9066F" w:rsidRDefault="002A54DA" w:rsidP="002A54DA">
      <w:pPr>
        <w:pStyle w:val="ManualNumPar1"/>
        <w:rPr>
          <w:noProof/>
        </w:rPr>
      </w:pPr>
      <w:r w:rsidRPr="002A54DA">
        <w:rPr>
          <w:noProof/>
        </w:rPr>
        <w:t>4.</w:t>
      </w:r>
      <w:r w:rsidRPr="002A54DA">
        <w:rPr>
          <w:noProof/>
        </w:rPr>
        <w:tab/>
      </w:r>
      <w:r w:rsidR="00AC044E" w:rsidRPr="00A9066F">
        <w:rPr>
          <w:noProof/>
        </w:rPr>
        <w:t>Institucije objavljuju datume koji odgovaraju razdobljima objave.</w:t>
      </w:r>
    </w:p>
    <w:p w:rsidR="00AC044E" w:rsidRPr="00A9066F" w:rsidRDefault="002A54DA" w:rsidP="002A54DA">
      <w:pPr>
        <w:pStyle w:val="ManualNumPar1"/>
        <w:rPr>
          <w:noProof/>
        </w:rPr>
      </w:pPr>
      <w:r w:rsidRPr="002A54DA">
        <w:rPr>
          <w:noProof/>
        </w:rPr>
        <w:t>5.</w:t>
      </w:r>
      <w:r w:rsidRPr="002A54DA">
        <w:rPr>
          <w:noProof/>
        </w:rPr>
        <w:tab/>
      </w:r>
      <w:r w:rsidR="00AC044E" w:rsidRPr="00A9066F">
        <w:rPr>
          <w:noProof/>
        </w:rPr>
        <w:t>Podaci za prethodna razdoblja ne objavljuju se pri prvoj objavi podataka.</w:t>
      </w:r>
    </w:p>
    <w:p w:rsidR="000A5D79" w:rsidRPr="00A9066F" w:rsidRDefault="000A5D79" w:rsidP="000A5D79">
      <w:pPr>
        <w:pStyle w:val="Titrearticle"/>
        <w:rPr>
          <w:noProof/>
        </w:rPr>
      </w:pPr>
      <w:r w:rsidRPr="00A9066F">
        <w:rPr>
          <w:noProof/>
        </w:rPr>
        <w:t>Članak 27.</w:t>
      </w:r>
    </w:p>
    <w:p w:rsidR="000A5D79" w:rsidRPr="00A9066F" w:rsidRDefault="000A5D79" w:rsidP="000A5D79">
      <w:pPr>
        <w:pStyle w:val="Titrearticle"/>
        <w:spacing w:before="120"/>
        <w:rPr>
          <w:b/>
          <w:i w:val="0"/>
          <w:noProof/>
        </w:rPr>
      </w:pPr>
      <w:r w:rsidRPr="00A9066F">
        <w:rPr>
          <w:b/>
          <w:i w:val="0"/>
          <w:noProof/>
        </w:rPr>
        <w:t>Stavljanje izvan snage</w:t>
      </w:r>
    </w:p>
    <w:p w:rsidR="00B00045" w:rsidRPr="00A9066F" w:rsidRDefault="002A54DA" w:rsidP="002A54DA">
      <w:pPr>
        <w:pStyle w:val="ManualNumPar1"/>
        <w:rPr>
          <w:noProof/>
        </w:rPr>
      </w:pPr>
      <w:r w:rsidRPr="002A54DA">
        <w:rPr>
          <w:noProof/>
        </w:rPr>
        <w:t>1.</w:t>
      </w:r>
      <w:r w:rsidRPr="002A54DA">
        <w:rPr>
          <w:noProof/>
        </w:rPr>
        <w:tab/>
      </w:r>
      <w:r w:rsidR="000A5D79" w:rsidRPr="00A9066F">
        <w:rPr>
          <w:noProof/>
        </w:rPr>
        <w:t xml:space="preserve">Provedbena uredba (EU) 2021/637 prestaje se primjenjivati 1. siječnja 2025., osim članka 15. i priloga XXIX. i XXX. Članak 15. i prilozi XXIX. i XXX. Provedbenoj uredbi (EU) 2021/637 nastavljaju se primjenjivati do 31. prosinca 2025. samo za potrebe članka 16. ove Uredbe. </w:t>
      </w:r>
    </w:p>
    <w:p w:rsidR="00B00045" w:rsidRPr="00A9066F" w:rsidRDefault="002A54DA" w:rsidP="002A54DA">
      <w:pPr>
        <w:pStyle w:val="ManualNumPar1"/>
        <w:rPr>
          <w:noProof/>
        </w:rPr>
      </w:pPr>
      <w:r w:rsidRPr="002A54DA">
        <w:rPr>
          <w:noProof/>
        </w:rPr>
        <w:t>2.</w:t>
      </w:r>
      <w:r w:rsidRPr="002A54DA">
        <w:rPr>
          <w:noProof/>
        </w:rPr>
        <w:tab/>
      </w:r>
      <w:r w:rsidR="00D87C7D" w:rsidRPr="00A9066F">
        <w:rPr>
          <w:noProof/>
        </w:rPr>
        <w:t xml:space="preserve">Provedbena uredba (EU) 2021/637 stavlja se izvan snage s učinkom od 31. prosinca 2025. </w:t>
      </w:r>
    </w:p>
    <w:p w:rsidR="000A5D79" w:rsidRPr="00A9066F" w:rsidRDefault="002A54DA" w:rsidP="002A54DA">
      <w:pPr>
        <w:pStyle w:val="ManualNumPar1"/>
        <w:rPr>
          <w:noProof/>
        </w:rPr>
      </w:pPr>
      <w:r w:rsidRPr="002A54DA">
        <w:rPr>
          <w:noProof/>
        </w:rPr>
        <w:t>3.</w:t>
      </w:r>
      <w:r w:rsidRPr="002A54DA">
        <w:rPr>
          <w:noProof/>
        </w:rPr>
        <w:tab/>
      </w:r>
      <w:r w:rsidR="00056FFD" w:rsidRPr="00A9066F">
        <w:rPr>
          <w:noProof/>
        </w:rPr>
        <w:t>Upućivanja na uredbu stavljenu izvan snage smatraju se upućivanjima na ovu Uredbu i čitaju se u skladu s korelacijskom tablicom iz Priloga II.</w:t>
      </w:r>
    </w:p>
    <w:p w:rsidR="000A5D79" w:rsidRPr="00A9066F" w:rsidRDefault="000A5D79" w:rsidP="001F6539">
      <w:pPr>
        <w:pStyle w:val="Titrearticle"/>
        <w:rPr>
          <w:noProof/>
        </w:rPr>
      </w:pPr>
      <w:r w:rsidRPr="00A9066F">
        <w:rPr>
          <w:noProof/>
        </w:rPr>
        <w:t>Članak 28.</w:t>
      </w:r>
    </w:p>
    <w:p w:rsidR="000A5D79" w:rsidRPr="00A9066F" w:rsidRDefault="000A5D79" w:rsidP="000A5D79">
      <w:pPr>
        <w:pStyle w:val="Titrearticle"/>
        <w:spacing w:before="120"/>
        <w:rPr>
          <w:b/>
          <w:i w:val="0"/>
          <w:noProof/>
        </w:rPr>
      </w:pPr>
      <w:r w:rsidRPr="00A9066F">
        <w:rPr>
          <w:b/>
          <w:i w:val="0"/>
          <w:noProof/>
        </w:rPr>
        <w:t>Stupanje na snagu i primjena</w:t>
      </w:r>
    </w:p>
    <w:p w:rsidR="000A5D79" w:rsidRPr="00A9066F" w:rsidRDefault="000A5D79" w:rsidP="000A5D79">
      <w:pPr>
        <w:rPr>
          <w:noProof/>
        </w:rPr>
      </w:pPr>
      <w:r w:rsidRPr="00A9066F">
        <w:rPr>
          <w:noProof/>
        </w:rPr>
        <w:t xml:space="preserve">Ova Uredba stupa na snagu dvadesetog dana od dana objave u </w:t>
      </w:r>
      <w:r w:rsidRPr="00A9066F">
        <w:rPr>
          <w:i/>
          <w:noProof/>
        </w:rPr>
        <w:t>Službenom listu Europske unije.</w:t>
      </w:r>
    </w:p>
    <w:p w:rsidR="000A5D79" w:rsidRPr="00A9066F" w:rsidRDefault="000A5D79" w:rsidP="000A5D79">
      <w:pPr>
        <w:rPr>
          <w:noProof/>
        </w:rPr>
      </w:pPr>
      <w:r w:rsidRPr="00A9066F">
        <w:rPr>
          <w:noProof/>
        </w:rPr>
        <w:t xml:space="preserve">Primjenjuje se od 1. siječnja 2025. </w:t>
      </w:r>
    </w:p>
    <w:p w:rsidR="0050796F" w:rsidRPr="00A9066F" w:rsidRDefault="0050796F">
      <w:pPr>
        <w:pStyle w:val="Applicationdirecte"/>
        <w:rPr>
          <w:noProof/>
        </w:rPr>
      </w:pPr>
      <w:r w:rsidRPr="00A9066F">
        <w:rPr>
          <w:noProof/>
        </w:rPr>
        <w:t>Ova je Uredba u cijelosti obvezujuća i izravno se primjenjuje u svim državama članicama.</w:t>
      </w:r>
    </w:p>
    <w:p w:rsidR="0050796F" w:rsidRPr="00A9066F" w:rsidRDefault="006C1FAD" w:rsidP="00D42295">
      <w:pPr>
        <w:pStyle w:val="Fait"/>
        <w:rPr>
          <w:noProof/>
        </w:rPr>
      </w:pPr>
      <w:r>
        <w:rPr>
          <w:noProof/>
        </w:rPr>
        <w:t>Sastavljeno u Bruxellesu 29.11.2024.</w:t>
      </w:r>
    </w:p>
    <w:p w:rsidR="0050796F" w:rsidRPr="00A9066F" w:rsidRDefault="0050796F" w:rsidP="00D42295">
      <w:pPr>
        <w:pStyle w:val="Institutionquisigne"/>
        <w:rPr>
          <w:noProof/>
        </w:rPr>
      </w:pPr>
      <w:r w:rsidRPr="00A9066F">
        <w:rPr>
          <w:noProof/>
        </w:rPr>
        <w:tab/>
        <w:t>Za Komisiju</w:t>
      </w:r>
    </w:p>
    <w:p w:rsidR="0050796F" w:rsidRPr="00A9066F" w:rsidRDefault="005A3138" w:rsidP="0050796F">
      <w:pPr>
        <w:pStyle w:val="Personnequisigne"/>
        <w:rPr>
          <w:noProof/>
        </w:rPr>
      </w:pPr>
      <w:r>
        <w:rPr>
          <w:noProof/>
        </w:rPr>
        <w:tab/>
        <w:t>Predsjednica</w:t>
      </w:r>
      <w:r>
        <w:rPr>
          <w:noProof/>
        </w:rPr>
        <w:br/>
      </w:r>
      <w:r>
        <w:rPr>
          <w:noProof/>
        </w:rPr>
        <w:tab/>
        <w:t>Ursula VON DER LEYEN</w:t>
      </w:r>
    </w:p>
    <w:sectPr w:rsidR="0050796F" w:rsidRPr="00A9066F" w:rsidSect="002A3A02">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A02" w:rsidRPr="002A3A02" w:rsidRDefault="002A3A02" w:rsidP="002A3A02">
    <w:pPr>
      <w:pStyle w:val="Footer"/>
      <w:rPr>
        <w:rFonts w:ascii="Arial" w:hAnsi="Arial" w:cs="Arial"/>
        <w:b/>
        <w:sz w:val="48"/>
      </w:rPr>
    </w:pPr>
    <w:r w:rsidRPr="002A3A02">
      <w:rPr>
        <w:rFonts w:ascii="Arial" w:hAnsi="Arial" w:cs="Arial"/>
        <w:b/>
        <w:sz w:val="48"/>
      </w:rPr>
      <w:t>HR</w:t>
    </w:r>
    <w:r w:rsidRPr="002A3A02">
      <w:rPr>
        <w:rFonts w:ascii="Arial" w:hAnsi="Arial" w:cs="Arial"/>
        <w:b/>
        <w:sz w:val="48"/>
      </w:rPr>
      <w:tab/>
    </w:r>
    <w:r w:rsidRPr="002A3A02">
      <w:rPr>
        <w:rFonts w:ascii="Arial" w:hAnsi="Arial" w:cs="Arial"/>
        <w:b/>
        <w:sz w:val="48"/>
      </w:rPr>
      <w:tab/>
    </w:r>
    <w:r w:rsidRPr="002A3A02">
      <w:tab/>
    </w:r>
    <w:r w:rsidRPr="002A3A02">
      <w:rPr>
        <w:rFonts w:ascii="Arial" w:hAnsi="Arial" w:cs="Arial"/>
        <w:b/>
        <w:sz w:val="48"/>
      </w:rPr>
      <w:t>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A02" w:rsidRPr="002A3A02" w:rsidRDefault="002A3A02" w:rsidP="002A3A02">
    <w:pPr>
      <w:pStyle w:val="Footer"/>
      <w:rPr>
        <w:rFonts w:ascii="Arial" w:hAnsi="Arial" w:cs="Arial"/>
        <w:b/>
        <w:sz w:val="48"/>
      </w:rPr>
    </w:pPr>
    <w:r w:rsidRPr="002A3A02">
      <w:rPr>
        <w:rFonts w:ascii="Arial" w:hAnsi="Arial" w:cs="Arial"/>
        <w:b/>
        <w:sz w:val="48"/>
      </w:rPr>
      <w:t>HR</w:t>
    </w:r>
    <w:r w:rsidRPr="002A3A02">
      <w:rPr>
        <w:rFonts w:ascii="Arial" w:hAnsi="Arial" w:cs="Arial"/>
        <w:b/>
        <w:sz w:val="48"/>
      </w:rPr>
      <w:tab/>
    </w:r>
    <w:r w:rsidRPr="002A3A02">
      <w:rPr>
        <w:rFonts w:ascii="Arial" w:hAnsi="Arial" w:cs="Arial"/>
        <w:b/>
        <w:sz w:val="48"/>
      </w:rPr>
      <w:tab/>
    </w:r>
    <w:r w:rsidRPr="002A3A02">
      <w:tab/>
    </w:r>
    <w:r w:rsidRPr="002A3A02">
      <w:rPr>
        <w:rFonts w:ascii="Arial" w:hAnsi="Arial" w:cs="Arial"/>
        <w:b/>
        <w:sz w:val="48"/>
      </w:rPr>
      <w:t>HR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A02" w:rsidRDefault="002A3A0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A02" w:rsidRPr="002A3A02" w:rsidRDefault="002A3A02" w:rsidP="002A3A02">
    <w:pPr>
      <w:pStyle w:val="Footer"/>
      <w:rPr>
        <w:rFonts w:ascii="Arial" w:hAnsi="Arial" w:cs="Arial"/>
        <w:b/>
        <w:sz w:val="48"/>
      </w:rPr>
    </w:pPr>
    <w:r w:rsidRPr="002A3A02">
      <w:rPr>
        <w:rFonts w:ascii="Arial" w:hAnsi="Arial" w:cs="Arial"/>
        <w:b/>
        <w:sz w:val="48"/>
      </w:rPr>
      <w:t>HR</w:t>
    </w:r>
    <w:r w:rsidRPr="002A3A02">
      <w:rPr>
        <w:rFonts w:ascii="Arial" w:hAnsi="Arial" w:cs="Arial"/>
        <w:b/>
        <w:sz w:val="48"/>
      </w:rPr>
      <w:tab/>
    </w:r>
    <w:r>
      <w:fldChar w:fldCharType="begin"/>
    </w:r>
    <w:r>
      <w:instrText xml:space="preserve"> PAGE  \* MERGEFORMAT </w:instrText>
    </w:r>
    <w:r>
      <w:fldChar w:fldCharType="separate"/>
    </w:r>
    <w:r w:rsidR="00D42295">
      <w:rPr>
        <w:noProof/>
      </w:rPr>
      <w:t>12</w:t>
    </w:r>
    <w:r>
      <w:fldChar w:fldCharType="end"/>
    </w:r>
    <w:r>
      <w:tab/>
    </w:r>
    <w:r w:rsidRPr="002A3A02">
      <w:tab/>
    </w:r>
    <w:r w:rsidRPr="002A3A02">
      <w:rPr>
        <w:rFonts w:ascii="Arial" w:hAnsi="Arial" w:cs="Arial"/>
        <w:b/>
        <w:sz w:val="48"/>
      </w:rPr>
      <w:t>HR</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A02" w:rsidRDefault="002A3A02" w:rsidP="002A3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7A31CC" w:rsidRDefault="000A5D79" w:rsidP="00115B95">
      <w:pPr>
        <w:pStyle w:val="FootnoteText"/>
      </w:pPr>
      <w:r>
        <w:rPr>
          <w:rStyle w:val="FootnoteReference"/>
        </w:rPr>
        <w:footnoteRef/>
      </w:r>
      <w:r>
        <w:tab/>
        <w:t xml:space="preserve">SL L 176, 27.6.2013., str. 1., ELI: </w:t>
      </w:r>
      <w:hyperlink r:id="rId1" w:tooltip="ELI URI za pristup dokumentu." w:history="1">
        <w:r>
          <w:t>http://data.europa.eu/eli/reg/2013/575/oj</w:t>
        </w:r>
      </w:hyperlink>
      <w:r>
        <w:t>.</w:t>
      </w:r>
    </w:p>
  </w:footnote>
  <w:footnote w:id="3">
    <w:p w:rsidR="00021AB3" w:rsidRPr="00DA4EC3" w:rsidRDefault="00021AB3" w:rsidP="00021AB3">
      <w:pPr>
        <w:pStyle w:val="FootnoteText"/>
      </w:pPr>
      <w:r>
        <w:rPr>
          <w:rStyle w:val="FootnoteReference"/>
        </w:rPr>
        <w:footnoteRef/>
      </w:r>
      <w:r>
        <w:tab/>
        <w:t xml:space="preserve">Provedbena uredba Komisije (EU) 2021/637 od 15. ožujka 2021. o utvrđivanju provedbenih tehničkih standarda za institucije o javnoj objavi informacija iz dijela osmog glava II. i III. Uredbe (EU) br. 575/2013 Europskog parlamenta i Vijeća i stavljanju izvan snage Provedbene uredbe Komisije (EU) br. 1423/2013, Delegirane uredbe Komisije (EU) 2015/1555, Provedbene uredbe Komisije (EU) 2016/200 i Delegirane uredbe Komisije (EU) 2017/2295 (SL L 136, 21.4.2021., str. 1., ELI: </w:t>
      </w:r>
      <w:hyperlink r:id="rId2" w:history="1">
        <w:r>
          <w:rPr>
            <w:rStyle w:val="Hyperlink"/>
          </w:rPr>
          <w:t>http://data.europa.eu/eli/reg_impl/2021/637/oj</w:t>
        </w:r>
      </w:hyperlink>
      <w:r>
        <w:t>).</w:t>
      </w:r>
    </w:p>
  </w:footnote>
  <w:footnote w:id="4">
    <w:p w:rsidR="00021AB3" w:rsidRPr="00DA4EC3" w:rsidRDefault="00021AB3" w:rsidP="00021AB3">
      <w:pPr>
        <w:pStyle w:val="FootnoteText"/>
      </w:pPr>
      <w:r>
        <w:rPr>
          <w:rStyle w:val="FootnoteReference"/>
        </w:rPr>
        <w:footnoteRef/>
      </w:r>
      <w:r>
        <w:tab/>
        <w:t xml:space="preserve">Uredba (EU) 2024/1623 Europskog parlamenta i Vijeća od 31. svibnja 2024. o izmjeni Uredbe (EU) br. 575/2013 u pogledu zahtjeva za kreditni rizik, rizik prilagodbe kreditnom vrednovanju, operativni rizik, tržišni rizik i minimalnu donju granicu. (SL L 2024/1623, 19.6.2024., ELI: </w:t>
      </w:r>
      <w:hyperlink r:id="rId3" w:history="1">
        <w:r>
          <w:rPr>
            <w:rStyle w:val="Hyperlink"/>
          </w:rPr>
          <w:t>http://data.europa.eu/eli/reg/2024/1623/oj</w:t>
        </w:r>
      </w:hyperlink>
      <w:r>
        <w:t>).</w:t>
      </w:r>
    </w:p>
  </w:footnote>
  <w:footnote w:id="5">
    <w:p w:rsidR="008B3F27" w:rsidRPr="009A75BF" w:rsidRDefault="00BB0B33" w:rsidP="005269C8">
      <w:pPr>
        <w:pStyle w:val="FootnoteText"/>
      </w:pPr>
      <w:r>
        <w:rPr>
          <w:rStyle w:val="FootnoteReference"/>
        </w:rPr>
        <w:footnoteRef/>
      </w:r>
      <w:r>
        <w:tab/>
        <w:t xml:space="preserve">Direktiva 2013/36/EU Europskog parlamenta i Vijeća od 26. lipnja 2013. o pristupanju djelatnosti kreditnih institucija i bonitetnom nadzoru nad kreditnim institucijama i investicijskim društvima, izmjeni Direktive 2002/87/EZ te stavljanju izvan snage direktiva 2006/48/EZ i 2006/49/EZ, Tekst značajan za EGP (SL L 176, 27.6.2013., str. 338., ELI: http://data.europa.eu/eli/dir/2013/36/oj). </w:t>
      </w:r>
    </w:p>
  </w:footnote>
  <w:footnote w:id="6">
    <w:p w:rsidR="008E7046" w:rsidRPr="008E7046" w:rsidRDefault="008E7046">
      <w:pPr>
        <w:pStyle w:val="FootnoteText"/>
      </w:pPr>
      <w:r>
        <w:rPr>
          <w:rStyle w:val="FootnoteReference"/>
        </w:rPr>
        <w:footnoteRef/>
      </w:r>
      <w:r>
        <w:tab/>
        <w:t>Uredba (EU) 2020/852 Europskog parlamenta i Vijeća od 18. lipnja 2020. o uspostavi okvira za olakšavanje održivih ulaganja i izmjeni Uredbe (EU) 2019/2088, SL L 198, 22.6.2020., str. 13., ELI: http://data.europa.eu/eli/reg/2020/852/oj).</w:t>
      </w:r>
    </w:p>
  </w:footnote>
  <w:footnote w:id="7">
    <w:p w:rsidR="000A5D79" w:rsidRDefault="000A5D79" w:rsidP="00115B95">
      <w:pPr>
        <w:pStyle w:val="FootnoteText"/>
      </w:pPr>
      <w:r>
        <w:rPr>
          <w:rStyle w:val="FootnoteReference"/>
        </w:rPr>
        <w:footnoteRef/>
      </w:r>
      <w:r>
        <w:tab/>
        <w:t>Delegirana uredba Komisije (EU) 2020/1818 od 17. srpnja 2020. o dopuni Uredbe (EU) 2016/1011 Europskog parlamenta i Vijeća u pogledu minimalnih standarda za referentne vrijednosti EU-a za klimatsku tranziciju i referentne vrijednosti EU-a usklađene s Pariškim sporazumom (SL L 406, 3.12.2020., str. 17., ELI: http://data.europa.eu/eli/reg_del/2020/1818/oj).</w:t>
      </w:r>
    </w:p>
  </w:footnote>
  <w:footnote w:id="8">
    <w:p w:rsidR="000A5D79" w:rsidRDefault="000A5D79" w:rsidP="00115B95">
      <w:pPr>
        <w:pStyle w:val="FootnoteText"/>
      </w:pPr>
      <w:r>
        <w:rPr>
          <w:rStyle w:val="FootnoteReference"/>
        </w:rPr>
        <w:footnoteRef/>
      </w:r>
      <w:r>
        <w:tab/>
        <w:t>Direktiva 2010/31/EU Europskog parlamenta i Vijeća od 19. svibnja 2010. o energetskim svojstvima zgrada (preinaka) (SL L 153, 18.6.2010., str. 13., ELI: http://data.europa.eu/eli/dir/2010/31/oj).</w:t>
      </w:r>
    </w:p>
  </w:footnote>
  <w:footnote w:id="9">
    <w:p w:rsidR="000A5D79" w:rsidRDefault="000A5D79" w:rsidP="00115B95">
      <w:pPr>
        <w:pStyle w:val="FootnoteText"/>
      </w:pPr>
      <w:r>
        <w:rPr>
          <w:rStyle w:val="FootnoteReference"/>
        </w:rPr>
        <w:footnoteRef/>
      </w:r>
      <w:r>
        <w:tab/>
        <w:t>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 ELI: http://data.europa.eu/eli/dir/2013/34/oj).</w:t>
      </w:r>
    </w:p>
  </w:footnote>
  <w:footnote w:id="10">
    <w:p w:rsidR="000A5D79" w:rsidRPr="00587191" w:rsidRDefault="000A5D79" w:rsidP="00115B95">
      <w:pPr>
        <w:pStyle w:val="FootnoteText"/>
      </w:pPr>
      <w:r>
        <w:rPr>
          <w:rStyle w:val="FootnoteReference"/>
        </w:rPr>
        <w:footnoteRef/>
      </w:r>
      <w:r>
        <w:tab/>
        <w:t>Uredba (EU) br. 1093/2010 Europskog parlamenta i Vijeća od 24. studenog 2010. o osnivanju europskog nadzornog tijela (Europskog nadzornog tijela za bankarstvo), kojom se izmjenjuje Odluka br. 716/2009/EZ i stavlja izvan snage Odluka Komisije 2009/78/EZ (SL L 331, 15.12.2010., str. 12., ELI: http://data.europa.eu/eli/reg/2010/1093/oj).</w:t>
      </w:r>
    </w:p>
  </w:footnote>
  <w:footnote w:id="11">
    <w:p w:rsidR="004076A2" w:rsidRPr="004076A2" w:rsidRDefault="004076A2" w:rsidP="009A75BF">
      <w:pPr>
        <w:pStyle w:val="FootnoteText"/>
      </w:pPr>
      <w:r>
        <w:rPr>
          <w:rStyle w:val="FootnoteReference"/>
        </w:rPr>
        <w:footnoteRef/>
      </w:r>
      <w:r>
        <w:tab/>
        <w:t>Delegirana uredba Komisije (EU) br. 1222/2014 оd 8. listopada 2014. o dopuni Direktive 2013/36/EU Europskog parlamenta i Vijeća u odnosu na regulatorne tehničke standarde o pobližem određivanju metodologije za utvrđivanje globalnih sistemski važnih institucija i definiranje potkategorija globalnih sistemski važnih institucija (SL L 330, 15.11.2014., str. 27., ELI: http://data.europa.eu/eli/reg_del/2014/1222/oj).</w:t>
      </w:r>
    </w:p>
  </w:footnote>
  <w:footnote w:id="12">
    <w:p w:rsidR="000A5D79" w:rsidRPr="0010228D" w:rsidRDefault="000A5D79" w:rsidP="000A5D79">
      <w:pPr>
        <w:pStyle w:val="FootnoteText"/>
      </w:pPr>
      <w:r>
        <w:rPr>
          <w:rStyle w:val="FootnoteReference"/>
        </w:rPr>
        <w:footnoteRef/>
      </w:r>
      <w:r>
        <w:tab/>
      </w:r>
      <w:r>
        <w:rPr>
          <w:color w:val="333333"/>
          <w:shd w:val="clear" w:color="auto" w:fill="FFFFFF"/>
        </w:rPr>
        <w:t>Provedbena uredba Komisije (EU) 2022/2453 оd 30. studenog 2022. o izmjeni provedbenih tehničkih standarda utvrđenih u Provedbenoj uredbi (EU) 2021/637 u vezi s objavom okolišnih, društvenih i upravljačkih rizika (</w:t>
      </w:r>
      <w:r>
        <w:t>SL L 324, 19.12.2022., str. 1., ELI: </w:t>
      </w:r>
      <w:hyperlink r:id="rId4" w:tooltip="ELI URI za pristup dokumentu." w:history="1">
        <w:r>
          <w:t>http://data.europa.eu/eli/reg_impl/2022/2453/oj</w:t>
        </w:r>
      </w:hyperlink>
      <w:r>
        <w:t>).</w:t>
      </w:r>
    </w:p>
  </w:footnote>
  <w:footnote w:id="13">
    <w:p w:rsidR="000A5D79" w:rsidRDefault="000A5D79" w:rsidP="00115B95">
      <w:pPr>
        <w:pStyle w:val="FootnoteText"/>
      </w:pPr>
      <w:r>
        <w:rPr>
          <w:rStyle w:val="FootnoteReference"/>
        </w:rPr>
        <w:footnoteRef/>
      </w:r>
      <w:r>
        <w:tab/>
        <w:t>Provedbena uredba Komisije (EU) 2021/451 оd 17. prosinca 2020. o utvrđivanju provedbenih tehničkih standarda za primjenu Uredbe (EU) br. 575/2013 Europskog parlamenta i Vijeća u pogledu nadzornog izvješćivanja institucija i o stavljanju izvan snage Provedbene uredbe (EU) br. 680/2014 (SL L 97, 19.3.2021., str. 1., ELI: http://data.europa.eu/eli/reg_impl/2021/451/oj).</w:t>
      </w:r>
    </w:p>
  </w:footnote>
  <w:footnote w:id="14">
    <w:p w:rsidR="000A5D79" w:rsidRPr="00396A89" w:rsidRDefault="000A5D79" w:rsidP="009A75BF">
      <w:pPr>
        <w:pStyle w:val="FootnoteText"/>
      </w:pPr>
      <w:r>
        <w:rPr>
          <w:rStyle w:val="FootnoteReference"/>
        </w:rPr>
        <w:footnoteRef/>
      </w:r>
      <w:r>
        <w:tab/>
        <w:t>Delegirana uredba Komisije (EU) 2021/2178 od 6. srpnja 2021. o dopuni Uredbe (EU) 2020/852 Europskog parlamenta i Vijeća utvrđivanjem sadržaja i prikaza informacija o okolišno održivim ekonomskim djelatnostima koje objavljuju poduzeća na koja se primjenjuje članak 19.a ili članak 29.a Direktive 2013/34/EU i utvrđivanjem metodologije obveznog objavljivanja informacija (SL L 443, 10.12.2021., str. 9.,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A02" w:rsidRDefault="002A3A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A02" w:rsidRDefault="002A3A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6"/>
  </w:num>
  <w:num w:numId="9">
    <w:abstractNumId w:val="2"/>
  </w:num>
  <w:num w:numId="10">
    <w:abstractNumId w:val="1"/>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2"/>
  </w:num>
  <w:num w:numId="26">
    <w:abstractNumId w:val="21"/>
  </w:num>
  <w:num w:numId="27">
    <w:abstractNumId w:val="11"/>
  </w:num>
  <w:num w:numId="28">
    <w:abstractNumId w:val="13"/>
  </w:num>
  <w:num w:numId="29">
    <w:abstractNumId w:val="14"/>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49"/>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AF3D012F-EBC0-4024-A7F3-4DFB7B0020D8"/>
    <w:docVar w:name="LW_COVERPAGE_TYPE" w:val="1"/>
    <w:docVar w:name="LW_CROSSREFERENCE" w:val="&lt;UNUSED&gt;"/>
    <w:docVar w:name="LW_DATE.ADOPT.CP" w:val="\u1086?d 29.11.2024."/>
    <w:docVar w:name="LW_DATE.ADOPT.CP_DATEFORMAT" w:val="\u1086?d %DATE%"/>
    <w:docVar w:name="LW_DATE.ADOPT.CP_ISODATE" w:val="2024-11-29"/>
    <w:docVar w:name="LW_DocType" w:val="COM"/>
    <w:docVar w:name="LW_EMISSION" w:val="29.11.2024."/>
    <w:docVar w:name="LW_EMISSION_ISODATE" w:val="2024-11-29"/>
    <w:docVar w:name="LW_EMISSION_LOCATION" w:val="BRX"/>
    <w:docVar w:name="LW_EMISSION_PREFIX" w:val="Bruxelles, "/>
    <w:docVar w:name="LW_EMISSION_SUFFIX" w:val="&lt;EMPTY&gt;"/>
    <w:docVar w:name="LW_ID_DOCMODEL" w:val="SJ-004"/>
    <w:docVar w:name="LW_ID_DOCSIGNATURE" w:val="SJ-004"/>
    <w:docVar w:name="LW_ID_DOCSTRUCTURE" w:val="COM/AA"/>
    <w:docVar w:name="LW_ID_DOCTYPE" w:val="SJ-004"/>
    <w:docVar w:name="LW_INTERETEEE.CP" w:val="(Tekst zna\u269?ajan za EGP)"/>
    <w:docVar w:name="LW_LANGUE" w:val="HR"/>
    <w:docVar w:name="LW_LANGUESFAISANTFOI.CP" w:val="&lt;UNUSED&gt;"/>
    <w:docVar w:name="LW_LEVEL_OF_SENSITIVITY" w:val="Standard treatment"/>
    <w:docVar w:name="LW_NOM.INST" w:val="EUROPSKA KOMISIJA"/>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utvr\u273?ivanju provedbenih tehni\u269?kih standarda za primjenu Uredbe (EU) br. 575/2013 Europskog parlamenta i Vije\u263?a u pogledu informacija iz dijela osmog glava II. i III. te uredbe koje institucije javno objavljuju i stavljanju izvan snage Provedbene uredbe Komisije (EU) 2021/637"/>
    <w:docVar w:name="LW_TYPE.DOC.CP" w:val="PROVEDBENA UREDBA KOMISIJE (EU) \u8230?/..."/>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1AB3"/>
    <w:rsid w:val="00022D42"/>
    <w:rsid w:val="0002377C"/>
    <w:rsid w:val="00024BAD"/>
    <w:rsid w:val="000274F8"/>
    <w:rsid w:val="00027AF6"/>
    <w:rsid w:val="00033349"/>
    <w:rsid w:val="000362E8"/>
    <w:rsid w:val="00040ACA"/>
    <w:rsid w:val="00041E85"/>
    <w:rsid w:val="0004381D"/>
    <w:rsid w:val="00047A8E"/>
    <w:rsid w:val="00047D7A"/>
    <w:rsid w:val="00047FD5"/>
    <w:rsid w:val="00051490"/>
    <w:rsid w:val="00051509"/>
    <w:rsid w:val="00056FFD"/>
    <w:rsid w:val="000576D1"/>
    <w:rsid w:val="00060651"/>
    <w:rsid w:val="0006350A"/>
    <w:rsid w:val="00070B46"/>
    <w:rsid w:val="00070FC9"/>
    <w:rsid w:val="00073D27"/>
    <w:rsid w:val="00075B3F"/>
    <w:rsid w:val="00080DE1"/>
    <w:rsid w:val="000836B2"/>
    <w:rsid w:val="000876ED"/>
    <w:rsid w:val="00091E1F"/>
    <w:rsid w:val="00092E7E"/>
    <w:rsid w:val="00094BF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56C6F"/>
    <w:rsid w:val="00160D06"/>
    <w:rsid w:val="00161353"/>
    <w:rsid w:val="00161AED"/>
    <w:rsid w:val="00162CE7"/>
    <w:rsid w:val="00164225"/>
    <w:rsid w:val="00166668"/>
    <w:rsid w:val="00166A5F"/>
    <w:rsid w:val="00171501"/>
    <w:rsid w:val="00176700"/>
    <w:rsid w:val="00176FE5"/>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204A69"/>
    <w:rsid w:val="0020657E"/>
    <w:rsid w:val="00210AD7"/>
    <w:rsid w:val="00211141"/>
    <w:rsid w:val="0021307C"/>
    <w:rsid w:val="00214FE8"/>
    <w:rsid w:val="00215B8C"/>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1D4D"/>
    <w:rsid w:val="002930E4"/>
    <w:rsid w:val="0029662F"/>
    <w:rsid w:val="002A01F0"/>
    <w:rsid w:val="002A0CE4"/>
    <w:rsid w:val="002A2739"/>
    <w:rsid w:val="002A2D5F"/>
    <w:rsid w:val="002A3A02"/>
    <w:rsid w:val="002A3BBF"/>
    <w:rsid w:val="002A54DA"/>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B75F3"/>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2E45"/>
    <w:rsid w:val="00415609"/>
    <w:rsid w:val="00427C49"/>
    <w:rsid w:val="00430665"/>
    <w:rsid w:val="004311CE"/>
    <w:rsid w:val="00433CAF"/>
    <w:rsid w:val="00435120"/>
    <w:rsid w:val="00436C87"/>
    <w:rsid w:val="00437AA5"/>
    <w:rsid w:val="004460EC"/>
    <w:rsid w:val="00446A1A"/>
    <w:rsid w:val="00447444"/>
    <w:rsid w:val="00452C2E"/>
    <w:rsid w:val="00454645"/>
    <w:rsid w:val="00456405"/>
    <w:rsid w:val="00463412"/>
    <w:rsid w:val="00464D4A"/>
    <w:rsid w:val="0046681F"/>
    <w:rsid w:val="00467400"/>
    <w:rsid w:val="00471145"/>
    <w:rsid w:val="004714B8"/>
    <w:rsid w:val="00476361"/>
    <w:rsid w:val="00477271"/>
    <w:rsid w:val="00492396"/>
    <w:rsid w:val="004953EC"/>
    <w:rsid w:val="004A563B"/>
    <w:rsid w:val="004B2B9D"/>
    <w:rsid w:val="004B34BB"/>
    <w:rsid w:val="004B3857"/>
    <w:rsid w:val="004B5BAC"/>
    <w:rsid w:val="004B7689"/>
    <w:rsid w:val="004B76C0"/>
    <w:rsid w:val="004C0825"/>
    <w:rsid w:val="004C1DDA"/>
    <w:rsid w:val="004C601F"/>
    <w:rsid w:val="004D0913"/>
    <w:rsid w:val="004D44FC"/>
    <w:rsid w:val="004D5906"/>
    <w:rsid w:val="004D5A14"/>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2840"/>
    <w:rsid w:val="005833F6"/>
    <w:rsid w:val="00583A6D"/>
    <w:rsid w:val="00586EB6"/>
    <w:rsid w:val="00594988"/>
    <w:rsid w:val="0059501E"/>
    <w:rsid w:val="00595540"/>
    <w:rsid w:val="00596995"/>
    <w:rsid w:val="00597BBD"/>
    <w:rsid w:val="005A05A4"/>
    <w:rsid w:val="005A235F"/>
    <w:rsid w:val="005A2E65"/>
    <w:rsid w:val="005A3138"/>
    <w:rsid w:val="005A3A85"/>
    <w:rsid w:val="005A3ED4"/>
    <w:rsid w:val="005A4D52"/>
    <w:rsid w:val="005A5735"/>
    <w:rsid w:val="005B02E3"/>
    <w:rsid w:val="005B1D56"/>
    <w:rsid w:val="005B2185"/>
    <w:rsid w:val="005B38AF"/>
    <w:rsid w:val="005B4BD6"/>
    <w:rsid w:val="005B570B"/>
    <w:rsid w:val="005B5FA6"/>
    <w:rsid w:val="005B6FC3"/>
    <w:rsid w:val="005C15D9"/>
    <w:rsid w:val="005C36EA"/>
    <w:rsid w:val="005C5A20"/>
    <w:rsid w:val="005D69A1"/>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1FAD"/>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4E06"/>
    <w:rsid w:val="007A6A99"/>
    <w:rsid w:val="007B2B7C"/>
    <w:rsid w:val="007B2E5F"/>
    <w:rsid w:val="007B6013"/>
    <w:rsid w:val="007B6C7F"/>
    <w:rsid w:val="007C16FC"/>
    <w:rsid w:val="007C6CED"/>
    <w:rsid w:val="007C755E"/>
    <w:rsid w:val="007C7A6B"/>
    <w:rsid w:val="007D0861"/>
    <w:rsid w:val="007D14DA"/>
    <w:rsid w:val="007E010B"/>
    <w:rsid w:val="007E0167"/>
    <w:rsid w:val="007E0FD4"/>
    <w:rsid w:val="007E2935"/>
    <w:rsid w:val="007E3A81"/>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65A"/>
    <w:rsid w:val="00861D04"/>
    <w:rsid w:val="0086347E"/>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57AF"/>
    <w:rsid w:val="00905855"/>
    <w:rsid w:val="009102DA"/>
    <w:rsid w:val="00917A49"/>
    <w:rsid w:val="0092250D"/>
    <w:rsid w:val="009230BF"/>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EDB"/>
    <w:rsid w:val="00A64E45"/>
    <w:rsid w:val="00A6793E"/>
    <w:rsid w:val="00A74725"/>
    <w:rsid w:val="00A76B27"/>
    <w:rsid w:val="00A81627"/>
    <w:rsid w:val="00A9066F"/>
    <w:rsid w:val="00A90F2D"/>
    <w:rsid w:val="00AA2477"/>
    <w:rsid w:val="00AA55AA"/>
    <w:rsid w:val="00AA5E7B"/>
    <w:rsid w:val="00AB5E13"/>
    <w:rsid w:val="00AB6551"/>
    <w:rsid w:val="00AB778C"/>
    <w:rsid w:val="00AC044E"/>
    <w:rsid w:val="00AC1D68"/>
    <w:rsid w:val="00AC56C6"/>
    <w:rsid w:val="00AC7B65"/>
    <w:rsid w:val="00AD2682"/>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F93"/>
    <w:rsid w:val="00B22C04"/>
    <w:rsid w:val="00B26E88"/>
    <w:rsid w:val="00B33B89"/>
    <w:rsid w:val="00B34DB1"/>
    <w:rsid w:val="00B362FE"/>
    <w:rsid w:val="00B37665"/>
    <w:rsid w:val="00B4214D"/>
    <w:rsid w:val="00B42361"/>
    <w:rsid w:val="00B43C2A"/>
    <w:rsid w:val="00B5176F"/>
    <w:rsid w:val="00B523EC"/>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FF8"/>
    <w:rsid w:val="00BD56E2"/>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EA0"/>
    <w:rsid w:val="00C2311A"/>
    <w:rsid w:val="00C2483D"/>
    <w:rsid w:val="00C25550"/>
    <w:rsid w:val="00C26FAE"/>
    <w:rsid w:val="00C27A1C"/>
    <w:rsid w:val="00C27A3E"/>
    <w:rsid w:val="00C32FD4"/>
    <w:rsid w:val="00C34620"/>
    <w:rsid w:val="00C35DB7"/>
    <w:rsid w:val="00C3731F"/>
    <w:rsid w:val="00C45C31"/>
    <w:rsid w:val="00C50A20"/>
    <w:rsid w:val="00C50FA0"/>
    <w:rsid w:val="00C54B03"/>
    <w:rsid w:val="00C56C89"/>
    <w:rsid w:val="00C61156"/>
    <w:rsid w:val="00C6315E"/>
    <w:rsid w:val="00C63883"/>
    <w:rsid w:val="00C657EC"/>
    <w:rsid w:val="00C71FAA"/>
    <w:rsid w:val="00C74573"/>
    <w:rsid w:val="00C75B7D"/>
    <w:rsid w:val="00C7752D"/>
    <w:rsid w:val="00C77C23"/>
    <w:rsid w:val="00C83D6E"/>
    <w:rsid w:val="00C901AD"/>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5231"/>
    <w:rsid w:val="00D42295"/>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9E2"/>
    <w:rsid w:val="00D87C7D"/>
    <w:rsid w:val="00D94F22"/>
    <w:rsid w:val="00DA08DC"/>
    <w:rsid w:val="00DA2CE5"/>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2D9C"/>
    <w:rsid w:val="00E54A14"/>
    <w:rsid w:val="00E55E4E"/>
    <w:rsid w:val="00E61444"/>
    <w:rsid w:val="00E65E1D"/>
    <w:rsid w:val="00E6703E"/>
    <w:rsid w:val="00E717EB"/>
    <w:rsid w:val="00E830AF"/>
    <w:rsid w:val="00E83E0E"/>
    <w:rsid w:val="00E905CB"/>
    <w:rsid w:val="00E91918"/>
    <w:rsid w:val="00E92AC7"/>
    <w:rsid w:val="00E979AB"/>
    <w:rsid w:val="00E97BA7"/>
    <w:rsid w:val="00EA5C34"/>
    <w:rsid w:val="00EB18F9"/>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4ACB"/>
    <w:rsid w:val="00FC2396"/>
    <w:rsid w:val="00FC5493"/>
    <w:rsid w:val="00FC64BE"/>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r-HR"/>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hr-HR"/>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5"/>
      </w:numPr>
      <w:contextualSpacing/>
    </w:pPr>
  </w:style>
  <w:style w:type="paragraph" w:styleId="ListBullet3">
    <w:name w:val="List Bullet 3"/>
    <w:basedOn w:val="Normal"/>
    <w:uiPriority w:val="99"/>
    <w:semiHidden/>
    <w:unhideWhenUsed/>
    <w:rsid w:val="00C7752D"/>
    <w:pPr>
      <w:numPr>
        <w:numId w:val="6"/>
      </w:numPr>
      <w:contextualSpacing/>
    </w:pPr>
  </w:style>
  <w:style w:type="paragraph" w:styleId="ListBullet4">
    <w:name w:val="List Bullet 4"/>
    <w:basedOn w:val="Normal"/>
    <w:uiPriority w:val="99"/>
    <w:semiHidden/>
    <w:unhideWhenUsed/>
    <w:rsid w:val="00C7752D"/>
    <w:pPr>
      <w:numPr>
        <w:numId w:val="7"/>
      </w:numPr>
      <w:contextualSpacing/>
    </w:pPr>
  </w:style>
  <w:style w:type="paragraph" w:styleId="ListNumber">
    <w:name w:val="List Number"/>
    <w:basedOn w:val="Normal"/>
    <w:uiPriority w:val="99"/>
    <w:semiHidden/>
    <w:unhideWhenUsed/>
    <w:rsid w:val="00C7752D"/>
    <w:pPr>
      <w:numPr>
        <w:numId w:val="8"/>
      </w:numPr>
      <w:contextualSpacing/>
    </w:pPr>
  </w:style>
  <w:style w:type="paragraph" w:styleId="ListNumber2">
    <w:name w:val="List Number 2"/>
    <w:basedOn w:val="Normal"/>
    <w:uiPriority w:val="99"/>
    <w:semiHidden/>
    <w:unhideWhenUsed/>
    <w:rsid w:val="00C7752D"/>
    <w:pPr>
      <w:numPr>
        <w:numId w:val="9"/>
      </w:numPr>
      <w:contextualSpacing/>
    </w:pPr>
  </w:style>
  <w:style w:type="paragraph" w:styleId="ListNumber3">
    <w:name w:val="List Number 3"/>
    <w:basedOn w:val="Normal"/>
    <w:uiPriority w:val="99"/>
    <w:semiHidden/>
    <w:unhideWhenUsed/>
    <w:rsid w:val="00C7752D"/>
    <w:pPr>
      <w:numPr>
        <w:numId w:val="10"/>
      </w:numPr>
      <w:contextualSpacing/>
    </w:pPr>
  </w:style>
  <w:style w:type="paragraph" w:styleId="ListNumber4">
    <w:name w:val="List Number 4"/>
    <w:basedOn w:val="Normal"/>
    <w:uiPriority w:val="99"/>
    <w:semiHidden/>
    <w:unhideWhenUsed/>
    <w:rsid w:val="00C7752D"/>
    <w:pPr>
      <w:numPr>
        <w:numId w:val="11"/>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hr-HR"/>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hr-HR"/>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2A3A02"/>
    <w:rPr>
      <w:rFonts w:ascii="Times New Roman" w:hAnsi="Times New Roman" w:cs="Times New Roman"/>
      <w:sz w:val="24"/>
      <w:lang w:val="hr-HR"/>
    </w:rPr>
  </w:style>
  <w:style w:type="character" w:customStyle="1" w:styleId="FooterChar">
    <w:name w:val="Footer Char"/>
    <w:basedOn w:val="DefaultParagraphFont"/>
    <w:link w:val="Footer"/>
    <w:uiPriority w:val="99"/>
    <w:rsid w:val="002A3A02"/>
    <w:rPr>
      <w:rFonts w:ascii="Times New Roman" w:hAnsi="Times New Roman" w:cs="Times New Roman"/>
      <w:sz w:val="24"/>
      <w:lang w:val="hr-H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hr-HR"/>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hr-HR"/>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hr-HR"/>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hr-HR"/>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hr-HR"/>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hr-HR"/>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hr-HR"/>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2A3A02"/>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2A3A02"/>
    <w:pPr>
      <w:spacing w:before="0"/>
      <w:jc w:val="right"/>
    </w:pPr>
    <w:rPr>
      <w:sz w:val="28"/>
    </w:rPr>
  </w:style>
  <w:style w:type="paragraph" w:customStyle="1" w:styleId="FooterSensitivity">
    <w:name w:val="Footer Sensitivity"/>
    <w:basedOn w:val="Normal"/>
    <w:rsid w:val="002A3A02"/>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2A3A02"/>
    <w:pPr>
      <w:tabs>
        <w:tab w:val="center" w:pos="4535"/>
        <w:tab w:val="right" w:pos="9071"/>
      </w:tabs>
      <w:spacing w:before="0"/>
    </w:pPr>
  </w:style>
  <w:style w:type="paragraph" w:customStyle="1" w:styleId="HeaderLandscape">
    <w:name w:val="HeaderLandscape"/>
    <w:basedOn w:val="Normal"/>
    <w:rsid w:val="002A3A02"/>
    <w:pPr>
      <w:tabs>
        <w:tab w:val="center" w:pos="7285"/>
        <w:tab w:val="right" w:pos="14003"/>
      </w:tabs>
      <w:spacing w:before="0"/>
    </w:pPr>
  </w:style>
  <w:style w:type="paragraph" w:styleId="Footer">
    <w:name w:val="footer"/>
    <w:basedOn w:val="Normal"/>
    <w:link w:val="FooterChar"/>
    <w:uiPriority w:val="99"/>
    <w:unhideWhenUsed/>
    <w:rsid w:val="002A3A02"/>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2A3A02"/>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FB7E5-29C3-49AE-A88F-5C62886C8521}"/>
</file>

<file path=customXml/itemProps2.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3.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1CE7D1BF-3AEE-43EE-92E0-B1F9B205A42B}">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36</TotalTime>
  <Pages>10</Pages>
  <Words>4235</Words>
  <Characters>24146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28325</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35</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